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B4BBE" w14:textId="77777777" w:rsidR="00512A2D" w:rsidRDefault="00B96230" w:rsidP="009E2768">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14:paraId="48558486" w14:textId="77777777" w:rsidR="00512A2D" w:rsidRDefault="00512A2D" w:rsidP="009E2768">
      <w:pPr>
        <w:spacing w:line="269" w:lineRule="auto"/>
        <w:rPr>
          <w:rFonts w:ascii="Calibri" w:hAnsi="Calibri" w:cs="Calibri"/>
          <w:b/>
          <w:bCs/>
          <w:color w:val="002060"/>
          <w:sz w:val="80"/>
          <w:szCs w:val="80"/>
          <w:rtl/>
        </w:rPr>
      </w:pPr>
    </w:p>
    <w:p w14:paraId="13C9F3FB" w14:textId="77777777" w:rsidR="00512A2D" w:rsidRDefault="00512A2D" w:rsidP="009E2768">
      <w:pPr>
        <w:spacing w:line="269" w:lineRule="auto"/>
        <w:rPr>
          <w:rFonts w:ascii="Calibri" w:hAnsi="Calibri" w:cs="Calibri"/>
          <w:b/>
          <w:bCs/>
          <w:color w:val="002060"/>
          <w:sz w:val="80"/>
          <w:szCs w:val="80"/>
          <w:rtl/>
        </w:rPr>
      </w:pPr>
    </w:p>
    <w:p w14:paraId="45A19BDB" w14:textId="77777777" w:rsidR="00512A2D" w:rsidRDefault="00512A2D" w:rsidP="009E2768">
      <w:pPr>
        <w:spacing w:line="269" w:lineRule="auto"/>
        <w:rPr>
          <w:rFonts w:ascii="Calibri" w:hAnsi="Calibri" w:cs="Calibri"/>
          <w:b/>
          <w:bCs/>
          <w:color w:val="002060"/>
          <w:sz w:val="80"/>
          <w:szCs w:val="80"/>
          <w:rtl/>
        </w:rPr>
      </w:pPr>
    </w:p>
    <w:p w14:paraId="63E4F8D2" w14:textId="77777777" w:rsidR="00512A2D" w:rsidRDefault="00512A2D" w:rsidP="009E2768">
      <w:pPr>
        <w:spacing w:line="269" w:lineRule="auto"/>
        <w:rPr>
          <w:rFonts w:ascii="Calibri" w:hAnsi="Calibri" w:cs="Calibri"/>
          <w:b/>
          <w:bCs/>
          <w:color w:val="002060"/>
          <w:sz w:val="80"/>
          <w:szCs w:val="80"/>
          <w:rtl/>
        </w:rPr>
      </w:pPr>
    </w:p>
    <w:p w14:paraId="622A8F71" w14:textId="77777777" w:rsidR="00FB7831" w:rsidRDefault="00FB7831" w:rsidP="009E2768">
      <w:pPr>
        <w:spacing w:line="269" w:lineRule="auto"/>
        <w:ind w:left="-285"/>
        <w:jc w:val="center"/>
        <w:rPr>
          <w:rFonts w:ascii="Calibri" w:hAnsi="Calibri" w:cs="Calibri"/>
          <w:b/>
          <w:bCs/>
          <w:color w:val="002060"/>
          <w:sz w:val="80"/>
          <w:szCs w:val="80"/>
          <w:rtl/>
        </w:rPr>
      </w:pPr>
      <w:r w:rsidRPr="00FB7831">
        <w:rPr>
          <w:rFonts w:ascii="Calibri" w:hAnsi="Calibri" w:cs="Calibri"/>
          <w:b/>
          <w:bCs/>
          <w:color w:val="002060"/>
          <w:sz w:val="80"/>
          <w:szCs w:val="80"/>
          <w:rtl/>
        </w:rPr>
        <w:t xml:space="preserve">ההתמודדות עם תופעת האלימות בין בני זוג - </w:t>
      </w:r>
    </w:p>
    <w:p w14:paraId="15CDC542" w14:textId="77777777" w:rsidR="006E1414" w:rsidRDefault="00FB7831" w:rsidP="009E2768">
      <w:pPr>
        <w:spacing w:line="269" w:lineRule="auto"/>
        <w:ind w:left="-285"/>
        <w:jc w:val="center"/>
        <w:rPr>
          <w:rFonts w:ascii="Calibri" w:hAnsi="Calibri" w:cs="Calibri"/>
          <w:b/>
          <w:bCs/>
          <w:color w:val="002060"/>
          <w:sz w:val="80"/>
          <w:szCs w:val="80"/>
          <w:rtl/>
        </w:rPr>
      </w:pPr>
      <w:r w:rsidRPr="00FB7831">
        <w:rPr>
          <w:rFonts w:ascii="Calibri" w:hAnsi="Calibri" w:cs="Calibri"/>
          <w:b/>
          <w:bCs/>
          <w:color w:val="002060"/>
          <w:sz w:val="80"/>
          <w:szCs w:val="80"/>
          <w:rtl/>
        </w:rPr>
        <w:t>ביקורת מעקב</w:t>
      </w:r>
    </w:p>
    <w:p w14:paraId="12153B56" w14:textId="77777777" w:rsidR="006E1414" w:rsidRDefault="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53921B39" w14:textId="77777777" w:rsidR="007E53C6" w:rsidRDefault="007E53C6" w:rsidP="009E2768">
      <w:pPr>
        <w:tabs>
          <w:tab w:val="left" w:pos="1020"/>
        </w:tabs>
        <w:spacing w:line="269" w:lineRule="auto"/>
        <w:jc w:val="left"/>
        <w:rPr>
          <w:rFonts w:ascii="Calibri" w:hAnsi="Calibri" w:cs="Times New Roman"/>
          <w:color w:val="002060"/>
          <w:sz w:val="22"/>
          <w:szCs w:val="22"/>
          <w:rtl/>
        </w:rPr>
        <w:sectPr w:rsidR="007E53C6" w:rsidSect="00817399">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14:paraId="272B3067" w14:textId="77777777" w:rsidR="00817399" w:rsidRPr="002F2BC5" w:rsidRDefault="00817399" w:rsidP="00817399">
      <w:pPr>
        <w:pStyle w:val="11"/>
        <w:spacing w:line="269" w:lineRule="auto"/>
        <w:rPr>
          <w:rtl/>
        </w:rPr>
      </w:pPr>
      <w:bookmarkStart w:id="0" w:name="_Toc191986907"/>
      <w:bookmarkStart w:id="1" w:name="_Toc191891375"/>
      <w:bookmarkStart w:id="2" w:name="_Toc193110585"/>
      <w:bookmarkStart w:id="3" w:name="_Toc192778809"/>
      <w:bookmarkStart w:id="4" w:name="_Toc200636787"/>
      <w:bookmarkStart w:id="5" w:name="_Toc200439786"/>
      <w:bookmarkStart w:id="6" w:name="_Toc192784363"/>
      <w:bookmarkStart w:id="7" w:name="_Toc201759349"/>
      <w:bookmarkStart w:id="8" w:name="_Hlk172450634"/>
      <w:bookmarkStart w:id="9" w:name="copyNevSelection"/>
      <w:r w:rsidRPr="002F2BC5">
        <w:rPr>
          <w:rFonts w:hint="cs"/>
          <w:rtl/>
        </w:rPr>
        <w:lastRenderedPageBreak/>
        <w:t>ה</w:t>
      </w:r>
      <w:r w:rsidRPr="002F2BC5">
        <w:rPr>
          <w:rtl/>
        </w:rPr>
        <w:t>התמודדות עם תופעת האלימות בין בני זוג</w:t>
      </w:r>
      <w:r w:rsidRPr="002F2BC5">
        <w:rPr>
          <w:rFonts w:hint="cs"/>
          <w:rtl/>
        </w:rPr>
        <w:t xml:space="preserve"> - ביקורת מעקב</w:t>
      </w:r>
      <w:bookmarkEnd w:id="0"/>
      <w:bookmarkEnd w:id="1"/>
      <w:bookmarkEnd w:id="2"/>
      <w:bookmarkEnd w:id="3"/>
      <w:bookmarkEnd w:id="4"/>
      <w:bookmarkEnd w:id="5"/>
      <w:bookmarkEnd w:id="6"/>
      <w:bookmarkEnd w:id="7"/>
    </w:p>
    <w:p w14:paraId="3EEC98F7" w14:textId="77777777" w:rsidR="00817399" w:rsidRPr="002F2BC5" w:rsidRDefault="00817399" w:rsidP="00817399">
      <w:pPr>
        <w:spacing w:line="269" w:lineRule="auto"/>
        <w:rPr>
          <w:rtl/>
        </w:rPr>
      </w:pPr>
    </w:p>
    <w:p w14:paraId="15B50264" w14:textId="77777777" w:rsidR="00817399" w:rsidRPr="002F2BC5" w:rsidRDefault="00817399" w:rsidP="00817399">
      <w:pPr>
        <w:spacing w:line="269" w:lineRule="auto"/>
        <w:jc w:val="center"/>
        <w:rPr>
          <w:b/>
          <w:bCs/>
          <w:sz w:val="28"/>
          <w:szCs w:val="32"/>
          <w:rtl/>
        </w:rPr>
      </w:pPr>
      <w:r w:rsidRPr="002F2BC5">
        <w:rPr>
          <w:rFonts w:hint="cs"/>
          <w:b/>
          <w:bCs/>
          <w:sz w:val="28"/>
          <w:szCs w:val="32"/>
          <w:rtl/>
        </w:rPr>
        <w:t>תוכן העניינים</w:t>
      </w:r>
    </w:p>
    <w:p w14:paraId="5C2974D1" w14:textId="23E56A8A" w:rsidR="00D25C8F" w:rsidRDefault="00817399">
      <w:pPr>
        <w:pStyle w:val="TOC2"/>
        <w:rPr>
          <w:rFonts w:asciiTheme="minorHAnsi" w:eastAsiaTheme="minorEastAsia" w:hAnsiTheme="minorHAnsi" w:cstheme="minorBidi"/>
          <w:bCs w:val="0"/>
          <w:sz w:val="22"/>
          <w:szCs w:val="22"/>
          <w:rtl/>
        </w:rPr>
      </w:pPr>
      <w:r w:rsidRPr="002F2BC5">
        <w:rPr>
          <w:rFonts w:ascii="David" w:hAnsi="David"/>
          <w:rtl/>
        </w:rPr>
        <w:fldChar w:fldCharType="begin"/>
      </w:r>
      <w:r w:rsidRPr="002F2BC5">
        <w:rPr>
          <w:rFonts w:ascii="David" w:hAnsi="David"/>
          <w:rtl/>
        </w:rPr>
        <w:instrText xml:space="preserve"> </w:instrText>
      </w:r>
      <w:r w:rsidRPr="002F2BC5">
        <w:rPr>
          <w:rFonts w:ascii="David" w:hAnsi="David"/>
        </w:rPr>
        <w:instrText>TOC</w:instrText>
      </w:r>
      <w:r w:rsidRPr="002F2BC5">
        <w:rPr>
          <w:rFonts w:ascii="David" w:hAnsi="David"/>
          <w:rtl/>
        </w:rPr>
        <w:instrText xml:space="preserve"> \</w:instrText>
      </w:r>
      <w:r w:rsidRPr="002F2BC5">
        <w:rPr>
          <w:rFonts w:ascii="David" w:hAnsi="David"/>
        </w:rPr>
        <w:instrText>h \z \u \t</w:instrText>
      </w:r>
      <w:r w:rsidRPr="002F2BC5">
        <w:rPr>
          <w:rFonts w:ascii="David" w:hAnsi="David"/>
          <w:rtl/>
        </w:rPr>
        <w:instrText xml:space="preserve"> "כותרת 2,2,כותרת 3,3,כותרת 4,4" </w:instrText>
      </w:r>
      <w:r w:rsidRPr="002F2BC5">
        <w:rPr>
          <w:rFonts w:ascii="David" w:hAnsi="David"/>
          <w:rtl/>
        </w:rPr>
        <w:fldChar w:fldCharType="separate"/>
      </w:r>
      <w:hyperlink w:anchor="_Toc203487983" w:history="1">
        <w:r w:rsidR="00D25C8F" w:rsidRPr="00EA1C7F">
          <w:rPr>
            <w:rStyle w:val="Hyperlink"/>
            <w:rtl/>
          </w:rPr>
          <w:t>מבוא</w:t>
        </w:r>
        <w:r w:rsidR="00D25C8F">
          <w:rPr>
            <w:webHidden/>
            <w:rtl/>
          </w:rPr>
          <w:tab/>
        </w:r>
        <w:r w:rsidR="00D25C8F">
          <w:rPr>
            <w:rStyle w:val="Hyperlink"/>
            <w:rtl/>
          </w:rPr>
          <w:fldChar w:fldCharType="begin"/>
        </w:r>
        <w:r w:rsidR="00D25C8F">
          <w:rPr>
            <w:webHidden/>
            <w:rtl/>
          </w:rPr>
          <w:instrText xml:space="preserve"> </w:instrText>
        </w:r>
        <w:r w:rsidR="00D25C8F">
          <w:rPr>
            <w:webHidden/>
          </w:rPr>
          <w:instrText>PAGEREF</w:instrText>
        </w:r>
        <w:r w:rsidR="00D25C8F">
          <w:rPr>
            <w:webHidden/>
            <w:rtl/>
          </w:rPr>
          <w:instrText xml:space="preserve"> _</w:instrText>
        </w:r>
        <w:r w:rsidR="00D25C8F">
          <w:rPr>
            <w:webHidden/>
          </w:rPr>
          <w:instrText>Toc203487983 \h</w:instrText>
        </w:r>
        <w:r w:rsidR="00D25C8F">
          <w:rPr>
            <w:webHidden/>
            <w:rtl/>
          </w:rPr>
          <w:instrText xml:space="preserve"> </w:instrText>
        </w:r>
        <w:r w:rsidR="00D25C8F">
          <w:rPr>
            <w:rStyle w:val="Hyperlink"/>
            <w:rtl/>
          </w:rPr>
        </w:r>
        <w:r w:rsidR="00D25C8F">
          <w:rPr>
            <w:rStyle w:val="Hyperlink"/>
            <w:rtl/>
          </w:rPr>
          <w:fldChar w:fldCharType="separate"/>
        </w:r>
        <w:r w:rsidR="00BB5E31">
          <w:rPr>
            <w:webHidden/>
            <w:rtl/>
          </w:rPr>
          <w:t>3</w:t>
        </w:r>
        <w:r w:rsidR="00D25C8F">
          <w:rPr>
            <w:rStyle w:val="Hyperlink"/>
            <w:rtl/>
          </w:rPr>
          <w:fldChar w:fldCharType="end"/>
        </w:r>
      </w:hyperlink>
    </w:p>
    <w:p w14:paraId="3D73627F" w14:textId="55242A3F" w:rsidR="00D25C8F" w:rsidRDefault="00D25C8F">
      <w:pPr>
        <w:pStyle w:val="TOC3"/>
        <w:rPr>
          <w:rFonts w:asciiTheme="minorHAnsi" w:eastAsiaTheme="minorEastAsia" w:hAnsiTheme="minorHAnsi" w:cstheme="minorBidi"/>
          <w:bCs w:val="0"/>
          <w:sz w:val="22"/>
          <w:rtl/>
        </w:rPr>
      </w:pPr>
      <w:hyperlink w:anchor="_Toc203487984" w:history="1">
        <w:r w:rsidRPr="00EA1C7F">
          <w:rPr>
            <w:rStyle w:val="Hyperlink"/>
            <w:rtl/>
          </w:rPr>
          <w:t>פעולות הביקורת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Toc203487984 \h</w:instrText>
        </w:r>
        <w:r>
          <w:rPr>
            <w:webHidden/>
            <w:rtl/>
          </w:rPr>
          <w:instrText xml:space="preserve"> </w:instrText>
        </w:r>
        <w:r>
          <w:rPr>
            <w:rStyle w:val="Hyperlink"/>
            <w:rtl/>
          </w:rPr>
        </w:r>
        <w:r>
          <w:rPr>
            <w:rStyle w:val="Hyperlink"/>
            <w:rtl/>
          </w:rPr>
          <w:fldChar w:fldCharType="separate"/>
        </w:r>
        <w:r w:rsidR="00BB5E31">
          <w:rPr>
            <w:webHidden/>
            <w:rtl/>
          </w:rPr>
          <w:t>6</w:t>
        </w:r>
        <w:r>
          <w:rPr>
            <w:rStyle w:val="Hyperlink"/>
            <w:rtl/>
          </w:rPr>
          <w:fldChar w:fldCharType="end"/>
        </w:r>
      </w:hyperlink>
    </w:p>
    <w:p w14:paraId="0E96838C" w14:textId="244865DF" w:rsidR="00D25C8F" w:rsidRDefault="00D25C8F">
      <w:pPr>
        <w:pStyle w:val="TOC2"/>
        <w:rPr>
          <w:rFonts w:asciiTheme="minorHAnsi" w:eastAsiaTheme="minorEastAsia" w:hAnsiTheme="minorHAnsi" w:cstheme="minorBidi"/>
          <w:bCs w:val="0"/>
          <w:sz w:val="22"/>
          <w:szCs w:val="22"/>
          <w:rtl/>
        </w:rPr>
      </w:pPr>
      <w:hyperlink w:anchor="_Toc203487985" w:history="1">
        <w:r w:rsidRPr="00EA1C7F">
          <w:rPr>
            <w:rStyle w:val="Hyperlink"/>
            <w:rtl/>
          </w:rPr>
          <w:t>תופעת האלימות בין בני זוג בראי מערכתי</w:t>
        </w:r>
        <w:bookmarkStart w:id="10" w:name="_GoBack"/>
        <w:bookmarkEnd w:id="10"/>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Toc203487985 \h</w:instrText>
        </w:r>
        <w:r>
          <w:rPr>
            <w:webHidden/>
            <w:rtl/>
          </w:rPr>
          <w:instrText xml:space="preserve"> </w:instrText>
        </w:r>
        <w:r>
          <w:rPr>
            <w:rStyle w:val="Hyperlink"/>
            <w:rtl/>
          </w:rPr>
        </w:r>
        <w:r>
          <w:rPr>
            <w:rStyle w:val="Hyperlink"/>
            <w:rtl/>
          </w:rPr>
          <w:fldChar w:fldCharType="separate"/>
        </w:r>
        <w:r w:rsidR="00BB5E31">
          <w:rPr>
            <w:webHidden/>
            <w:rtl/>
          </w:rPr>
          <w:t>10</w:t>
        </w:r>
        <w:r>
          <w:rPr>
            <w:rStyle w:val="Hyperlink"/>
            <w:rtl/>
          </w:rPr>
          <w:fldChar w:fldCharType="end"/>
        </w:r>
      </w:hyperlink>
    </w:p>
    <w:p w14:paraId="3F414A6E" w14:textId="22B626CB" w:rsidR="00D25C8F" w:rsidRDefault="00D25C8F">
      <w:pPr>
        <w:pStyle w:val="TOC3"/>
        <w:rPr>
          <w:rFonts w:asciiTheme="minorHAnsi" w:eastAsiaTheme="minorEastAsia" w:hAnsiTheme="minorHAnsi" w:cstheme="minorBidi"/>
          <w:bCs w:val="0"/>
          <w:sz w:val="22"/>
          <w:rtl/>
        </w:rPr>
      </w:pPr>
      <w:hyperlink w:anchor="_Toc203487986" w:history="1">
        <w:r w:rsidRPr="00EA1C7F">
          <w:rPr>
            <w:rStyle w:val="Hyperlink"/>
            <w:rtl/>
          </w:rPr>
          <w:t>הבסיס החוקי והמקצועי להתמודדות עם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Toc203487986 \h</w:instrText>
        </w:r>
        <w:r>
          <w:rPr>
            <w:webHidden/>
            <w:rtl/>
          </w:rPr>
          <w:instrText xml:space="preserve"> </w:instrText>
        </w:r>
        <w:r>
          <w:rPr>
            <w:rStyle w:val="Hyperlink"/>
            <w:rtl/>
          </w:rPr>
        </w:r>
        <w:r>
          <w:rPr>
            <w:rStyle w:val="Hyperlink"/>
            <w:rtl/>
          </w:rPr>
          <w:fldChar w:fldCharType="separate"/>
        </w:r>
        <w:r w:rsidR="00BB5E31">
          <w:rPr>
            <w:webHidden/>
            <w:rtl/>
          </w:rPr>
          <w:t>10</w:t>
        </w:r>
        <w:r>
          <w:rPr>
            <w:rStyle w:val="Hyperlink"/>
            <w:rtl/>
          </w:rPr>
          <w:fldChar w:fldCharType="end"/>
        </w:r>
      </w:hyperlink>
    </w:p>
    <w:p w14:paraId="46D13D1F" w14:textId="77B8BADD" w:rsidR="00D25C8F" w:rsidRDefault="00D25C8F">
      <w:pPr>
        <w:pStyle w:val="TOC4"/>
        <w:rPr>
          <w:rFonts w:asciiTheme="minorHAnsi" w:eastAsiaTheme="minorEastAsia" w:hAnsiTheme="minorHAnsi" w:cstheme="minorBidi"/>
          <w:sz w:val="22"/>
          <w:szCs w:val="22"/>
          <w:rtl/>
        </w:rPr>
      </w:pPr>
      <w:hyperlink w:anchor="_Toc203487987" w:history="1">
        <w:r w:rsidRPr="00EA1C7F">
          <w:rPr>
            <w:rStyle w:val="Hyperlink"/>
            <w:rtl/>
          </w:rPr>
          <w:t>הגדרת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Toc203487987 \h</w:instrText>
        </w:r>
        <w:r>
          <w:rPr>
            <w:webHidden/>
            <w:rtl/>
          </w:rPr>
          <w:instrText xml:space="preserve"> </w:instrText>
        </w:r>
        <w:r>
          <w:rPr>
            <w:rStyle w:val="Hyperlink"/>
            <w:rtl/>
          </w:rPr>
        </w:r>
        <w:r>
          <w:rPr>
            <w:rStyle w:val="Hyperlink"/>
            <w:rtl/>
          </w:rPr>
          <w:fldChar w:fldCharType="separate"/>
        </w:r>
        <w:r w:rsidR="00BB5E31">
          <w:rPr>
            <w:webHidden/>
            <w:rtl/>
          </w:rPr>
          <w:t>16</w:t>
        </w:r>
        <w:r>
          <w:rPr>
            <w:rStyle w:val="Hyperlink"/>
            <w:rtl/>
          </w:rPr>
          <w:fldChar w:fldCharType="end"/>
        </w:r>
      </w:hyperlink>
    </w:p>
    <w:p w14:paraId="64229BF6" w14:textId="7A7F9F6D" w:rsidR="00D25C8F" w:rsidRDefault="00D25C8F">
      <w:pPr>
        <w:pStyle w:val="TOC4"/>
        <w:rPr>
          <w:rFonts w:asciiTheme="minorHAnsi" w:eastAsiaTheme="minorEastAsia" w:hAnsiTheme="minorHAnsi" w:cstheme="minorBidi"/>
          <w:sz w:val="22"/>
          <w:szCs w:val="22"/>
          <w:rtl/>
        </w:rPr>
      </w:pPr>
      <w:hyperlink w:anchor="_Toc203487988" w:history="1">
        <w:r w:rsidRPr="00EA1C7F">
          <w:rPr>
            <w:rStyle w:val="Hyperlink"/>
            <w:rtl/>
          </w:rPr>
          <w:t>הערכת המסוכנות הנשקפת לנפגעי 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Toc203487988 \h</w:instrText>
        </w:r>
        <w:r>
          <w:rPr>
            <w:webHidden/>
            <w:rtl/>
          </w:rPr>
          <w:instrText xml:space="preserve"> </w:instrText>
        </w:r>
        <w:r>
          <w:rPr>
            <w:rStyle w:val="Hyperlink"/>
            <w:rtl/>
          </w:rPr>
        </w:r>
        <w:r>
          <w:rPr>
            <w:rStyle w:val="Hyperlink"/>
            <w:rtl/>
          </w:rPr>
          <w:fldChar w:fldCharType="separate"/>
        </w:r>
        <w:r w:rsidR="00BB5E31">
          <w:rPr>
            <w:webHidden/>
            <w:rtl/>
          </w:rPr>
          <w:t>20</w:t>
        </w:r>
        <w:r>
          <w:rPr>
            <w:rStyle w:val="Hyperlink"/>
            <w:rtl/>
          </w:rPr>
          <w:fldChar w:fldCharType="end"/>
        </w:r>
      </w:hyperlink>
    </w:p>
    <w:p w14:paraId="1EC61412" w14:textId="580DD686" w:rsidR="00D25C8F" w:rsidRDefault="00D25C8F">
      <w:pPr>
        <w:pStyle w:val="TOC3"/>
        <w:rPr>
          <w:rFonts w:asciiTheme="minorHAnsi" w:eastAsiaTheme="minorEastAsia" w:hAnsiTheme="minorHAnsi" w:cstheme="minorBidi"/>
          <w:bCs w:val="0"/>
          <w:sz w:val="22"/>
          <w:rtl/>
        </w:rPr>
      </w:pPr>
      <w:hyperlink w:anchor="_Toc203487989" w:history="1">
        <w:r w:rsidRPr="00EA1C7F">
          <w:rPr>
            <w:rStyle w:val="Hyperlink"/>
            <w:rtl/>
          </w:rPr>
          <w:t>המערך הלאומי להתמודדות עם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Toc203487989 \h</w:instrText>
        </w:r>
        <w:r>
          <w:rPr>
            <w:webHidden/>
            <w:rtl/>
          </w:rPr>
          <w:instrText xml:space="preserve"> </w:instrText>
        </w:r>
        <w:r>
          <w:rPr>
            <w:rStyle w:val="Hyperlink"/>
            <w:rtl/>
          </w:rPr>
        </w:r>
        <w:r>
          <w:rPr>
            <w:rStyle w:val="Hyperlink"/>
            <w:rtl/>
          </w:rPr>
          <w:fldChar w:fldCharType="separate"/>
        </w:r>
        <w:r w:rsidR="00BB5E31">
          <w:rPr>
            <w:webHidden/>
            <w:rtl/>
          </w:rPr>
          <w:t>23</w:t>
        </w:r>
        <w:r>
          <w:rPr>
            <w:rStyle w:val="Hyperlink"/>
            <w:rtl/>
          </w:rPr>
          <w:fldChar w:fldCharType="end"/>
        </w:r>
      </w:hyperlink>
    </w:p>
    <w:p w14:paraId="2FFCB900" w14:textId="609635D6" w:rsidR="00D25C8F" w:rsidRDefault="00D25C8F">
      <w:pPr>
        <w:pStyle w:val="TOC4"/>
        <w:rPr>
          <w:rFonts w:asciiTheme="minorHAnsi" w:eastAsiaTheme="minorEastAsia" w:hAnsiTheme="minorHAnsi" w:cstheme="minorBidi"/>
          <w:sz w:val="22"/>
          <w:szCs w:val="22"/>
          <w:rtl/>
        </w:rPr>
      </w:pPr>
      <w:hyperlink w:anchor="_Toc203487990" w:history="1">
        <w:r w:rsidRPr="00EA1C7F">
          <w:rPr>
            <w:rStyle w:val="Hyperlink"/>
            <w:rtl/>
          </w:rPr>
          <w:t>מעמדה, סדרי עבודתה ותפקידיה של הוועדה הבין-משרדית הקבועה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Toc203487990 \h</w:instrText>
        </w:r>
        <w:r>
          <w:rPr>
            <w:webHidden/>
            <w:rtl/>
          </w:rPr>
          <w:instrText xml:space="preserve"> </w:instrText>
        </w:r>
        <w:r>
          <w:rPr>
            <w:rStyle w:val="Hyperlink"/>
            <w:rtl/>
          </w:rPr>
        </w:r>
        <w:r>
          <w:rPr>
            <w:rStyle w:val="Hyperlink"/>
            <w:rtl/>
          </w:rPr>
          <w:fldChar w:fldCharType="separate"/>
        </w:r>
        <w:r w:rsidR="00BB5E31">
          <w:rPr>
            <w:webHidden/>
            <w:rtl/>
          </w:rPr>
          <w:t>27</w:t>
        </w:r>
        <w:r>
          <w:rPr>
            <w:rStyle w:val="Hyperlink"/>
            <w:rtl/>
          </w:rPr>
          <w:fldChar w:fldCharType="end"/>
        </w:r>
      </w:hyperlink>
    </w:p>
    <w:p w14:paraId="0D521343" w14:textId="6D1EEE03" w:rsidR="00D25C8F" w:rsidRDefault="00D25C8F">
      <w:pPr>
        <w:pStyle w:val="TOC3"/>
        <w:rPr>
          <w:rFonts w:asciiTheme="minorHAnsi" w:eastAsiaTheme="minorEastAsia" w:hAnsiTheme="minorHAnsi" w:cstheme="minorBidi"/>
          <w:bCs w:val="0"/>
          <w:sz w:val="22"/>
          <w:rtl/>
        </w:rPr>
      </w:pPr>
      <w:hyperlink w:anchor="_Toc203487991" w:history="1">
        <w:r w:rsidRPr="00EA1C7F">
          <w:rPr>
            <w:rStyle w:val="Hyperlink"/>
            <w:rtl/>
          </w:rPr>
          <w:t>איסוף וניהול של נתונים על התופעה ומאפייניה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Toc203487991 \h</w:instrText>
        </w:r>
        <w:r>
          <w:rPr>
            <w:webHidden/>
            <w:rtl/>
          </w:rPr>
          <w:instrText xml:space="preserve"> </w:instrText>
        </w:r>
        <w:r>
          <w:rPr>
            <w:rStyle w:val="Hyperlink"/>
            <w:rtl/>
          </w:rPr>
        </w:r>
        <w:r>
          <w:rPr>
            <w:rStyle w:val="Hyperlink"/>
            <w:rtl/>
          </w:rPr>
          <w:fldChar w:fldCharType="separate"/>
        </w:r>
        <w:r w:rsidR="00BB5E31">
          <w:rPr>
            <w:webHidden/>
            <w:rtl/>
          </w:rPr>
          <w:t>36</w:t>
        </w:r>
        <w:r>
          <w:rPr>
            <w:rStyle w:val="Hyperlink"/>
            <w:rtl/>
          </w:rPr>
          <w:fldChar w:fldCharType="end"/>
        </w:r>
      </w:hyperlink>
    </w:p>
    <w:p w14:paraId="20B9B826" w14:textId="007C517C" w:rsidR="00D25C8F" w:rsidRDefault="00D25C8F">
      <w:pPr>
        <w:pStyle w:val="TOC4"/>
        <w:rPr>
          <w:rFonts w:asciiTheme="minorHAnsi" w:eastAsiaTheme="minorEastAsia" w:hAnsiTheme="minorHAnsi" w:cstheme="minorBidi"/>
          <w:sz w:val="22"/>
          <w:szCs w:val="22"/>
          <w:rtl/>
        </w:rPr>
      </w:pPr>
      <w:hyperlink w:anchor="_Toc203487992" w:history="1">
        <w:r w:rsidRPr="00EA1C7F">
          <w:rPr>
            <w:rStyle w:val="Hyperlink"/>
            <w:rtl/>
          </w:rPr>
          <w:t>אמידת היקפה של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Toc203487992 \h</w:instrText>
        </w:r>
        <w:r>
          <w:rPr>
            <w:webHidden/>
            <w:rtl/>
          </w:rPr>
          <w:instrText xml:space="preserve"> </w:instrText>
        </w:r>
        <w:r>
          <w:rPr>
            <w:rStyle w:val="Hyperlink"/>
            <w:rtl/>
          </w:rPr>
        </w:r>
        <w:r>
          <w:rPr>
            <w:rStyle w:val="Hyperlink"/>
            <w:rtl/>
          </w:rPr>
          <w:fldChar w:fldCharType="separate"/>
        </w:r>
        <w:r w:rsidR="00BB5E31">
          <w:rPr>
            <w:webHidden/>
            <w:rtl/>
          </w:rPr>
          <w:t>38</w:t>
        </w:r>
        <w:r>
          <w:rPr>
            <w:rStyle w:val="Hyperlink"/>
            <w:rtl/>
          </w:rPr>
          <w:fldChar w:fldCharType="end"/>
        </w:r>
      </w:hyperlink>
    </w:p>
    <w:p w14:paraId="0FDA563C" w14:textId="30A55DBA" w:rsidR="00D25C8F" w:rsidRDefault="00D25C8F">
      <w:pPr>
        <w:pStyle w:val="TOC4"/>
        <w:rPr>
          <w:rFonts w:asciiTheme="minorHAnsi" w:eastAsiaTheme="minorEastAsia" w:hAnsiTheme="minorHAnsi" w:cstheme="minorBidi"/>
          <w:sz w:val="22"/>
          <w:szCs w:val="22"/>
          <w:rtl/>
        </w:rPr>
      </w:pPr>
      <w:hyperlink w:anchor="_Toc203487993" w:history="1">
        <w:r w:rsidRPr="00EA1C7F">
          <w:rPr>
            <w:rStyle w:val="Hyperlink"/>
            <w:rtl/>
          </w:rPr>
          <w:t>העברת נתונים ומידע על נפגעי אלימות בין בני זוג ועל הפוגעים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Toc203487993 \h</w:instrText>
        </w:r>
        <w:r>
          <w:rPr>
            <w:webHidden/>
            <w:rtl/>
          </w:rPr>
          <w:instrText xml:space="preserve"> </w:instrText>
        </w:r>
        <w:r>
          <w:rPr>
            <w:rStyle w:val="Hyperlink"/>
            <w:rtl/>
          </w:rPr>
        </w:r>
        <w:r>
          <w:rPr>
            <w:rStyle w:val="Hyperlink"/>
            <w:rtl/>
          </w:rPr>
          <w:fldChar w:fldCharType="separate"/>
        </w:r>
        <w:r w:rsidR="00BB5E31">
          <w:rPr>
            <w:webHidden/>
            <w:rtl/>
          </w:rPr>
          <w:t>43</w:t>
        </w:r>
        <w:r>
          <w:rPr>
            <w:rStyle w:val="Hyperlink"/>
            <w:rtl/>
          </w:rPr>
          <w:fldChar w:fldCharType="end"/>
        </w:r>
      </w:hyperlink>
    </w:p>
    <w:p w14:paraId="462AF9C3" w14:textId="2E1F105A" w:rsidR="00D25C8F" w:rsidRDefault="00D25C8F">
      <w:pPr>
        <w:pStyle w:val="TOC4"/>
        <w:rPr>
          <w:rFonts w:asciiTheme="minorHAnsi" w:eastAsiaTheme="minorEastAsia" w:hAnsiTheme="minorHAnsi" w:cstheme="minorBidi"/>
          <w:sz w:val="22"/>
          <w:szCs w:val="22"/>
          <w:rtl/>
        </w:rPr>
      </w:pPr>
      <w:hyperlink w:anchor="_Toc203487994" w:history="1">
        <w:r w:rsidRPr="00EA1C7F">
          <w:rPr>
            <w:rStyle w:val="Hyperlink"/>
            <w:b/>
            <w:rtl/>
          </w:rPr>
          <w:t>ני</w:t>
        </w:r>
        <w:r w:rsidRPr="00EA1C7F">
          <w:rPr>
            <w:rStyle w:val="Hyperlink"/>
            <w:rtl/>
          </w:rPr>
          <w:t>הול ממוחשב ומרכזי של הנתונים על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Toc203487994 \h</w:instrText>
        </w:r>
        <w:r>
          <w:rPr>
            <w:webHidden/>
            <w:rtl/>
          </w:rPr>
          <w:instrText xml:space="preserve"> </w:instrText>
        </w:r>
        <w:r>
          <w:rPr>
            <w:rStyle w:val="Hyperlink"/>
            <w:rtl/>
          </w:rPr>
        </w:r>
        <w:r>
          <w:rPr>
            <w:rStyle w:val="Hyperlink"/>
            <w:rtl/>
          </w:rPr>
          <w:fldChar w:fldCharType="separate"/>
        </w:r>
        <w:r w:rsidR="00BB5E31">
          <w:rPr>
            <w:webHidden/>
            <w:rtl/>
          </w:rPr>
          <w:t>46</w:t>
        </w:r>
        <w:r>
          <w:rPr>
            <w:rStyle w:val="Hyperlink"/>
            <w:rtl/>
          </w:rPr>
          <w:fldChar w:fldCharType="end"/>
        </w:r>
      </w:hyperlink>
    </w:p>
    <w:p w14:paraId="79BC8FFE" w14:textId="721D2244" w:rsidR="00D25C8F" w:rsidRDefault="00D25C8F">
      <w:pPr>
        <w:pStyle w:val="TOC3"/>
        <w:rPr>
          <w:rFonts w:asciiTheme="minorHAnsi" w:eastAsiaTheme="minorEastAsia" w:hAnsiTheme="minorHAnsi" w:cstheme="minorBidi"/>
          <w:bCs w:val="0"/>
          <w:sz w:val="22"/>
          <w:rtl/>
        </w:rPr>
      </w:pPr>
      <w:hyperlink w:anchor="_Toc203487995" w:history="1">
        <w:r w:rsidRPr="00EA1C7F">
          <w:rPr>
            <w:rStyle w:val="Hyperlink"/>
            <w:rtl/>
          </w:rPr>
          <w:t>היבטים תקציביים של ההתמודדות עם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Toc203487995 \h</w:instrText>
        </w:r>
        <w:r>
          <w:rPr>
            <w:webHidden/>
            <w:rtl/>
          </w:rPr>
          <w:instrText xml:space="preserve"> </w:instrText>
        </w:r>
        <w:r>
          <w:rPr>
            <w:rStyle w:val="Hyperlink"/>
            <w:rtl/>
          </w:rPr>
        </w:r>
        <w:r>
          <w:rPr>
            <w:rStyle w:val="Hyperlink"/>
            <w:rtl/>
          </w:rPr>
          <w:fldChar w:fldCharType="separate"/>
        </w:r>
        <w:r w:rsidR="00BB5E31">
          <w:rPr>
            <w:webHidden/>
            <w:rtl/>
          </w:rPr>
          <w:t>49</w:t>
        </w:r>
        <w:r>
          <w:rPr>
            <w:rStyle w:val="Hyperlink"/>
            <w:rtl/>
          </w:rPr>
          <w:fldChar w:fldCharType="end"/>
        </w:r>
      </w:hyperlink>
    </w:p>
    <w:p w14:paraId="51ED0187" w14:textId="5AF54C34" w:rsidR="00D25C8F" w:rsidRDefault="00D25C8F">
      <w:pPr>
        <w:pStyle w:val="TOC3"/>
        <w:rPr>
          <w:rFonts w:asciiTheme="minorHAnsi" w:eastAsiaTheme="minorEastAsia" w:hAnsiTheme="minorHAnsi" w:cstheme="minorBidi"/>
          <w:bCs w:val="0"/>
          <w:sz w:val="22"/>
          <w:rtl/>
        </w:rPr>
      </w:pPr>
      <w:hyperlink w:anchor="_Toc203487996" w:history="1">
        <w:r w:rsidRPr="00EA1C7F">
          <w:rPr>
            <w:rStyle w:val="Hyperlink"/>
            <w:rtl/>
          </w:rPr>
          <w:t>מנגנוני הפיקוח והבקרה על דרכי ההתמודדות עם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Toc203487996 \h</w:instrText>
        </w:r>
        <w:r>
          <w:rPr>
            <w:webHidden/>
            <w:rtl/>
          </w:rPr>
          <w:instrText xml:space="preserve"> </w:instrText>
        </w:r>
        <w:r>
          <w:rPr>
            <w:rStyle w:val="Hyperlink"/>
            <w:rtl/>
          </w:rPr>
        </w:r>
        <w:r>
          <w:rPr>
            <w:rStyle w:val="Hyperlink"/>
            <w:rtl/>
          </w:rPr>
          <w:fldChar w:fldCharType="separate"/>
        </w:r>
        <w:r w:rsidR="00BB5E31">
          <w:rPr>
            <w:webHidden/>
            <w:rtl/>
          </w:rPr>
          <w:t>52</w:t>
        </w:r>
        <w:r>
          <w:rPr>
            <w:rStyle w:val="Hyperlink"/>
            <w:rtl/>
          </w:rPr>
          <w:fldChar w:fldCharType="end"/>
        </w:r>
      </w:hyperlink>
    </w:p>
    <w:p w14:paraId="0C60746F" w14:textId="394ABC64" w:rsidR="00D25C8F" w:rsidRDefault="00D25C8F">
      <w:pPr>
        <w:pStyle w:val="TOC4"/>
        <w:rPr>
          <w:rFonts w:asciiTheme="minorHAnsi" w:eastAsiaTheme="minorEastAsia" w:hAnsiTheme="minorHAnsi" w:cstheme="minorBidi"/>
          <w:sz w:val="22"/>
          <w:szCs w:val="22"/>
          <w:rtl/>
        </w:rPr>
      </w:pPr>
      <w:hyperlink w:anchor="_Toc203487997" w:history="1">
        <w:r w:rsidRPr="00EA1C7F">
          <w:rPr>
            <w:rStyle w:val="Hyperlink"/>
            <w:rtl/>
          </w:rPr>
          <w:t>תדירות ביקורי הפיקוח, מרכיבי הפיקוח ותיעודם הממוחשב</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Toc203487997 \h</w:instrText>
        </w:r>
        <w:r>
          <w:rPr>
            <w:webHidden/>
            <w:rtl/>
          </w:rPr>
          <w:instrText xml:space="preserve"> </w:instrText>
        </w:r>
        <w:r>
          <w:rPr>
            <w:rStyle w:val="Hyperlink"/>
            <w:rtl/>
          </w:rPr>
        </w:r>
        <w:r>
          <w:rPr>
            <w:rStyle w:val="Hyperlink"/>
            <w:rtl/>
          </w:rPr>
          <w:fldChar w:fldCharType="separate"/>
        </w:r>
        <w:r w:rsidR="00BB5E31">
          <w:rPr>
            <w:webHidden/>
            <w:rtl/>
          </w:rPr>
          <w:t>53</w:t>
        </w:r>
        <w:r>
          <w:rPr>
            <w:rStyle w:val="Hyperlink"/>
            <w:rtl/>
          </w:rPr>
          <w:fldChar w:fldCharType="end"/>
        </w:r>
      </w:hyperlink>
    </w:p>
    <w:p w14:paraId="6B5F7860" w14:textId="0236FFC1" w:rsidR="00D25C8F" w:rsidRDefault="00D25C8F">
      <w:pPr>
        <w:pStyle w:val="TOC4"/>
        <w:rPr>
          <w:rFonts w:asciiTheme="minorHAnsi" w:eastAsiaTheme="minorEastAsia" w:hAnsiTheme="minorHAnsi" w:cstheme="minorBidi"/>
          <w:sz w:val="22"/>
          <w:szCs w:val="22"/>
          <w:rtl/>
        </w:rPr>
      </w:pPr>
      <w:hyperlink w:anchor="_Toc203487998" w:history="1">
        <w:r w:rsidRPr="00EA1C7F">
          <w:rPr>
            <w:rStyle w:val="Hyperlink"/>
            <w:rtl/>
          </w:rPr>
          <w:t>דיווח עצמי של הגורם המפוקח (רגולציה עצמית)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Toc203487998 \h</w:instrText>
        </w:r>
        <w:r>
          <w:rPr>
            <w:webHidden/>
            <w:rtl/>
          </w:rPr>
          <w:instrText xml:space="preserve"> </w:instrText>
        </w:r>
        <w:r>
          <w:rPr>
            <w:rStyle w:val="Hyperlink"/>
            <w:rtl/>
          </w:rPr>
        </w:r>
        <w:r>
          <w:rPr>
            <w:rStyle w:val="Hyperlink"/>
            <w:rtl/>
          </w:rPr>
          <w:fldChar w:fldCharType="separate"/>
        </w:r>
        <w:r w:rsidR="00BB5E31">
          <w:rPr>
            <w:webHidden/>
            <w:rtl/>
          </w:rPr>
          <w:t>57</w:t>
        </w:r>
        <w:r>
          <w:rPr>
            <w:rStyle w:val="Hyperlink"/>
            <w:rtl/>
          </w:rPr>
          <w:fldChar w:fldCharType="end"/>
        </w:r>
      </w:hyperlink>
    </w:p>
    <w:p w14:paraId="4899E19A" w14:textId="3F78A196" w:rsidR="00D25C8F" w:rsidRDefault="00D25C8F">
      <w:pPr>
        <w:pStyle w:val="TOC4"/>
        <w:rPr>
          <w:rFonts w:asciiTheme="minorHAnsi" w:eastAsiaTheme="minorEastAsia" w:hAnsiTheme="minorHAnsi" w:cstheme="minorBidi"/>
          <w:sz w:val="22"/>
          <w:szCs w:val="22"/>
          <w:rtl/>
        </w:rPr>
      </w:pPr>
      <w:hyperlink w:anchor="_Toc203487999" w:history="1">
        <w:r w:rsidRPr="00EA1C7F">
          <w:rPr>
            <w:rStyle w:val="Hyperlink"/>
            <w:rtl/>
          </w:rPr>
          <w:t>איגום וניהול מרכזי של ממצאי הפיקוח</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Toc203487999 \h</w:instrText>
        </w:r>
        <w:r>
          <w:rPr>
            <w:webHidden/>
            <w:rtl/>
          </w:rPr>
          <w:instrText xml:space="preserve"> </w:instrText>
        </w:r>
        <w:r>
          <w:rPr>
            <w:rStyle w:val="Hyperlink"/>
            <w:rtl/>
          </w:rPr>
        </w:r>
        <w:r>
          <w:rPr>
            <w:rStyle w:val="Hyperlink"/>
            <w:rtl/>
          </w:rPr>
          <w:fldChar w:fldCharType="separate"/>
        </w:r>
        <w:r w:rsidR="00BB5E31">
          <w:rPr>
            <w:webHidden/>
            <w:rtl/>
          </w:rPr>
          <w:t>62</w:t>
        </w:r>
        <w:r>
          <w:rPr>
            <w:rStyle w:val="Hyperlink"/>
            <w:rtl/>
          </w:rPr>
          <w:fldChar w:fldCharType="end"/>
        </w:r>
      </w:hyperlink>
    </w:p>
    <w:p w14:paraId="5270ABFB" w14:textId="38A4F761" w:rsidR="00D25C8F" w:rsidRDefault="00D25C8F">
      <w:pPr>
        <w:pStyle w:val="TOC4"/>
        <w:rPr>
          <w:rFonts w:asciiTheme="minorHAnsi" w:eastAsiaTheme="minorEastAsia" w:hAnsiTheme="minorHAnsi" w:cstheme="minorBidi"/>
          <w:sz w:val="22"/>
          <w:szCs w:val="22"/>
          <w:rtl/>
        </w:rPr>
      </w:pPr>
      <w:hyperlink w:anchor="_Toc203488000" w:history="1">
        <w:r w:rsidRPr="00EA1C7F">
          <w:rPr>
            <w:rStyle w:val="Hyperlink"/>
            <w:rtl/>
          </w:rPr>
          <w:t>מערך מדידה להערכת מועילות השירותים הניתנים בתחום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Toc203488000 \h</w:instrText>
        </w:r>
        <w:r>
          <w:rPr>
            <w:webHidden/>
            <w:rtl/>
          </w:rPr>
          <w:instrText xml:space="preserve"> </w:instrText>
        </w:r>
        <w:r>
          <w:rPr>
            <w:rStyle w:val="Hyperlink"/>
            <w:rtl/>
          </w:rPr>
        </w:r>
        <w:r>
          <w:rPr>
            <w:rStyle w:val="Hyperlink"/>
            <w:rtl/>
          </w:rPr>
          <w:fldChar w:fldCharType="separate"/>
        </w:r>
        <w:r w:rsidR="00BB5E31">
          <w:rPr>
            <w:webHidden/>
            <w:rtl/>
          </w:rPr>
          <w:t>63</w:t>
        </w:r>
        <w:r>
          <w:rPr>
            <w:rStyle w:val="Hyperlink"/>
            <w:rtl/>
          </w:rPr>
          <w:fldChar w:fldCharType="end"/>
        </w:r>
      </w:hyperlink>
    </w:p>
    <w:p w14:paraId="4782B09F" w14:textId="1261CDC2" w:rsidR="00D25C8F" w:rsidRDefault="00D25C8F">
      <w:pPr>
        <w:pStyle w:val="TOC3"/>
        <w:rPr>
          <w:rFonts w:asciiTheme="minorHAnsi" w:eastAsiaTheme="minorEastAsia" w:hAnsiTheme="minorHAnsi" w:cstheme="minorBidi"/>
          <w:bCs w:val="0"/>
          <w:sz w:val="22"/>
          <w:rtl/>
        </w:rPr>
      </w:pPr>
      <w:hyperlink w:anchor="_Toc203488001" w:history="1">
        <w:r w:rsidRPr="00EA1C7F">
          <w:rPr>
            <w:rStyle w:val="Hyperlink"/>
            <w:rtl/>
          </w:rPr>
          <w:t>התמודדות עם תופעת האלימות בין בני זוג בעיתות משבר וחירום ובמלחמת חרבות ברזל</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Toc203488001 \h</w:instrText>
        </w:r>
        <w:r>
          <w:rPr>
            <w:webHidden/>
            <w:rtl/>
          </w:rPr>
          <w:instrText xml:space="preserve"> </w:instrText>
        </w:r>
        <w:r>
          <w:rPr>
            <w:rStyle w:val="Hyperlink"/>
            <w:rtl/>
          </w:rPr>
        </w:r>
        <w:r>
          <w:rPr>
            <w:rStyle w:val="Hyperlink"/>
            <w:rtl/>
          </w:rPr>
          <w:fldChar w:fldCharType="separate"/>
        </w:r>
        <w:r w:rsidR="00BB5E31">
          <w:rPr>
            <w:webHidden/>
            <w:rtl/>
          </w:rPr>
          <w:t>66</w:t>
        </w:r>
        <w:r>
          <w:rPr>
            <w:rStyle w:val="Hyperlink"/>
            <w:rtl/>
          </w:rPr>
          <w:fldChar w:fldCharType="end"/>
        </w:r>
      </w:hyperlink>
    </w:p>
    <w:p w14:paraId="7BBEA7F0" w14:textId="44D2B063" w:rsidR="00D25C8F" w:rsidRDefault="00D25C8F">
      <w:pPr>
        <w:pStyle w:val="TOC2"/>
        <w:rPr>
          <w:rFonts w:asciiTheme="minorHAnsi" w:eastAsiaTheme="minorEastAsia" w:hAnsiTheme="minorHAnsi" w:cstheme="minorBidi"/>
          <w:bCs w:val="0"/>
          <w:sz w:val="22"/>
          <w:szCs w:val="22"/>
          <w:rtl/>
        </w:rPr>
      </w:pPr>
      <w:hyperlink w:anchor="_Toc203488002" w:history="1">
        <w:r w:rsidRPr="00EA1C7F">
          <w:rPr>
            <w:rStyle w:val="Hyperlink"/>
            <w:rtl/>
          </w:rPr>
          <w:t>דרכי ההתמודדות עם תופעת האלימות בין בני זוג</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Toc203488002 \h</w:instrText>
        </w:r>
        <w:r>
          <w:rPr>
            <w:webHidden/>
            <w:rtl/>
          </w:rPr>
          <w:instrText xml:space="preserve"> </w:instrText>
        </w:r>
        <w:r>
          <w:rPr>
            <w:rStyle w:val="Hyperlink"/>
            <w:rtl/>
          </w:rPr>
        </w:r>
        <w:r>
          <w:rPr>
            <w:rStyle w:val="Hyperlink"/>
            <w:rtl/>
          </w:rPr>
          <w:fldChar w:fldCharType="separate"/>
        </w:r>
        <w:r w:rsidR="00BB5E31">
          <w:rPr>
            <w:webHidden/>
            <w:rtl/>
          </w:rPr>
          <w:t>75</w:t>
        </w:r>
        <w:r>
          <w:rPr>
            <w:rStyle w:val="Hyperlink"/>
            <w:rtl/>
          </w:rPr>
          <w:fldChar w:fldCharType="end"/>
        </w:r>
      </w:hyperlink>
    </w:p>
    <w:p w14:paraId="5C3D9CC5" w14:textId="763A0BE0" w:rsidR="00D25C8F" w:rsidRDefault="00D25C8F">
      <w:pPr>
        <w:pStyle w:val="TOC3"/>
        <w:rPr>
          <w:rFonts w:asciiTheme="minorHAnsi" w:eastAsiaTheme="minorEastAsia" w:hAnsiTheme="minorHAnsi" w:cstheme="minorBidi"/>
          <w:bCs w:val="0"/>
          <w:sz w:val="22"/>
          <w:rtl/>
        </w:rPr>
      </w:pPr>
      <w:hyperlink w:anchor="_Toc203488003" w:history="1">
        <w:r w:rsidRPr="00EA1C7F">
          <w:rPr>
            <w:rStyle w:val="Hyperlink"/>
            <w:rtl/>
          </w:rPr>
          <w:t>מניעה ראשונית: חינוך והסברה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Toc203488003 \h</w:instrText>
        </w:r>
        <w:r>
          <w:rPr>
            <w:webHidden/>
            <w:rtl/>
          </w:rPr>
          <w:instrText xml:space="preserve"> </w:instrText>
        </w:r>
        <w:r>
          <w:rPr>
            <w:rStyle w:val="Hyperlink"/>
            <w:rtl/>
          </w:rPr>
        </w:r>
        <w:r>
          <w:rPr>
            <w:rStyle w:val="Hyperlink"/>
            <w:rtl/>
          </w:rPr>
          <w:fldChar w:fldCharType="separate"/>
        </w:r>
        <w:r w:rsidR="00BB5E31">
          <w:rPr>
            <w:webHidden/>
            <w:rtl/>
          </w:rPr>
          <w:t>75</w:t>
        </w:r>
        <w:r>
          <w:rPr>
            <w:rStyle w:val="Hyperlink"/>
            <w:rtl/>
          </w:rPr>
          <w:fldChar w:fldCharType="end"/>
        </w:r>
      </w:hyperlink>
    </w:p>
    <w:p w14:paraId="42B411B3" w14:textId="4542C696" w:rsidR="00D25C8F" w:rsidRDefault="00D25C8F">
      <w:pPr>
        <w:pStyle w:val="TOC4"/>
        <w:rPr>
          <w:rFonts w:asciiTheme="minorHAnsi" w:eastAsiaTheme="minorEastAsia" w:hAnsiTheme="minorHAnsi" w:cstheme="minorBidi"/>
          <w:sz w:val="22"/>
          <w:szCs w:val="22"/>
          <w:rtl/>
        </w:rPr>
      </w:pPr>
      <w:hyperlink w:anchor="_Toc203488004" w:history="1">
        <w:r w:rsidRPr="00EA1C7F">
          <w:rPr>
            <w:rStyle w:val="Hyperlink"/>
            <w:rtl/>
          </w:rPr>
          <w:t>פעולות מניעה ראשונית במערכת החינוך</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Toc203488004 \h</w:instrText>
        </w:r>
        <w:r>
          <w:rPr>
            <w:webHidden/>
            <w:rtl/>
          </w:rPr>
          <w:instrText xml:space="preserve"> </w:instrText>
        </w:r>
        <w:r>
          <w:rPr>
            <w:rStyle w:val="Hyperlink"/>
            <w:rtl/>
          </w:rPr>
        </w:r>
        <w:r>
          <w:rPr>
            <w:rStyle w:val="Hyperlink"/>
            <w:rtl/>
          </w:rPr>
          <w:fldChar w:fldCharType="separate"/>
        </w:r>
        <w:r w:rsidR="00BB5E31">
          <w:rPr>
            <w:webHidden/>
            <w:rtl/>
          </w:rPr>
          <w:t>76</w:t>
        </w:r>
        <w:r>
          <w:rPr>
            <w:rStyle w:val="Hyperlink"/>
            <w:rtl/>
          </w:rPr>
          <w:fldChar w:fldCharType="end"/>
        </w:r>
      </w:hyperlink>
    </w:p>
    <w:p w14:paraId="1117DB98" w14:textId="1E419A33" w:rsidR="00D25C8F" w:rsidRDefault="00D25C8F">
      <w:pPr>
        <w:pStyle w:val="TOC4"/>
        <w:rPr>
          <w:rFonts w:asciiTheme="minorHAnsi" w:eastAsiaTheme="minorEastAsia" w:hAnsiTheme="minorHAnsi" w:cstheme="minorBidi"/>
          <w:sz w:val="22"/>
          <w:szCs w:val="22"/>
          <w:rtl/>
        </w:rPr>
      </w:pPr>
      <w:hyperlink w:anchor="_Toc203488005" w:history="1">
        <w:r w:rsidRPr="00EA1C7F">
          <w:rPr>
            <w:rStyle w:val="Hyperlink"/>
            <w:rtl/>
          </w:rPr>
          <w:t>פעולות מניעה ראשונית במקומות העבודה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Toc203488005 \h</w:instrText>
        </w:r>
        <w:r>
          <w:rPr>
            <w:webHidden/>
            <w:rtl/>
          </w:rPr>
          <w:instrText xml:space="preserve"> </w:instrText>
        </w:r>
        <w:r>
          <w:rPr>
            <w:rStyle w:val="Hyperlink"/>
            <w:rtl/>
          </w:rPr>
        </w:r>
        <w:r>
          <w:rPr>
            <w:rStyle w:val="Hyperlink"/>
            <w:rtl/>
          </w:rPr>
          <w:fldChar w:fldCharType="separate"/>
        </w:r>
        <w:r w:rsidR="00BB5E31">
          <w:rPr>
            <w:webHidden/>
            <w:rtl/>
          </w:rPr>
          <w:t>80</w:t>
        </w:r>
        <w:r>
          <w:rPr>
            <w:rStyle w:val="Hyperlink"/>
            <w:rtl/>
          </w:rPr>
          <w:fldChar w:fldCharType="end"/>
        </w:r>
      </w:hyperlink>
    </w:p>
    <w:p w14:paraId="5B500858" w14:textId="0D13B5C5" w:rsidR="00D25C8F" w:rsidRDefault="00D25C8F">
      <w:pPr>
        <w:pStyle w:val="TOC4"/>
        <w:rPr>
          <w:rFonts w:asciiTheme="minorHAnsi" w:eastAsiaTheme="minorEastAsia" w:hAnsiTheme="minorHAnsi" w:cstheme="minorBidi"/>
          <w:sz w:val="22"/>
          <w:szCs w:val="22"/>
          <w:rtl/>
        </w:rPr>
      </w:pPr>
      <w:hyperlink w:anchor="_Toc203488006" w:history="1">
        <w:r w:rsidRPr="00EA1C7F">
          <w:rPr>
            <w:rStyle w:val="Hyperlink"/>
            <w:rtl/>
          </w:rPr>
          <w:t>הסברה והעלאת המודעות באוכלוסייה הכללית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Toc203488006 \h</w:instrText>
        </w:r>
        <w:r>
          <w:rPr>
            <w:webHidden/>
            <w:rtl/>
          </w:rPr>
          <w:instrText xml:space="preserve"> </w:instrText>
        </w:r>
        <w:r>
          <w:rPr>
            <w:rStyle w:val="Hyperlink"/>
            <w:rtl/>
          </w:rPr>
        </w:r>
        <w:r>
          <w:rPr>
            <w:rStyle w:val="Hyperlink"/>
            <w:rtl/>
          </w:rPr>
          <w:fldChar w:fldCharType="separate"/>
        </w:r>
        <w:r w:rsidR="00BB5E31">
          <w:rPr>
            <w:webHidden/>
            <w:rtl/>
          </w:rPr>
          <w:t>82</w:t>
        </w:r>
        <w:r>
          <w:rPr>
            <w:rStyle w:val="Hyperlink"/>
            <w:rtl/>
          </w:rPr>
          <w:fldChar w:fldCharType="end"/>
        </w:r>
      </w:hyperlink>
    </w:p>
    <w:p w14:paraId="285D05AA" w14:textId="1C81CC50" w:rsidR="00D25C8F" w:rsidRDefault="00D25C8F">
      <w:pPr>
        <w:pStyle w:val="TOC4"/>
        <w:rPr>
          <w:rFonts w:asciiTheme="minorHAnsi" w:eastAsiaTheme="minorEastAsia" w:hAnsiTheme="minorHAnsi" w:cstheme="minorBidi"/>
          <w:sz w:val="22"/>
          <w:szCs w:val="22"/>
          <w:rtl/>
        </w:rPr>
      </w:pPr>
      <w:hyperlink w:anchor="_Toc203488007" w:history="1">
        <w:r w:rsidRPr="00EA1C7F">
          <w:rPr>
            <w:rStyle w:val="Hyperlink"/>
            <w:rtl/>
          </w:rPr>
          <w:t>המדיניות הממשלתית והיקף ההוצאה הממשלתית בתחום המניעה הראשונית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Toc203488007 \h</w:instrText>
        </w:r>
        <w:r>
          <w:rPr>
            <w:webHidden/>
            <w:rtl/>
          </w:rPr>
          <w:instrText xml:space="preserve"> </w:instrText>
        </w:r>
        <w:r>
          <w:rPr>
            <w:rStyle w:val="Hyperlink"/>
            <w:rtl/>
          </w:rPr>
        </w:r>
        <w:r>
          <w:rPr>
            <w:rStyle w:val="Hyperlink"/>
            <w:rtl/>
          </w:rPr>
          <w:fldChar w:fldCharType="separate"/>
        </w:r>
        <w:r w:rsidR="00BB5E31">
          <w:rPr>
            <w:webHidden/>
            <w:rtl/>
          </w:rPr>
          <w:t>88</w:t>
        </w:r>
        <w:r>
          <w:rPr>
            <w:rStyle w:val="Hyperlink"/>
            <w:rtl/>
          </w:rPr>
          <w:fldChar w:fldCharType="end"/>
        </w:r>
      </w:hyperlink>
    </w:p>
    <w:p w14:paraId="13AF219A" w14:textId="0A36D3D9" w:rsidR="00D25C8F" w:rsidRDefault="00D25C8F">
      <w:pPr>
        <w:pStyle w:val="TOC3"/>
        <w:rPr>
          <w:rFonts w:asciiTheme="minorHAnsi" w:eastAsiaTheme="minorEastAsia" w:hAnsiTheme="minorHAnsi" w:cstheme="minorBidi"/>
          <w:bCs w:val="0"/>
          <w:sz w:val="22"/>
          <w:rtl/>
        </w:rPr>
      </w:pPr>
      <w:hyperlink w:anchor="_Toc203488008" w:history="1">
        <w:r w:rsidRPr="00EA1C7F">
          <w:rPr>
            <w:rStyle w:val="Hyperlink"/>
            <w:rtl/>
          </w:rPr>
          <w:t>מניעה שניונית: איתור משפחות במעגל האלימות ופיתוח מענים בקהילה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Toc203488008 \h</w:instrText>
        </w:r>
        <w:r>
          <w:rPr>
            <w:webHidden/>
            <w:rtl/>
          </w:rPr>
          <w:instrText xml:space="preserve"> </w:instrText>
        </w:r>
        <w:r>
          <w:rPr>
            <w:rStyle w:val="Hyperlink"/>
            <w:rtl/>
          </w:rPr>
        </w:r>
        <w:r>
          <w:rPr>
            <w:rStyle w:val="Hyperlink"/>
            <w:rtl/>
          </w:rPr>
          <w:fldChar w:fldCharType="separate"/>
        </w:r>
        <w:r w:rsidR="00BB5E31">
          <w:rPr>
            <w:webHidden/>
            <w:rtl/>
          </w:rPr>
          <w:t>91</w:t>
        </w:r>
        <w:r>
          <w:rPr>
            <w:rStyle w:val="Hyperlink"/>
            <w:rtl/>
          </w:rPr>
          <w:fldChar w:fldCharType="end"/>
        </w:r>
      </w:hyperlink>
    </w:p>
    <w:p w14:paraId="40A8D86D" w14:textId="1B7AD8F4" w:rsidR="00D25C8F" w:rsidRDefault="00D25C8F">
      <w:pPr>
        <w:pStyle w:val="TOC4"/>
        <w:rPr>
          <w:rFonts w:asciiTheme="minorHAnsi" w:eastAsiaTheme="minorEastAsia" w:hAnsiTheme="minorHAnsi" w:cstheme="minorBidi"/>
          <w:sz w:val="22"/>
          <w:szCs w:val="22"/>
          <w:rtl/>
        </w:rPr>
      </w:pPr>
      <w:hyperlink w:anchor="_Toc203488009" w:history="1">
        <w:r w:rsidRPr="00EA1C7F">
          <w:rPr>
            <w:rStyle w:val="Hyperlink"/>
            <w:rtl/>
          </w:rPr>
          <w:t>פעולות מערכת הבריאות לאיתור משפחות במעגל האלימות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Toc203488009 \h</w:instrText>
        </w:r>
        <w:r>
          <w:rPr>
            <w:webHidden/>
            <w:rtl/>
          </w:rPr>
          <w:instrText xml:space="preserve"> </w:instrText>
        </w:r>
        <w:r>
          <w:rPr>
            <w:rStyle w:val="Hyperlink"/>
            <w:rtl/>
          </w:rPr>
        </w:r>
        <w:r>
          <w:rPr>
            <w:rStyle w:val="Hyperlink"/>
            <w:rtl/>
          </w:rPr>
          <w:fldChar w:fldCharType="separate"/>
        </w:r>
        <w:r w:rsidR="00BB5E31">
          <w:rPr>
            <w:webHidden/>
            <w:rtl/>
          </w:rPr>
          <w:t>92</w:t>
        </w:r>
        <w:r>
          <w:rPr>
            <w:rStyle w:val="Hyperlink"/>
            <w:rtl/>
          </w:rPr>
          <w:fldChar w:fldCharType="end"/>
        </w:r>
      </w:hyperlink>
    </w:p>
    <w:p w14:paraId="2883B261" w14:textId="3A874AB9" w:rsidR="00D25C8F" w:rsidRDefault="00D25C8F">
      <w:pPr>
        <w:pStyle w:val="TOC4"/>
        <w:rPr>
          <w:rFonts w:asciiTheme="minorHAnsi" w:eastAsiaTheme="minorEastAsia" w:hAnsiTheme="minorHAnsi" w:cstheme="minorBidi"/>
          <w:sz w:val="22"/>
          <w:szCs w:val="22"/>
          <w:rtl/>
        </w:rPr>
      </w:pPr>
      <w:hyperlink w:anchor="_Toc203488010" w:history="1">
        <w:r w:rsidRPr="00EA1C7F">
          <w:rPr>
            <w:rStyle w:val="Hyperlink"/>
            <w:rtl/>
          </w:rPr>
          <w:t>איתור המעורבים במעגל האלימות והטיפול בהם במחלקות לשירותים חברתיים ובמרכזים לטיפול ומניעת אלימות במשפחה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Toc203488010 \h</w:instrText>
        </w:r>
        <w:r>
          <w:rPr>
            <w:webHidden/>
            <w:rtl/>
          </w:rPr>
          <w:instrText xml:space="preserve"> </w:instrText>
        </w:r>
        <w:r>
          <w:rPr>
            <w:rStyle w:val="Hyperlink"/>
            <w:rtl/>
          </w:rPr>
        </w:r>
        <w:r>
          <w:rPr>
            <w:rStyle w:val="Hyperlink"/>
            <w:rtl/>
          </w:rPr>
          <w:fldChar w:fldCharType="separate"/>
        </w:r>
        <w:r w:rsidR="00BB5E31">
          <w:rPr>
            <w:webHidden/>
            <w:rtl/>
          </w:rPr>
          <w:t>99</w:t>
        </w:r>
        <w:r>
          <w:rPr>
            <w:rStyle w:val="Hyperlink"/>
            <w:rtl/>
          </w:rPr>
          <w:fldChar w:fldCharType="end"/>
        </w:r>
      </w:hyperlink>
    </w:p>
    <w:p w14:paraId="5F5EF27A" w14:textId="0B6A942C" w:rsidR="00D25C8F" w:rsidRDefault="00D25C8F">
      <w:pPr>
        <w:pStyle w:val="TOC4"/>
        <w:rPr>
          <w:rFonts w:asciiTheme="minorHAnsi" w:eastAsiaTheme="minorEastAsia" w:hAnsiTheme="minorHAnsi" w:cstheme="minorBidi"/>
          <w:sz w:val="22"/>
          <w:szCs w:val="22"/>
          <w:rtl/>
        </w:rPr>
      </w:pPr>
      <w:hyperlink w:anchor="_Toc203488011" w:history="1">
        <w:r w:rsidRPr="00EA1C7F">
          <w:rPr>
            <w:rStyle w:val="Hyperlink"/>
            <w:rtl/>
          </w:rPr>
          <w:t>מעורבות משטרת ישראל באיתורם של המעורבים באלימות בין בני זוג ובהפנייתם לטיפול</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Toc203488011 \h</w:instrText>
        </w:r>
        <w:r>
          <w:rPr>
            <w:webHidden/>
            <w:rtl/>
          </w:rPr>
          <w:instrText xml:space="preserve"> </w:instrText>
        </w:r>
        <w:r>
          <w:rPr>
            <w:rStyle w:val="Hyperlink"/>
            <w:rtl/>
          </w:rPr>
        </w:r>
        <w:r>
          <w:rPr>
            <w:rStyle w:val="Hyperlink"/>
            <w:rtl/>
          </w:rPr>
          <w:fldChar w:fldCharType="separate"/>
        </w:r>
        <w:r w:rsidR="00BB5E31">
          <w:rPr>
            <w:webHidden/>
            <w:rtl/>
          </w:rPr>
          <w:t>134</w:t>
        </w:r>
        <w:r>
          <w:rPr>
            <w:rStyle w:val="Hyperlink"/>
            <w:rtl/>
          </w:rPr>
          <w:fldChar w:fldCharType="end"/>
        </w:r>
      </w:hyperlink>
    </w:p>
    <w:p w14:paraId="588917D9" w14:textId="6006F59B" w:rsidR="00D25C8F" w:rsidRDefault="00D25C8F">
      <w:pPr>
        <w:pStyle w:val="TOC3"/>
        <w:rPr>
          <w:rFonts w:asciiTheme="minorHAnsi" w:eastAsiaTheme="minorEastAsia" w:hAnsiTheme="minorHAnsi" w:cstheme="minorBidi"/>
          <w:bCs w:val="0"/>
          <w:sz w:val="22"/>
          <w:rtl/>
        </w:rPr>
      </w:pPr>
      <w:hyperlink w:anchor="_Toc203488012" w:history="1">
        <w:r w:rsidRPr="00EA1C7F">
          <w:rPr>
            <w:rStyle w:val="Hyperlink"/>
            <w:rtl/>
          </w:rPr>
          <w:t>מניעה שלישונית: הגנה ושיקום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Toc203488012 \h</w:instrText>
        </w:r>
        <w:r>
          <w:rPr>
            <w:webHidden/>
            <w:rtl/>
          </w:rPr>
          <w:instrText xml:space="preserve"> </w:instrText>
        </w:r>
        <w:r>
          <w:rPr>
            <w:rStyle w:val="Hyperlink"/>
            <w:rtl/>
          </w:rPr>
        </w:r>
        <w:r>
          <w:rPr>
            <w:rStyle w:val="Hyperlink"/>
            <w:rtl/>
          </w:rPr>
          <w:fldChar w:fldCharType="separate"/>
        </w:r>
        <w:r w:rsidR="00BB5E31">
          <w:rPr>
            <w:webHidden/>
            <w:rtl/>
          </w:rPr>
          <w:t>147</w:t>
        </w:r>
        <w:r>
          <w:rPr>
            <w:rStyle w:val="Hyperlink"/>
            <w:rtl/>
          </w:rPr>
          <w:fldChar w:fldCharType="end"/>
        </w:r>
      </w:hyperlink>
    </w:p>
    <w:p w14:paraId="1E64BE65" w14:textId="298DB5AA" w:rsidR="00D25C8F" w:rsidRDefault="00D25C8F">
      <w:pPr>
        <w:pStyle w:val="TOC4"/>
        <w:rPr>
          <w:rFonts w:asciiTheme="minorHAnsi" w:eastAsiaTheme="minorEastAsia" w:hAnsiTheme="minorHAnsi" w:cstheme="minorBidi"/>
          <w:sz w:val="22"/>
          <w:szCs w:val="22"/>
          <w:rtl/>
        </w:rPr>
      </w:pPr>
      <w:hyperlink w:anchor="_Toc203488013" w:history="1">
        <w:r w:rsidRPr="00EA1C7F">
          <w:rPr>
            <w:rStyle w:val="Hyperlink"/>
            <w:rtl/>
          </w:rPr>
          <w:t>הגנה על נפגעי אלימות בין בני זוג ושיקומם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Toc203488013 \h</w:instrText>
        </w:r>
        <w:r>
          <w:rPr>
            <w:webHidden/>
            <w:rtl/>
          </w:rPr>
          <w:instrText xml:space="preserve"> </w:instrText>
        </w:r>
        <w:r>
          <w:rPr>
            <w:rStyle w:val="Hyperlink"/>
            <w:rtl/>
          </w:rPr>
        </w:r>
        <w:r>
          <w:rPr>
            <w:rStyle w:val="Hyperlink"/>
            <w:rtl/>
          </w:rPr>
          <w:fldChar w:fldCharType="separate"/>
        </w:r>
        <w:r w:rsidR="00BB5E31">
          <w:rPr>
            <w:webHidden/>
            <w:rtl/>
          </w:rPr>
          <w:t>147</w:t>
        </w:r>
        <w:r>
          <w:rPr>
            <w:rStyle w:val="Hyperlink"/>
            <w:rtl/>
          </w:rPr>
          <w:fldChar w:fldCharType="end"/>
        </w:r>
      </w:hyperlink>
    </w:p>
    <w:p w14:paraId="19E8E503" w14:textId="6D1BBEBE" w:rsidR="00D25C8F" w:rsidRDefault="00D25C8F">
      <w:pPr>
        <w:pStyle w:val="TOC4"/>
        <w:rPr>
          <w:rFonts w:asciiTheme="minorHAnsi" w:eastAsiaTheme="minorEastAsia" w:hAnsiTheme="minorHAnsi" w:cstheme="minorBidi"/>
          <w:sz w:val="22"/>
          <w:szCs w:val="22"/>
          <w:rtl/>
        </w:rPr>
      </w:pPr>
      <w:hyperlink w:anchor="_Toc203488014" w:history="1">
        <w:r w:rsidRPr="00EA1C7F">
          <w:rPr>
            <w:rStyle w:val="Hyperlink"/>
            <w:rtl/>
          </w:rPr>
          <w:t>טיפול בפוגעים ושיקומם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Toc203488014 \h</w:instrText>
        </w:r>
        <w:r>
          <w:rPr>
            <w:webHidden/>
            <w:rtl/>
          </w:rPr>
          <w:instrText xml:space="preserve"> </w:instrText>
        </w:r>
        <w:r>
          <w:rPr>
            <w:rStyle w:val="Hyperlink"/>
            <w:rtl/>
          </w:rPr>
        </w:r>
        <w:r>
          <w:rPr>
            <w:rStyle w:val="Hyperlink"/>
            <w:rtl/>
          </w:rPr>
          <w:fldChar w:fldCharType="separate"/>
        </w:r>
        <w:r w:rsidR="00BB5E31">
          <w:rPr>
            <w:webHidden/>
            <w:rtl/>
          </w:rPr>
          <w:t>172</w:t>
        </w:r>
        <w:r>
          <w:rPr>
            <w:rStyle w:val="Hyperlink"/>
            <w:rtl/>
          </w:rPr>
          <w:fldChar w:fldCharType="end"/>
        </w:r>
      </w:hyperlink>
    </w:p>
    <w:p w14:paraId="16A66009" w14:textId="05BB0D65" w:rsidR="00D25C8F" w:rsidRDefault="00D25C8F">
      <w:pPr>
        <w:pStyle w:val="TOC2"/>
        <w:rPr>
          <w:rFonts w:asciiTheme="minorHAnsi" w:eastAsiaTheme="minorEastAsia" w:hAnsiTheme="minorHAnsi" w:cstheme="minorBidi"/>
          <w:bCs w:val="0"/>
          <w:sz w:val="22"/>
          <w:szCs w:val="22"/>
          <w:rtl/>
        </w:rPr>
      </w:pPr>
      <w:hyperlink w:anchor="_Toc203488015" w:history="1">
        <w:r w:rsidRPr="00EA1C7F">
          <w:rPr>
            <w:rStyle w:val="Hyperlink"/>
            <w:rtl/>
          </w:rPr>
          <w:t>סיכום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Toc203488015 \h</w:instrText>
        </w:r>
        <w:r>
          <w:rPr>
            <w:webHidden/>
            <w:rtl/>
          </w:rPr>
          <w:instrText xml:space="preserve"> </w:instrText>
        </w:r>
        <w:r>
          <w:rPr>
            <w:rStyle w:val="Hyperlink"/>
            <w:rtl/>
          </w:rPr>
        </w:r>
        <w:r>
          <w:rPr>
            <w:rStyle w:val="Hyperlink"/>
            <w:rtl/>
          </w:rPr>
          <w:fldChar w:fldCharType="separate"/>
        </w:r>
        <w:r w:rsidR="00BB5E31">
          <w:rPr>
            <w:webHidden/>
            <w:rtl/>
          </w:rPr>
          <w:t>202</w:t>
        </w:r>
        <w:r>
          <w:rPr>
            <w:rStyle w:val="Hyperlink"/>
            <w:rtl/>
          </w:rPr>
          <w:fldChar w:fldCharType="end"/>
        </w:r>
      </w:hyperlink>
    </w:p>
    <w:p w14:paraId="07BEF8BD" w14:textId="77777777" w:rsidR="00817399" w:rsidRPr="002F2BC5" w:rsidRDefault="00817399" w:rsidP="00817399">
      <w:pPr>
        <w:spacing w:line="269" w:lineRule="auto"/>
        <w:rPr>
          <w:rtl/>
        </w:rPr>
      </w:pPr>
      <w:r w:rsidRPr="002F2BC5">
        <w:rPr>
          <w:rFonts w:ascii="David" w:hAnsi="David"/>
          <w:noProof/>
          <w:rtl/>
        </w:rPr>
        <w:fldChar w:fldCharType="end"/>
      </w:r>
    </w:p>
    <w:p w14:paraId="4459185E" w14:textId="77777777" w:rsidR="00817399" w:rsidRPr="002F2BC5" w:rsidRDefault="00817399" w:rsidP="00817399">
      <w:pPr>
        <w:bidi w:val="0"/>
        <w:spacing w:line="269" w:lineRule="auto"/>
      </w:pPr>
      <w:r w:rsidRPr="002F2BC5">
        <w:rPr>
          <w:rtl/>
        </w:rPr>
        <w:br w:type="page"/>
      </w:r>
    </w:p>
    <w:p w14:paraId="2908A059" w14:textId="77777777" w:rsidR="00817399" w:rsidRPr="002F2BC5" w:rsidRDefault="00817399" w:rsidP="00817399">
      <w:pPr>
        <w:pStyle w:val="20"/>
        <w:spacing w:before="0" w:line="269" w:lineRule="auto"/>
        <w:rPr>
          <w:rtl/>
        </w:rPr>
      </w:pPr>
      <w:bookmarkStart w:id="11" w:name="_Toc189072197"/>
      <w:bookmarkStart w:id="12" w:name="_Toc191986908"/>
      <w:bookmarkStart w:id="13" w:name="_Toc191891376"/>
      <w:bookmarkStart w:id="14" w:name="_Toc192093028"/>
      <w:bookmarkStart w:id="15" w:name="_Toc193110586"/>
      <w:bookmarkStart w:id="16" w:name="_Toc192612736"/>
      <w:bookmarkStart w:id="17" w:name="_Toc192778810"/>
      <w:bookmarkStart w:id="18" w:name="_Toc198312160"/>
      <w:bookmarkStart w:id="19" w:name="_Toc198312629"/>
      <w:bookmarkStart w:id="20" w:name="_Toc200636788"/>
      <w:bookmarkStart w:id="21" w:name="_Toc200636819"/>
      <w:bookmarkStart w:id="22" w:name="_Toc200439787"/>
      <w:bookmarkStart w:id="23" w:name="_Toc200439818"/>
      <w:bookmarkStart w:id="24" w:name="_Ref201152349"/>
      <w:bookmarkStart w:id="25" w:name="_Toc201240923"/>
      <w:bookmarkStart w:id="26" w:name="_Toc192784364"/>
      <w:bookmarkStart w:id="27" w:name="_Toc201759350"/>
      <w:bookmarkStart w:id="28" w:name="_Toc203487983"/>
      <w:r w:rsidRPr="002F2BC5">
        <w:rPr>
          <w:rFonts w:hint="cs"/>
          <w:rtl/>
        </w:rPr>
        <w:lastRenderedPageBreak/>
        <w:t>מבוא</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AFC33C6" w14:textId="77777777" w:rsidR="00817399" w:rsidRPr="002F2BC5" w:rsidRDefault="00817399" w:rsidP="00817399">
      <w:pPr>
        <w:spacing w:line="269" w:lineRule="auto"/>
        <w:rPr>
          <w:rFonts w:hint="cs"/>
          <w:rtl/>
        </w:rPr>
      </w:pPr>
    </w:p>
    <w:p w14:paraId="485B0AAC" w14:textId="77777777" w:rsidR="00817399" w:rsidRPr="002F2BC5" w:rsidRDefault="00817399" w:rsidP="00817399">
      <w:pPr>
        <w:spacing w:line="269" w:lineRule="auto"/>
        <w:rPr>
          <w:rtl/>
        </w:rPr>
      </w:pPr>
      <w:r w:rsidRPr="002F2BC5">
        <w:rPr>
          <w:rFonts w:hint="cs"/>
          <w:rtl/>
        </w:rPr>
        <w:t>אלימות בהקשרה הרחב מהווה הפרה של זכויות היסוד הבסיסיות ביותר של האדם לחייו, לשלמות גופו ולכבודו</w:t>
      </w:r>
      <w:bookmarkStart w:id="29" w:name="_Ref180920223"/>
      <w:r w:rsidRPr="002F2BC5">
        <w:rPr>
          <w:rStyle w:val="af9"/>
          <w:rtl/>
        </w:rPr>
        <w:footnoteReference w:id="1"/>
      </w:r>
      <w:bookmarkEnd w:id="29"/>
      <w:r w:rsidRPr="002F2BC5">
        <w:rPr>
          <w:rFonts w:hint="cs"/>
          <w:rtl/>
        </w:rPr>
        <w:t>. אלימות המופנית כלפי נשים, ובכלל זה בתוך מערכת היחסים הזוגית, היא גם בגדר הפרה של זכותה של האישה על גופה ושל זכותה להגנה מפני אלימות - זכויות המעוגנות בחוק שיווי זכויות האשה, התשי"א-1951</w:t>
      </w:r>
      <w:r w:rsidRPr="002F2BC5">
        <w:rPr>
          <w:rStyle w:val="af9"/>
          <w:rtl/>
        </w:rPr>
        <w:footnoteReference w:id="2"/>
      </w:r>
      <w:r w:rsidRPr="002F2BC5">
        <w:rPr>
          <w:rFonts w:hint="cs"/>
          <w:rtl/>
        </w:rPr>
        <w:t xml:space="preserve">. </w:t>
      </w:r>
    </w:p>
    <w:p w14:paraId="67B536DB" w14:textId="77777777" w:rsidR="00817399" w:rsidRPr="002F2BC5" w:rsidRDefault="00817399" w:rsidP="00817399">
      <w:pPr>
        <w:spacing w:line="269" w:lineRule="auto"/>
        <w:rPr>
          <w:rtl/>
        </w:rPr>
      </w:pPr>
    </w:p>
    <w:p w14:paraId="2E066F9D" w14:textId="77777777" w:rsidR="00817399" w:rsidRPr="002F2BC5" w:rsidRDefault="00817399" w:rsidP="00817399">
      <w:pPr>
        <w:spacing w:line="269" w:lineRule="auto"/>
        <w:rPr>
          <w:rtl/>
        </w:rPr>
      </w:pPr>
      <w:r w:rsidRPr="002F2BC5">
        <w:rPr>
          <w:rFonts w:hint="cs"/>
          <w:rtl/>
        </w:rPr>
        <w:t>אלימות המתרחשת בתוך התא המשפחתי היא מביטוייה העיקריים של תופעת האלימות בחברה</w:t>
      </w:r>
      <w:r w:rsidRPr="002F2BC5">
        <w:rPr>
          <w:rStyle w:val="af9"/>
          <w:rtl/>
        </w:rPr>
        <w:footnoteReference w:id="3"/>
      </w:r>
      <w:r w:rsidRPr="002F2BC5">
        <w:rPr>
          <w:rFonts w:hint="cs"/>
          <w:rtl/>
        </w:rPr>
        <w:t>. נתונים על תיקי חקירה שנפתחו בעבירות אלו מצביעים על כך שתופעת האלימות במערכת היחסים הזוגית</w:t>
      </w:r>
      <w:r w:rsidRPr="002F2BC5">
        <w:rPr>
          <w:rStyle w:val="af9"/>
          <w:rtl/>
        </w:rPr>
        <w:footnoteReference w:id="4"/>
      </w:r>
      <w:r w:rsidRPr="002F2BC5">
        <w:rPr>
          <w:rFonts w:hint="cs"/>
          <w:rtl/>
        </w:rPr>
        <w:t xml:space="preserve"> המופנית מצד גבר כלפי אישה, היא הנרחבת ביותר מכלל תופעות האלימות במשפחה</w:t>
      </w:r>
      <w:bookmarkStart w:id="30" w:name="_Ref186570333"/>
      <w:r w:rsidRPr="002F2BC5">
        <w:rPr>
          <w:rStyle w:val="af9"/>
          <w:rtl/>
        </w:rPr>
        <w:footnoteReference w:id="5"/>
      </w:r>
      <w:bookmarkEnd w:id="30"/>
      <w:r w:rsidRPr="002F2BC5">
        <w:rPr>
          <w:rFonts w:hint="cs"/>
          <w:rtl/>
        </w:rPr>
        <w:t>: לפי נתוני משטרת ישראל לשנת 2023, מתוך כלל תיקי החקירה</w:t>
      </w:r>
      <w:r w:rsidRPr="002F2BC5">
        <w:rPr>
          <w:rStyle w:val="af9"/>
          <w:rtl/>
        </w:rPr>
        <w:footnoteReference w:id="6"/>
      </w:r>
      <w:r w:rsidRPr="002F2BC5">
        <w:rPr>
          <w:rFonts w:hint="cs"/>
          <w:rtl/>
        </w:rPr>
        <w:t xml:space="preserve"> בעבירות בתוך התא המשפחתי שנפתחו בשנה זו, כ-64% (23,951 מתוך 37,232 תיקים) נפתחו בגין עבירות בין בני זוג, ובכ-83% מהם החשוד היה גבר (19,856 מתוך 23,951 תיקים)</w:t>
      </w:r>
      <w:r w:rsidRPr="002F2BC5">
        <w:rPr>
          <w:rStyle w:val="af9"/>
          <w:rtl/>
        </w:rPr>
        <w:footnoteReference w:id="7"/>
      </w:r>
      <w:r w:rsidRPr="002F2BC5">
        <w:rPr>
          <w:rFonts w:hint="cs"/>
          <w:rtl/>
        </w:rPr>
        <w:t>. גם מכלל תיקי החקירה שנפתחו בשנה זו בעבירה של הפרת צו הגנה</w:t>
      </w:r>
      <w:r w:rsidRPr="002F2BC5">
        <w:rPr>
          <w:rStyle w:val="af9"/>
          <w:rtl/>
        </w:rPr>
        <w:footnoteReference w:id="8"/>
      </w:r>
      <w:r w:rsidRPr="002F2BC5">
        <w:rPr>
          <w:rFonts w:hint="cs"/>
          <w:rtl/>
        </w:rPr>
        <w:t>, בכ-87% מהם המתלוננת הייתה אישה (679 מתוך 779 תיקים)</w:t>
      </w:r>
      <w:r w:rsidRPr="002F2BC5">
        <w:rPr>
          <w:rStyle w:val="af9"/>
          <w:rtl/>
        </w:rPr>
        <w:footnoteReference w:id="9"/>
      </w:r>
      <w:r w:rsidRPr="002F2BC5">
        <w:rPr>
          <w:rFonts w:hint="cs"/>
          <w:rtl/>
        </w:rPr>
        <w:t>. כך גם עולה מנתוני משרד הבריאות על מקרי אלימות במשפחה שאותרו במערכת הבריאות: בשנת 2023 כשני שלישים מכלל מקרי האלימות במשפחה שאותרו במערכת הבריאות בקרב בגירים</w:t>
      </w:r>
      <w:r w:rsidRPr="002F2BC5">
        <w:rPr>
          <w:rStyle w:val="af9"/>
          <w:rtl/>
        </w:rPr>
        <w:footnoteReference w:id="10"/>
      </w:r>
      <w:r w:rsidRPr="002F2BC5">
        <w:rPr>
          <w:rFonts w:hint="cs"/>
          <w:rtl/>
        </w:rPr>
        <w:t xml:space="preserve"> היו מקרים של אלימות במערכת היחסים הזוגית (2,514 מתוך 3,789 תיקים). ריבוי מקרי הרצח של נשים בידי בני זוגן מבטא את חומרתה היְתֵרה של תופעת האלימות במערכת היחסים הזוגית, ולראיה 32 מתוך 92 - יותר משליש ממקרי הרצח של נשים שהתרחשו בשנים 2022 - 2024 היו בידי </w:t>
      </w:r>
      <w:r w:rsidRPr="002F2BC5">
        <w:rPr>
          <w:rFonts w:hint="cs"/>
          <w:rtl/>
        </w:rPr>
        <w:lastRenderedPageBreak/>
        <w:t>בן זוגן</w:t>
      </w:r>
      <w:r w:rsidRPr="002F2BC5">
        <w:rPr>
          <w:rStyle w:val="af9"/>
          <w:rtl/>
        </w:rPr>
        <w:footnoteReference w:id="11"/>
      </w:r>
      <w:r w:rsidRPr="002F2BC5">
        <w:rPr>
          <w:rFonts w:hint="cs"/>
          <w:rtl/>
        </w:rPr>
        <w:t>. בכשליש ממקרי הרצח של נשים בידי בני זוגן שהתרחשו בין ינואר 2023 עד אוקטובר 2024 - הוגשה תלונה קודמת במשטרה בגין אלימות במשפחה</w:t>
      </w:r>
      <w:r w:rsidRPr="002F2BC5">
        <w:rPr>
          <w:rStyle w:val="af9"/>
          <w:rtl/>
        </w:rPr>
        <w:footnoteReference w:id="12"/>
      </w:r>
      <w:r w:rsidRPr="002F2BC5">
        <w:rPr>
          <w:rFonts w:hint="cs"/>
          <w:rtl/>
        </w:rPr>
        <w:t>. אף שתיתכן זיקה בין פערים כלכליים בין גברים לנשים לבין שכיחות האלימות במערכת היחסים הזוגית, התופעה נפוצה בקרב כלל המעמדות, התרבויות והגילים, והיא אינה מאפיינת מגזר מסוים או שכבה מסוימת באוכלוסייה</w:t>
      </w:r>
      <w:r w:rsidRPr="002F2BC5">
        <w:rPr>
          <w:rStyle w:val="af9"/>
          <w:rtl/>
        </w:rPr>
        <w:footnoteReference w:id="13"/>
      </w:r>
      <w:r w:rsidRPr="002F2BC5">
        <w:rPr>
          <w:rFonts w:hint="cs"/>
          <w:rtl/>
        </w:rPr>
        <w:t xml:space="preserve">. </w:t>
      </w:r>
    </w:p>
    <w:p w14:paraId="47F49DC5" w14:textId="77777777" w:rsidR="00817399" w:rsidRPr="002F2BC5" w:rsidRDefault="00817399" w:rsidP="00817399">
      <w:pPr>
        <w:spacing w:line="269" w:lineRule="auto"/>
        <w:rPr>
          <w:rtl/>
        </w:rPr>
      </w:pPr>
    </w:p>
    <w:p w14:paraId="0E557034" w14:textId="77777777" w:rsidR="00817399" w:rsidRPr="002F2BC5" w:rsidRDefault="00817399" w:rsidP="00817399">
      <w:pPr>
        <w:spacing w:line="269" w:lineRule="auto"/>
        <w:rPr>
          <w:rtl/>
        </w:rPr>
      </w:pPr>
      <w:r w:rsidRPr="002F2BC5">
        <w:rPr>
          <w:rFonts w:hint="cs"/>
          <w:rtl/>
        </w:rPr>
        <w:t>תופעת האלימות בתוך מערכת היחסים הזוגית מתרחשת בתוך "עולמם הפרטי" של נפגעי האלימות והפוגעים</w:t>
      </w:r>
      <w:r w:rsidRPr="002F2BC5">
        <w:rPr>
          <w:rStyle w:val="af9"/>
          <w:rtl/>
        </w:rPr>
        <w:footnoteReference w:id="14"/>
      </w:r>
      <w:r w:rsidRPr="002F2BC5">
        <w:rPr>
          <w:rFonts w:hint="cs"/>
          <w:rtl/>
        </w:rPr>
        <w:t>, והיא מתאפיינת על פי רוב ברצף של התנהגות מתעללת לאורך זמן, שמעשה האלימות הוא רק אחד מביטוייה</w:t>
      </w:r>
      <w:r w:rsidRPr="002F2BC5">
        <w:rPr>
          <w:rStyle w:val="af9"/>
          <w:rtl/>
        </w:rPr>
        <w:footnoteReference w:id="15"/>
      </w:r>
      <w:r w:rsidRPr="002F2BC5">
        <w:rPr>
          <w:rFonts w:hint="cs"/>
          <w:rtl/>
        </w:rPr>
        <w:t>. בכך היא משליכה על בריאותם הגופנית והנפשית ועל רווחתם ואיכות חייהם של הנפגעים וסביבתם הקרובה</w:t>
      </w:r>
      <w:bookmarkStart w:id="31" w:name="_Ref180920337"/>
      <w:r w:rsidRPr="002F2BC5">
        <w:rPr>
          <w:rStyle w:val="af9"/>
          <w:rtl/>
        </w:rPr>
        <w:footnoteReference w:id="16"/>
      </w:r>
      <w:bookmarkEnd w:id="31"/>
      <w:r w:rsidRPr="002F2BC5">
        <w:rPr>
          <w:rFonts w:hint="cs"/>
          <w:rtl/>
        </w:rPr>
        <w:t>. מעבר לנזקים הנפשיים והגופניים הישירים, נפגעי האלימות מתמודדים גם עם נזקים כלכליים, ובכלל זה עם קשיים בהשגת עצמאות כלכלית, וכן עם עלויותיהם הכספיות של הטיפול הרפואי והנפשי או הייעוץ המשפטי הדרוש להם כדי להיחלץ ממעגל האלימות</w:t>
      </w:r>
      <w:r w:rsidRPr="002F2BC5">
        <w:rPr>
          <w:rStyle w:val="af9"/>
          <w:rtl/>
        </w:rPr>
        <w:footnoteReference w:id="17"/>
      </w:r>
      <w:r w:rsidRPr="002F2BC5">
        <w:rPr>
          <w:rFonts w:hint="cs"/>
          <w:rtl/>
        </w:rPr>
        <w:t xml:space="preserve">. לצד הנזקים האישיים לנפגעי האלימות בטווח הקצר והארוך, לתופעת האלימות במערכת היחסים הזוגית פעמים רבות גם מאפיינים ציבוריים, בין השאר משום שהיא כרוכה </w:t>
      </w:r>
      <w:r w:rsidRPr="002F2BC5">
        <w:rPr>
          <w:rFonts w:hint="eastAsia"/>
          <w:rtl/>
        </w:rPr>
        <w:t>בפגיעה</w:t>
      </w:r>
      <w:r w:rsidRPr="002F2BC5">
        <w:rPr>
          <w:rtl/>
        </w:rPr>
        <w:t xml:space="preserve"> </w:t>
      </w:r>
      <w:r w:rsidRPr="002F2BC5">
        <w:rPr>
          <w:rFonts w:hint="eastAsia"/>
          <w:rtl/>
        </w:rPr>
        <w:t>כלכלית</w:t>
      </w:r>
      <w:r w:rsidRPr="002F2BC5">
        <w:rPr>
          <w:rtl/>
        </w:rPr>
        <w:t xml:space="preserve"> </w:t>
      </w:r>
      <w:r w:rsidRPr="002F2BC5">
        <w:rPr>
          <w:rFonts w:hint="eastAsia"/>
          <w:rtl/>
        </w:rPr>
        <w:t>במשק</w:t>
      </w:r>
      <w:r w:rsidRPr="002F2BC5">
        <w:rPr>
          <w:rtl/>
        </w:rPr>
        <w:t xml:space="preserve"> </w:t>
      </w:r>
      <w:r w:rsidRPr="002F2BC5">
        <w:rPr>
          <w:rFonts w:hint="cs"/>
          <w:rtl/>
        </w:rPr>
        <w:t>עקב פשיעה זו</w:t>
      </w:r>
      <w:r w:rsidRPr="002F2BC5">
        <w:rPr>
          <w:rtl/>
        </w:rPr>
        <w:t xml:space="preserve"> </w:t>
      </w:r>
      <w:r w:rsidRPr="002F2BC5">
        <w:rPr>
          <w:rFonts w:hint="cs"/>
          <w:rtl/>
        </w:rPr>
        <w:t>והשפעותיה</w:t>
      </w:r>
      <w:bookmarkStart w:id="32" w:name="_Ref186455165"/>
      <w:r w:rsidRPr="002F2BC5">
        <w:rPr>
          <w:rStyle w:val="af9"/>
          <w:rtl/>
        </w:rPr>
        <w:footnoteReference w:id="18"/>
      </w:r>
      <w:bookmarkEnd w:id="32"/>
      <w:r w:rsidRPr="002F2BC5">
        <w:rPr>
          <w:rFonts w:hint="cs"/>
          <w:rtl/>
        </w:rPr>
        <w:t xml:space="preserve"> וכן בשל השלכותיה הבין-דוריות</w:t>
      </w:r>
      <w:bookmarkStart w:id="33" w:name="_Ref186455170"/>
      <w:r w:rsidRPr="002F2BC5">
        <w:rPr>
          <w:rStyle w:val="af9"/>
          <w:rtl/>
        </w:rPr>
        <w:footnoteReference w:id="19"/>
      </w:r>
      <w:bookmarkEnd w:id="33"/>
      <w:r w:rsidRPr="002F2BC5">
        <w:rPr>
          <w:rFonts w:hint="cs"/>
          <w:rtl/>
        </w:rPr>
        <w:t>. לנוכח השלכותיה הנרחבות של תופעת האלימות במשפחה במישור הפרטי והציבורי וחומרתה היתרה, ארגון הבריאות העולמי הכיר בה כבעיה בריאותית של הציבור בכללותו</w:t>
      </w:r>
      <w:r w:rsidRPr="002F2BC5">
        <w:rPr>
          <w:rStyle w:val="af9"/>
          <w:rtl/>
        </w:rPr>
        <w:footnoteReference w:id="20"/>
      </w:r>
      <w:r w:rsidRPr="002F2BC5">
        <w:rPr>
          <w:rFonts w:hint="cs"/>
          <w:rtl/>
        </w:rPr>
        <w:t xml:space="preserve">. האו"ם הגדיר את מניעתה של תופעת האלימות כלפי נשים, בהקשרה הרחב, כאחת מהמטרות שנגזרות מיעדי הפיתוח הבר-קיימה, מתוך הכרה בחיוניותה להבטחת רווחתם ואיכות חייהם </w:t>
      </w:r>
      <w:r w:rsidRPr="002F2BC5">
        <w:rPr>
          <w:rtl/>
        </w:rPr>
        <w:t>של הדורות הנוכחיים והעתידיים</w:t>
      </w:r>
      <w:bookmarkStart w:id="34" w:name="_Ref186455263"/>
      <w:r w:rsidRPr="002F2BC5">
        <w:rPr>
          <w:rStyle w:val="af9"/>
          <w:rtl/>
        </w:rPr>
        <w:footnoteReference w:id="21"/>
      </w:r>
      <w:bookmarkEnd w:id="34"/>
      <w:r w:rsidRPr="002F2BC5">
        <w:rPr>
          <w:rFonts w:hint="cs"/>
          <w:rtl/>
        </w:rPr>
        <w:t xml:space="preserve">. </w:t>
      </w:r>
    </w:p>
    <w:p w14:paraId="7EBE2200" w14:textId="77777777" w:rsidR="00817399" w:rsidRPr="002F2BC5" w:rsidRDefault="00817399" w:rsidP="00817399">
      <w:pPr>
        <w:spacing w:line="269" w:lineRule="auto"/>
        <w:rPr>
          <w:rtl/>
        </w:rPr>
      </w:pPr>
      <w:bookmarkStart w:id="35" w:name="_Hlk192148928"/>
      <w:r w:rsidRPr="002F2BC5">
        <w:rPr>
          <w:rFonts w:hint="cs"/>
          <w:rtl/>
        </w:rPr>
        <w:lastRenderedPageBreak/>
        <w:t xml:space="preserve">זה יותר משלושה עשורים מדינת ישראל פועלת באופן יזום להתמודדות עם תופעת האלימות במשפחה, ובתוך כך עם האלימות במערכת היחסים הזוגית. זאת מתוך הכרה במחויבותה של המדינה במישור הלאומי </w:t>
      </w:r>
      <w:r w:rsidRPr="002F2BC5">
        <w:rPr>
          <w:rtl/>
        </w:rPr>
        <w:t>ל</w:t>
      </w:r>
      <w:r w:rsidRPr="002F2BC5">
        <w:rPr>
          <w:rFonts w:hint="cs"/>
          <w:rtl/>
        </w:rPr>
        <w:t>הגן על נפגעי האלימות בתוך התא המשפחתי והכרה באחריותה לטפל בהם ובפוגעים ולשקמם</w:t>
      </w:r>
      <w:r w:rsidRPr="002F2BC5">
        <w:rPr>
          <w:rtl/>
        </w:rPr>
        <w:t>.</w:t>
      </w:r>
      <w:r w:rsidRPr="002F2BC5">
        <w:rPr>
          <w:rFonts w:hint="cs"/>
          <w:rtl/>
        </w:rPr>
        <w:t xml:space="preserve"> ועדות וצוותים מקצועיים שפעלו בנושא לאורך השנים הכירו בכך שהתמודדות יעילה עם התופעה מחייבת פעולה רב-מערכתית, משולבת ומתואמת, הכוללת מעורבות של גורמי אכיפת החוק לצד גורמי מקצוע בתחומי החינוך, הבריאות, הטיפול והשיקום</w:t>
      </w:r>
      <w:bookmarkStart w:id="36" w:name="_Ref179813526"/>
      <w:r w:rsidRPr="002F2BC5">
        <w:rPr>
          <w:rStyle w:val="af9"/>
          <w:rtl/>
        </w:rPr>
        <w:footnoteReference w:id="22"/>
      </w:r>
      <w:bookmarkEnd w:id="36"/>
      <w:r w:rsidRPr="002F2BC5">
        <w:rPr>
          <w:rFonts w:hint="cs"/>
          <w:rtl/>
        </w:rPr>
        <w:t xml:space="preserve">. </w:t>
      </w:r>
      <w:r w:rsidRPr="002F2BC5">
        <w:rPr>
          <w:rFonts w:hint="eastAsia"/>
          <w:rtl/>
        </w:rPr>
        <w:t>את</w:t>
      </w:r>
      <w:r w:rsidRPr="002F2BC5">
        <w:rPr>
          <w:rtl/>
        </w:rPr>
        <w:t xml:space="preserve"> התיאום </w:t>
      </w:r>
      <w:r w:rsidRPr="002F2BC5">
        <w:rPr>
          <w:rFonts w:hint="eastAsia"/>
          <w:rtl/>
        </w:rPr>
        <w:t>המערכתי</w:t>
      </w:r>
      <w:r w:rsidRPr="002F2BC5">
        <w:rPr>
          <w:rtl/>
        </w:rPr>
        <w:t xml:space="preserve"> </w:t>
      </w:r>
      <w:r w:rsidRPr="002F2BC5">
        <w:rPr>
          <w:rFonts w:hint="eastAsia"/>
          <w:rtl/>
        </w:rPr>
        <w:t>ואת</w:t>
      </w:r>
      <w:r w:rsidRPr="002F2BC5">
        <w:rPr>
          <w:rtl/>
        </w:rPr>
        <w:t xml:space="preserve"> </w:t>
      </w:r>
      <w:r w:rsidRPr="002F2BC5">
        <w:rPr>
          <w:rFonts w:hint="eastAsia"/>
          <w:rtl/>
        </w:rPr>
        <w:t>שיתופי</w:t>
      </w:r>
      <w:r w:rsidRPr="002F2BC5">
        <w:rPr>
          <w:rtl/>
        </w:rPr>
        <w:t xml:space="preserve"> </w:t>
      </w:r>
      <w:r w:rsidRPr="002F2BC5">
        <w:rPr>
          <w:rFonts w:hint="eastAsia"/>
          <w:rtl/>
        </w:rPr>
        <w:t>הפעולה</w:t>
      </w:r>
      <w:r w:rsidRPr="002F2BC5">
        <w:rPr>
          <w:rtl/>
        </w:rPr>
        <w:t xml:space="preserve"> </w:t>
      </w:r>
      <w:r w:rsidRPr="002F2BC5">
        <w:rPr>
          <w:rFonts w:hint="eastAsia"/>
          <w:rtl/>
        </w:rPr>
        <w:t>בנושא</w:t>
      </w:r>
      <w:r w:rsidRPr="002F2BC5">
        <w:rPr>
          <w:rtl/>
        </w:rPr>
        <w:t xml:space="preserve"> </w:t>
      </w:r>
      <w:r w:rsidRPr="002F2BC5">
        <w:rPr>
          <w:rFonts w:hint="eastAsia"/>
          <w:rtl/>
        </w:rPr>
        <w:t>זה</w:t>
      </w:r>
      <w:r w:rsidRPr="002F2BC5">
        <w:rPr>
          <w:rtl/>
        </w:rPr>
        <w:t xml:space="preserve"> </w:t>
      </w:r>
      <w:r w:rsidRPr="002F2BC5">
        <w:rPr>
          <w:rFonts w:hint="eastAsia"/>
          <w:rtl/>
        </w:rPr>
        <w:t>אמור</w:t>
      </w:r>
      <w:r w:rsidRPr="002F2BC5">
        <w:rPr>
          <w:rtl/>
        </w:rPr>
        <w:t xml:space="preserve"> להוביל </w:t>
      </w:r>
      <w:r w:rsidRPr="002F2BC5">
        <w:rPr>
          <w:rFonts w:hint="eastAsia"/>
          <w:rtl/>
        </w:rPr>
        <w:t>מערך</w:t>
      </w:r>
      <w:r w:rsidRPr="002F2BC5">
        <w:rPr>
          <w:rtl/>
        </w:rPr>
        <w:t xml:space="preserve"> לאומי להתמודדות עם תופעת האלימות במשפחה</w:t>
      </w:r>
      <w:r w:rsidRPr="002F2BC5">
        <w:rPr>
          <w:rFonts w:hint="cs"/>
          <w:rtl/>
        </w:rPr>
        <w:t xml:space="preserve"> -</w:t>
      </w:r>
      <w:r w:rsidRPr="002F2BC5">
        <w:rPr>
          <w:rStyle w:val="aff"/>
          <w:rFonts w:hint="cs"/>
          <w:rtl/>
        </w:rPr>
        <w:t xml:space="preserve"> </w:t>
      </w:r>
      <w:r w:rsidRPr="002F2BC5">
        <w:rPr>
          <w:rFonts w:hint="eastAsia"/>
          <w:rtl/>
        </w:rPr>
        <w:t>ובראש</w:t>
      </w:r>
      <w:r w:rsidRPr="002F2BC5">
        <w:rPr>
          <w:rFonts w:hint="cs"/>
          <w:rtl/>
        </w:rPr>
        <w:t>ו</w:t>
      </w:r>
      <w:r w:rsidRPr="002F2BC5">
        <w:rPr>
          <w:rStyle w:val="aff"/>
          <w:rFonts w:hint="cs"/>
          <w:rtl/>
        </w:rPr>
        <w:t xml:space="preserve"> </w:t>
      </w:r>
      <w:r w:rsidRPr="002F2BC5">
        <w:rPr>
          <w:rFonts w:hint="eastAsia"/>
          <w:rtl/>
        </w:rPr>
        <w:t>ועדה</w:t>
      </w:r>
      <w:r w:rsidRPr="002F2BC5">
        <w:rPr>
          <w:rtl/>
        </w:rPr>
        <w:t xml:space="preserve"> </w:t>
      </w:r>
      <w:r w:rsidRPr="002F2BC5">
        <w:rPr>
          <w:rFonts w:hint="eastAsia"/>
          <w:rtl/>
        </w:rPr>
        <w:t>בין</w:t>
      </w:r>
      <w:r w:rsidRPr="002F2BC5">
        <w:rPr>
          <w:rtl/>
        </w:rPr>
        <w:t xml:space="preserve">-משרדית </w:t>
      </w:r>
      <w:r w:rsidRPr="002F2BC5">
        <w:rPr>
          <w:rFonts w:hint="eastAsia"/>
          <w:rtl/>
        </w:rPr>
        <w:t>קבועה</w:t>
      </w:r>
      <w:r w:rsidRPr="002F2BC5">
        <w:rPr>
          <w:rtl/>
        </w:rPr>
        <w:t xml:space="preserve"> </w:t>
      </w:r>
      <w:r w:rsidRPr="002F2BC5">
        <w:rPr>
          <w:rFonts w:hint="eastAsia"/>
          <w:rtl/>
        </w:rPr>
        <w:t>בראשותו</w:t>
      </w:r>
      <w:r w:rsidRPr="002F2BC5">
        <w:rPr>
          <w:rtl/>
        </w:rPr>
        <w:t xml:space="preserve"> </w:t>
      </w:r>
      <w:r w:rsidRPr="002F2BC5">
        <w:rPr>
          <w:rFonts w:hint="eastAsia"/>
          <w:rtl/>
        </w:rPr>
        <w:t>של</w:t>
      </w:r>
      <w:r w:rsidRPr="002F2BC5">
        <w:rPr>
          <w:rtl/>
        </w:rPr>
        <w:t xml:space="preserve"> </w:t>
      </w:r>
      <w:r w:rsidRPr="002F2BC5">
        <w:rPr>
          <w:rFonts w:hint="eastAsia"/>
          <w:rtl/>
        </w:rPr>
        <w:t>מנכ</w:t>
      </w:r>
      <w:r w:rsidRPr="002F2BC5">
        <w:rPr>
          <w:rtl/>
        </w:rPr>
        <w:t xml:space="preserve">"ל </w:t>
      </w:r>
      <w:r w:rsidRPr="002F2BC5">
        <w:rPr>
          <w:rFonts w:hint="eastAsia"/>
          <w:rtl/>
        </w:rPr>
        <w:t>משרד</w:t>
      </w:r>
      <w:r w:rsidRPr="002F2BC5">
        <w:rPr>
          <w:rtl/>
        </w:rPr>
        <w:t xml:space="preserve"> </w:t>
      </w:r>
      <w:r w:rsidRPr="002F2BC5">
        <w:rPr>
          <w:rFonts w:hint="eastAsia"/>
          <w:rtl/>
        </w:rPr>
        <w:t>הרווחה</w:t>
      </w:r>
      <w:r w:rsidRPr="002F2BC5">
        <w:rPr>
          <w:rFonts w:hint="cs"/>
          <w:rtl/>
        </w:rPr>
        <w:t>. לצד המורכבות הכרוכה באופי הרב-מערכתי של הטיפול בתופעת האלימות בין בני זוג ובהשלכותיה הנרחבות, קיימים מאפיינים ייחודיים נוספים המקשים על הטיפול בה, ובהם הקושי לאתר את מקרי האלימות ולאמוד את היקפה האמיתי של התופעה, בין היתר בשל חששם של הנפגעים מפני השלכותיה של חשיפת הפגיעה ("קשר השתיקה")</w:t>
      </w:r>
      <w:bookmarkStart w:id="37" w:name="_Ref186570343"/>
      <w:r w:rsidRPr="002F2BC5">
        <w:rPr>
          <w:rStyle w:val="af9"/>
          <w:rtl/>
        </w:rPr>
        <w:footnoteReference w:id="23"/>
      </w:r>
      <w:bookmarkEnd w:id="37"/>
      <w:r w:rsidRPr="002F2BC5">
        <w:rPr>
          <w:rFonts w:hint="cs"/>
          <w:rtl/>
        </w:rPr>
        <w:t>.</w:t>
      </w:r>
      <w:bookmarkEnd w:id="35"/>
      <w:r w:rsidRPr="002F2BC5">
        <w:rPr>
          <w:rFonts w:hint="cs"/>
          <w:rtl/>
        </w:rPr>
        <w:t xml:space="preserve"> </w:t>
      </w:r>
    </w:p>
    <w:p w14:paraId="5F2B5328" w14:textId="77777777" w:rsidR="00817399" w:rsidRPr="002F2BC5" w:rsidRDefault="00817399" w:rsidP="00817399">
      <w:pPr>
        <w:spacing w:line="269" w:lineRule="auto"/>
        <w:rPr>
          <w:rtl/>
        </w:rPr>
      </w:pPr>
    </w:p>
    <w:p w14:paraId="1C221ACC" w14:textId="77777777" w:rsidR="00817399" w:rsidRPr="002F2BC5" w:rsidRDefault="00817399" w:rsidP="00817399">
      <w:pPr>
        <w:spacing w:line="269" w:lineRule="auto"/>
        <w:rPr>
          <w:rtl/>
        </w:rPr>
      </w:pPr>
      <w:r w:rsidRPr="002F2BC5">
        <w:rPr>
          <w:rFonts w:hint="cs"/>
          <w:rtl/>
        </w:rPr>
        <w:t xml:space="preserve">מלחמת חרבות ברזל שפרצה באוקטובר 2023 הגבירה עוד יותר את האתגרים הכרוכים בהתמודדות עם תופעת האלימות בין בני זוג. חשיפה ישירה או עקיפה לאירועי שבעה באוקטובר, </w:t>
      </w:r>
      <w:r w:rsidRPr="002F2BC5">
        <w:rPr>
          <w:rtl/>
        </w:rPr>
        <w:t xml:space="preserve">חוסר יציבות כלכלית, חוסר ודאות לגבי </w:t>
      </w:r>
      <w:r w:rsidRPr="002F2BC5">
        <w:rPr>
          <w:rFonts w:hint="cs"/>
          <w:rtl/>
        </w:rPr>
        <w:t>מקום ה</w:t>
      </w:r>
      <w:r w:rsidRPr="002F2BC5">
        <w:rPr>
          <w:rtl/>
        </w:rPr>
        <w:t>מגורים בהווה ובעתיד, תחושות מצוקה של כל בני המשפחה,</w:t>
      </w:r>
      <w:r w:rsidRPr="002F2BC5">
        <w:rPr>
          <w:rFonts w:hint="cs"/>
          <w:rtl/>
        </w:rPr>
        <w:t xml:space="preserve"> </w:t>
      </w:r>
      <w:r w:rsidRPr="002F2BC5">
        <w:rPr>
          <w:rtl/>
        </w:rPr>
        <w:t xml:space="preserve">נגישות מוגבלת </w:t>
      </w:r>
      <w:r w:rsidRPr="002F2BC5">
        <w:rPr>
          <w:rFonts w:hint="cs"/>
          <w:rtl/>
        </w:rPr>
        <w:t>של אוכלוסייה שפונתה מביתה</w:t>
      </w:r>
      <w:r w:rsidRPr="002F2BC5">
        <w:rPr>
          <w:rtl/>
        </w:rPr>
        <w:t xml:space="preserve"> </w:t>
      </w:r>
      <w:r w:rsidRPr="002F2BC5">
        <w:rPr>
          <w:rFonts w:hint="cs"/>
          <w:rtl/>
        </w:rPr>
        <w:t>א</w:t>
      </w:r>
      <w:r w:rsidRPr="002F2BC5">
        <w:rPr>
          <w:rtl/>
        </w:rPr>
        <w:t xml:space="preserve">ל שירותים חברתיים והשהות הארוכה </w:t>
      </w:r>
      <w:r w:rsidRPr="002F2BC5">
        <w:rPr>
          <w:rFonts w:hint="cs"/>
          <w:rtl/>
        </w:rPr>
        <w:t xml:space="preserve">שלהם </w:t>
      </w:r>
      <w:r w:rsidRPr="002F2BC5">
        <w:rPr>
          <w:rtl/>
        </w:rPr>
        <w:t xml:space="preserve">במקום זר ושונה מהמסגרת הביתית המוכרת, לעיתים בחדר אחד </w:t>
      </w:r>
      <w:r w:rsidRPr="002F2BC5">
        <w:rPr>
          <w:rFonts w:hint="cs"/>
          <w:rtl/>
        </w:rPr>
        <w:t>בבית מלון -</w:t>
      </w:r>
      <w:r w:rsidRPr="002F2BC5">
        <w:rPr>
          <w:rtl/>
        </w:rPr>
        <w:t xml:space="preserve"> כל אלה </w:t>
      </w:r>
      <w:r w:rsidRPr="002F2BC5">
        <w:rPr>
          <w:rFonts w:hint="cs"/>
          <w:rtl/>
        </w:rPr>
        <w:t>עלולים לשמש</w:t>
      </w:r>
      <w:r w:rsidRPr="002F2BC5">
        <w:rPr>
          <w:rtl/>
        </w:rPr>
        <w:t xml:space="preserve"> כר פורה</w:t>
      </w:r>
      <w:r w:rsidRPr="002F2BC5">
        <w:rPr>
          <w:rFonts w:hint="cs"/>
          <w:rtl/>
        </w:rPr>
        <w:t xml:space="preserve"> </w:t>
      </w:r>
      <w:r w:rsidRPr="002F2BC5">
        <w:rPr>
          <w:rtl/>
        </w:rPr>
        <w:t>למעשי אלימות</w:t>
      </w:r>
      <w:r w:rsidRPr="002F2BC5">
        <w:rPr>
          <w:rFonts w:hint="cs"/>
          <w:rtl/>
        </w:rPr>
        <w:t xml:space="preserve"> בתוך התא המשפחתי</w:t>
      </w:r>
      <w:bookmarkStart w:id="38" w:name="_Ref188439858"/>
      <w:r w:rsidRPr="002F2BC5">
        <w:rPr>
          <w:rStyle w:val="af9"/>
          <w:rtl/>
        </w:rPr>
        <w:footnoteReference w:id="24"/>
      </w:r>
      <w:bookmarkEnd w:id="38"/>
      <w:r w:rsidRPr="002F2BC5">
        <w:rPr>
          <w:rtl/>
        </w:rPr>
        <w:t xml:space="preserve">. </w:t>
      </w:r>
      <w:r w:rsidRPr="002F2BC5">
        <w:rPr>
          <w:rFonts w:hint="cs"/>
          <w:rtl/>
        </w:rPr>
        <w:t>בעיתות אלו עלול גם להתחזק "קשר השתיקה" המאפיין את תופעת האלימות בין בני זוג. זאת בשל תשומת הלב הציבורית המופנית לקשיים שמביאה עימה המלחמה וחששם של הנפגעים כי גם אם יתלוננו, לא יזכו למענה הולם. נסיבות ייחודיות אלו והשינויים מרחיקי הלכת במציאות החיים במדינה מחייבים את כלל הגורמים המעורבים לשוב ולהעריך את המדיניות ודרכי פעולתם בכל הקשור להתמודדות עם תופעת האלימות במערכת היחסים הזוגית ולגבש עבורה מענה מיטבי</w:t>
      </w:r>
      <w:r w:rsidRPr="002F2BC5">
        <w:rPr>
          <w:rStyle w:val="af9"/>
          <w:rtl/>
        </w:rPr>
        <w:footnoteReference w:id="25"/>
      </w:r>
      <w:r w:rsidRPr="002F2BC5">
        <w:rPr>
          <w:rFonts w:hint="cs"/>
          <w:rtl/>
        </w:rPr>
        <w:t>.</w:t>
      </w:r>
    </w:p>
    <w:p w14:paraId="636AC1D9" w14:textId="77777777" w:rsidR="00817399" w:rsidRPr="002F2BC5" w:rsidRDefault="00817399" w:rsidP="00817399">
      <w:pPr>
        <w:spacing w:line="269" w:lineRule="auto"/>
        <w:rPr>
          <w:rtl/>
        </w:rPr>
      </w:pPr>
      <w:r w:rsidRPr="002F2BC5">
        <w:rPr>
          <w:rFonts w:hint="cs"/>
          <w:rtl/>
        </w:rPr>
        <w:lastRenderedPageBreak/>
        <w:t>יצוין כי תופעת האלימות במשפחה כוללת, בין השאר, גם אלימות של הורים כלפי ילדיהם, אלימות של ילדים כלפי הוריהם ואלימות בין אחים. דוח זה לא יעסוק בתופעות אלו, המחייבות דיון נפרד</w:t>
      </w:r>
      <w:r w:rsidRPr="002F2BC5">
        <w:rPr>
          <w:rStyle w:val="af9"/>
          <w:rtl/>
        </w:rPr>
        <w:footnoteReference w:id="26"/>
      </w:r>
      <w:r w:rsidRPr="002F2BC5">
        <w:rPr>
          <w:rFonts w:hint="cs"/>
          <w:rtl/>
        </w:rPr>
        <w:t>, אלא יתמקד בתופעת האלימות במשפחה בתוך מערכת היחסים הזוגית</w:t>
      </w:r>
      <w:r w:rsidRPr="002F2BC5">
        <w:rPr>
          <w:rStyle w:val="af9"/>
          <w:rtl/>
        </w:rPr>
        <w:footnoteReference w:id="27"/>
      </w:r>
      <w:r w:rsidRPr="002F2BC5">
        <w:rPr>
          <w:rFonts w:hint="cs"/>
          <w:rtl/>
        </w:rPr>
        <w:t>.</w:t>
      </w:r>
    </w:p>
    <w:p w14:paraId="119B9573" w14:textId="77777777" w:rsidR="00817399" w:rsidRPr="002F2BC5" w:rsidRDefault="00817399" w:rsidP="00817399">
      <w:pPr>
        <w:spacing w:line="269" w:lineRule="auto"/>
        <w:rPr>
          <w:rtl/>
        </w:rPr>
      </w:pPr>
    </w:p>
    <w:p w14:paraId="18C11AAC" w14:textId="77777777" w:rsidR="00817399" w:rsidRPr="002F2BC5" w:rsidRDefault="00817399" w:rsidP="00817399">
      <w:pPr>
        <w:spacing w:line="269" w:lineRule="auto"/>
        <w:rPr>
          <w:i/>
          <w:iCs/>
          <w:rtl/>
        </w:rPr>
      </w:pPr>
      <w:r w:rsidRPr="002F2BC5">
        <w:rPr>
          <w:i/>
          <w:iCs/>
          <w:rtl/>
        </w:rPr>
        <w:t>בתוכנית הביקורת המקורית נכללה גם עיריית לוד</w:t>
      </w:r>
      <w:r w:rsidRPr="002F2BC5">
        <w:rPr>
          <w:rFonts w:hint="cs"/>
          <w:i/>
          <w:iCs/>
          <w:rtl/>
        </w:rPr>
        <w:t xml:space="preserve"> </w:t>
      </w:r>
      <w:r w:rsidRPr="002F2BC5">
        <w:rPr>
          <w:rFonts w:hint="eastAsia"/>
          <w:i/>
          <w:iCs/>
          <w:rtl/>
        </w:rPr>
        <w:t>אך</w:t>
      </w:r>
      <w:r w:rsidRPr="002F2BC5">
        <w:rPr>
          <w:i/>
          <w:iCs/>
          <w:rtl/>
        </w:rPr>
        <w:t xml:space="preserve"> הביקורת</w:t>
      </w:r>
      <w:r w:rsidRPr="002F2BC5">
        <w:rPr>
          <w:rFonts w:hint="cs"/>
          <w:i/>
          <w:iCs/>
          <w:rtl/>
        </w:rPr>
        <w:t xml:space="preserve"> בה</w:t>
      </w:r>
      <w:r w:rsidRPr="002F2BC5">
        <w:rPr>
          <w:i/>
          <w:iCs/>
          <w:rtl/>
        </w:rPr>
        <w:t xml:space="preserve"> </w:t>
      </w:r>
      <w:r w:rsidRPr="002F2BC5">
        <w:rPr>
          <w:rFonts w:hint="eastAsia"/>
          <w:i/>
          <w:iCs/>
          <w:rtl/>
        </w:rPr>
        <w:t>לא</w:t>
      </w:r>
      <w:r w:rsidRPr="002F2BC5">
        <w:rPr>
          <w:i/>
          <w:iCs/>
          <w:rtl/>
        </w:rPr>
        <w:t xml:space="preserve"> </w:t>
      </w:r>
      <w:r w:rsidRPr="002F2BC5">
        <w:rPr>
          <w:rFonts w:hint="eastAsia"/>
          <w:i/>
          <w:iCs/>
          <w:rtl/>
        </w:rPr>
        <w:t>הושלמה</w:t>
      </w:r>
      <w:r w:rsidRPr="002F2BC5">
        <w:rPr>
          <w:i/>
          <w:iCs/>
          <w:rtl/>
        </w:rPr>
        <w:t>. בעת כתיבת דוח הביקורת ובחלוף כשנה מתחילת מלחמת חרבות ברזל, באוקטובר 2024, נודע בצער רב כי מנהל היחידה לטיפול ומניעת האלימות במשפחה בעירייה, רס"ם (במיל') ישי גרינבאום ז"ל, נפטר מפצעיו לאחר שנפצע קשה בלחימה בדרום לבנון. ישי ז"ל שירת כסמל מחלקה בחטיבת הנח"ל הצפונית (חטיבת אלון). לאורך המלחמה שיתף ברשתות החברתית את חוויותיו והתייחס לתפקיד הנוסף והלא</w:t>
      </w:r>
      <w:r w:rsidRPr="002F2BC5">
        <w:rPr>
          <w:rFonts w:hint="cs"/>
          <w:i/>
          <w:iCs/>
          <w:rtl/>
        </w:rPr>
        <w:t>-</w:t>
      </w:r>
      <w:r w:rsidRPr="002F2BC5">
        <w:rPr>
          <w:i/>
          <w:iCs/>
          <w:rtl/>
        </w:rPr>
        <w:t>מוגדר שלקח על עצמו, בהיותו גם עובד סוציאלי, על רקע הימים המתוחים והמורכבים שהביאה א</w:t>
      </w:r>
      <w:r w:rsidRPr="002F2BC5">
        <w:rPr>
          <w:rFonts w:hint="cs"/>
          <w:i/>
          <w:iCs/>
          <w:rtl/>
        </w:rPr>
        <w:t>י</w:t>
      </w:r>
      <w:r w:rsidRPr="002F2BC5">
        <w:rPr>
          <w:i/>
          <w:iCs/>
          <w:rtl/>
        </w:rPr>
        <w:t>תה הלחימה הממושכת, תפקיד שכלל דאגה גם לחוסנם האישי של חייליו. יהי זכרו ברוך.</w:t>
      </w:r>
    </w:p>
    <w:p w14:paraId="4328ED4F" w14:textId="77777777" w:rsidR="00817399" w:rsidRPr="002F2BC5" w:rsidRDefault="00817399" w:rsidP="00817399">
      <w:pPr>
        <w:spacing w:line="269" w:lineRule="auto"/>
        <w:rPr>
          <w:rtl/>
        </w:rPr>
      </w:pPr>
    </w:p>
    <w:p w14:paraId="1424CBB7" w14:textId="77777777" w:rsidR="00817399" w:rsidRPr="002F2BC5" w:rsidRDefault="00817399" w:rsidP="00817399">
      <w:pPr>
        <w:pStyle w:val="31"/>
        <w:spacing w:before="0" w:line="269" w:lineRule="auto"/>
        <w:rPr>
          <w:rtl/>
        </w:rPr>
      </w:pPr>
      <w:bookmarkStart w:id="39" w:name="_Toc189072198"/>
      <w:bookmarkStart w:id="40" w:name="_Toc191986909"/>
      <w:bookmarkStart w:id="41" w:name="_Toc191891377"/>
      <w:bookmarkStart w:id="42" w:name="_Toc192093029"/>
      <w:bookmarkStart w:id="43" w:name="_Toc193110587"/>
      <w:bookmarkStart w:id="44" w:name="_Toc192612737"/>
      <w:bookmarkStart w:id="45" w:name="_Toc192778811"/>
      <w:bookmarkStart w:id="46" w:name="_Toc198312161"/>
      <w:bookmarkStart w:id="47" w:name="_Toc198312630"/>
      <w:bookmarkStart w:id="48" w:name="_Toc200636789"/>
      <w:bookmarkStart w:id="49" w:name="_Toc200636820"/>
      <w:bookmarkStart w:id="50" w:name="_Toc200439788"/>
      <w:bookmarkStart w:id="51" w:name="_Toc200439819"/>
      <w:bookmarkStart w:id="52" w:name="_Toc201240924"/>
      <w:bookmarkStart w:id="53" w:name="_Toc192784365"/>
      <w:bookmarkStart w:id="54" w:name="_Toc201759351"/>
      <w:bookmarkStart w:id="55" w:name="_Toc203487984"/>
      <w:r w:rsidRPr="002F2BC5">
        <w:rPr>
          <w:rFonts w:hint="cs"/>
          <w:rtl/>
        </w:rPr>
        <w:t>פעולות הביקורת</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2A7E10D" w14:textId="77777777" w:rsidR="00817399" w:rsidRPr="002F2BC5" w:rsidRDefault="00817399" w:rsidP="00817399">
      <w:pPr>
        <w:spacing w:line="269" w:lineRule="auto"/>
        <w:rPr>
          <w:rtl/>
        </w:rPr>
      </w:pPr>
    </w:p>
    <w:p w14:paraId="5D71AB0E" w14:textId="77777777" w:rsidR="00817399" w:rsidRPr="002F2BC5" w:rsidRDefault="00817399" w:rsidP="00817399">
      <w:pPr>
        <w:spacing w:line="269" w:lineRule="auto"/>
        <w:rPr>
          <w:rtl/>
        </w:rPr>
      </w:pPr>
      <w:r w:rsidRPr="002F2BC5">
        <w:rPr>
          <w:rFonts w:hint="cs"/>
          <w:rtl/>
        </w:rPr>
        <w:t>בשנת 2021 פרסם משרד מבקר המדינה דוח ובו ממצאי ביקורת בנושא "ההתמודדות עם תופעת האלימות בין בני זוג" (להלן - הביקורת הקודמת)</w:t>
      </w:r>
      <w:bookmarkStart w:id="56" w:name="_Ref180915909"/>
      <w:r w:rsidRPr="002F2BC5">
        <w:rPr>
          <w:rStyle w:val="af9"/>
          <w:rtl/>
        </w:rPr>
        <w:footnoteReference w:id="28"/>
      </w:r>
      <w:bookmarkEnd w:id="56"/>
      <w:r w:rsidRPr="002F2BC5">
        <w:rPr>
          <w:rFonts w:hint="cs"/>
          <w:rtl/>
        </w:rPr>
        <w:t>. בחודשים אוגוסט עד</w:t>
      </w:r>
      <w:r w:rsidRPr="002F2BC5">
        <w:rPr>
          <w:rtl/>
        </w:rPr>
        <w:t xml:space="preserve"> </w:t>
      </w:r>
      <w:r w:rsidRPr="002F2BC5">
        <w:rPr>
          <w:rFonts w:hint="cs"/>
          <w:rtl/>
        </w:rPr>
        <w:t xml:space="preserve">דצמבר 2024 בדק משרד מבקר המדינה את פעולותיהן של רשויות השלטון - המרכזי והמקומי - לתיקון הליקויים העיקריים שעלו בביקורת הקודמת (להלן - ביקורת המעקב). ביקורת המעקב נעשתה במינהל לשירותים חברתיים ואישיים במטה משרד הרווחה והביטחון החברתי (להלן - משרד </w:t>
      </w:r>
      <w:r w:rsidRPr="002F2BC5">
        <w:rPr>
          <w:rFonts w:hint="eastAsia"/>
          <w:rtl/>
        </w:rPr>
        <w:t>הרווחה</w:t>
      </w:r>
      <w:r w:rsidRPr="002F2BC5">
        <w:rPr>
          <w:rtl/>
        </w:rPr>
        <w:t xml:space="preserve">) </w:t>
      </w:r>
      <w:r w:rsidRPr="002F2BC5">
        <w:rPr>
          <w:rFonts w:hint="eastAsia"/>
          <w:rtl/>
        </w:rPr>
        <w:t>ובוועדה</w:t>
      </w:r>
      <w:r w:rsidRPr="002F2BC5">
        <w:rPr>
          <w:rtl/>
        </w:rPr>
        <w:t xml:space="preserve"> </w:t>
      </w:r>
      <w:r w:rsidRPr="002F2BC5">
        <w:rPr>
          <w:rFonts w:hint="eastAsia"/>
          <w:rtl/>
        </w:rPr>
        <w:t>הבין</w:t>
      </w:r>
      <w:r w:rsidRPr="002F2BC5">
        <w:rPr>
          <w:rtl/>
        </w:rPr>
        <w:t xml:space="preserve">-משרדית </w:t>
      </w:r>
      <w:r w:rsidRPr="002F2BC5">
        <w:rPr>
          <w:rFonts w:hint="eastAsia"/>
          <w:rtl/>
        </w:rPr>
        <w:t>הקבועה</w:t>
      </w:r>
      <w:r w:rsidRPr="002F2BC5">
        <w:rPr>
          <w:rFonts w:hint="cs"/>
          <w:rtl/>
        </w:rPr>
        <w:t xml:space="preserve">. ביקורת המעקב נעשתה גם במחלקות לשירותים חברתיים ובמרכזים לטיפול ומניעת אלימות במשפחה בעיריות </w:t>
      </w:r>
      <w:r w:rsidRPr="002F2BC5">
        <w:rPr>
          <w:rFonts w:hint="cs"/>
          <w:b/>
          <w:bCs/>
          <w:rtl/>
        </w:rPr>
        <w:t>בית שמש</w:t>
      </w:r>
      <w:r w:rsidRPr="002F2BC5">
        <w:rPr>
          <w:rFonts w:hint="cs"/>
          <w:rtl/>
        </w:rPr>
        <w:t xml:space="preserve">, </w:t>
      </w:r>
      <w:r w:rsidRPr="002F2BC5">
        <w:rPr>
          <w:rFonts w:hint="cs"/>
          <w:b/>
          <w:bCs/>
          <w:rtl/>
        </w:rPr>
        <w:t>בני ברק</w:t>
      </w:r>
      <w:r w:rsidRPr="002F2BC5">
        <w:rPr>
          <w:rFonts w:hint="cs"/>
          <w:rtl/>
        </w:rPr>
        <w:t xml:space="preserve">, </w:t>
      </w:r>
      <w:r w:rsidRPr="002F2BC5">
        <w:rPr>
          <w:rFonts w:hint="cs"/>
          <w:b/>
          <w:bCs/>
          <w:rtl/>
        </w:rPr>
        <w:t>דימונה</w:t>
      </w:r>
      <w:r w:rsidRPr="002F2BC5">
        <w:rPr>
          <w:rFonts w:hint="cs"/>
          <w:rtl/>
        </w:rPr>
        <w:t xml:space="preserve">, </w:t>
      </w:r>
      <w:r w:rsidRPr="002F2BC5">
        <w:rPr>
          <w:rFonts w:hint="cs"/>
          <w:b/>
          <w:bCs/>
          <w:rtl/>
        </w:rPr>
        <w:t>חדרה</w:t>
      </w:r>
      <w:r w:rsidRPr="002F2BC5">
        <w:rPr>
          <w:rFonts w:hint="cs"/>
          <w:rtl/>
        </w:rPr>
        <w:t xml:space="preserve">, </w:t>
      </w:r>
      <w:r w:rsidRPr="002F2BC5">
        <w:rPr>
          <w:rFonts w:hint="cs"/>
          <w:b/>
          <w:bCs/>
          <w:rtl/>
        </w:rPr>
        <w:t>יבנה</w:t>
      </w:r>
      <w:r w:rsidRPr="002F2BC5">
        <w:rPr>
          <w:rFonts w:hint="cs"/>
          <w:rtl/>
        </w:rPr>
        <w:t xml:space="preserve">, </w:t>
      </w:r>
      <w:r w:rsidRPr="002F2BC5">
        <w:rPr>
          <w:rFonts w:hint="cs"/>
          <w:b/>
          <w:bCs/>
          <w:rtl/>
        </w:rPr>
        <w:t>סח</w:t>
      </w:r>
      <w:r w:rsidRPr="002F2BC5">
        <w:rPr>
          <w:b/>
          <w:bCs/>
          <w:rtl/>
        </w:rPr>
        <w:t>'</w:t>
      </w:r>
      <w:r w:rsidRPr="002F2BC5">
        <w:rPr>
          <w:rFonts w:hint="cs"/>
          <w:b/>
          <w:bCs/>
          <w:rtl/>
        </w:rPr>
        <w:t>נין</w:t>
      </w:r>
      <w:r w:rsidRPr="002F2BC5">
        <w:rPr>
          <w:rFonts w:hint="cs"/>
          <w:rtl/>
        </w:rPr>
        <w:t xml:space="preserve">, </w:t>
      </w:r>
      <w:r w:rsidRPr="002F2BC5">
        <w:rPr>
          <w:rFonts w:hint="cs"/>
          <w:b/>
          <w:bCs/>
          <w:rtl/>
        </w:rPr>
        <w:t>עכו</w:t>
      </w:r>
      <w:r w:rsidRPr="002F2BC5">
        <w:rPr>
          <w:rFonts w:hint="cs"/>
          <w:rtl/>
        </w:rPr>
        <w:t xml:space="preserve">, </w:t>
      </w:r>
      <w:r w:rsidRPr="002F2BC5">
        <w:rPr>
          <w:rFonts w:hint="cs"/>
          <w:b/>
          <w:bCs/>
          <w:rtl/>
        </w:rPr>
        <w:t>קריית מלאכי</w:t>
      </w:r>
      <w:r w:rsidRPr="002F2BC5">
        <w:rPr>
          <w:rFonts w:hint="cs"/>
          <w:rtl/>
        </w:rPr>
        <w:t xml:space="preserve">, </w:t>
      </w:r>
      <w:r w:rsidRPr="002F2BC5">
        <w:rPr>
          <w:rFonts w:hint="cs"/>
          <w:b/>
          <w:bCs/>
          <w:rtl/>
        </w:rPr>
        <w:t>ראש העין</w:t>
      </w:r>
      <w:r w:rsidRPr="002F2BC5">
        <w:rPr>
          <w:rFonts w:hint="cs"/>
          <w:rtl/>
        </w:rPr>
        <w:t xml:space="preserve"> ו</w:t>
      </w:r>
      <w:r w:rsidRPr="002F2BC5">
        <w:rPr>
          <w:rFonts w:hint="cs"/>
          <w:b/>
          <w:bCs/>
          <w:rtl/>
        </w:rPr>
        <w:t>רהט</w:t>
      </w:r>
      <w:r w:rsidRPr="002F2BC5">
        <w:rPr>
          <w:rFonts w:hint="cs"/>
          <w:rtl/>
        </w:rPr>
        <w:t>, במועצות המקומיות</w:t>
      </w:r>
      <w:r w:rsidRPr="002F2BC5">
        <w:rPr>
          <w:rFonts w:hint="cs"/>
          <w:b/>
          <w:bCs/>
          <w:rtl/>
        </w:rPr>
        <w:t xml:space="preserve"> קדימה-צורן</w:t>
      </w:r>
      <w:r w:rsidRPr="002F2BC5">
        <w:rPr>
          <w:rFonts w:hint="cs"/>
          <w:rtl/>
        </w:rPr>
        <w:t xml:space="preserve"> ו</w:t>
      </w:r>
      <w:r w:rsidRPr="002F2BC5">
        <w:rPr>
          <w:rFonts w:hint="cs"/>
          <w:b/>
          <w:bCs/>
          <w:rtl/>
        </w:rPr>
        <w:t>שיבלי - אום אל-ר'נם</w:t>
      </w:r>
      <w:r w:rsidRPr="002F2BC5">
        <w:rPr>
          <w:rFonts w:hint="cs"/>
          <w:rtl/>
        </w:rPr>
        <w:t xml:space="preserve"> ובמועצות האזוריות </w:t>
      </w:r>
      <w:r w:rsidRPr="002F2BC5">
        <w:rPr>
          <w:rFonts w:hint="cs"/>
          <w:b/>
          <w:bCs/>
          <w:rtl/>
        </w:rPr>
        <w:t>דרום</w:t>
      </w:r>
      <w:r w:rsidRPr="002F2BC5">
        <w:rPr>
          <w:rFonts w:hint="cs"/>
          <w:rtl/>
        </w:rPr>
        <w:t xml:space="preserve"> </w:t>
      </w:r>
      <w:r w:rsidRPr="002F2BC5">
        <w:rPr>
          <w:rFonts w:hint="cs"/>
          <w:b/>
          <w:bCs/>
          <w:rtl/>
        </w:rPr>
        <w:t>השרון</w:t>
      </w:r>
      <w:r w:rsidRPr="002F2BC5">
        <w:rPr>
          <w:rFonts w:hint="cs"/>
          <w:rtl/>
        </w:rPr>
        <w:t xml:space="preserve"> ו</w:t>
      </w:r>
      <w:r w:rsidRPr="002F2BC5">
        <w:rPr>
          <w:rFonts w:hint="cs"/>
          <w:b/>
          <w:bCs/>
          <w:rtl/>
        </w:rPr>
        <w:t>מטה יהודה</w:t>
      </w:r>
      <w:r w:rsidRPr="002F2BC5">
        <w:rPr>
          <w:rFonts w:hint="cs"/>
          <w:rtl/>
        </w:rPr>
        <w:t xml:space="preserve"> - רשויות מקומיות שנבדקו גם בביקורת הקודמת (להלן - הרשויות שנבדקו)</w:t>
      </w:r>
      <w:r w:rsidRPr="002F2BC5">
        <w:rPr>
          <w:rStyle w:val="af9"/>
          <w:rtl/>
        </w:rPr>
        <w:footnoteReference w:id="29"/>
      </w:r>
      <w:r w:rsidRPr="002F2BC5">
        <w:rPr>
          <w:rFonts w:hint="cs"/>
          <w:rtl/>
        </w:rPr>
        <w:t>. איסוף המידע במסגרת ביקורת המעקב ברשויות שנבדקו נעשה בעיקרו באמצעות שאלון מקוון שנשלח לרשויות הללו. ממצאי הביקורת מתבססים גם על ניתוח נתונים של כלל הרשויות המקומיות שהתקבלו ממשרד הרווחה ומגופים מבוקרים נוספים. הניתוח כלל</w:t>
      </w:r>
      <w:r w:rsidRPr="002F2BC5">
        <w:rPr>
          <w:rtl/>
        </w:rPr>
        <w:t xml:space="preserve"> גם בחינה של התפלגות ממצאי הביקורת לפי מאפייניהן השונים של הרשויות</w:t>
      </w:r>
      <w:r w:rsidRPr="002F2BC5">
        <w:rPr>
          <w:rFonts w:hint="cs"/>
          <w:rtl/>
        </w:rPr>
        <w:t xml:space="preserve"> </w:t>
      </w:r>
      <w:r w:rsidRPr="002F2BC5">
        <w:rPr>
          <w:rtl/>
        </w:rPr>
        <w:t>המקומיות על פי נתוני הלשכה המרכזית לסטטיסטיקה</w:t>
      </w:r>
      <w:r w:rsidRPr="002F2BC5">
        <w:rPr>
          <w:rFonts w:hint="cs"/>
          <w:rtl/>
        </w:rPr>
        <w:t xml:space="preserve"> (הלמ"ס)</w:t>
      </w:r>
      <w:r w:rsidRPr="002F2BC5">
        <w:rPr>
          <w:rtl/>
        </w:rPr>
        <w:t xml:space="preserve"> לסוף שנת 2022 וכן לפי סיווגן של</w:t>
      </w:r>
      <w:r w:rsidRPr="002F2BC5">
        <w:rPr>
          <w:rFonts w:hint="cs"/>
          <w:rtl/>
        </w:rPr>
        <w:t xml:space="preserve"> </w:t>
      </w:r>
      <w:r w:rsidRPr="002F2BC5">
        <w:rPr>
          <w:rtl/>
        </w:rPr>
        <w:t>הרשויות המקומיות על פי נתוני משרד הפנים</w:t>
      </w:r>
      <w:r w:rsidRPr="002F2BC5">
        <w:rPr>
          <w:rStyle w:val="af9"/>
          <w:rtl/>
        </w:rPr>
        <w:footnoteReference w:id="30"/>
      </w:r>
      <w:r w:rsidRPr="002F2BC5">
        <w:rPr>
          <w:rtl/>
        </w:rPr>
        <w:t>.</w:t>
      </w:r>
    </w:p>
    <w:p w14:paraId="6CBC112C" w14:textId="77777777" w:rsidR="00817399" w:rsidRPr="002F2BC5" w:rsidRDefault="00817399" w:rsidP="00817399">
      <w:pPr>
        <w:spacing w:line="269" w:lineRule="auto"/>
        <w:rPr>
          <w:rtl/>
        </w:rPr>
      </w:pPr>
      <w:r w:rsidRPr="002F2BC5">
        <w:rPr>
          <w:rFonts w:hint="cs"/>
          <w:rtl/>
        </w:rPr>
        <w:lastRenderedPageBreak/>
        <w:t>ביקורת המעקב נעשתה גם במשרד לביטחון לאומי</w:t>
      </w:r>
      <w:r w:rsidRPr="002F2BC5">
        <w:rPr>
          <w:rStyle w:val="af9"/>
          <w:rtl/>
        </w:rPr>
        <w:footnoteReference w:id="31"/>
      </w:r>
      <w:r w:rsidRPr="002F2BC5">
        <w:rPr>
          <w:rFonts w:hint="cs"/>
          <w:rtl/>
        </w:rPr>
        <w:t xml:space="preserve"> </w:t>
      </w:r>
      <w:r w:rsidRPr="002F2BC5">
        <w:rPr>
          <w:rFonts w:hint="eastAsia"/>
          <w:rtl/>
        </w:rPr>
        <w:t>וברשות</w:t>
      </w:r>
      <w:r w:rsidRPr="002F2BC5">
        <w:rPr>
          <w:rtl/>
        </w:rPr>
        <w:t xml:space="preserve"> הלאומית לביטחון קהילתי</w:t>
      </w:r>
      <w:r w:rsidRPr="002F2BC5">
        <w:rPr>
          <w:rStyle w:val="af9"/>
          <w:rtl/>
        </w:rPr>
        <w:footnoteReference w:id="32"/>
      </w:r>
      <w:r w:rsidRPr="002F2BC5">
        <w:rPr>
          <w:rtl/>
        </w:rPr>
        <w:t xml:space="preserve"> </w:t>
      </w:r>
      <w:r w:rsidRPr="002F2BC5">
        <w:rPr>
          <w:rFonts w:hint="eastAsia"/>
          <w:rtl/>
        </w:rPr>
        <w:t>שבמשרד</w:t>
      </w:r>
      <w:r w:rsidRPr="002F2BC5">
        <w:rPr>
          <w:rFonts w:hint="cs"/>
          <w:rtl/>
        </w:rPr>
        <w:t xml:space="preserve"> לביטחון לאומי וכן במשטרת ישראל ובשירות בתי הסוהר, הכפופים למשרד לביטחון לאומי; במשרד הבינוי והשיכון; במשרד הבריאות; בהנהלת בתי המשפט; במשרד החינוך; במשרד המשפטים; במשרד העלייה והקליטה (להלן </w:t>
      </w:r>
      <w:r w:rsidRPr="002F2BC5">
        <w:rPr>
          <w:rtl/>
        </w:rPr>
        <w:t>-</w:t>
      </w:r>
      <w:r w:rsidRPr="002F2BC5">
        <w:rPr>
          <w:rFonts w:hint="cs"/>
          <w:rtl/>
        </w:rPr>
        <w:t xml:space="preserve"> משרד העלייה); במשרד הפנים; וכן ברשות לשיקום האסיר ובשירות המבחן שבמשרד הרווחה. נוסף על כך כללה ביקורת המעקב גם את הרשות לקידום מעמד האישה שבמשרד לשוויון חברתי וקידום מעמד האישה, שלא נכללה בביקורת הקודמת.</w:t>
      </w:r>
    </w:p>
    <w:p w14:paraId="05EBC411" w14:textId="77777777" w:rsidR="00817399" w:rsidRPr="002F2BC5" w:rsidRDefault="00817399" w:rsidP="00817399">
      <w:pPr>
        <w:spacing w:line="269" w:lineRule="auto"/>
        <w:rPr>
          <w:rtl/>
        </w:rPr>
      </w:pPr>
    </w:p>
    <w:p w14:paraId="40CD760D" w14:textId="77777777" w:rsidR="00817399" w:rsidRPr="002F2BC5" w:rsidRDefault="00817399" w:rsidP="00817399">
      <w:pPr>
        <w:spacing w:line="269" w:lineRule="auto"/>
        <w:rPr>
          <w:rtl/>
        </w:rPr>
      </w:pPr>
      <w:r w:rsidRPr="002F2BC5">
        <w:rPr>
          <w:rFonts w:hint="cs"/>
          <w:rtl/>
        </w:rPr>
        <w:t xml:space="preserve">יצוין כי בחלק מהנושאים שנכללו בביקורת המעקב נעשתה הרחבה של הבדיקה מעבר לביקורת הקודמת וכן נבדקו כמה נושאים חדשים שכלל לא נכללו בביקורת הקודמת. </w:t>
      </w:r>
      <w:r w:rsidRPr="002F2BC5">
        <w:rPr>
          <w:rFonts w:hint="eastAsia"/>
          <w:rtl/>
        </w:rPr>
        <w:t>לשם</w:t>
      </w:r>
      <w:r w:rsidRPr="002F2BC5">
        <w:rPr>
          <w:rtl/>
        </w:rPr>
        <w:t xml:space="preserve"> הנוחות, הביקורת שנעשתה בנושאים שכלל לא נכללו בביקורת הקודמת או שהבדיקה לגביהם הורחבה בהשוואה לביקורת הקודמת תיקרא להלן "הביקורת הנוכחית". </w:t>
      </w:r>
    </w:p>
    <w:p w14:paraId="25369B34" w14:textId="77777777" w:rsidR="00817399" w:rsidRPr="002F2BC5" w:rsidRDefault="00817399" w:rsidP="00817399">
      <w:pPr>
        <w:spacing w:line="269" w:lineRule="auto"/>
        <w:rPr>
          <w:rtl/>
        </w:rPr>
      </w:pPr>
    </w:p>
    <w:p w14:paraId="3AECE27F" w14:textId="77777777" w:rsidR="00817399" w:rsidRPr="002F2BC5" w:rsidRDefault="00817399" w:rsidP="00817399">
      <w:pPr>
        <w:spacing w:line="269" w:lineRule="auto"/>
        <w:rPr>
          <w:rtl/>
        </w:rPr>
        <w:sectPr w:rsidR="00817399" w:rsidRPr="002F2BC5" w:rsidSect="00B14D2A">
          <w:headerReference w:type="default" r:id="rId11"/>
          <w:headerReference w:type="first" r:id="rId12"/>
          <w:pgSz w:w="11906" w:h="16838"/>
          <w:pgMar w:top="1701" w:right="1984" w:bottom="1587" w:left="1701" w:header="709" w:footer="709" w:gutter="0"/>
          <w:cols w:space="708"/>
          <w:titlePg/>
          <w:bidi/>
          <w:rtlGutter/>
          <w:docGrid w:linePitch="360"/>
        </w:sectPr>
      </w:pPr>
      <w:r w:rsidRPr="002F2BC5">
        <w:rPr>
          <w:rtl/>
        </w:rPr>
        <w:t xml:space="preserve">להלן יוצגו נתונים כלליים </w:t>
      </w:r>
      <w:r w:rsidRPr="002F2BC5">
        <w:rPr>
          <w:rFonts w:hint="cs"/>
          <w:rtl/>
        </w:rPr>
        <w:t xml:space="preserve">ונתוני רקע לביקורת </w:t>
      </w:r>
      <w:r w:rsidRPr="002F2BC5">
        <w:rPr>
          <w:rtl/>
        </w:rPr>
        <w:t xml:space="preserve">על הרשויות המקומיות </w:t>
      </w:r>
      <w:r w:rsidRPr="002F2BC5">
        <w:rPr>
          <w:rFonts w:hint="cs"/>
          <w:rtl/>
        </w:rPr>
        <w:t>שנבדקו</w:t>
      </w:r>
      <w:r w:rsidRPr="002F2BC5">
        <w:rPr>
          <w:rtl/>
        </w:rPr>
        <w:t>:</w:t>
      </w:r>
    </w:p>
    <w:p w14:paraId="2CB9FC5A" w14:textId="77777777" w:rsidR="00817399" w:rsidRDefault="00817399" w:rsidP="00817399">
      <w:pPr>
        <w:pStyle w:val="a0"/>
        <w:spacing w:line="269" w:lineRule="auto"/>
        <w:rPr>
          <w:rtl/>
        </w:rPr>
      </w:pPr>
      <w:bookmarkStart w:id="58" w:name="_Toc192674046"/>
      <w:bookmarkStart w:id="59" w:name="_Hlk156460657"/>
      <w:r w:rsidRPr="002F2BC5">
        <w:rPr>
          <w:b w:val="0"/>
          <w:bCs w:val="0"/>
          <w:rtl/>
        </w:rPr>
        <w:lastRenderedPageBreak/>
        <w:t>:</w:t>
      </w:r>
      <w:r w:rsidRPr="002F2BC5">
        <w:rPr>
          <w:rtl/>
        </w:rPr>
        <w:t xml:space="preserve"> </w:t>
      </w:r>
      <w:r w:rsidRPr="002F2BC5">
        <w:rPr>
          <w:rFonts w:hint="eastAsia"/>
          <w:rtl/>
        </w:rPr>
        <w:t>הרשויות</w:t>
      </w:r>
      <w:r w:rsidRPr="002F2BC5">
        <w:rPr>
          <w:rtl/>
        </w:rPr>
        <w:t xml:space="preserve"> המקומיות שנבדקו - נתונים כלליים</w:t>
      </w:r>
      <w:r w:rsidRPr="002F2BC5">
        <w:rPr>
          <w:rFonts w:hint="cs"/>
          <w:rtl/>
        </w:rPr>
        <w:t xml:space="preserve"> ונתוני רקע לביקורת</w:t>
      </w:r>
      <w:bookmarkEnd w:id="58"/>
    </w:p>
    <w:p w14:paraId="7612D6D8" w14:textId="77777777" w:rsidR="00956B0F" w:rsidRPr="00956B0F" w:rsidRDefault="00956B0F" w:rsidP="00956B0F">
      <w:pPr>
        <w:rPr>
          <w:rtl/>
        </w:rPr>
      </w:pPr>
    </w:p>
    <w:bookmarkEnd w:id="59"/>
    <w:tbl>
      <w:tblPr>
        <w:bidiVisual/>
        <w:tblW w:w="15419" w:type="dxa"/>
        <w:jc w:val="center"/>
        <w:tblBorders>
          <w:insideH w:val="single" w:sz="12" w:space="0" w:color="F8F8F8"/>
        </w:tblBorders>
        <w:shd w:val="clear" w:color="auto" w:fill="FFFFFF" w:themeFill="background1"/>
        <w:tblLayout w:type="fixed"/>
        <w:tblCellMar>
          <w:left w:w="0" w:type="dxa"/>
          <w:right w:w="0" w:type="dxa"/>
        </w:tblCellMar>
        <w:tblLook w:val="04A0" w:firstRow="1" w:lastRow="0" w:firstColumn="1" w:lastColumn="0" w:noHBand="0" w:noVBand="1"/>
      </w:tblPr>
      <w:tblGrid>
        <w:gridCol w:w="510"/>
        <w:gridCol w:w="2098"/>
        <w:gridCol w:w="907"/>
        <w:gridCol w:w="1020"/>
        <w:gridCol w:w="907"/>
        <w:gridCol w:w="907"/>
        <w:gridCol w:w="907"/>
        <w:gridCol w:w="907"/>
        <w:gridCol w:w="907"/>
        <w:gridCol w:w="907"/>
        <w:gridCol w:w="907"/>
        <w:gridCol w:w="1020"/>
        <w:gridCol w:w="907"/>
        <w:gridCol w:w="850"/>
        <w:gridCol w:w="794"/>
        <w:gridCol w:w="964"/>
      </w:tblGrid>
      <w:tr w:rsidR="00817399" w:rsidRPr="002F2BC5" w14:paraId="0B9EDC0E" w14:textId="77777777" w:rsidTr="00B14D2A">
        <w:trPr>
          <w:trHeight w:hRule="exact" w:val="850"/>
          <w:jc w:val="center"/>
        </w:trPr>
        <w:tc>
          <w:tcPr>
            <w:tcW w:w="510" w:type="dxa"/>
            <w:tcBorders>
              <w:top w:val="nil"/>
              <w:left w:val="nil"/>
              <w:bottom w:val="single" w:sz="12" w:space="0" w:color="EEECE1" w:themeColor="background2"/>
              <w:right w:val="nil"/>
            </w:tcBorders>
            <w:shd w:val="clear" w:color="auto" w:fill="FFFFFF" w:themeFill="background1"/>
          </w:tcPr>
          <w:p w14:paraId="4BC9079E" w14:textId="77777777" w:rsidR="00817399" w:rsidRPr="002F2BC5" w:rsidRDefault="00817399" w:rsidP="00B14D2A">
            <w:pPr>
              <w:spacing w:line="269" w:lineRule="auto"/>
              <w:jc w:val="center"/>
              <w:rPr>
                <w:rFonts w:ascii="Tahoma" w:eastAsia="Times New Roman" w:hAnsi="Tahoma" w:cs="Tahoma"/>
                <w:color w:val="222222"/>
                <w:sz w:val="16"/>
                <w:szCs w:val="16"/>
                <w:lang w:eastAsia=""/>
              </w:rPr>
            </w:pPr>
          </w:p>
        </w:tc>
        <w:tc>
          <w:tcPr>
            <w:tcW w:w="2098" w:type="dxa"/>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14:paraId="7A3608A5" w14:textId="77777777" w:rsidR="00817399" w:rsidRPr="002F2BC5" w:rsidRDefault="00817399" w:rsidP="00B14D2A">
            <w:pPr>
              <w:spacing w:line="269" w:lineRule="auto"/>
              <w:jc w:val="center"/>
              <w:rPr>
                <w:rFonts w:ascii="Tahoma" w:eastAsia="Times New Roman" w:hAnsi="Tahoma" w:cs="Tahoma"/>
                <w:color w:val="222222"/>
                <w:sz w:val="16"/>
                <w:szCs w:val="16"/>
                <w:lang w:eastAsia=""/>
              </w:rPr>
            </w:pPr>
          </w:p>
        </w:tc>
        <w:tc>
          <w:tcPr>
            <w:tcW w:w="907" w:type="dxa"/>
            <w:tcBorders>
              <w:bottom w:val="single" w:sz="12" w:space="0" w:color="EEECE1" w:themeColor="background2"/>
            </w:tcBorders>
            <w:shd w:val="clear" w:color="auto" w:fill="FFFFFF" w:themeFill="background1"/>
            <w:tcMar>
              <w:top w:w="0" w:type="dxa"/>
              <w:left w:w="108" w:type="dxa"/>
              <w:bottom w:w="0" w:type="dxa"/>
              <w:right w:w="108" w:type="dxa"/>
            </w:tcMar>
            <w:vAlign w:val="bottom"/>
          </w:tcPr>
          <w:p w14:paraId="05F69064" w14:textId="77777777" w:rsidR="00817399" w:rsidRPr="002F2BC5" w:rsidRDefault="00817399" w:rsidP="00B14D2A">
            <w:pPr>
              <w:spacing w:line="269" w:lineRule="auto"/>
              <w:jc w:val="center"/>
              <w:rPr>
                <w:rFonts w:ascii="Tahoma" w:eastAsia="Times New Roman" w:hAnsi="Tahoma" w:cs="Tahoma"/>
                <w:b/>
                <w:bCs/>
                <w:color w:val="4F81BD" w:themeColor="accent1"/>
                <w:sz w:val="16"/>
                <w:szCs w:val="16"/>
                <w:rtl/>
                <w:lang w:eastAsia=""/>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בית שמש</w:t>
            </w:r>
          </w:p>
        </w:tc>
        <w:tc>
          <w:tcPr>
            <w:tcW w:w="1020" w:type="dxa"/>
            <w:tcBorders>
              <w:bottom w:val="single" w:sz="12" w:space="0" w:color="EEECE1" w:themeColor="background2"/>
            </w:tcBorders>
            <w:shd w:val="clear" w:color="auto" w:fill="FFFFFF" w:themeFill="background1"/>
            <w:tcMar>
              <w:top w:w="0" w:type="dxa"/>
              <w:left w:w="108" w:type="dxa"/>
              <w:bottom w:w="0" w:type="dxa"/>
              <w:right w:w="108" w:type="dxa"/>
            </w:tcMar>
            <w:vAlign w:val="bottom"/>
          </w:tcPr>
          <w:p w14:paraId="5F0DF5E9" w14:textId="77777777" w:rsidR="00817399" w:rsidRPr="002F2BC5" w:rsidRDefault="00817399" w:rsidP="00B14D2A">
            <w:pPr>
              <w:spacing w:line="269" w:lineRule="auto"/>
              <w:jc w:val="center"/>
              <w:rPr>
                <w:rFonts w:ascii="Tahoma" w:eastAsia="Times New Roman" w:hAnsi="Tahoma" w:cs="Tahoma"/>
                <w:b/>
                <w:bCs/>
                <w:color w:val="4F81BD" w:themeColor="accent1"/>
                <w:sz w:val="16"/>
                <w:szCs w:val="16"/>
                <w:lang w:eastAsia=""/>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בני ברק</w:t>
            </w:r>
          </w:p>
        </w:tc>
        <w:tc>
          <w:tcPr>
            <w:tcW w:w="907" w:type="dxa"/>
            <w:tcBorders>
              <w:bottom w:val="single" w:sz="12" w:space="0" w:color="EEECE1" w:themeColor="background2"/>
            </w:tcBorders>
            <w:shd w:val="clear" w:color="auto" w:fill="FFFFFF" w:themeFill="background1"/>
            <w:tcMar>
              <w:top w:w="0" w:type="dxa"/>
              <w:left w:w="108" w:type="dxa"/>
              <w:bottom w:w="0" w:type="dxa"/>
              <w:right w:w="108" w:type="dxa"/>
            </w:tcMar>
            <w:vAlign w:val="bottom"/>
          </w:tcPr>
          <w:p w14:paraId="359FE494" w14:textId="77777777" w:rsidR="00817399" w:rsidRPr="002F2BC5" w:rsidRDefault="00817399" w:rsidP="00B14D2A">
            <w:pPr>
              <w:spacing w:line="269" w:lineRule="auto"/>
              <w:jc w:val="center"/>
              <w:rPr>
                <w:rFonts w:ascii="Tahoma" w:eastAsia="Times New Roman" w:hAnsi="Tahoma" w:cs="Tahoma"/>
                <w:b/>
                <w:bCs/>
                <w:color w:val="4F81BD" w:themeColor="accent1"/>
                <w:sz w:val="16"/>
                <w:szCs w:val="16"/>
                <w:lang w:eastAsia=""/>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דימונה</w:t>
            </w:r>
          </w:p>
        </w:tc>
        <w:tc>
          <w:tcPr>
            <w:tcW w:w="907" w:type="dxa"/>
            <w:tcBorders>
              <w:bottom w:val="single" w:sz="12" w:space="0" w:color="EEECE1" w:themeColor="background2"/>
            </w:tcBorders>
            <w:shd w:val="clear" w:color="auto" w:fill="FFFFFF" w:themeFill="background1"/>
            <w:tcMar>
              <w:top w:w="0" w:type="dxa"/>
              <w:left w:w="108" w:type="dxa"/>
              <w:bottom w:w="0" w:type="dxa"/>
              <w:right w:w="108" w:type="dxa"/>
            </w:tcMar>
            <w:vAlign w:val="bottom"/>
          </w:tcPr>
          <w:p w14:paraId="5210E20C" w14:textId="77777777" w:rsidR="00817399" w:rsidRPr="002F2BC5" w:rsidRDefault="00817399" w:rsidP="00B14D2A">
            <w:pPr>
              <w:spacing w:line="269" w:lineRule="auto"/>
              <w:jc w:val="center"/>
              <w:rPr>
                <w:rFonts w:ascii="Tahoma" w:eastAsia="Times New Roman" w:hAnsi="Tahoma" w:cs="Tahoma"/>
                <w:b/>
                <w:bCs/>
                <w:color w:val="4F81BD" w:themeColor="accent1"/>
                <w:sz w:val="16"/>
                <w:szCs w:val="16"/>
                <w:lang w:eastAsia=""/>
              </w:rPr>
            </w:pPr>
            <w:r w:rsidRPr="002F2BC5">
              <w:rPr>
                <w:rFonts w:ascii="Tahoma" w:eastAsia="Times New Roman" w:hAnsi="Tahoma" w:cs="Tahoma"/>
                <w:b/>
                <w:bCs/>
                <w:color w:val="4472C4"/>
                <w:sz w:val="16"/>
                <w:szCs w:val="16"/>
                <w:rtl/>
              </w:rPr>
              <w:t>המועצה האזורית</w:t>
            </w:r>
            <w:r w:rsidRPr="002F2BC5">
              <w:rPr>
                <w:rFonts w:ascii="Tahoma" w:eastAsia="Times New Roman" w:hAnsi="Tahoma" w:cs="Tahoma"/>
                <w:b/>
                <w:bCs/>
                <w:color w:val="4472C4"/>
                <w:sz w:val="16"/>
                <w:szCs w:val="16"/>
                <w:rtl/>
              </w:rPr>
              <w:br/>
              <w:t>דרום השרון</w:t>
            </w:r>
          </w:p>
        </w:tc>
        <w:tc>
          <w:tcPr>
            <w:tcW w:w="907" w:type="dxa"/>
            <w:tcBorders>
              <w:bottom w:val="single" w:sz="12" w:space="0" w:color="EEECE1" w:themeColor="background2"/>
            </w:tcBorders>
            <w:shd w:val="clear" w:color="auto" w:fill="FFFFFF" w:themeFill="background1"/>
            <w:tcMar>
              <w:top w:w="0" w:type="dxa"/>
              <w:left w:w="108" w:type="dxa"/>
              <w:bottom w:w="0" w:type="dxa"/>
              <w:right w:w="108" w:type="dxa"/>
            </w:tcMar>
            <w:vAlign w:val="bottom"/>
          </w:tcPr>
          <w:p w14:paraId="6CBCCFDB" w14:textId="77777777" w:rsidR="00817399" w:rsidRPr="002F2BC5" w:rsidRDefault="00817399" w:rsidP="00B14D2A">
            <w:pPr>
              <w:spacing w:line="269" w:lineRule="auto"/>
              <w:jc w:val="center"/>
              <w:rPr>
                <w:rFonts w:ascii="Tahoma" w:hAnsi="Tahoma" w:cs="Tahoma"/>
                <w:b/>
                <w:bCs/>
                <w:color w:val="4472C4"/>
                <w:sz w:val="16"/>
                <w:szCs w:val="16"/>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חדרה</w:t>
            </w:r>
          </w:p>
        </w:tc>
        <w:tc>
          <w:tcPr>
            <w:tcW w:w="907" w:type="dxa"/>
            <w:tcBorders>
              <w:bottom w:val="single" w:sz="12" w:space="0" w:color="EEECE1" w:themeColor="background2"/>
            </w:tcBorders>
            <w:shd w:val="clear" w:color="auto" w:fill="FFFFFF" w:themeFill="background1"/>
            <w:vAlign w:val="bottom"/>
          </w:tcPr>
          <w:p w14:paraId="227EFB2C"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יבנה</w:t>
            </w:r>
          </w:p>
        </w:tc>
        <w:tc>
          <w:tcPr>
            <w:tcW w:w="907" w:type="dxa"/>
            <w:tcBorders>
              <w:bottom w:val="single" w:sz="12" w:space="0" w:color="EEECE1" w:themeColor="background2"/>
            </w:tcBorders>
            <w:shd w:val="clear" w:color="auto" w:fill="FFFFFF" w:themeFill="background1"/>
            <w:vAlign w:val="bottom"/>
          </w:tcPr>
          <w:p w14:paraId="7C768F23"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המועצה האזורית</w:t>
            </w:r>
            <w:r w:rsidRPr="002F2BC5">
              <w:rPr>
                <w:rFonts w:ascii="Tahoma" w:eastAsia="Times New Roman" w:hAnsi="Tahoma" w:cs="Tahoma"/>
                <w:b/>
                <w:bCs/>
                <w:color w:val="4472C4"/>
                <w:sz w:val="16"/>
                <w:szCs w:val="16"/>
                <w:rtl/>
              </w:rPr>
              <w:br/>
              <w:t>מטה יהודה</w:t>
            </w:r>
          </w:p>
        </w:tc>
        <w:tc>
          <w:tcPr>
            <w:tcW w:w="907" w:type="dxa"/>
            <w:tcBorders>
              <w:bottom w:val="single" w:sz="12" w:space="0" w:color="EEECE1" w:themeColor="background2"/>
            </w:tcBorders>
            <w:shd w:val="clear" w:color="auto" w:fill="FFFFFF" w:themeFill="background1"/>
            <w:vAlign w:val="bottom"/>
          </w:tcPr>
          <w:p w14:paraId="6B5E2ED8"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סח'נין</w:t>
            </w:r>
          </w:p>
        </w:tc>
        <w:tc>
          <w:tcPr>
            <w:tcW w:w="907" w:type="dxa"/>
            <w:tcBorders>
              <w:bottom w:val="single" w:sz="12" w:space="0" w:color="EEECE1" w:themeColor="background2"/>
            </w:tcBorders>
            <w:shd w:val="clear" w:color="auto" w:fill="FFFFFF" w:themeFill="background1"/>
            <w:vAlign w:val="bottom"/>
          </w:tcPr>
          <w:p w14:paraId="1737FB7F"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עכו</w:t>
            </w:r>
          </w:p>
        </w:tc>
        <w:tc>
          <w:tcPr>
            <w:tcW w:w="1020" w:type="dxa"/>
            <w:tcBorders>
              <w:bottom w:val="single" w:sz="12" w:space="0" w:color="EEECE1" w:themeColor="background2"/>
            </w:tcBorders>
            <w:shd w:val="clear" w:color="auto" w:fill="FFFFFF" w:themeFill="background1"/>
            <w:vAlign w:val="bottom"/>
          </w:tcPr>
          <w:p w14:paraId="59B807AF"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המועצה המקומית</w:t>
            </w:r>
            <w:r w:rsidRPr="002F2BC5">
              <w:rPr>
                <w:rFonts w:ascii="Tahoma" w:eastAsia="Times New Roman" w:hAnsi="Tahoma" w:cs="Tahoma"/>
                <w:b/>
                <w:bCs/>
                <w:color w:val="4472C4"/>
                <w:sz w:val="16"/>
                <w:szCs w:val="16"/>
                <w:rtl/>
              </w:rPr>
              <w:br/>
              <w:t>קדימה</w:t>
            </w:r>
            <w:r w:rsidRPr="002F2BC5">
              <w:rPr>
                <w:rFonts w:ascii="Tahoma" w:eastAsia="Times New Roman" w:hAnsi="Tahoma" w:cs="Tahoma" w:hint="cs"/>
                <w:b/>
                <w:bCs/>
                <w:color w:val="4472C4"/>
                <w:sz w:val="16"/>
                <w:szCs w:val="16"/>
                <w:rtl/>
              </w:rPr>
              <w:t>-</w:t>
            </w:r>
            <w:r w:rsidRPr="002F2BC5">
              <w:rPr>
                <w:rFonts w:ascii="Tahoma" w:eastAsia="Times New Roman" w:hAnsi="Tahoma" w:cs="Tahoma"/>
                <w:b/>
                <w:bCs/>
                <w:color w:val="4472C4"/>
                <w:sz w:val="16"/>
                <w:szCs w:val="16"/>
                <w:rtl/>
              </w:rPr>
              <w:t>צורן</w:t>
            </w:r>
          </w:p>
        </w:tc>
        <w:tc>
          <w:tcPr>
            <w:tcW w:w="907" w:type="dxa"/>
            <w:tcBorders>
              <w:bottom w:val="single" w:sz="12" w:space="0" w:color="EEECE1" w:themeColor="background2"/>
            </w:tcBorders>
            <w:shd w:val="clear" w:color="auto" w:fill="FFFFFF" w:themeFill="background1"/>
            <w:vAlign w:val="bottom"/>
          </w:tcPr>
          <w:p w14:paraId="040BA888"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קריית מלאכי</w:t>
            </w:r>
          </w:p>
        </w:tc>
        <w:tc>
          <w:tcPr>
            <w:tcW w:w="850" w:type="dxa"/>
            <w:tcBorders>
              <w:bottom w:val="single" w:sz="12" w:space="0" w:color="EEECE1" w:themeColor="background2"/>
            </w:tcBorders>
            <w:shd w:val="clear" w:color="auto" w:fill="FFFFFF" w:themeFill="background1"/>
            <w:vAlign w:val="bottom"/>
          </w:tcPr>
          <w:p w14:paraId="4E4D28B8"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ראש העין</w:t>
            </w:r>
          </w:p>
        </w:tc>
        <w:tc>
          <w:tcPr>
            <w:tcW w:w="794" w:type="dxa"/>
            <w:tcBorders>
              <w:bottom w:val="single" w:sz="12" w:space="0" w:color="EEECE1" w:themeColor="background2"/>
            </w:tcBorders>
            <w:shd w:val="clear" w:color="auto" w:fill="FFFFFF" w:themeFill="background1"/>
            <w:vAlign w:val="bottom"/>
          </w:tcPr>
          <w:p w14:paraId="01200758"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עיריית</w:t>
            </w:r>
            <w:r w:rsidRPr="002F2BC5">
              <w:rPr>
                <w:rFonts w:ascii="Tahoma" w:eastAsia="Times New Roman" w:hAnsi="Tahoma" w:cs="Tahoma"/>
                <w:b/>
                <w:bCs/>
                <w:color w:val="4472C4"/>
                <w:sz w:val="16"/>
                <w:szCs w:val="16"/>
                <w:rtl/>
              </w:rPr>
              <w:br/>
              <w:t>רהט</w:t>
            </w:r>
          </w:p>
        </w:tc>
        <w:tc>
          <w:tcPr>
            <w:tcW w:w="964" w:type="dxa"/>
            <w:tcBorders>
              <w:bottom w:val="single" w:sz="12" w:space="0" w:color="EEECE1" w:themeColor="background2"/>
            </w:tcBorders>
            <w:shd w:val="clear" w:color="auto" w:fill="FFFFFF" w:themeFill="background1"/>
            <w:vAlign w:val="bottom"/>
          </w:tcPr>
          <w:p w14:paraId="44C66F0B" w14:textId="77777777" w:rsidR="00817399" w:rsidRPr="002F2BC5" w:rsidRDefault="00817399" w:rsidP="00B14D2A">
            <w:pPr>
              <w:spacing w:line="269" w:lineRule="auto"/>
              <w:jc w:val="center"/>
              <w:rPr>
                <w:rFonts w:ascii="Tahoma" w:hAnsi="Tahoma" w:cs="Tahoma"/>
                <w:b/>
                <w:bCs/>
                <w:color w:val="4472C4"/>
                <w:sz w:val="16"/>
                <w:szCs w:val="16"/>
                <w:rtl/>
              </w:rPr>
            </w:pPr>
            <w:r w:rsidRPr="002F2BC5">
              <w:rPr>
                <w:rFonts w:ascii="Tahoma" w:eastAsia="Times New Roman" w:hAnsi="Tahoma" w:cs="Tahoma"/>
                <w:b/>
                <w:bCs/>
                <w:color w:val="4472C4"/>
                <w:sz w:val="16"/>
                <w:szCs w:val="16"/>
                <w:rtl/>
              </w:rPr>
              <w:t>המועצה המקומית</w:t>
            </w:r>
            <w:r w:rsidRPr="002F2BC5">
              <w:rPr>
                <w:rFonts w:ascii="Tahoma" w:eastAsia="Times New Roman" w:hAnsi="Tahoma" w:cs="Tahoma"/>
                <w:b/>
                <w:bCs/>
                <w:color w:val="4472C4"/>
                <w:sz w:val="16"/>
                <w:szCs w:val="16"/>
                <w:rtl/>
              </w:rPr>
              <w:br/>
              <w:t xml:space="preserve">שיבלי </w:t>
            </w:r>
            <w:r w:rsidRPr="002F2BC5">
              <w:rPr>
                <w:rFonts w:ascii="Tahoma" w:eastAsia="Times New Roman" w:hAnsi="Tahoma" w:cs="Tahoma" w:hint="cs"/>
                <w:b/>
                <w:bCs/>
                <w:color w:val="4472C4"/>
                <w:sz w:val="16"/>
                <w:szCs w:val="16"/>
                <w:rtl/>
              </w:rPr>
              <w:t>-</w:t>
            </w:r>
            <w:r w:rsidRPr="002F2BC5">
              <w:rPr>
                <w:rFonts w:ascii="Tahoma" w:eastAsia="Times New Roman" w:hAnsi="Tahoma" w:cs="Tahoma"/>
                <w:b/>
                <w:bCs/>
                <w:color w:val="4472C4"/>
                <w:sz w:val="16"/>
                <w:szCs w:val="16"/>
                <w:rtl/>
              </w:rPr>
              <w:t xml:space="preserve"> אום אל</w:t>
            </w:r>
            <w:r w:rsidRPr="002F2BC5">
              <w:rPr>
                <w:rFonts w:ascii="Tahoma" w:eastAsia="Times New Roman" w:hAnsi="Tahoma" w:cs="Tahoma" w:hint="cs"/>
                <w:b/>
                <w:bCs/>
                <w:color w:val="4472C4"/>
                <w:sz w:val="16"/>
                <w:szCs w:val="16"/>
                <w:rtl/>
              </w:rPr>
              <w:t>-</w:t>
            </w:r>
            <w:r w:rsidRPr="002F2BC5">
              <w:rPr>
                <w:rFonts w:ascii="Tahoma" w:eastAsia="Times New Roman" w:hAnsi="Tahoma" w:cs="Tahoma"/>
                <w:b/>
                <w:bCs/>
                <w:color w:val="4472C4"/>
                <w:sz w:val="16"/>
                <w:szCs w:val="16"/>
                <w:rtl/>
              </w:rPr>
              <w:t>ר'נם</w:t>
            </w:r>
          </w:p>
        </w:tc>
      </w:tr>
      <w:tr w:rsidR="00817399" w:rsidRPr="002F2BC5" w14:paraId="6E7B5027"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686CC8F8"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6B8F2BBA" wp14:editId="6E8D6897">
                  <wp:extent cx="259080" cy="259080"/>
                  <wp:effectExtent l="0" t="0" r="7620" b="762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pic:cNvPicPr>
                            <a:picLocks noChangeAspect="1" noChangeArrowheads="1"/>
                          </pic:cNvPicPr>
                        </pic:nvPicPr>
                        <pic:blipFill>
                          <a:blip r:embed="rId13"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3066C1AA"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 xml:space="preserve">מספר </w:t>
            </w:r>
            <w:r w:rsidRPr="002F2BC5">
              <w:rPr>
                <w:rFonts w:ascii="Tahoma" w:eastAsia="Times New Roman" w:hAnsi="Tahoma" w:cs="Tahoma"/>
                <w:color w:val="808080" w:themeColor="background1" w:themeShade="80"/>
                <w:sz w:val="16"/>
                <w:szCs w:val="16"/>
                <w:rtl/>
                <w:lang w:eastAsia=""/>
              </w:rPr>
              <w:br/>
            </w:r>
            <w:r w:rsidRPr="002F2BC5">
              <w:rPr>
                <w:rFonts w:ascii="Tahoma" w:eastAsia="Times New Roman" w:hAnsi="Tahoma" w:cs="Tahoma" w:hint="cs"/>
                <w:color w:val="808080" w:themeColor="background1" w:themeShade="80"/>
                <w:sz w:val="16"/>
                <w:szCs w:val="16"/>
                <w:rtl/>
                <w:lang w:eastAsia=""/>
              </w:rPr>
              <w:t>התושבים</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1205BF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154,694</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175F2D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218,357</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4F12A2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36,776</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2EAAEB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34,507</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03CE58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103,041</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B3E3BC5"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56,232</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6D87B23B" w14:textId="77777777" w:rsidR="00817399" w:rsidRPr="002F2BC5" w:rsidRDefault="00817399" w:rsidP="00B14D2A">
            <w:pPr>
              <w:spacing w:line="269" w:lineRule="auto"/>
              <w:jc w:val="center"/>
              <w:rPr>
                <w:rFonts w:ascii="Tahoma" w:eastAsia="Times New Roman" w:hAnsi="Tahoma" w:cs="Tahoma"/>
                <w:color w:val="222222"/>
                <w:sz w:val="16"/>
                <w:szCs w:val="16"/>
                <w:lang w:eastAsia=""/>
              </w:rPr>
            </w:pPr>
            <w:r w:rsidRPr="002F2BC5">
              <w:rPr>
                <w:rFonts w:ascii="Tahoma" w:eastAsia="Times New Roman" w:hAnsi="Tahoma" w:cs="Tahoma"/>
                <w:color w:val="222222"/>
                <w:sz w:val="16"/>
                <w:szCs w:val="16"/>
                <w:lang w:eastAsia=""/>
              </w:rPr>
              <w:t>62,881</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9CD6E15"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33,188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2904DDC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51,420</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3ABD772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23,220</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1902AA5"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25,705</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62C0C6D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73,678</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189A251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79,064</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6C8CBEA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6,370</w:t>
            </w:r>
          </w:p>
        </w:tc>
      </w:tr>
      <w:tr w:rsidR="00817399" w:rsidRPr="002F2BC5" w14:paraId="1EEE584D"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0BBEE4A1"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41F269F5" wp14:editId="0BD7B4A6">
                  <wp:extent cx="259080" cy="259080"/>
                  <wp:effectExtent l="0" t="0" r="7620" b="762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0"/>
                          <pic:cNvPicPr>
                            <a:picLocks noChangeAspect="1" noChangeArrowheads="1"/>
                          </pic:cNvPicPr>
                        </pic:nvPicPr>
                        <pic:blipFill>
                          <a:blip r:embed="rId14"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35559CBA"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 xml:space="preserve">אשכול </w:t>
            </w:r>
            <w:r w:rsidRPr="002F2BC5">
              <w:rPr>
                <w:rFonts w:ascii="Tahoma" w:eastAsia="Times New Roman" w:hAnsi="Tahoma" w:cs="Tahoma"/>
                <w:color w:val="808080" w:themeColor="background1" w:themeShade="80"/>
                <w:sz w:val="16"/>
                <w:szCs w:val="16"/>
                <w:rtl/>
                <w:lang w:eastAsia=""/>
              </w:rPr>
              <w:br/>
            </w: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חברתי-כלכלי</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06A53C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2</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A1DBD3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2</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1F07D0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4</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1F89F2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8</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9FE647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6</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4F605BF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7</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3EB57B9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7</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353D7D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4</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28BB6C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4</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54EFFD8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5DE334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3</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08631C9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7</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5D4BA95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2</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3AAD219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3</w:t>
            </w:r>
          </w:p>
        </w:tc>
      </w:tr>
      <w:tr w:rsidR="00817399" w:rsidRPr="002F2BC5" w14:paraId="4C05DCB5"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38BE4F86"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lang w:eastAsia=""/>
              </w:rPr>
            </w:pPr>
            <w:r w:rsidRPr="002F2BC5">
              <w:rPr>
                <w:noProof/>
              </w:rPr>
              <w:drawing>
                <wp:inline distT="0" distB="0" distL="0" distR="0" wp14:anchorId="6D39F335" wp14:editId="63342D37">
                  <wp:extent cx="259080" cy="259080"/>
                  <wp:effectExtent l="0" t="0" r="7620" b="762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r:embed="rId15"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77FDA171"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color w:val="808080" w:themeColor="background1" w:themeShade="80"/>
                <w:sz w:val="16"/>
                <w:szCs w:val="16"/>
                <w:rtl/>
                <w:lang w:eastAsia=""/>
              </w:rPr>
              <w:t xml:space="preserve">אשכול </w:t>
            </w:r>
            <w:r w:rsidRPr="002F2BC5">
              <w:rPr>
                <w:rFonts w:ascii="Tahoma" w:eastAsia="Times New Roman" w:hAnsi="Tahoma" w:cs="Tahoma"/>
                <w:color w:val="808080" w:themeColor="background1" w:themeShade="80"/>
                <w:sz w:val="16"/>
                <w:szCs w:val="16"/>
                <w:rtl/>
                <w:lang w:eastAsia=""/>
              </w:rPr>
              <w:br/>
            </w: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פריפריאליות</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8275D1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6</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92C257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10</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DA6DAD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2</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52741C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7</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E14366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6</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6878F59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7</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372CE1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6</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665A1F1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4</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2A67155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4</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4FAB551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6</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AED52E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6</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7D92ADE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8</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7F2566A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4</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58E1083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000000"/>
                <w:sz w:val="16"/>
                <w:szCs w:val="16"/>
                <w:rtl/>
              </w:rPr>
              <w:t>3</w:t>
            </w:r>
          </w:p>
        </w:tc>
      </w:tr>
      <w:tr w:rsidR="00817399" w:rsidRPr="002F2BC5" w14:paraId="0B2E1CD0"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17F0EFB6"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63B785A6" wp14:editId="128F1603">
                  <wp:extent cx="260985" cy="259080"/>
                  <wp:effectExtent l="0" t="0" r="5715" b="7620"/>
                  <wp:docPr id="2052770947" name="תמונה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8"/>
                          <pic:cNvPicPr>
                            <a:picLocks noChangeAspect="1" noChangeArrowheads="1"/>
                          </pic:cNvPicPr>
                        </pic:nvPicPr>
                        <pic:blipFill>
                          <a:blip r:embed="rId16"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1128D86F"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color w:val="808080" w:themeColor="background1" w:themeShade="80"/>
                <w:sz w:val="16"/>
                <w:szCs w:val="16"/>
                <w:rtl/>
                <w:lang w:eastAsia=""/>
              </w:rPr>
              <w:t xml:space="preserve">סיווג הרשות </w:t>
            </w:r>
          </w:p>
          <w:p w14:paraId="6703E074"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color w:val="808080" w:themeColor="background1" w:themeShade="80"/>
                <w:sz w:val="16"/>
                <w:szCs w:val="16"/>
                <w:rtl/>
                <w:lang w:eastAsia=""/>
              </w:rPr>
              <w:t>המקומית</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AC6C2F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ביניים</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6317A9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ביניים</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3396B1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יציבה</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CCE48F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איתנה</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0D11B7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איתנה</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11897B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יציבה</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3781841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יציבה</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EB4AE0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ביניים</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4846C2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ביניים</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1735DD87"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יציבה</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88030E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ביניים</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38E1C65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איתנה</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4883EEE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rtl/>
                <w:lang w:eastAsia=""/>
              </w:rPr>
              <w:t>ביניים</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0871A75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ביניים</w:t>
            </w:r>
          </w:p>
        </w:tc>
      </w:tr>
      <w:tr w:rsidR="00817399" w:rsidRPr="002F2BC5" w14:paraId="0D99F43F"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0314075F"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164C295D" wp14:editId="02DB9813">
                  <wp:extent cx="259080" cy="259080"/>
                  <wp:effectExtent l="0" t="0" r="7620" b="7620"/>
                  <wp:docPr id="2052770948" name="תמונה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2"/>
                          <pic:cNvPicPr>
                            <a:picLocks noChangeAspect="1" noChangeArrowheads="1"/>
                          </pic:cNvPicPr>
                        </pic:nvPicPr>
                        <pic:blipFill>
                          <a:blip r:embed="rId17"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326B76A5"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 xml:space="preserve">ביצוע </w:t>
            </w:r>
            <w:r w:rsidRPr="002F2BC5">
              <w:rPr>
                <w:rFonts w:ascii="Tahoma" w:eastAsia="Times New Roman" w:hAnsi="Tahoma" w:cs="Tahoma"/>
                <w:color w:val="808080" w:themeColor="background1" w:themeShade="80"/>
                <w:sz w:val="16"/>
                <w:szCs w:val="16"/>
                <w:rtl/>
                <w:lang w:eastAsia=""/>
              </w:rPr>
              <w:t>ה</w:t>
            </w: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כנסות</w:t>
            </w:r>
          </w:p>
          <w:p w14:paraId="5FB35515"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(באלפי ש"ח)</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DD3FFD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894,634</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90B971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1,929,998</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CAFB35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399,828</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B8082C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399,382</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C25C22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888,969</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F96B61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508,332</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3D4CC3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578,448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25AAA8C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260,164</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F18C0F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502,515</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13B091B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181,839</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7D1D65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269,346</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4819AE4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628,126</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1C40142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529,567</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615178F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54,766</w:t>
            </w:r>
          </w:p>
        </w:tc>
      </w:tr>
      <w:tr w:rsidR="00817399" w:rsidRPr="002F2BC5" w14:paraId="296198E9"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663BD2ED"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3D65C8B9" wp14:editId="04D2476A">
                  <wp:extent cx="259080" cy="259080"/>
                  <wp:effectExtent l="0" t="0" r="7620" b="7620"/>
                  <wp:docPr id="2052770949" name="תמונה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r:embed="rId18"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2017B739"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ביצוע ה</w:t>
            </w:r>
            <w:r w:rsidRPr="002F2BC5">
              <w:rPr>
                <w:rFonts w:ascii="Tahoma" w:eastAsia="Times New Roman" w:hAnsi="Tahoma" w:cs="Tahoma"/>
                <w:color w:val="808080" w:themeColor="background1" w:themeShade="80"/>
                <w:sz w:val="16"/>
                <w:szCs w:val="16"/>
                <w:rtl/>
                <w:lang w:eastAsia=""/>
              </w:rPr>
              <w:t>הוצאות</w:t>
            </w:r>
            <w:r w:rsidRPr="002F2BC5">
              <w:rPr>
                <w:rFonts w:ascii="Tahoma" w:eastAsia="Times New Roman" w:hAnsi="Tahoma" w:cs="Tahoma" w:hint="cs"/>
                <w:color w:val="808080" w:themeColor="background1" w:themeShade="80"/>
                <w:sz w:val="16"/>
                <w:szCs w:val="16"/>
                <w:rtl/>
                <w:lang w:eastAsia=""/>
              </w:rPr>
              <w:t xml:space="preserve"> </w:t>
            </w:r>
            <w:r w:rsidRPr="002F2BC5">
              <w:rPr>
                <w:rFonts w:ascii="Tahoma" w:eastAsia="Times New Roman" w:hAnsi="Tahoma" w:cs="Tahoma"/>
                <w:color w:val="808080" w:themeColor="background1" w:themeShade="80"/>
                <w:sz w:val="16"/>
                <w:szCs w:val="16"/>
                <w:rtl/>
                <w:lang w:eastAsia=""/>
              </w:rPr>
              <w:br/>
            </w:r>
            <w:r w:rsidRPr="002F2BC5">
              <w:rPr>
                <w:rFonts w:ascii="Tahoma" w:eastAsia="Times New Roman" w:hAnsi="Tahoma" w:cs="Tahoma" w:hint="cs"/>
                <w:color w:val="808080" w:themeColor="background1" w:themeShade="80"/>
                <w:sz w:val="16"/>
                <w:szCs w:val="16"/>
                <w:rtl/>
                <w:lang w:eastAsia=""/>
              </w:rPr>
              <w:t>(באלפי ש"ח)</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8DCD97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909,685</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B8FFA0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1,941,818</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D76ECA7"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417,800</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166198E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399,251</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933FF1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888,168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ACE8E3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507,879</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131D06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580,818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6F15011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260,117</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3D8C5D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502,735</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7E2AF51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187,931</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10861D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275,188</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499E7F3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613,998</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6082984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529,567</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0D199479" w14:textId="77777777" w:rsidR="00817399" w:rsidRPr="002F2BC5" w:rsidRDefault="00817399" w:rsidP="00B14D2A">
            <w:pPr>
              <w:spacing w:line="269" w:lineRule="auto"/>
              <w:jc w:val="center"/>
              <w:rPr>
                <w:rFonts w:ascii="Tahoma" w:eastAsia="Times New Roman" w:hAnsi="Tahoma" w:cs="Tahoma"/>
                <w:color w:val="222222"/>
                <w:sz w:val="16"/>
                <w:szCs w:val="16"/>
                <w:lang w:eastAsia=""/>
              </w:rPr>
            </w:pPr>
            <w:r w:rsidRPr="002F2BC5">
              <w:rPr>
                <w:rFonts w:ascii="Tahoma" w:eastAsia="Times New Roman" w:hAnsi="Tahoma" w:cs="Tahoma"/>
                <w:color w:val="222222"/>
                <w:sz w:val="16"/>
                <w:szCs w:val="16"/>
                <w:lang w:eastAsia=""/>
              </w:rPr>
              <w:t>60,427</w:t>
            </w:r>
          </w:p>
        </w:tc>
      </w:tr>
      <w:tr w:rsidR="00817399" w:rsidRPr="002F2BC5" w14:paraId="2B724740"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2033E9E7"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120A6EB3" wp14:editId="35457D8E">
                  <wp:extent cx="259080" cy="259080"/>
                  <wp:effectExtent l="0" t="0" r="7620" b="7620"/>
                  <wp:docPr id="2052770953" name="תמונה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9"/>
                          <pic:cNvPicPr>
                            <a:picLocks noChangeAspect="1" noChangeArrowheads="1"/>
                          </pic:cNvPicPr>
                        </pic:nvPicPr>
                        <pic:blipFill>
                          <a:blip r:embed="rId19"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02A112CC"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עודף (</w:t>
            </w:r>
            <w:r w:rsidRPr="002F2BC5">
              <w:rPr>
                <w:rFonts w:ascii="Tahoma" w:eastAsia="Times New Roman" w:hAnsi="Tahoma" w:cs="Tahoma" w:hint="cs"/>
                <w:color w:val="808080" w:themeColor="background1" w:themeShade="80"/>
                <w:sz w:val="16"/>
                <w:szCs w:val="16"/>
                <w:rtl/>
                <w:lang w:eastAsia=""/>
              </w:rPr>
              <w:t>או ה</w:t>
            </w:r>
            <w:r w:rsidRPr="002F2BC5">
              <w:rPr>
                <w:rFonts w:ascii="Tahoma" w:eastAsia="Times New Roman" w:hAnsi="Tahoma" w:cs="Tahoma"/>
                <w:color w:val="808080" w:themeColor="background1" w:themeShade="80"/>
                <w:sz w:val="16"/>
                <w:szCs w:val="16"/>
                <w:rtl/>
                <w:lang w:eastAsia=""/>
              </w:rPr>
              <w:t>ג</w:t>
            </w:r>
            <w:r w:rsidRPr="002F2BC5">
              <w:rPr>
                <w:rFonts w:ascii="Tahoma" w:eastAsia="Times New Roman" w:hAnsi="Tahoma" w:cs="Tahoma" w:hint="cs"/>
                <w:color w:val="808080" w:themeColor="background1" w:themeShade="80"/>
                <w:sz w:val="16"/>
                <w:szCs w:val="16"/>
                <w:rtl/>
                <w:lang w:eastAsia=""/>
              </w:rPr>
              <w:t>י</w:t>
            </w:r>
            <w:r w:rsidRPr="002F2BC5">
              <w:rPr>
                <w:rFonts w:ascii="Tahoma" w:eastAsia="Times New Roman" w:hAnsi="Tahoma" w:cs="Tahoma"/>
                <w:color w:val="808080" w:themeColor="background1" w:themeShade="80"/>
                <w:sz w:val="16"/>
                <w:szCs w:val="16"/>
                <w:rtl/>
                <w:lang w:eastAsia=""/>
              </w:rPr>
              <w:t xml:space="preserve">רעון) </w:t>
            </w: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שוטף</w:t>
            </w:r>
            <w:r w:rsidRPr="002F2BC5">
              <w:rPr>
                <w:rFonts w:ascii="Tahoma" w:eastAsia="Times New Roman" w:hAnsi="Tahoma" w:cs="Tahoma" w:hint="cs"/>
                <w:color w:val="808080" w:themeColor="background1" w:themeShade="80"/>
                <w:sz w:val="16"/>
                <w:szCs w:val="16"/>
                <w:rtl/>
                <w:lang w:eastAsia=""/>
              </w:rPr>
              <w:t xml:space="preserve"> (באלפי ש"ח)</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85AC15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(15,051)</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CB857B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(11,820)</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70AC78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(17,972)</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3944B2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131</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B14B05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801</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63BF211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453</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3665AE3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(2,370)</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5D8A68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47</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37883C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(220)</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11630AF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(6,092)</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FA91BC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(5,842)</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359C281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14,128</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42B9EE8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7201003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(5,661)</w:t>
            </w:r>
          </w:p>
        </w:tc>
      </w:tr>
      <w:tr w:rsidR="00817399" w:rsidRPr="002F2BC5" w14:paraId="622597E0"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5A243319"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45EE70B9" wp14:editId="676755A0">
                  <wp:extent cx="260985" cy="259080"/>
                  <wp:effectExtent l="0" t="0" r="5715" b="7620"/>
                  <wp:docPr id="2052770954" name="תמונה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7"/>
                          <pic:cNvPicPr>
                            <a:picLocks noChangeAspect="1" noChangeArrowheads="1"/>
                          </pic:cNvPicPr>
                        </pic:nvPicPr>
                        <pic:blipFill>
                          <a:blip r:embed="rId20"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39C91F8C"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עודף (</w:t>
            </w:r>
            <w:r w:rsidRPr="002F2BC5">
              <w:rPr>
                <w:rFonts w:ascii="Tahoma" w:eastAsia="Times New Roman" w:hAnsi="Tahoma" w:cs="Tahoma" w:hint="cs"/>
                <w:color w:val="808080" w:themeColor="background1" w:themeShade="80"/>
                <w:sz w:val="16"/>
                <w:szCs w:val="16"/>
                <w:rtl/>
                <w:lang w:eastAsia=""/>
              </w:rPr>
              <w:t>או ה</w:t>
            </w:r>
            <w:r w:rsidRPr="002F2BC5">
              <w:rPr>
                <w:rFonts w:ascii="Tahoma" w:eastAsia="Times New Roman" w:hAnsi="Tahoma" w:cs="Tahoma"/>
                <w:color w:val="808080" w:themeColor="background1" w:themeShade="80"/>
                <w:sz w:val="16"/>
                <w:szCs w:val="16"/>
                <w:rtl/>
                <w:lang w:eastAsia=""/>
              </w:rPr>
              <w:t>ג</w:t>
            </w:r>
            <w:r w:rsidRPr="002F2BC5">
              <w:rPr>
                <w:rFonts w:ascii="Tahoma" w:eastAsia="Times New Roman" w:hAnsi="Tahoma" w:cs="Tahoma" w:hint="cs"/>
                <w:color w:val="808080" w:themeColor="background1" w:themeShade="80"/>
                <w:sz w:val="16"/>
                <w:szCs w:val="16"/>
                <w:rtl/>
                <w:lang w:eastAsia=""/>
              </w:rPr>
              <w:t>י</w:t>
            </w:r>
            <w:r w:rsidRPr="002F2BC5">
              <w:rPr>
                <w:rFonts w:ascii="Tahoma" w:eastAsia="Times New Roman" w:hAnsi="Tahoma" w:cs="Tahoma"/>
                <w:color w:val="808080" w:themeColor="background1" w:themeShade="80"/>
                <w:sz w:val="16"/>
                <w:szCs w:val="16"/>
                <w:rtl/>
                <w:lang w:eastAsia=""/>
              </w:rPr>
              <w:t xml:space="preserve">רעון) </w:t>
            </w: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מצטבר</w:t>
            </w:r>
            <w:r w:rsidRPr="002F2BC5">
              <w:rPr>
                <w:rFonts w:ascii="Tahoma" w:eastAsia="Times New Roman" w:hAnsi="Tahoma" w:cs="Tahoma" w:hint="cs"/>
                <w:color w:val="808080" w:themeColor="background1" w:themeShade="80"/>
                <w:sz w:val="16"/>
                <w:szCs w:val="16"/>
                <w:rtl/>
                <w:lang w:eastAsia=""/>
              </w:rPr>
              <w:t xml:space="preserve"> (באלפי ש"ח)</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3CC130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(87,373)</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703C7B7"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(120,839)</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711AA3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(24,666)</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BBB1D9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1,011</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46B63D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(91,015)</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66E18F6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(13,521)</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6478F5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(43,975)</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3253523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107</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41864F8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(48,383)</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58A549A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(12,769)</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80674B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(24,094)</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0AB75D8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52,339</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378CCD5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8,345</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2FAEDB7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(10,380)</w:t>
            </w:r>
          </w:p>
        </w:tc>
      </w:tr>
      <w:tr w:rsidR="00817399" w:rsidRPr="002F2BC5" w14:paraId="58BA7497" w14:textId="77777777" w:rsidTr="00B14D2A">
        <w:trPr>
          <w:trHeight w:hRule="exact" w:val="567"/>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5740690E" w14:textId="77777777" w:rsidR="00817399" w:rsidRPr="002F2BC5" w:rsidRDefault="00817399" w:rsidP="00B14D2A">
            <w:pPr>
              <w:spacing w:line="269" w:lineRule="auto"/>
              <w:jc w:val="center"/>
              <w:rPr>
                <w:rFonts w:ascii="Tahoma" w:eastAsia="Times New Roman" w:hAnsi="Tahoma" w:cs="Tahoma"/>
                <w:color w:val="A6A6A6" w:themeColor="background1" w:themeShade="A6"/>
                <w:sz w:val="16"/>
                <w:szCs w:val="16"/>
                <w:rtl/>
                <w:lang w:eastAsia=""/>
              </w:rPr>
            </w:pPr>
            <w:r w:rsidRPr="002F2BC5">
              <w:rPr>
                <w:noProof/>
              </w:rPr>
              <w:drawing>
                <wp:inline distT="0" distB="0" distL="0" distR="0" wp14:anchorId="024CD4F6" wp14:editId="5892A22E">
                  <wp:extent cx="259080" cy="259080"/>
                  <wp:effectExtent l="0" t="0" r="7620" b="762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3"/>
                          <pic:cNvPicPr>
                            <a:picLocks noChangeAspect="1" noChangeArrowheads="1"/>
                          </pic:cNvPicPr>
                        </pic:nvPicPr>
                        <pic:blipFill>
                          <a:blip r:embed="rId21"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14:paraId="5D0B2184"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color w:val="808080" w:themeColor="background1" w:themeShade="80"/>
                <w:sz w:val="16"/>
                <w:szCs w:val="16"/>
                <w:rtl/>
                <w:lang w:eastAsia=""/>
              </w:rPr>
              <w:t xml:space="preserve">שיעור </w:t>
            </w: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גירעון</w:t>
            </w:r>
            <w:r w:rsidRPr="002F2BC5">
              <w:rPr>
                <w:rFonts w:ascii="Tahoma" w:eastAsia="Times New Roman" w:hAnsi="Tahoma" w:cs="Tahoma"/>
                <w:color w:val="808080" w:themeColor="background1" w:themeShade="80"/>
                <w:sz w:val="16"/>
                <w:szCs w:val="16"/>
                <w:rtl/>
                <w:lang w:eastAsia=""/>
              </w:rPr>
              <w:br/>
            </w:r>
            <w:r w:rsidRPr="002F2BC5">
              <w:rPr>
                <w:rFonts w:ascii="Tahoma" w:eastAsia="Times New Roman" w:hAnsi="Tahoma" w:cs="Tahoma" w:hint="cs"/>
                <w:color w:val="808080" w:themeColor="background1" w:themeShade="80"/>
                <w:sz w:val="16"/>
                <w:szCs w:val="16"/>
                <w:rtl/>
                <w:lang w:eastAsia=""/>
              </w:rPr>
              <w:t>ה</w:t>
            </w:r>
            <w:r w:rsidRPr="002F2BC5">
              <w:rPr>
                <w:rFonts w:ascii="Tahoma" w:eastAsia="Times New Roman" w:hAnsi="Tahoma" w:cs="Tahoma"/>
                <w:color w:val="808080" w:themeColor="background1" w:themeShade="80"/>
                <w:sz w:val="16"/>
                <w:szCs w:val="16"/>
                <w:rtl/>
                <w:lang w:eastAsia=""/>
              </w:rPr>
              <w:t>מצטבר</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F11A038"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10.5%</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23C40F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7.2%</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C94F52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6.5%</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98EE16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96A9B7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11.0%</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9DA022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B91BD0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7.8%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10CAE9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E92F84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10.4%</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474A92D5"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7.1%</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2EFC3A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9.4%</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1332BCE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1C86E4A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7DFFC877"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18.0%</w:t>
            </w:r>
          </w:p>
        </w:tc>
      </w:tr>
      <w:tr w:rsidR="00817399" w:rsidRPr="002F2BC5" w14:paraId="141C6D93" w14:textId="77777777" w:rsidTr="00B14D2A">
        <w:trPr>
          <w:trHeight w:hRule="exact" w:val="964"/>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0417AC56" w14:textId="77777777" w:rsidR="00817399" w:rsidRPr="002F2BC5" w:rsidRDefault="00817399" w:rsidP="00B14D2A">
            <w:pPr>
              <w:spacing w:line="269" w:lineRule="auto"/>
              <w:jc w:val="center"/>
              <w:rPr>
                <w:noProof/>
              </w:rPr>
            </w:pP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14:paraId="1B3B0CCD"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eastAsia"/>
                <w:color w:val="808080" w:themeColor="background1" w:themeShade="80"/>
                <w:sz w:val="16"/>
                <w:szCs w:val="16"/>
                <w:rtl/>
                <w:lang w:eastAsia=""/>
              </w:rPr>
              <w:t>מספר</w:t>
            </w:r>
            <w:r w:rsidRPr="002F2BC5">
              <w:rPr>
                <w:rFonts w:ascii="Tahoma" w:eastAsia="Times New Roman" w:hAnsi="Tahoma" w:cs="Tahoma"/>
                <w:color w:val="808080" w:themeColor="background1" w:themeShade="80"/>
                <w:sz w:val="16"/>
                <w:szCs w:val="16"/>
                <w:rtl/>
                <w:lang w:eastAsia=""/>
              </w:rPr>
              <w:t xml:space="preserve"> בעלי נזקקות </w:t>
            </w:r>
            <w:r w:rsidRPr="002F2BC5">
              <w:rPr>
                <w:rFonts w:ascii="Tahoma" w:eastAsia="Times New Roman" w:hAnsi="Tahoma" w:cs="Tahoma" w:hint="eastAsia"/>
                <w:color w:val="808080" w:themeColor="background1" w:themeShade="80"/>
                <w:sz w:val="16"/>
                <w:szCs w:val="16"/>
                <w:rtl/>
                <w:lang w:eastAsia=""/>
              </w:rPr>
              <w:t>בתחום</w:t>
            </w:r>
            <w:r w:rsidRPr="002F2BC5">
              <w:rPr>
                <w:rFonts w:ascii="Tahoma" w:eastAsia="Times New Roman" w:hAnsi="Tahoma" w:cs="Tahoma"/>
                <w:color w:val="808080" w:themeColor="background1" w:themeShade="80"/>
                <w:sz w:val="16"/>
                <w:szCs w:val="16"/>
                <w:rtl/>
                <w:lang w:eastAsia=""/>
              </w:rPr>
              <w:t xml:space="preserve"> האלימות במשפחה הרשומים במחלקות </w:t>
            </w:r>
            <w:r w:rsidRPr="002F2BC5">
              <w:rPr>
                <w:rFonts w:ascii="Tahoma" w:eastAsia="Times New Roman" w:hAnsi="Tahoma" w:cs="Tahoma" w:hint="eastAsia"/>
                <w:color w:val="808080" w:themeColor="background1" w:themeShade="80"/>
                <w:sz w:val="16"/>
                <w:szCs w:val="16"/>
                <w:rtl/>
                <w:lang w:eastAsia=""/>
              </w:rPr>
              <w:t>לשירותים</w:t>
            </w:r>
            <w:r w:rsidRPr="002F2BC5">
              <w:rPr>
                <w:rFonts w:ascii="Tahoma" w:eastAsia="Times New Roman" w:hAnsi="Tahoma" w:cs="Tahoma"/>
                <w:color w:val="808080" w:themeColor="background1" w:themeShade="80"/>
                <w:sz w:val="16"/>
                <w:szCs w:val="16"/>
                <w:rtl/>
                <w:lang w:eastAsia=""/>
              </w:rPr>
              <w:t xml:space="preserve"> </w:t>
            </w:r>
            <w:r w:rsidRPr="002F2BC5">
              <w:rPr>
                <w:rFonts w:ascii="Tahoma" w:eastAsia="Times New Roman" w:hAnsi="Tahoma" w:cs="Tahoma" w:hint="eastAsia"/>
                <w:color w:val="808080" w:themeColor="background1" w:themeShade="80"/>
                <w:sz w:val="16"/>
                <w:szCs w:val="16"/>
                <w:rtl/>
                <w:lang w:eastAsia=""/>
              </w:rPr>
              <w:t>חברתיים</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366D8B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563</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B9569F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634</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E0F992E" w14:textId="77777777" w:rsidR="00817399" w:rsidRPr="002F2BC5" w:rsidRDefault="00817399" w:rsidP="00B14D2A">
            <w:pPr>
              <w:spacing w:line="269" w:lineRule="auto"/>
              <w:jc w:val="center"/>
              <w:rPr>
                <w:rFonts w:ascii="Tahoma" w:eastAsia="Times New Roman" w:hAnsi="Tahoma" w:cs="Tahoma"/>
                <w:color w:val="222222"/>
                <w:sz w:val="16"/>
                <w:szCs w:val="16"/>
                <w:lang w:eastAsia=""/>
              </w:rPr>
            </w:pPr>
            <w:r w:rsidRPr="002F2BC5">
              <w:rPr>
                <w:rFonts w:ascii="Tahoma" w:eastAsia="Times New Roman" w:hAnsi="Tahoma" w:cs="Tahoma"/>
                <w:color w:val="222222"/>
                <w:sz w:val="16"/>
                <w:szCs w:val="16"/>
                <w:lang w:eastAsia=""/>
              </w:rPr>
              <w:t>134</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77428C5"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94</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0E4CC3B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556</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31FE100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170</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AB9219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173</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2B49E01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139</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4C279EF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271</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270A28D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60</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4BCCD7E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245</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0C82B98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340</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0E14C51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color w:val="222222"/>
                <w:sz w:val="16"/>
                <w:szCs w:val="16"/>
                <w:lang w:eastAsia=""/>
              </w:rPr>
              <w:t>2,013</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4DD8E029" w14:textId="77777777" w:rsidR="00817399" w:rsidRPr="002F2BC5" w:rsidRDefault="00817399" w:rsidP="00B14D2A">
            <w:pPr>
              <w:spacing w:line="269" w:lineRule="auto"/>
              <w:jc w:val="center"/>
              <w:rPr>
                <w:rFonts w:ascii="Tahoma" w:eastAsia="Times New Roman" w:hAnsi="Tahoma" w:cs="Tahoma"/>
                <w:color w:val="222222"/>
                <w:sz w:val="16"/>
                <w:szCs w:val="16"/>
                <w:lang w:eastAsia=""/>
              </w:rPr>
            </w:pPr>
            <w:r w:rsidRPr="002F2BC5">
              <w:rPr>
                <w:rFonts w:ascii="Tahoma" w:eastAsia="Times New Roman" w:hAnsi="Tahoma" w:cs="Tahoma"/>
                <w:color w:val="222222"/>
                <w:sz w:val="16"/>
                <w:szCs w:val="16"/>
                <w:lang w:eastAsia=""/>
              </w:rPr>
              <w:t>71</w:t>
            </w:r>
          </w:p>
        </w:tc>
      </w:tr>
      <w:tr w:rsidR="00817399" w:rsidRPr="002F2BC5" w14:paraId="5D99F143" w14:textId="77777777" w:rsidTr="00B14D2A">
        <w:trPr>
          <w:trHeight w:hRule="exact" w:val="680"/>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21A44A5D" w14:textId="77777777" w:rsidR="00817399" w:rsidRPr="002F2BC5" w:rsidRDefault="00817399" w:rsidP="00B14D2A">
            <w:pPr>
              <w:spacing w:line="269" w:lineRule="auto"/>
              <w:jc w:val="center"/>
              <w:rPr>
                <w:noProof/>
              </w:rPr>
            </w:pP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14:paraId="36C5A0D6"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מספר המטופלים במרכז לטיפול ומניעת אלימות במשפחה</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6B7FD6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217</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B81DD3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127</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7011788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39</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6949A72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36</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499FB5A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294</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F099481"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88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7D92C67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32</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2D5C15E"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130</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D67F4B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85</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7823C17C"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0EC29AF3"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41</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5ABF1B2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141</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70811D20"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400</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244747C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w:t>
            </w:r>
          </w:p>
        </w:tc>
      </w:tr>
      <w:tr w:rsidR="00817399" w:rsidRPr="002F2BC5" w14:paraId="5DF2D4A4" w14:textId="77777777" w:rsidTr="00B14D2A">
        <w:trPr>
          <w:trHeight w:hRule="exact" w:val="680"/>
          <w:jc w:val="center"/>
        </w:trPr>
        <w:tc>
          <w:tcPr>
            <w:tcW w:w="510" w:type="dxa"/>
            <w:tcBorders>
              <w:top w:val="single" w:sz="12" w:space="0" w:color="EEECE1" w:themeColor="background2"/>
              <w:left w:val="nil"/>
              <w:bottom w:val="single" w:sz="12" w:space="0" w:color="EEECE1" w:themeColor="background2"/>
              <w:right w:val="nil"/>
            </w:tcBorders>
            <w:shd w:val="clear" w:color="auto" w:fill="F0F6FE"/>
            <w:vAlign w:val="center"/>
          </w:tcPr>
          <w:p w14:paraId="75C99238" w14:textId="77777777" w:rsidR="00817399" w:rsidRPr="002F2BC5" w:rsidRDefault="00817399" w:rsidP="00B14D2A">
            <w:pPr>
              <w:spacing w:line="269" w:lineRule="auto"/>
              <w:jc w:val="center"/>
              <w:rPr>
                <w:noProof/>
              </w:rPr>
            </w:pPr>
          </w:p>
        </w:tc>
        <w:tc>
          <w:tcPr>
            <w:tcW w:w="2098"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14:paraId="50FB6A59" w14:textId="77777777" w:rsidR="00817399" w:rsidRPr="002F2BC5" w:rsidRDefault="00817399" w:rsidP="00B14D2A">
            <w:pPr>
              <w:spacing w:line="269" w:lineRule="auto"/>
              <w:jc w:val="left"/>
              <w:rPr>
                <w:rFonts w:ascii="Tahoma" w:eastAsia="Times New Roman" w:hAnsi="Tahoma" w:cs="Tahoma"/>
                <w:color w:val="808080" w:themeColor="background1" w:themeShade="80"/>
                <w:sz w:val="16"/>
                <w:szCs w:val="16"/>
                <w:rtl/>
                <w:lang w:eastAsia=""/>
              </w:rPr>
            </w:pPr>
            <w:r w:rsidRPr="002F2BC5">
              <w:rPr>
                <w:rFonts w:ascii="Tahoma" w:eastAsia="Times New Roman" w:hAnsi="Tahoma" w:cs="Tahoma" w:hint="cs"/>
                <w:color w:val="808080" w:themeColor="background1" w:themeShade="80"/>
                <w:sz w:val="16"/>
                <w:szCs w:val="16"/>
                <w:rtl/>
                <w:lang w:eastAsia=""/>
              </w:rPr>
              <w:t>תיקי חקירה בגין עבירות אלימות בין בני זוג</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82BC9D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208</w:t>
            </w:r>
          </w:p>
        </w:tc>
        <w:tc>
          <w:tcPr>
            <w:tcW w:w="102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2EB6ACB"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162</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3C6CA2DF"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264</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2EB1168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w:t>
            </w:r>
          </w:p>
        </w:tc>
        <w:tc>
          <w:tcPr>
            <w:tcW w:w="907"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14:paraId="5ABA5139"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287</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38CACE2D"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118</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7545F5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0</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5ADAD2B7"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52</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17D29A36"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223</w:t>
            </w:r>
          </w:p>
        </w:tc>
        <w:tc>
          <w:tcPr>
            <w:tcW w:w="1020" w:type="dxa"/>
            <w:tcBorders>
              <w:top w:val="single" w:sz="12" w:space="0" w:color="EEECE1" w:themeColor="background2"/>
              <w:bottom w:val="single" w:sz="12" w:space="0" w:color="EEECE1" w:themeColor="background2"/>
            </w:tcBorders>
            <w:shd w:val="clear" w:color="auto" w:fill="FFFFFF" w:themeFill="background1"/>
            <w:vAlign w:val="center"/>
          </w:tcPr>
          <w:p w14:paraId="0572DA65"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33</w:t>
            </w:r>
          </w:p>
        </w:tc>
        <w:tc>
          <w:tcPr>
            <w:tcW w:w="907" w:type="dxa"/>
            <w:tcBorders>
              <w:top w:val="single" w:sz="12" w:space="0" w:color="EEECE1" w:themeColor="background2"/>
              <w:bottom w:val="single" w:sz="12" w:space="0" w:color="EEECE1" w:themeColor="background2"/>
            </w:tcBorders>
            <w:shd w:val="clear" w:color="auto" w:fill="FFFFFF" w:themeFill="background1"/>
            <w:vAlign w:val="center"/>
          </w:tcPr>
          <w:p w14:paraId="223100D4"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132</w:t>
            </w:r>
          </w:p>
        </w:tc>
        <w:tc>
          <w:tcPr>
            <w:tcW w:w="850" w:type="dxa"/>
            <w:tcBorders>
              <w:top w:val="single" w:sz="12" w:space="0" w:color="EEECE1" w:themeColor="background2"/>
              <w:bottom w:val="single" w:sz="12" w:space="0" w:color="EEECE1" w:themeColor="background2"/>
            </w:tcBorders>
            <w:shd w:val="clear" w:color="auto" w:fill="FFFFFF" w:themeFill="background1"/>
            <w:vAlign w:val="center"/>
          </w:tcPr>
          <w:p w14:paraId="4CF977F7"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140</w:t>
            </w:r>
          </w:p>
        </w:tc>
        <w:tc>
          <w:tcPr>
            <w:tcW w:w="794" w:type="dxa"/>
            <w:tcBorders>
              <w:top w:val="single" w:sz="12" w:space="0" w:color="EEECE1" w:themeColor="background2"/>
              <w:bottom w:val="single" w:sz="12" w:space="0" w:color="EEECE1" w:themeColor="background2"/>
            </w:tcBorders>
            <w:shd w:val="clear" w:color="auto" w:fill="FFFFFF" w:themeFill="background1"/>
            <w:vAlign w:val="center"/>
          </w:tcPr>
          <w:p w14:paraId="197C2C5A"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95</w:t>
            </w:r>
          </w:p>
        </w:tc>
        <w:tc>
          <w:tcPr>
            <w:tcW w:w="964" w:type="dxa"/>
            <w:tcBorders>
              <w:top w:val="single" w:sz="12" w:space="0" w:color="EEECE1" w:themeColor="background2"/>
              <w:bottom w:val="single" w:sz="12" w:space="0" w:color="EEECE1" w:themeColor="background2"/>
            </w:tcBorders>
            <w:shd w:val="clear" w:color="auto" w:fill="FFFFFF" w:themeFill="background1"/>
            <w:vAlign w:val="center"/>
          </w:tcPr>
          <w:p w14:paraId="4BBE4892" w14:textId="77777777" w:rsidR="00817399" w:rsidRPr="002F2BC5" w:rsidRDefault="00817399" w:rsidP="00B14D2A">
            <w:pPr>
              <w:spacing w:line="269" w:lineRule="auto"/>
              <w:jc w:val="center"/>
              <w:rPr>
                <w:rFonts w:ascii="Tahoma" w:eastAsia="Times New Roman" w:hAnsi="Tahoma" w:cs="Tahoma"/>
                <w:color w:val="222222"/>
                <w:sz w:val="16"/>
                <w:szCs w:val="16"/>
                <w:rtl/>
                <w:lang w:eastAsia=""/>
              </w:rPr>
            </w:pPr>
            <w:r w:rsidRPr="002F2BC5">
              <w:rPr>
                <w:rFonts w:ascii="Tahoma" w:eastAsia="Times New Roman" w:hAnsi="Tahoma" w:cs="Tahoma" w:hint="cs"/>
                <w:color w:val="222222"/>
                <w:sz w:val="16"/>
                <w:szCs w:val="16"/>
                <w:rtl/>
                <w:lang w:eastAsia=""/>
              </w:rPr>
              <w:t>27</w:t>
            </w:r>
          </w:p>
        </w:tc>
      </w:tr>
    </w:tbl>
    <w:p w14:paraId="47D47BFB" w14:textId="77777777" w:rsidR="00817399" w:rsidRPr="002F2BC5" w:rsidRDefault="00817399" w:rsidP="00BD51C0">
      <w:pPr>
        <w:pStyle w:val="afffffff1"/>
        <w:bidi/>
        <w:spacing w:line="269" w:lineRule="auto"/>
        <w:rPr>
          <w:rtl/>
        </w:rPr>
      </w:pPr>
      <w:r w:rsidRPr="002F2BC5">
        <w:rPr>
          <w:rFonts w:hint="cs"/>
          <w:rtl/>
        </w:rPr>
        <w:lastRenderedPageBreak/>
        <w:t>על פי נתוני הלמ"ס והדוחות הכספיים המבוקרים של הרשויות המקומיות, בעיבוד משרד מבקר המדינה.</w:t>
      </w:r>
    </w:p>
    <w:p w14:paraId="3DA5354F" w14:textId="77777777" w:rsidR="00817399" w:rsidRPr="002F2BC5" w:rsidRDefault="00817399" w:rsidP="00817399">
      <w:pPr>
        <w:pStyle w:val="afffffff1"/>
        <w:bidi/>
        <w:spacing w:line="269" w:lineRule="auto"/>
        <w:rPr>
          <w:rtl/>
        </w:rPr>
      </w:pPr>
      <w:bookmarkStart w:id="60" w:name="_Hlk160957928"/>
      <w:r w:rsidRPr="002F2BC5">
        <w:rPr>
          <w:rFonts w:hint="cs"/>
          <w:b/>
          <w:bCs/>
          <w:rtl/>
        </w:rPr>
        <w:t>מספר התושבים</w:t>
      </w:r>
      <w:r w:rsidRPr="002F2BC5">
        <w:rPr>
          <w:rtl/>
        </w:rPr>
        <w:t xml:space="preserve"> - </w:t>
      </w:r>
      <w:r w:rsidRPr="002F2BC5">
        <w:rPr>
          <w:rFonts w:hint="cs"/>
          <w:rtl/>
        </w:rPr>
        <w:t>הנתון לקוח מתוך "הרשויות המקומיות - קובץ נתונים לעיבוד - 2022" שהכינה הלמ"ס</w:t>
      </w:r>
      <w:r w:rsidRPr="002F2BC5">
        <w:rPr>
          <w:rtl/>
        </w:rPr>
        <w:t>.</w:t>
      </w:r>
    </w:p>
    <w:p w14:paraId="05FAEB79" w14:textId="77777777" w:rsidR="00817399" w:rsidRPr="002F2BC5" w:rsidRDefault="00817399" w:rsidP="00817399">
      <w:pPr>
        <w:pStyle w:val="afffffff1"/>
        <w:bidi/>
        <w:spacing w:line="269" w:lineRule="auto"/>
        <w:rPr>
          <w:rtl/>
        </w:rPr>
      </w:pPr>
      <w:bookmarkStart w:id="61" w:name="_Hlk188954663"/>
      <w:bookmarkEnd w:id="60"/>
      <w:r w:rsidRPr="002F2BC5">
        <w:rPr>
          <w:rFonts w:hint="cs"/>
          <w:b/>
          <w:bCs/>
          <w:rtl/>
        </w:rPr>
        <w:t>ה</w:t>
      </w:r>
      <w:r w:rsidRPr="002F2BC5">
        <w:rPr>
          <w:b/>
          <w:bCs/>
          <w:rtl/>
        </w:rPr>
        <w:t xml:space="preserve">אשכול </w:t>
      </w:r>
      <w:r w:rsidRPr="002F2BC5">
        <w:rPr>
          <w:rFonts w:hint="cs"/>
          <w:b/>
          <w:bCs/>
          <w:rtl/>
        </w:rPr>
        <w:t>ה</w:t>
      </w:r>
      <w:r w:rsidRPr="002F2BC5">
        <w:rPr>
          <w:b/>
          <w:bCs/>
          <w:rtl/>
        </w:rPr>
        <w:t>חברתי-כלכלי</w:t>
      </w:r>
      <w:r w:rsidRPr="002F2BC5">
        <w:rPr>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w:t>
      </w:r>
      <w:r w:rsidRPr="002F2BC5">
        <w:rPr>
          <w:rFonts w:hint="cs"/>
          <w:rtl/>
        </w:rPr>
        <w:t>, ואשכול 1 - על הרמה החברתית-כלכלית הנמוכה ביותר</w:t>
      </w:r>
      <w:r w:rsidRPr="002F2BC5">
        <w:rPr>
          <w:rtl/>
        </w:rPr>
        <w:t xml:space="preserve">. מוצג הנתון </w:t>
      </w:r>
      <w:r w:rsidRPr="002F2BC5">
        <w:rPr>
          <w:rFonts w:hint="cs"/>
          <w:rtl/>
        </w:rPr>
        <w:t>שהיה מעודכן ב</w:t>
      </w:r>
      <w:r w:rsidRPr="002F2BC5">
        <w:rPr>
          <w:rtl/>
        </w:rPr>
        <w:t>מועד סיום הביקורת המתייחס לשנת 20</w:t>
      </w:r>
      <w:r w:rsidRPr="002F2BC5">
        <w:rPr>
          <w:rFonts w:hint="cs"/>
          <w:rtl/>
        </w:rPr>
        <w:t>21</w:t>
      </w:r>
      <w:r w:rsidRPr="002F2BC5">
        <w:rPr>
          <w:rtl/>
        </w:rPr>
        <w:t>.</w:t>
      </w:r>
      <w:bookmarkEnd w:id="61"/>
    </w:p>
    <w:p w14:paraId="06283749" w14:textId="77777777" w:rsidR="00817399" w:rsidRPr="002F2BC5" w:rsidRDefault="00817399" w:rsidP="00817399">
      <w:pPr>
        <w:pStyle w:val="afffffff1"/>
        <w:bidi/>
        <w:spacing w:line="269" w:lineRule="auto"/>
        <w:rPr>
          <w:rtl/>
        </w:rPr>
      </w:pPr>
      <w:r w:rsidRPr="002F2BC5">
        <w:rPr>
          <w:b/>
          <w:bCs/>
          <w:rtl/>
        </w:rPr>
        <w:t xml:space="preserve">אשכול </w:t>
      </w:r>
      <w:r w:rsidRPr="002F2BC5">
        <w:rPr>
          <w:rFonts w:hint="cs"/>
          <w:b/>
          <w:bCs/>
          <w:rtl/>
        </w:rPr>
        <w:t>ה</w:t>
      </w:r>
      <w:r w:rsidRPr="002F2BC5">
        <w:rPr>
          <w:b/>
          <w:bCs/>
          <w:rtl/>
        </w:rPr>
        <w:t>פריפריאליות</w:t>
      </w:r>
      <w:r w:rsidRPr="002F2BC5">
        <w:rPr>
          <w:rtl/>
        </w:rPr>
        <w:t xml:space="preserve"> -</w:t>
      </w:r>
      <w:r w:rsidRPr="002F2BC5">
        <w:rPr>
          <w:rFonts w:hint="cs"/>
          <w:rtl/>
        </w:rPr>
        <w:t xml:space="preserve"> </w:t>
      </w:r>
      <w:r w:rsidRPr="002F2BC5">
        <w:rPr>
          <w:rtl/>
        </w:rPr>
        <w:t xml:space="preserve">הלמ"ס מדרגת את הרשויות המקומיות בסולם של עשר דרגות (אשכולות), לפי מקומן הגיאוגרפי ביחס לריכוזי האוכלוסייה, על פי שקלול של שני מרכיבים: נגישות פוטנציאלית לכלל </w:t>
      </w:r>
      <w:r w:rsidRPr="002F2BC5">
        <w:rPr>
          <w:rFonts w:hint="cs"/>
          <w:rtl/>
        </w:rPr>
        <w:t>הרשויות המקומיות</w:t>
      </w:r>
      <w:r w:rsidRPr="002F2BC5">
        <w:rPr>
          <w:rtl/>
        </w:rPr>
        <w:t xml:space="preserve"> וקרבה לגבול מחוז תל אביב. אשכול 10 מעיד על </w:t>
      </w:r>
      <w:r w:rsidRPr="002F2BC5">
        <w:rPr>
          <w:rFonts w:hint="cs"/>
          <w:rtl/>
        </w:rPr>
        <w:t>הרשות המקומית</w:t>
      </w:r>
      <w:r w:rsidRPr="002F2BC5">
        <w:rPr>
          <w:rtl/>
        </w:rPr>
        <w:t xml:space="preserve"> המרכזי</w:t>
      </w:r>
      <w:r w:rsidRPr="002F2BC5">
        <w:rPr>
          <w:rFonts w:hint="cs"/>
          <w:rtl/>
        </w:rPr>
        <w:t>ת</w:t>
      </w:r>
      <w:r w:rsidRPr="002F2BC5">
        <w:rPr>
          <w:rtl/>
        </w:rPr>
        <w:t xml:space="preserve"> ביותר, ואשכול 1 - על </w:t>
      </w:r>
      <w:r w:rsidRPr="002F2BC5">
        <w:rPr>
          <w:rFonts w:hint="cs"/>
          <w:rtl/>
        </w:rPr>
        <w:t>הרשות המקומית</w:t>
      </w:r>
      <w:r w:rsidRPr="002F2BC5">
        <w:rPr>
          <w:rtl/>
        </w:rPr>
        <w:t xml:space="preserve"> הפריפריאלי</w:t>
      </w:r>
      <w:r w:rsidRPr="002F2BC5">
        <w:rPr>
          <w:rFonts w:hint="cs"/>
          <w:rtl/>
        </w:rPr>
        <w:t>ת</w:t>
      </w:r>
      <w:r w:rsidRPr="002F2BC5">
        <w:rPr>
          <w:rtl/>
        </w:rPr>
        <w:t xml:space="preserve"> ביותר. מוצג הנתון </w:t>
      </w:r>
      <w:r w:rsidRPr="002F2BC5">
        <w:rPr>
          <w:rFonts w:hint="cs"/>
          <w:rtl/>
        </w:rPr>
        <w:t xml:space="preserve">שהיה </w:t>
      </w:r>
      <w:r w:rsidRPr="002F2BC5">
        <w:rPr>
          <w:rtl/>
        </w:rPr>
        <w:t xml:space="preserve">מעודכן </w:t>
      </w:r>
      <w:r w:rsidRPr="002F2BC5">
        <w:rPr>
          <w:rFonts w:hint="cs"/>
          <w:rtl/>
        </w:rPr>
        <w:t>ב</w:t>
      </w:r>
      <w:r w:rsidRPr="002F2BC5">
        <w:rPr>
          <w:rtl/>
        </w:rPr>
        <w:t>מועד סיום הביקורת המתייחס לשנת 2020.</w:t>
      </w:r>
    </w:p>
    <w:p w14:paraId="4FDD9315" w14:textId="77777777" w:rsidR="00817399" w:rsidRPr="002F2BC5" w:rsidRDefault="00817399" w:rsidP="00817399">
      <w:pPr>
        <w:pStyle w:val="afffffff1"/>
        <w:bidi/>
        <w:spacing w:line="269" w:lineRule="auto"/>
        <w:rPr>
          <w:rtl/>
        </w:rPr>
      </w:pPr>
      <w:r w:rsidRPr="002F2BC5">
        <w:rPr>
          <w:b/>
          <w:bCs/>
          <w:rtl/>
        </w:rPr>
        <w:t>סיווג הרשות המקומית</w:t>
      </w:r>
      <w:r w:rsidRPr="002F2BC5">
        <w:rPr>
          <w:rtl/>
        </w:rPr>
        <w:t xml:space="preserve"> - משרד הפנים מסווג את הרשויות המקומיות על פי קריטריונים המשקפים את מצבן הכספי ופעולותיהן הכלכליות והמשקיות</w:t>
      </w:r>
      <w:r w:rsidRPr="002F2BC5">
        <w:rPr>
          <w:rFonts w:hint="cs"/>
          <w:rtl/>
        </w:rPr>
        <w:t>,</w:t>
      </w:r>
      <w:r w:rsidRPr="002F2BC5">
        <w:rPr>
          <w:rtl/>
        </w:rPr>
        <w:t xml:space="preserve"> כגון שיעור גירעון שוטף או מצטבר, זכאות למענק איזון, מתן הנחות ומחיקת חובות</w:t>
      </w:r>
      <w:r w:rsidRPr="002F2BC5">
        <w:rPr>
          <w:rFonts w:hint="cs"/>
          <w:rtl/>
        </w:rPr>
        <w:t>.</w:t>
      </w:r>
      <w:r w:rsidRPr="002F2BC5">
        <w:rPr>
          <w:rtl/>
        </w:rPr>
        <w:t xml:space="preserve"> </w:t>
      </w:r>
      <w:r w:rsidRPr="002F2BC5">
        <w:rPr>
          <w:rFonts w:hint="cs"/>
          <w:rtl/>
        </w:rPr>
        <w:t>על פי הקריטריונים הללו מחולקות</w:t>
      </w:r>
      <w:r w:rsidRPr="002F2BC5">
        <w:rPr>
          <w:rtl/>
        </w:rPr>
        <w:t xml:space="preserve"> הרשויות ל</w:t>
      </w:r>
      <w:r w:rsidRPr="002F2BC5">
        <w:rPr>
          <w:rFonts w:hint="cs"/>
          <w:rtl/>
        </w:rPr>
        <w:t xml:space="preserve">שש </w:t>
      </w:r>
      <w:r w:rsidRPr="002F2BC5">
        <w:rPr>
          <w:rtl/>
        </w:rPr>
        <w:t>קבוצות</w:t>
      </w:r>
      <w:r w:rsidRPr="002F2BC5">
        <w:rPr>
          <w:rFonts w:hint="cs"/>
          <w:rtl/>
        </w:rPr>
        <w:t>:</w:t>
      </w:r>
      <w:r w:rsidRPr="002F2BC5">
        <w:rPr>
          <w:rtl/>
        </w:rPr>
        <w:t xml:space="preserve"> </w:t>
      </w:r>
      <w:r w:rsidRPr="002F2BC5">
        <w:rPr>
          <w:rFonts w:hint="cs"/>
          <w:rtl/>
        </w:rPr>
        <w:t xml:space="preserve">(1) </w:t>
      </w:r>
      <w:r w:rsidRPr="002F2BC5">
        <w:rPr>
          <w:rtl/>
        </w:rPr>
        <w:t>איתנו</w:t>
      </w:r>
      <w:r w:rsidRPr="002F2BC5">
        <w:rPr>
          <w:rFonts w:hint="cs"/>
          <w:rtl/>
        </w:rPr>
        <w:t>ֹ</w:t>
      </w:r>
      <w:r w:rsidRPr="002F2BC5">
        <w:rPr>
          <w:rtl/>
        </w:rPr>
        <w:t xml:space="preserve">ת </w:t>
      </w:r>
      <w:r w:rsidRPr="002F2BC5">
        <w:rPr>
          <w:rFonts w:hint="cs"/>
          <w:rtl/>
        </w:rPr>
        <w:t xml:space="preserve">(2) </w:t>
      </w:r>
      <w:r w:rsidRPr="002F2BC5">
        <w:rPr>
          <w:rtl/>
        </w:rPr>
        <w:t>יציבו</w:t>
      </w:r>
      <w:r w:rsidRPr="002F2BC5">
        <w:rPr>
          <w:rFonts w:hint="cs"/>
          <w:rtl/>
        </w:rPr>
        <w:t>ֹ</w:t>
      </w:r>
      <w:r w:rsidRPr="002F2BC5">
        <w:rPr>
          <w:rtl/>
        </w:rPr>
        <w:t xml:space="preserve">ת </w:t>
      </w:r>
      <w:r w:rsidRPr="002F2BC5">
        <w:rPr>
          <w:rFonts w:hint="cs"/>
          <w:rtl/>
        </w:rPr>
        <w:t xml:space="preserve">(3) </w:t>
      </w:r>
      <w:r w:rsidRPr="002F2BC5">
        <w:rPr>
          <w:rtl/>
        </w:rPr>
        <w:t xml:space="preserve">בהמראה </w:t>
      </w:r>
      <w:r w:rsidRPr="002F2BC5">
        <w:rPr>
          <w:rFonts w:hint="cs"/>
          <w:rtl/>
        </w:rPr>
        <w:t xml:space="preserve">(4) </w:t>
      </w:r>
      <w:r w:rsidRPr="002F2BC5">
        <w:rPr>
          <w:rtl/>
        </w:rPr>
        <w:t>בת</w:t>
      </w:r>
      <w:r w:rsidRPr="002F2BC5">
        <w:rPr>
          <w:rFonts w:hint="cs"/>
          <w:rtl/>
        </w:rPr>
        <w:t>ו</w:t>
      </w:r>
      <w:r w:rsidRPr="002F2BC5">
        <w:rPr>
          <w:rtl/>
        </w:rPr>
        <w:t xml:space="preserve">כנית הבראה </w:t>
      </w:r>
      <w:r w:rsidRPr="002F2BC5">
        <w:rPr>
          <w:rFonts w:hint="cs"/>
          <w:rtl/>
        </w:rPr>
        <w:t xml:space="preserve">(5) </w:t>
      </w:r>
      <w:r w:rsidRPr="002F2BC5">
        <w:rPr>
          <w:rtl/>
        </w:rPr>
        <w:t>בת</w:t>
      </w:r>
      <w:r w:rsidRPr="002F2BC5">
        <w:rPr>
          <w:rFonts w:hint="cs"/>
          <w:rtl/>
        </w:rPr>
        <w:t>ו</w:t>
      </w:r>
      <w:r w:rsidRPr="002F2BC5">
        <w:rPr>
          <w:rtl/>
        </w:rPr>
        <w:t xml:space="preserve">כנית התייעלות </w:t>
      </w:r>
      <w:r w:rsidRPr="002F2BC5">
        <w:rPr>
          <w:rFonts w:hint="cs"/>
          <w:rtl/>
        </w:rPr>
        <w:t xml:space="preserve">(6) </w:t>
      </w:r>
      <w:r w:rsidRPr="002F2BC5">
        <w:rPr>
          <w:rtl/>
        </w:rPr>
        <w:t xml:space="preserve">במצב ביניים. </w:t>
      </w:r>
      <w:r w:rsidRPr="002F2BC5">
        <w:rPr>
          <w:rFonts w:hint="cs"/>
          <w:rtl/>
        </w:rPr>
        <w:t>מוצג ה</w:t>
      </w:r>
      <w:r w:rsidRPr="002F2BC5">
        <w:rPr>
          <w:rtl/>
        </w:rPr>
        <w:t xml:space="preserve">נתון </w:t>
      </w:r>
      <w:r w:rsidRPr="002F2BC5">
        <w:rPr>
          <w:rFonts w:hint="cs"/>
          <w:rtl/>
        </w:rPr>
        <w:t>שהיה מעודכן ב</w:t>
      </w:r>
      <w:r w:rsidRPr="002F2BC5">
        <w:rPr>
          <w:rtl/>
        </w:rPr>
        <w:t>מועד סיום הביקורת.</w:t>
      </w:r>
    </w:p>
    <w:p w14:paraId="026062E0" w14:textId="77777777" w:rsidR="00817399" w:rsidRPr="002F2BC5" w:rsidRDefault="00817399" w:rsidP="00817399">
      <w:pPr>
        <w:pStyle w:val="afffffff1"/>
        <w:bidi/>
        <w:spacing w:line="269" w:lineRule="auto"/>
        <w:rPr>
          <w:rtl/>
        </w:rPr>
      </w:pPr>
      <w:r w:rsidRPr="002F2BC5">
        <w:rPr>
          <w:rFonts w:hint="cs"/>
          <w:b/>
          <w:bCs/>
          <w:rtl/>
        </w:rPr>
        <w:t>ביצוע ה</w:t>
      </w:r>
      <w:r w:rsidRPr="002F2BC5">
        <w:rPr>
          <w:b/>
          <w:bCs/>
          <w:rtl/>
        </w:rPr>
        <w:t>הכנסו</w:t>
      </w:r>
      <w:r w:rsidRPr="002F2BC5">
        <w:rPr>
          <w:rFonts w:hint="cs"/>
          <w:b/>
          <w:bCs/>
          <w:rtl/>
        </w:rPr>
        <w:t xml:space="preserve">ת </w:t>
      </w:r>
      <w:r w:rsidRPr="002F2BC5">
        <w:rPr>
          <w:rFonts w:hint="cs"/>
          <w:rtl/>
        </w:rPr>
        <w:t>או</w:t>
      </w:r>
      <w:r w:rsidRPr="002F2BC5">
        <w:rPr>
          <w:rFonts w:hint="cs"/>
          <w:b/>
          <w:bCs/>
          <w:rtl/>
        </w:rPr>
        <w:t xml:space="preserve"> ביצוע ההוצאות </w:t>
      </w:r>
      <w:r w:rsidRPr="002F2BC5">
        <w:rPr>
          <w:rtl/>
        </w:rPr>
        <w:t xml:space="preserve">- ביצוע </w:t>
      </w:r>
      <w:r w:rsidRPr="002F2BC5">
        <w:rPr>
          <w:rFonts w:hint="cs"/>
          <w:rtl/>
        </w:rPr>
        <w:t>ה</w:t>
      </w:r>
      <w:r w:rsidRPr="002F2BC5">
        <w:rPr>
          <w:rtl/>
        </w:rPr>
        <w:t xml:space="preserve">הכנסות </w:t>
      </w:r>
      <w:r w:rsidRPr="002F2BC5">
        <w:rPr>
          <w:rFonts w:hint="cs"/>
          <w:rtl/>
        </w:rPr>
        <w:t xml:space="preserve">או ההוצאות </w:t>
      </w:r>
      <w:r w:rsidRPr="002F2BC5">
        <w:rPr>
          <w:rtl/>
        </w:rPr>
        <w:t xml:space="preserve">בתקציב הרגיל. </w:t>
      </w:r>
      <w:bookmarkStart w:id="62" w:name="_Hlk159757031"/>
      <w:r w:rsidRPr="002F2BC5">
        <w:rPr>
          <w:rtl/>
        </w:rPr>
        <w:t>הנתון לקוח מתוך הדוחות הכספיים המבוקרים של הרשויות המקומיו</w:t>
      </w:r>
      <w:r w:rsidRPr="002F2BC5">
        <w:rPr>
          <w:rFonts w:hint="cs"/>
          <w:rtl/>
        </w:rPr>
        <w:t>ת המתייחסים לסוף שנת 2023</w:t>
      </w:r>
      <w:bookmarkEnd w:id="62"/>
      <w:r w:rsidRPr="002F2BC5">
        <w:rPr>
          <w:rtl/>
        </w:rPr>
        <w:t>.</w:t>
      </w:r>
    </w:p>
    <w:p w14:paraId="46BDE179" w14:textId="77777777" w:rsidR="00817399" w:rsidRPr="002F2BC5" w:rsidRDefault="00817399" w:rsidP="00817399">
      <w:pPr>
        <w:spacing w:line="269" w:lineRule="auto"/>
        <w:rPr>
          <w:sz w:val="16"/>
          <w:szCs w:val="20"/>
          <w:rtl/>
        </w:rPr>
      </w:pPr>
      <w:r w:rsidRPr="002F2BC5">
        <w:rPr>
          <w:rFonts w:hint="cs"/>
          <w:b/>
          <w:bCs/>
          <w:sz w:val="16"/>
          <w:szCs w:val="20"/>
          <w:rtl/>
        </w:rPr>
        <w:t>ה</w:t>
      </w:r>
      <w:r w:rsidRPr="002F2BC5">
        <w:rPr>
          <w:b/>
          <w:bCs/>
          <w:sz w:val="16"/>
          <w:szCs w:val="20"/>
          <w:rtl/>
        </w:rPr>
        <w:t>עודף (</w:t>
      </w:r>
      <w:r w:rsidRPr="002F2BC5">
        <w:rPr>
          <w:rFonts w:hint="cs"/>
          <w:b/>
          <w:bCs/>
          <w:sz w:val="16"/>
          <w:szCs w:val="20"/>
          <w:rtl/>
        </w:rPr>
        <w:t>או ה</w:t>
      </w:r>
      <w:r w:rsidRPr="002F2BC5">
        <w:rPr>
          <w:b/>
          <w:bCs/>
          <w:sz w:val="16"/>
          <w:szCs w:val="20"/>
          <w:rtl/>
        </w:rPr>
        <w:t xml:space="preserve">גירעון) </w:t>
      </w:r>
      <w:r w:rsidRPr="002F2BC5">
        <w:rPr>
          <w:rFonts w:hint="cs"/>
          <w:b/>
          <w:bCs/>
          <w:sz w:val="16"/>
          <w:szCs w:val="20"/>
          <w:rtl/>
        </w:rPr>
        <w:t>ה</w:t>
      </w:r>
      <w:r w:rsidRPr="002F2BC5">
        <w:rPr>
          <w:b/>
          <w:bCs/>
          <w:sz w:val="16"/>
          <w:szCs w:val="20"/>
          <w:rtl/>
        </w:rPr>
        <w:t>שוטף</w:t>
      </w:r>
      <w:r w:rsidRPr="002F2BC5">
        <w:rPr>
          <w:rFonts w:hint="cs"/>
          <w:sz w:val="16"/>
          <w:szCs w:val="20"/>
          <w:rtl/>
        </w:rPr>
        <w:t xml:space="preserve"> או</w:t>
      </w:r>
      <w:r w:rsidRPr="002F2BC5">
        <w:rPr>
          <w:sz w:val="16"/>
          <w:szCs w:val="20"/>
          <w:rtl/>
        </w:rPr>
        <w:t xml:space="preserve"> </w:t>
      </w:r>
      <w:r w:rsidRPr="002F2BC5">
        <w:rPr>
          <w:rFonts w:hint="cs"/>
          <w:b/>
          <w:bCs/>
          <w:sz w:val="16"/>
          <w:szCs w:val="20"/>
          <w:rtl/>
        </w:rPr>
        <w:t>ה</w:t>
      </w:r>
      <w:r w:rsidRPr="002F2BC5">
        <w:rPr>
          <w:b/>
          <w:bCs/>
          <w:sz w:val="16"/>
          <w:szCs w:val="20"/>
          <w:rtl/>
        </w:rPr>
        <w:t xml:space="preserve">עודף </w:t>
      </w:r>
      <w:r w:rsidRPr="002F2BC5">
        <w:rPr>
          <w:rFonts w:hint="cs"/>
          <w:b/>
          <w:bCs/>
          <w:sz w:val="16"/>
          <w:szCs w:val="20"/>
          <w:rtl/>
        </w:rPr>
        <w:t>(או ה</w:t>
      </w:r>
      <w:r w:rsidRPr="002F2BC5">
        <w:rPr>
          <w:b/>
          <w:bCs/>
          <w:sz w:val="16"/>
          <w:szCs w:val="20"/>
          <w:rtl/>
        </w:rPr>
        <w:t>גירעון</w:t>
      </w:r>
      <w:r w:rsidRPr="002F2BC5">
        <w:rPr>
          <w:rFonts w:hint="cs"/>
          <w:b/>
          <w:bCs/>
          <w:sz w:val="16"/>
          <w:szCs w:val="20"/>
          <w:rtl/>
        </w:rPr>
        <w:t>)</w:t>
      </w:r>
      <w:r w:rsidRPr="002F2BC5">
        <w:rPr>
          <w:b/>
          <w:bCs/>
          <w:sz w:val="16"/>
          <w:szCs w:val="20"/>
          <w:rtl/>
        </w:rPr>
        <w:t xml:space="preserve"> </w:t>
      </w:r>
      <w:r w:rsidRPr="002F2BC5">
        <w:rPr>
          <w:rFonts w:hint="cs"/>
          <w:b/>
          <w:bCs/>
          <w:sz w:val="16"/>
          <w:szCs w:val="20"/>
          <w:rtl/>
        </w:rPr>
        <w:t>ה</w:t>
      </w:r>
      <w:r w:rsidRPr="002F2BC5">
        <w:rPr>
          <w:b/>
          <w:bCs/>
          <w:sz w:val="16"/>
          <w:szCs w:val="20"/>
          <w:rtl/>
        </w:rPr>
        <w:t>מצטב</w:t>
      </w:r>
      <w:r w:rsidRPr="002F2BC5">
        <w:rPr>
          <w:rFonts w:hint="cs"/>
          <w:b/>
          <w:bCs/>
          <w:sz w:val="16"/>
          <w:szCs w:val="20"/>
          <w:rtl/>
        </w:rPr>
        <w:t>ר</w:t>
      </w:r>
      <w:r w:rsidRPr="002F2BC5">
        <w:rPr>
          <w:rFonts w:hint="cs"/>
          <w:sz w:val="16"/>
          <w:szCs w:val="20"/>
          <w:rtl/>
        </w:rPr>
        <w:t xml:space="preserve"> </w:t>
      </w:r>
      <w:r w:rsidRPr="002F2BC5">
        <w:rPr>
          <w:sz w:val="16"/>
          <w:szCs w:val="20"/>
          <w:rtl/>
        </w:rPr>
        <w:t xml:space="preserve">- </w:t>
      </w:r>
      <w:r w:rsidRPr="002F2BC5">
        <w:rPr>
          <w:rFonts w:hint="cs"/>
          <w:sz w:val="16"/>
          <w:szCs w:val="20"/>
          <w:rtl/>
        </w:rPr>
        <w:t>ה</w:t>
      </w:r>
      <w:r w:rsidRPr="002F2BC5">
        <w:rPr>
          <w:sz w:val="16"/>
          <w:szCs w:val="20"/>
          <w:rtl/>
        </w:rPr>
        <w:t>עודף (</w:t>
      </w:r>
      <w:r w:rsidRPr="002F2BC5">
        <w:rPr>
          <w:rFonts w:hint="cs"/>
          <w:sz w:val="16"/>
          <w:szCs w:val="20"/>
          <w:rtl/>
        </w:rPr>
        <w:t>ובסוגריים - ה</w:t>
      </w:r>
      <w:r w:rsidRPr="002F2BC5">
        <w:rPr>
          <w:sz w:val="16"/>
          <w:szCs w:val="20"/>
          <w:rtl/>
        </w:rPr>
        <w:t xml:space="preserve">גירעון) </w:t>
      </w:r>
      <w:r w:rsidRPr="002F2BC5">
        <w:rPr>
          <w:rFonts w:hint="cs"/>
          <w:sz w:val="16"/>
          <w:szCs w:val="20"/>
          <w:rtl/>
        </w:rPr>
        <w:t>ה</w:t>
      </w:r>
      <w:r w:rsidRPr="002F2BC5">
        <w:rPr>
          <w:sz w:val="16"/>
          <w:szCs w:val="20"/>
          <w:rtl/>
        </w:rPr>
        <w:t xml:space="preserve">שוטף </w:t>
      </w:r>
      <w:r w:rsidRPr="002F2BC5">
        <w:rPr>
          <w:rFonts w:hint="cs"/>
          <w:sz w:val="16"/>
          <w:szCs w:val="20"/>
          <w:rtl/>
        </w:rPr>
        <w:t>או ה</w:t>
      </w:r>
      <w:r w:rsidRPr="002F2BC5">
        <w:rPr>
          <w:sz w:val="16"/>
          <w:szCs w:val="20"/>
          <w:rtl/>
        </w:rPr>
        <w:t>עודף (</w:t>
      </w:r>
      <w:r w:rsidRPr="002F2BC5">
        <w:rPr>
          <w:rFonts w:hint="cs"/>
          <w:sz w:val="16"/>
          <w:szCs w:val="20"/>
          <w:rtl/>
        </w:rPr>
        <w:t>ובסוגריים - ה</w:t>
      </w:r>
      <w:r w:rsidRPr="002F2BC5">
        <w:rPr>
          <w:sz w:val="16"/>
          <w:szCs w:val="20"/>
          <w:rtl/>
        </w:rPr>
        <w:t xml:space="preserve">גירעון) </w:t>
      </w:r>
      <w:r w:rsidRPr="002F2BC5">
        <w:rPr>
          <w:rFonts w:hint="cs"/>
          <w:sz w:val="16"/>
          <w:szCs w:val="20"/>
          <w:rtl/>
        </w:rPr>
        <w:t>ה</w:t>
      </w:r>
      <w:r w:rsidRPr="002F2BC5">
        <w:rPr>
          <w:sz w:val="16"/>
          <w:szCs w:val="20"/>
          <w:rtl/>
        </w:rPr>
        <w:t xml:space="preserve">מצטבר בתקציב הרגיל. הנתון לקוח מתוך </w:t>
      </w:r>
      <w:r w:rsidRPr="002F2BC5">
        <w:rPr>
          <w:rFonts w:hint="cs"/>
          <w:sz w:val="16"/>
          <w:szCs w:val="20"/>
          <w:rtl/>
        </w:rPr>
        <w:t>ה</w:t>
      </w:r>
      <w:r w:rsidRPr="002F2BC5">
        <w:rPr>
          <w:sz w:val="16"/>
          <w:szCs w:val="20"/>
          <w:rtl/>
        </w:rPr>
        <w:t>דוחות הכספיים המבוקרים של הרשויות המקומיו</w:t>
      </w:r>
      <w:r w:rsidRPr="002F2BC5">
        <w:rPr>
          <w:rFonts w:hint="cs"/>
          <w:sz w:val="16"/>
          <w:szCs w:val="20"/>
          <w:rtl/>
        </w:rPr>
        <w:t>ת המתייחסים לסוף שנת 2023</w:t>
      </w:r>
      <w:r w:rsidRPr="002F2BC5">
        <w:rPr>
          <w:sz w:val="16"/>
          <w:szCs w:val="20"/>
          <w:rtl/>
        </w:rPr>
        <w:t>.</w:t>
      </w:r>
    </w:p>
    <w:p w14:paraId="7D7FBE57" w14:textId="77777777" w:rsidR="00817399" w:rsidRPr="002F2BC5" w:rsidRDefault="00817399" w:rsidP="00817399">
      <w:pPr>
        <w:pStyle w:val="afffffff1"/>
        <w:bidi/>
        <w:spacing w:line="269" w:lineRule="auto"/>
        <w:rPr>
          <w:rtl/>
        </w:rPr>
      </w:pPr>
      <w:r w:rsidRPr="002F2BC5">
        <w:rPr>
          <w:b/>
          <w:bCs/>
          <w:rtl/>
        </w:rPr>
        <w:t xml:space="preserve">שיעור </w:t>
      </w:r>
      <w:r w:rsidRPr="002F2BC5">
        <w:rPr>
          <w:rFonts w:hint="cs"/>
          <w:b/>
          <w:bCs/>
          <w:rtl/>
        </w:rPr>
        <w:t>ה</w:t>
      </w:r>
      <w:r w:rsidRPr="002F2BC5">
        <w:rPr>
          <w:b/>
          <w:bCs/>
          <w:rtl/>
        </w:rPr>
        <w:t xml:space="preserve">גירעון </w:t>
      </w:r>
      <w:r w:rsidRPr="002F2BC5">
        <w:rPr>
          <w:rFonts w:hint="cs"/>
          <w:b/>
          <w:bCs/>
          <w:rtl/>
        </w:rPr>
        <w:t>ה</w:t>
      </w:r>
      <w:r w:rsidRPr="002F2BC5">
        <w:rPr>
          <w:b/>
          <w:bCs/>
          <w:rtl/>
        </w:rPr>
        <w:t xml:space="preserve">מצטבר </w:t>
      </w:r>
      <w:r w:rsidRPr="002F2BC5">
        <w:rPr>
          <w:rtl/>
        </w:rPr>
        <w:t>- כהגדרתו בסעי</w:t>
      </w:r>
      <w:r w:rsidRPr="002F2BC5">
        <w:rPr>
          <w:rFonts w:hint="eastAsia"/>
          <w:rtl/>
        </w:rPr>
        <w:t>ף</w:t>
      </w:r>
      <w:r w:rsidRPr="002F2BC5">
        <w:rPr>
          <w:rtl/>
        </w:rPr>
        <w:t xml:space="preserve"> 140ג לפקודת העיריות [נוסח חדש] ו</w:t>
      </w:r>
      <w:r w:rsidRPr="002F2BC5">
        <w:rPr>
          <w:rFonts w:hint="eastAsia"/>
          <w:rtl/>
        </w:rPr>
        <w:t>בסעיף</w:t>
      </w:r>
      <w:r w:rsidRPr="002F2BC5">
        <w:rPr>
          <w:rtl/>
        </w:rPr>
        <w:t xml:space="preserve"> 35ג לפקודת המועצות המקומיות [נוסח חדש]. הנתון לקוח מתוך הדוחות הכספיים המבוקרים של הרשויות המקומיו</w:t>
      </w:r>
      <w:r w:rsidRPr="002F2BC5">
        <w:rPr>
          <w:rFonts w:hint="cs"/>
          <w:rtl/>
        </w:rPr>
        <w:t>ת המתייחסים לסוף שנת 2023.</w:t>
      </w:r>
    </w:p>
    <w:p w14:paraId="28B60937" w14:textId="77777777" w:rsidR="00817399" w:rsidRPr="002F2BC5" w:rsidRDefault="00817399" w:rsidP="00817399">
      <w:pPr>
        <w:pStyle w:val="afffffff1"/>
        <w:bidi/>
        <w:spacing w:line="269" w:lineRule="auto"/>
        <w:rPr>
          <w:rtl/>
        </w:rPr>
      </w:pPr>
      <w:r w:rsidRPr="002F2BC5">
        <w:rPr>
          <w:rFonts w:hint="eastAsia"/>
          <w:b/>
          <w:bCs/>
          <w:rtl/>
        </w:rPr>
        <w:t>נתונים</w:t>
      </w:r>
      <w:r w:rsidRPr="002F2BC5">
        <w:rPr>
          <w:b/>
          <w:bCs/>
          <w:rtl/>
        </w:rPr>
        <w:t xml:space="preserve"> על מספר בעלי נזקקות בתחום האלימות במשפחה </w:t>
      </w:r>
      <w:r w:rsidRPr="002F2BC5">
        <w:rPr>
          <w:rFonts w:hint="eastAsia"/>
          <w:b/>
          <w:bCs/>
          <w:rtl/>
        </w:rPr>
        <w:t>הרשומים</w:t>
      </w:r>
      <w:r w:rsidRPr="002F2BC5">
        <w:rPr>
          <w:b/>
          <w:bCs/>
          <w:rtl/>
        </w:rPr>
        <w:t xml:space="preserve"> </w:t>
      </w:r>
      <w:r w:rsidRPr="002F2BC5">
        <w:rPr>
          <w:rFonts w:hint="eastAsia"/>
          <w:b/>
          <w:bCs/>
          <w:rtl/>
        </w:rPr>
        <w:t>במחלקות</w:t>
      </w:r>
      <w:r w:rsidRPr="002F2BC5">
        <w:rPr>
          <w:b/>
          <w:bCs/>
          <w:rtl/>
        </w:rPr>
        <w:t xml:space="preserve"> </w:t>
      </w:r>
      <w:r w:rsidRPr="002F2BC5">
        <w:rPr>
          <w:rFonts w:hint="eastAsia"/>
          <w:b/>
          <w:bCs/>
          <w:rtl/>
        </w:rPr>
        <w:t>לשירותים</w:t>
      </w:r>
      <w:r w:rsidRPr="002F2BC5">
        <w:rPr>
          <w:b/>
          <w:bCs/>
          <w:rtl/>
        </w:rPr>
        <w:t xml:space="preserve"> </w:t>
      </w:r>
      <w:r w:rsidRPr="002F2BC5">
        <w:rPr>
          <w:rFonts w:hint="eastAsia"/>
          <w:b/>
          <w:bCs/>
          <w:rtl/>
        </w:rPr>
        <w:t>חברתיים</w:t>
      </w:r>
      <w:r w:rsidRPr="002F2BC5">
        <w:rPr>
          <w:rtl/>
        </w:rPr>
        <w:t xml:space="preserve"> - מי ש</w:t>
      </w:r>
      <w:r w:rsidRPr="002F2BC5">
        <w:rPr>
          <w:rFonts w:hint="cs"/>
          <w:rtl/>
        </w:rPr>
        <w:t xml:space="preserve">הם או בני משפחתם היו </w:t>
      </w:r>
      <w:r w:rsidRPr="002F2BC5">
        <w:rPr>
          <w:rtl/>
        </w:rPr>
        <w:t>רשומים במחלקה לשירותים חברתיים ברשות המקומית כזקוקים לטיפול בתחום האלימות</w:t>
      </w:r>
      <w:r w:rsidRPr="002F2BC5">
        <w:rPr>
          <w:rFonts w:hint="cs"/>
          <w:rtl/>
        </w:rPr>
        <w:t xml:space="preserve"> במשפחה (נזקקות מוגדרת באשכול נזקקות "משק בית - אלימות במשפחה"), לפי נתוני הלמ"ס לשנת 2023</w:t>
      </w:r>
      <w:r w:rsidRPr="002F2BC5">
        <w:rPr>
          <w:rtl/>
        </w:rPr>
        <w:t>.</w:t>
      </w:r>
    </w:p>
    <w:p w14:paraId="6A8C5553" w14:textId="77777777" w:rsidR="00817399" w:rsidRPr="002F2BC5" w:rsidRDefault="00817399" w:rsidP="00817399">
      <w:pPr>
        <w:pStyle w:val="afffffff1"/>
        <w:bidi/>
        <w:spacing w:line="269" w:lineRule="auto"/>
        <w:rPr>
          <w:rtl/>
        </w:rPr>
      </w:pPr>
      <w:r w:rsidRPr="002F2BC5">
        <w:rPr>
          <w:rFonts w:hint="eastAsia"/>
          <w:b/>
          <w:bCs/>
          <w:rtl/>
        </w:rPr>
        <w:t>נתונים</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מטופלים</w:t>
      </w:r>
      <w:r w:rsidRPr="002F2BC5">
        <w:rPr>
          <w:b/>
          <w:bCs/>
          <w:rtl/>
        </w:rPr>
        <w:t xml:space="preserve"> </w:t>
      </w:r>
      <w:r w:rsidRPr="002F2BC5">
        <w:rPr>
          <w:rFonts w:hint="eastAsia"/>
          <w:b/>
          <w:bCs/>
          <w:rtl/>
        </w:rPr>
        <w:t>במרכז</w:t>
      </w:r>
      <w:r w:rsidRPr="002F2BC5">
        <w:rPr>
          <w:rFonts w:hint="cs"/>
          <w:b/>
          <w:bCs/>
          <w:rtl/>
        </w:rPr>
        <w:t>ים</w:t>
      </w:r>
      <w:r w:rsidRPr="002F2BC5">
        <w:rPr>
          <w:b/>
          <w:bCs/>
          <w:rtl/>
        </w:rPr>
        <w:t xml:space="preserve"> </w:t>
      </w:r>
      <w:r w:rsidRPr="002F2BC5">
        <w:rPr>
          <w:rFonts w:hint="eastAsia"/>
          <w:b/>
          <w:bCs/>
          <w:rtl/>
        </w:rPr>
        <w:t>לטיפול</w:t>
      </w:r>
      <w:r w:rsidRPr="002F2BC5">
        <w:rPr>
          <w:b/>
          <w:bCs/>
          <w:rtl/>
        </w:rPr>
        <w:t xml:space="preserve"> </w:t>
      </w:r>
      <w:r w:rsidRPr="002F2BC5">
        <w:rPr>
          <w:rFonts w:hint="eastAsia"/>
          <w:b/>
          <w:bCs/>
          <w:rtl/>
        </w:rPr>
        <w:t>ומניעת</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במשפחה</w:t>
      </w:r>
      <w:r w:rsidRPr="002F2BC5">
        <w:rPr>
          <w:rFonts w:hint="cs"/>
          <w:rtl/>
        </w:rPr>
        <w:t xml:space="preserve"> - הנתון לקוח מתוך הדיווח העצמי שהעבירו הרשויות המקומיות למשרד הרווחה לשנת 2023. לא מוצגים נתונים בנוגע למועצה המקומית </w:t>
      </w:r>
      <w:r w:rsidRPr="002F2BC5">
        <w:rPr>
          <w:rFonts w:hint="eastAsia"/>
          <w:b/>
          <w:bCs/>
          <w:rtl/>
        </w:rPr>
        <w:t>קדימה</w:t>
      </w:r>
      <w:r w:rsidRPr="002F2BC5">
        <w:rPr>
          <w:b/>
          <w:bCs/>
          <w:rtl/>
        </w:rPr>
        <w:t>-צורן</w:t>
      </w:r>
      <w:r w:rsidRPr="002F2BC5">
        <w:rPr>
          <w:rFonts w:hint="cs"/>
          <w:rtl/>
        </w:rPr>
        <w:t xml:space="preserve">, אף שהיא הפעילה מרכז לטיפול ומניעת אלימות במשפחה בשנה זו, שכן המרכז היה מצוי בהליך הקמה ופעילותו לא הייתה רציפה, ועל כן הופנו מרבית המטופלים במועצה לטיפול במרכז שמפעילה רשות מקומית סמוכה. כמו כן, לא מוצגים נתונים בנוגע למועצה המקומית </w:t>
      </w:r>
      <w:r w:rsidRPr="002F2BC5">
        <w:rPr>
          <w:rFonts w:hint="eastAsia"/>
          <w:b/>
          <w:bCs/>
          <w:rtl/>
        </w:rPr>
        <w:t>שיבלי</w:t>
      </w:r>
      <w:r w:rsidRPr="002F2BC5">
        <w:rPr>
          <w:b/>
          <w:bCs/>
          <w:rtl/>
        </w:rPr>
        <w:t xml:space="preserve"> - </w:t>
      </w:r>
      <w:r w:rsidRPr="002F2BC5">
        <w:rPr>
          <w:rFonts w:hint="eastAsia"/>
          <w:b/>
          <w:bCs/>
          <w:rtl/>
        </w:rPr>
        <w:t>אום</w:t>
      </w:r>
      <w:r w:rsidRPr="002F2BC5">
        <w:rPr>
          <w:b/>
          <w:bCs/>
          <w:rtl/>
        </w:rPr>
        <w:t xml:space="preserve"> </w:t>
      </w:r>
      <w:r w:rsidRPr="002F2BC5">
        <w:rPr>
          <w:rFonts w:hint="eastAsia"/>
          <w:b/>
          <w:bCs/>
          <w:rtl/>
        </w:rPr>
        <w:t>אל</w:t>
      </w:r>
      <w:r w:rsidRPr="002F2BC5">
        <w:rPr>
          <w:b/>
          <w:bCs/>
          <w:rtl/>
        </w:rPr>
        <w:t>-ר'נם</w:t>
      </w:r>
      <w:r w:rsidRPr="002F2BC5">
        <w:rPr>
          <w:rFonts w:hint="cs"/>
          <w:rtl/>
        </w:rPr>
        <w:t>,</w:t>
      </w:r>
      <w:r w:rsidRPr="002F2BC5">
        <w:rPr>
          <w:rtl/>
        </w:rPr>
        <w:t xml:space="preserve"> </w:t>
      </w:r>
      <w:r w:rsidRPr="002F2BC5">
        <w:rPr>
          <w:rFonts w:hint="cs"/>
          <w:rtl/>
        </w:rPr>
        <w:t>משום שהיא אינה</w:t>
      </w:r>
      <w:r w:rsidRPr="002F2BC5">
        <w:rPr>
          <w:rtl/>
        </w:rPr>
        <w:t xml:space="preserve"> </w:t>
      </w:r>
      <w:r w:rsidRPr="002F2BC5">
        <w:rPr>
          <w:rFonts w:hint="cs"/>
          <w:rtl/>
        </w:rPr>
        <w:t>מ</w:t>
      </w:r>
      <w:r w:rsidRPr="002F2BC5">
        <w:rPr>
          <w:rFonts w:hint="eastAsia"/>
          <w:rtl/>
        </w:rPr>
        <w:t>פעילה</w:t>
      </w:r>
      <w:r w:rsidRPr="002F2BC5">
        <w:rPr>
          <w:rtl/>
        </w:rPr>
        <w:t xml:space="preserve"> </w:t>
      </w:r>
      <w:r w:rsidRPr="002F2BC5">
        <w:rPr>
          <w:rFonts w:hint="eastAsia"/>
          <w:rtl/>
        </w:rPr>
        <w:t>מרכז</w:t>
      </w:r>
      <w:r w:rsidRPr="002F2BC5">
        <w:rPr>
          <w:rFonts w:hint="cs"/>
          <w:rtl/>
        </w:rPr>
        <w:t xml:space="preserve"> לטיפול ומניעת אלימות במשפחה</w:t>
      </w:r>
      <w:r w:rsidRPr="002F2BC5">
        <w:rPr>
          <w:rtl/>
        </w:rPr>
        <w:t>.</w:t>
      </w:r>
    </w:p>
    <w:p w14:paraId="24B242E5" w14:textId="77777777" w:rsidR="00817399" w:rsidRPr="002F2BC5" w:rsidRDefault="00817399" w:rsidP="00817399">
      <w:pPr>
        <w:pStyle w:val="afffffff1"/>
        <w:bidi/>
        <w:spacing w:line="269" w:lineRule="auto"/>
        <w:rPr>
          <w:rtl/>
        </w:rPr>
      </w:pPr>
      <w:r w:rsidRPr="002F2BC5">
        <w:rPr>
          <w:b/>
          <w:bCs/>
          <w:rtl/>
        </w:rPr>
        <w:t>תיקי חקירה בגין עבירות אלימות בין בני זוג</w:t>
      </w:r>
      <w:r w:rsidRPr="002F2BC5">
        <w:rPr>
          <w:rFonts w:hint="cs"/>
          <w:rtl/>
        </w:rPr>
        <w:t xml:space="preserve"> - הנתון התקבל במהלך ביקורת המעקב ממשטרת ישראל והוא מתייחס לשנת 2022.</w:t>
      </w:r>
    </w:p>
    <w:p w14:paraId="65BD1AB0" w14:textId="77777777" w:rsidR="00817399" w:rsidRPr="002F2BC5" w:rsidRDefault="00817399" w:rsidP="00817399">
      <w:pPr>
        <w:spacing w:line="269" w:lineRule="auto"/>
        <w:rPr>
          <w:rtl/>
        </w:rPr>
      </w:pPr>
    </w:p>
    <w:p w14:paraId="22B5C76D" w14:textId="77777777" w:rsidR="00817399" w:rsidRPr="002F2BC5" w:rsidRDefault="00817399" w:rsidP="00817399">
      <w:pPr>
        <w:spacing w:line="269" w:lineRule="auto"/>
        <w:rPr>
          <w:rtl/>
        </w:rPr>
        <w:sectPr w:rsidR="00817399" w:rsidRPr="002F2BC5" w:rsidSect="00B14D2A">
          <w:headerReference w:type="first" r:id="rId22"/>
          <w:pgSz w:w="16838" w:h="11906" w:orient="landscape"/>
          <w:pgMar w:top="720" w:right="720" w:bottom="720" w:left="720" w:header="709" w:footer="709" w:gutter="0"/>
          <w:cols w:space="708"/>
          <w:titlePg/>
          <w:bidi/>
          <w:rtlGutter/>
          <w:docGrid w:linePitch="360"/>
        </w:sectPr>
      </w:pPr>
    </w:p>
    <w:p w14:paraId="32B0733F" w14:textId="77777777" w:rsidR="00817399" w:rsidRPr="002F2BC5" w:rsidRDefault="00817399" w:rsidP="00817399">
      <w:pPr>
        <w:pStyle w:val="20"/>
        <w:spacing w:before="0" w:line="269" w:lineRule="auto"/>
        <w:rPr>
          <w:rtl/>
        </w:rPr>
      </w:pPr>
      <w:bookmarkStart w:id="63" w:name="_Toc61359476"/>
      <w:bookmarkStart w:id="64" w:name="_Toc189072199"/>
      <w:bookmarkStart w:id="65" w:name="_Toc191986910"/>
      <w:bookmarkStart w:id="66" w:name="_Toc191891378"/>
      <w:bookmarkStart w:id="67" w:name="_Toc192093030"/>
      <w:bookmarkStart w:id="68" w:name="_Toc193110588"/>
      <w:bookmarkStart w:id="69" w:name="_Toc192612738"/>
      <w:bookmarkStart w:id="70" w:name="_Toc192778812"/>
      <w:bookmarkStart w:id="71" w:name="_Toc198312162"/>
      <w:bookmarkStart w:id="72" w:name="_Toc198312631"/>
      <w:bookmarkStart w:id="73" w:name="_Toc200636790"/>
      <w:bookmarkStart w:id="74" w:name="_Toc200636821"/>
      <w:bookmarkStart w:id="75" w:name="_Toc200439789"/>
      <w:bookmarkStart w:id="76" w:name="_Toc200439820"/>
      <w:bookmarkStart w:id="77" w:name="_Toc201240925"/>
      <w:bookmarkStart w:id="78" w:name="_Toc192784366"/>
      <w:bookmarkStart w:id="79" w:name="_Toc201759352"/>
      <w:bookmarkStart w:id="80" w:name="_Toc203487985"/>
      <w:r w:rsidRPr="002F2BC5">
        <w:rPr>
          <w:rFonts w:hint="cs"/>
          <w:rtl/>
        </w:rPr>
        <w:lastRenderedPageBreak/>
        <w:t>תופעת האלימות בין בני זוג בראי מערכתי</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641F8C7" w14:textId="77777777" w:rsidR="00817399" w:rsidRPr="002F2BC5" w:rsidRDefault="00817399" w:rsidP="00817399">
      <w:pPr>
        <w:spacing w:line="269" w:lineRule="auto"/>
        <w:rPr>
          <w:rtl/>
        </w:rPr>
      </w:pPr>
    </w:p>
    <w:p w14:paraId="1BF1A94F" w14:textId="77777777" w:rsidR="00817399" w:rsidRPr="002F2BC5" w:rsidRDefault="00817399" w:rsidP="00817399">
      <w:pPr>
        <w:spacing w:line="269" w:lineRule="auto"/>
        <w:rPr>
          <w:rtl/>
        </w:rPr>
      </w:pPr>
      <w:r w:rsidRPr="002F2BC5">
        <w:rPr>
          <w:rFonts w:ascii="David" w:hAnsi="David"/>
          <w:sz w:val="24"/>
          <w:rtl/>
        </w:rPr>
        <w:t>שירותי הרווחה האישיים</w:t>
      </w:r>
      <w:r w:rsidRPr="002F2BC5">
        <w:rPr>
          <w:rStyle w:val="af9"/>
          <w:sz w:val="24"/>
          <w:rtl/>
        </w:rPr>
        <w:footnoteReference w:id="33"/>
      </w:r>
      <w:r w:rsidRPr="002F2BC5">
        <w:rPr>
          <w:rFonts w:ascii="David" w:hAnsi="David" w:hint="cs"/>
          <w:sz w:val="24"/>
          <w:rtl/>
        </w:rPr>
        <w:t xml:space="preserve"> מיועדים</w:t>
      </w:r>
      <w:r w:rsidRPr="002F2BC5">
        <w:rPr>
          <w:rFonts w:ascii="David" w:hAnsi="David"/>
          <w:sz w:val="24"/>
          <w:rtl/>
        </w:rPr>
        <w:t xml:space="preserve"> לאוכלוסיות שהן הפגיעות ביותר בחברה</w:t>
      </w:r>
      <w:r w:rsidRPr="002F2BC5">
        <w:rPr>
          <w:rFonts w:ascii="David" w:hAnsi="David" w:hint="cs"/>
          <w:sz w:val="24"/>
          <w:rtl/>
        </w:rPr>
        <w:t xml:space="preserve">. </w:t>
      </w:r>
      <w:r w:rsidRPr="002F2BC5">
        <w:rPr>
          <w:rFonts w:ascii="David" w:hAnsi="David"/>
          <w:sz w:val="24"/>
          <w:rtl/>
        </w:rPr>
        <w:t xml:space="preserve">הם </w:t>
      </w:r>
      <w:r w:rsidRPr="002F2BC5">
        <w:rPr>
          <w:rFonts w:ascii="David" w:hAnsi="David" w:hint="cs"/>
          <w:sz w:val="24"/>
          <w:rtl/>
        </w:rPr>
        <w:t>ניתנים</w:t>
      </w:r>
      <w:r w:rsidRPr="002F2BC5">
        <w:rPr>
          <w:rFonts w:ascii="David" w:hAnsi="David"/>
          <w:sz w:val="24"/>
          <w:rtl/>
        </w:rPr>
        <w:t xml:space="preserve"> על ידי מערך רב-ארגוני ומבוזר של משרדי ממשלה, רשויות מקומיות </w:t>
      </w:r>
      <w:r w:rsidRPr="002F2BC5">
        <w:rPr>
          <w:rFonts w:ascii="David" w:hAnsi="David" w:hint="cs"/>
          <w:sz w:val="24"/>
          <w:rtl/>
        </w:rPr>
        <w:t>ו</w:t>
      </w:r>
      <w:r w:rsidRPr="002F2BC5">
        <w:rPr>
          <w:rFonts w:ascii="David" w:hAnsi="David"/>
          <w:sz w:val="24"/>
          <w:rtl/>
        </w:rPr>
        <w:t>ארגונים וולונטריים</w:t>
      </w:r>
      <w:r w:rsidRPr="002F2BC5">
        <w:rPr>
          <w:rFonts w:ascii="David" w:hAnsi="David" w:hint="cs"/>
          <w:sz w:val="24"/>
          <w:rtl/>
        </w:rPr>
        <w:t>, ומצב זה</w:t>
      </w:r>
      <w:r w:rsidRPr="002F2BC5">
        <w:rPr>
          <w:rFonts w:ascii="David" w:hAnsi="David"/>
          <w:sz w:val="24"/>
          <w:rtl/>
        </w:rPr>
        <w:t xml:space="preserve"> עלול לגרום </w:t>
      </w:r>
      <w:r w:rsidRPr="002F2BC5">
        <w:rPr>
          <w:rFonts w:ascii="David" w:hAnsi="David" w:hint="cs"/>
          <w:sz w:val="24"/>
          <w:rtl/>
        </w:rPr>
        <w:t>ל</w:t>
      </w:r>
      <w:r w:rsidRPr="002F2BC5">
        <w:rPr>
          <w:rFonts w:ascii="David" w:hAnsi="David"/>
          <w:sz w:val="24"/>
          <w:rtl/>
        </w:rPr>
        <w:t>חוסר תיאום</w:t>
      </w:r>
      <w:r w:rsidRPr="002F2BC5">
        <w:rPr>
          <w:rFonts w:ascii="David" w:hAnsi="David" w:hint="cs"/>
          <w:sz w:val="24"/>
          <w:rtl/>
        </w:rPr>
        <w:t xml:space="preserve"> בין כלל הגורמים ו</w:t>
      </w:r>
      <w:r w:rsidRPr="002F2BC5">
        <w:rPr>
          <w:rFonts w:ascii="David" w:hAnsi="David"/>
          <w:sz w:val="24"/>
          <w:rtl/>
        </w:rPr>
        <w:t xml:space="preserve">להקשות </w:t>
      </w:r>
      <w:r w:rsidRPr="002F2BC5">
        <w:rPr>
          <w:rFonts w:ascii="David" w:hAnsi="David" w:hint="cs"/>
          <w:sz w:val="24"/>
          <w:rtl/>
        </w:rPr>
        <w:t xml:space="preserve">על </w:t>
      </w:r>
      <w:r w:rsidRPr="002F2BC5">
        <w:rPr>
          <w:rFonts w:ascii="David" w:hAnsi="David"/>
          <w:sz w:val="24"/>
          <w:rtl/>
        </w:rPr>
        <w:t xml:space="preserve">ניטור ופיקוח מועילים </w:t>
      </w:r>
      <w:r w:rsidRPr="002F2BC5">
        <w:rPr>
          <w:rFonts w:ascii="David" w:hAnsi="David" w:hint="cs"/>
          <w:sz w:val="24"/>
          <w:rtl/>
        </w:rPr>
        <w:t>של</w:t>
      </w:r>
      <w:r w:rsidRPr="002F2BC5">
        <w:rPr>
          <w:rFonts w:ascii="David" w:hAnsi="David"/>
          <w:sz w:val="24"/>
          <w:rtl/>
        </w:rPr>
        <w:t xml:space="preserve"> אספקת השירותים</w:t>
      </w:r>
      <w:bookmarkStart w:id="81" w:name="_Ref88070011"/>
      <w:r w:rsidRPr="002F2BC5">
        <w:rPr>
          <w:rFonts w:ascii="David" w:hAnsi="David" w:hint="cs"/>
          <w:sz w:val="24"/>
          <w:rtl/>
        </w:rPr>
        <w:t xml:space="preserve"> כדי להבטיח את רמתם הנאותה</w:t>
      </w:r>
      <w:r w:rsidRPr="002F2BC5">
        <w:rPr>
          <w:rFonts w:ascii="David" w:hAnsi="David"/>
          <w:sz w:val="24"/>
          <w:vertAlign w:val="superscript"/>
          <w:rtl/>
        </w:rPr>
        <w:footnoteReference w:id="34"/>
      </w:r>
      <w:bookmarkEnd w:id="81"/>
      <w:r w:rsidRPr="002F2BC5">
        <w:rPr>
          <w:rFonts w:ascii="David" w:hAnsi="David"/>
          <w:sz w:val="24"/>
          <w:rtl/>
        </w:rPr>
        <w:t>.</w:t>
      </w:r>
      <w:r w:rsidRPr="002F2BC5">
        <w:rPr>
          <w:rFonts w:ascii="David" w:hAnsi="David"/>
          <w:rtl/>
        </w:rPr>
        <w:t xml:space="preserve"> </w:t>
      </w:r>
      <w:r w:rsidRPr="002F2BC5">
        <w:rPr>
          <w:rFonts w:hint="cs"/>
          <w:rtl/>
        </w:rPr>
        <w:t>אתגרים אלו מקבלים</w:t>
      </w:r>
      <w:r w:rsidRPr="002F2BC5">
        <w:rPr>
          <w:rtl/>
        </w:rPr>
        <w:t xml:space="preserve"> משנה תוקף </w:t>
      </w:r>
      <w:r w:rsidRPr="002F2BC5">
        <w:rPr>
          <w:rFonts w:hint="eastAsia"/>
          <w:rtl/>
        </w:rPr>
        <w:t>בכל</w:t>
      </w:r>
      <w:r w:rsidRPr="002F2BC5">
        <w:rPr>
          <w:rtl/>
        </w:rPr>
        <w:t xml:space="preserve"> </w:t>
      </w:r>
      <w:r w:rsidRPr="002F2BC5">
        <w:rPr>
          <w:rFonts w:hint="eastAsia"/>
          <w:rtl/>
        </w:rPr>
        <w:t>הנוגע</w:t>
      </w:r>
      <w:r w:rsidRPr="002F2BC5">
        <w:rPr>
          <w:rtl/>
        </w:rPr>
        <w:t xml:space="preserve"> </w:t>
      </w:r>
      <w:r w:rsidRPr="002F2BC5">
        <w:rPr>
          <w:rFonts w:hint="eastAsia"/>
          <w:rtl/>
        </w:rPr>
        <w:t>להתמודדות</w:t>
      </w:r>
      <w:r w:rsidRPr="002F2BC5">
        <w:rPr>
          <w:rtl/>
        </w:rPr>
        <w:t xml:space="preserve"> </w:t>
      </w:r>
      <w:r w:rsidRPr="002F2BC5">
        <w:rPr>
          <w:rFonts w:hint="eastAsia"/>
          <w:rtl/>
        </w:rPr>
        <w:t>עם</w:t>
      </w:r>
      <w:r w:rsidRPr="002F2BC5">
        <w:rPr>
          <w:rtl/>
        </w:rPr>
        <w:t xml:space="preserve">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ובמערכת</w:t>
      </w:r>
      <w:r w:rsidRPr="002F2BC5">
        <w:rPr>
          <w:rtl/>
        </w:rPr>
        <w:t xml:space="preserve"> </w:t>
      </w:r>
      <w:r w:rsidRPr="002F2BC5">
        <w:rPr>
          <w:rFonts w:hint="eastAsia"/>
          <w:rtl/>
        </w:rPr>
        <w:t>היחסים</w:t>
      </w:r>
      <w:r w:rsidRPr="002F2BC5">
        <w:rPr>
          <w:rtl/>
        </w:rPr>
        <w:t xml:space="preserve"> </w:t>
      </w:r>
      <w:r w:rsidRPr="002F2BC5">
        <w:rPr>
          <w:rFonts w:hint="eastAsia"/>
          <w:rtl/>
        </w:rPr>
        <w:t>הזוגית</w:t>
      </w:r>
      <w:r w:rsidRPr="002F2BC5">
        <w:rPr>
          <w:rFonts w:hint="cs"/>
          <w:rtl/>
        </w:rPr>
        <w:t>, לנוכח מורכבותה של התופעה והשפעותיה השליליות על הפרט ועל הקהילה - לטווח הקצר והארוך גם יחד. ההתמודדות עם התופעה מחייבת יצירת תשתית חוקית ומקצועית אחידה, ובתוך כך קביעת מסגרת מושגית והגדרה ברורה של התופעה; איסוף נתונים באופן שיטתי ושוטף על היקפה של התופעה באוכלוסייה בכלל ועל היקפה של אוכלוסיית מקבלי השירות בפרט; וכן גיבוש מדיניות ואסטרטגיה רב-שנתית, רב-מערכתית, מתואמת ואינטגרטיבית, בהתבסס על ההגדרה והנתונים הנאספים, והערכתה ותיקופה מפעם לפעם. התמודדות מיטבית עם התופעה מחייבת גם הקצאת תקציבים הולמים וכן פיקוח ובקרה על ניצולם. להלן יפורטו ממצאי ביקורת המעקב והביקורת הנוכחית בהיבטיה המערכתיים של ההתמודדות עם התופעה.</w:t>
      </w:r>
    </w:p>
    <w:p w14:paraId="20F90C53" w14:textId="77777777" w:rsidR="00817399" w:rsidRPr="002F2BC5" w:rsidRDefault="00817399" w:rsidP="00817399">
      <w:pPr>
        <w:spacing w:line="269" w:lineRule="auto"/>
        <w:rPr>
          <w:rFonts w:hint="cs"/>
          <w:rtl/>
        </w:rPr>
      </w:pPr>
    </w:p>
    <w:p w14:paraId="0D5A90B7" w14:textId="77777777" w:rsidR="00817399" w:rsidRPr="002F2BC5" w:rsidRDefault="00817399" w:rsidP="00817399">
      <w:pPr>
        <w:pStyle w:val="31"/>
        <w:spacing w:before="0" w:line="269" w:lineRule="auto"/>
        <w:rPr>
          <w:rtl/>
        </w:rPr>
      </w:pPr>
      <w:bookmarkStart w:id="82" w:name="_Ref185261313"/>
      <w:bookmarkStart w:id="83" w:name="_Toc189072200"/>
      <w:bookmarkStart w:id="84" w:name="_Toc191986911"/>
      <w:bookmarkStart w:id="85" w:name="_Toc191891379"/>
      <w:bookmarkStart w:id="86" w:name="_Toc192093031"/>
      <w:bookmarkStart w:id="87" w:name="_Toc193110589"/>
      <w:bookmarkStart w:id="88" w:name="_Toc192612739"/>
      <w:bookmarkStart w:id="89" w:name="_Toc192778813"/>
      <w:bookmarkStart w:id="90" w:name="_Toc198312163"/>
      <w:bookmarkStart w:id="91" w:name="_Toc198312632"/>
      <w:bookmarkStart w:id="92" w:name="_Toc200636791"/>
      <w:bookmarkStart w:id="93" w:name="_Toc200636822"/>
      <w:bookmarkStart w:id="94" w:name="_Toc200439790"/>
      <w:bookmarkStart w:id="95" w:name="_Toc200439821"/>
      <w:bookmarkStart w:id="96" w:name="_Toc201240926"/>
      <w:bookmarkStart w:id="97" w:name="_Toc192784367"/>
      <w:bookmarkStart w:id="98" w:name="_Toc201759353"/>
      <w:bookmarkStart w:id="99" w:name="_Toc61359477"/>
      <w:bookmarkStart w:id="100" w:name="_Toc203487986"/>
      <w:r w:rsidRPr="002F2BC5">
        <w:rPr>
          <w:rFonts w:hint="cs"/>
          <w:rtl/>
        </w:rPr>
        <w:t>הבסיס החוקי והמקצועי להתמודדות עם תופעת האלימות בין בני זוג</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0"/>
    </w:p>
    <w:p w14:paraId="666E77AC" w14:textId="77777777" w:rsidR="00817399" w:rsidRPr="002F2BC5" w:rsidRDefault="00817399" w:rsidP="00817399">
      <w:pPr>
        <w:spacing w:line="269" w:lineRule="auto"/>
        <w:rPr>
          <w:rtl/>
        </w:rPr>
      </w:pPr>
    </w:p>
    <w:p w14:paraId="36F1EE5B" w14:textId="77777777" w:rsidR="00817399" w:rsidRPr="002F2BC5" w:rsidRDefault="00817399" w:rsidP="00817399">
      <w:pPr>
        <w:spacing w:line="269" w:lineRule="auto"/>
        <w:rPr>
          <w:rtl/>
        </w:rPr>
      </w:pPr>
      <w:r w:rsidRPr="002F2BC5">
        <w:rPr>
          <w:rFonts w:hint="cs"/>
          <w:rtl/>
        </w:rPr>
        <w:t xml:space="preserve">ההסדר החוקי העיקרי המעגן את אחריותה ומחויבותה של המדינה להגן על נפגעי אלימות בתוך התא המשפחתי מעוגן בחוק למניעת אלימות במשפחה, התשנ"א-1991 (להלן - החוק למניעת אלימות </w:t>
      </w:r>
      <w:r w:rsidRPr="002F2BC5">
        <w:rPr>
          <w:rFonts w:hint="eastAsia"/>
          <w:rtl/>
        </w:rPr>
        <w:t>במשפחה</w:t>
      </w:r>
      <w:r w:rsidRPr="002F2BC5">
        <w:rPr>
          <w:rFonts w:hint="cs"/>
          <w:rtl/>
        </w:rPr>
        <w:t>). חוק זה מסדיר את הדרכים למתן הגנה לנפגעי אלימות במשפחה, בין היתר בדרך של מתן צו שיפוטי האוסר על הפוגע</w:t>
      </w:r>
      <w:r w:rsidRPr="002F2BC5">
        <w:rPr>
          <w:rtl/>
        </w:rPr>
        <w:t xml:space="preserve"> להיכנס לדירה שבה מתגורר בן משפחתו או להתקרב אליה</w:t>
      </w:r>
      <w:r w:rsidRPr="002F2BC5">
        <w:rPr>
          <w:rStyle w:val="af9"/>
          <w:rtl/>
        </w:rPr>
        <w:footnoteReference w:id="35"/>
      </w:r>
      <w:r w:rsidRPr="002F2BC5">
        <w:rPr>
          <w:rFonts w:hint="cs"/>
          <w:rtl/>
        </w:rPr>
        <w:t xml:space="preserve"> (להלן גם - צו הגנה), והוא מתייחס גם לחובתם של אנשי מקצוע ליידע נפגעי אלימות במשפחה בדבר אפשרויות טיפול וקבלת הגנה העומדות בפניהם</w:t>
      </w:r>
      <w:r w:rsidRPr="002F2BC5">
        <w:rPr>
          <w:rStyle w:val="af9"/>
          <w:rtl/>
        </w:rPr>
        <w:footnoteReference w:id="36"/>
      </w:r>
      <w:r w:rsidRPr="002F2BC5">
        <w:rPr>
          <w:rFonts w:hint="cs"/>
          <w:rtl/>
        </w:rPr>
        <w:t>. עוד החוק מסמיך את בית המשפט לקבוע בצו ההגנה דרישה להתחייבות של האדם שכנגדו הוצא הצו לשיתוף פעולה עם גורמים טיפוליים שיקבע בית המשפט</w:t>
      </w:r>
      <w:r w:rsidRPr="002F2BC5">
        <w:rPr>
          <w:rStyle w:val="af9"/>
          <w:rtl/>
        </w:rPr>
        <w:footnoteReference w:id="37"/>
      </w:r>
      <w:r w:rsidRPr="002F2BC5">
        <w:rPr>
          <w:rFonts w:hint="cs"/>
          <w:rtl/>
        </w:rPr>
        <w:t xml:space="preserve">. משהוצא צו הגנה, עוברת האחריות לאכיפתו למשטרת </w:t>
      </w:r>
      <w:r w:rsidRPr="002F2BC5">
        <w:rPr>
          <w:rFonts w:hint="cs"/>
          <w:rtl/>
        </w:rPr>
        <w:lastRenderedPageBreak/>
        <w:t>ישראל, ואז עשויה הפרת הצו להקים עילה למעצרו של המפר, וזאת, בנסיבות מסוימות, אף אם בני משפחתו לא עמדו על קיום הצו או על הפעלת הוראות החוק בשל הפרתו</w:t>
      </w:r>
      <w:r w:rsidRPr="002F2BC5">
        <w:rPr>
          <w:rStyle w:val="af9"/>
          <w:rtl/>
        </w:rPr>
        <w:footnoteReference w:id="38"/>
      </w:r>
      <w:r w:rsidRPr="002F2BC5">
        <w:rPr>
          <w:rFonts w:hint="cs"/>
          <w:rtl/>
        </w:rPr>
        <w:t>.</w:t>
      </w:r>
    </w:p>
    <w:p w14:paraId="7A51EFF9" w14:textId="77777777" w:rsidR="00817399" w:rsidRPr="002F2BC5" w:rsidRDefault="00817399" w:rsidP="00817399">
      <w:pPr>
        <w:spacing w:line="269" w:lineRule="auto"/>
        <w:rPr>
          <w:rtl/>
        </w:rPr>
      </w:pPr>
    </w:p>
    <w:p w14:paraId="34701845" w14:textId="77777777" w:rsidR="00817399" w:rsidRPr="002F2BC5" w:rsidRDefault="00817399" w:rsidP="00817399">
      <w:pPr>
        <w:spacing w:line="269" w:lineRule="auto"/>
        <w:rPr>
          <w:rtl/>
        </w:rPr>
      </w:pPr>
      <w:r w:rsidRPr="002F2BC5">
        <w:rPr>
          <w:rFonts w:hint="cs"/>
          <w:rtl/>
        </w:rPr>
        <w:t xml:space="preserve">הסדר ייחודי נוסף העוסק בהגנה על נפגעי אלימות בתוך התא המשפחתי וכן בשיקומם נקבע בחוק שירותי רווחה (זכויות נשים ששהו במקלט לנשים מוכות), התשע"ג-2012. חוק זה מסדיר את הדרכים שבהן יינתן סיוע לנשים נפגעות אלימות בתוך התא המשפחתי </w:t>
      </w:r>
      <w:r w:rsidRPr="002F2BC5">
        <w:rPr>
          <w:rtl/>
        </w:rPr>
        <w:t>במעבר</w:t>
      </w:r>
      <w:r w:rsidRPr="002F2BC5">
        <w:rPr>
          <w:rFonts w:hint="cs"/>
          <w:rtl/>
        </w:rPr>
        <w:t xml:space="preserve"> </w:t>
      </w:r>
      <w:r w:rsidRPr="002F2BC5">
        <w:rPr>
          <w:rtl/>
        </w:rPr>
        <w:t>לניהול חיים עצמאיים</w:t>
      </w:r>
      <w:r w:rsidRPr="002F2BC5">
        <w:rPr>
          <w:rFonts w:hint="cs"/>
          <w:rtl/>
        </w:rPr>
        <w:t>, עם</w:t>
      </w:r>
      <w:r w:rsidRPr="002F2BC5">
        <w:rPr>
          <w:rtl/>
        </w:rPr>
        <w:t xml:space="preserve"> עזיבתן</w:t>
      </w:r>
      <w:r w:rsidRPr="002F2BC5">
        <w:rPr>
          <w:rFonts w:hint="cs"/>
          <w:rtl/>
        </w:rPr>
        <w:t xml:space="preserve"> את </w:t>
      </w:r>
      <w:r w:rsidRPr="002F2BC5">
        <w:rPr>
          <w:rtl/>
        </w:rPr>
        <w:t xml:space="preserve">מקום מגוריהן ואת בן המשפחה שנהג כלפיהן </w:t>
      </w:r>
      <w:r w:rsidRPr="002F2BC5">
        <w:rPr>
          <w:rFonts w:hint="cs"/>
          <w:rtl/>
        </w:rPr>
        <w:t xml:space="preserve">או </w:t>
      </w:r>
      <w:r w:rsidRPr="002F2BC5">
        <w:rPr>
          <w:rtl/>
        </w:rPr>
        <w:t>כלפי</w:t>
      </w:r>
      <w:r w:rsidRPr="002F2BC5">
        <w:rPr>
          <w:rFonts w:hint="cs"/>
          <w:rtl/>
        </w:rPr>
        <w:t xml:space="preserve"> </w:t>
      </w:r>
      <w:r w:rsidRPr="002F2BC5">
        <w:rPr>
          <w:rtl/>
        </w:rPr>
        <w:t>ילדיהן באלימות</w:t>
      </w:r>
      <w:r w:rsidRPr="002F2BC5">
        <w:rPr>
          <w:rFonts w:hint="cs"/>
          <w:rtl/>
        </w:rPr>
        <w:t>. זאת</w:t>
      </w:r>
      <w:r w:rsidRPr="002F2BC5">
        <w:rPr>
          <w:rtl/>
        </w:rPr>
        <w:t xml:space="preserve"> בין היתר כדי לצמצם את האפשרות</w:t>
      </w:r>
      <w:r w:rsidRPr="002F2BC5">
        <w:rPr>
          <w:rFonts w:hint="cs"/>
          <w:rtl/>
        </w:rPr>
        <w:t xml:space="preserve"> </w:t>
      </w:r>
      <w:r w:rsidRPr="002F2BC5">
        <w:rPr>
          <w:rtl/>
        </w:rPr>
        <w:t>שייאלצו, בשל אילוצים כלכליים, לשוב ולהתגורר עם</w:t>
      </w:r>
      <w:r w:rsidRPr="002F2BC5">
        <w:rPr>
          <w:rFonts w:hint="cs"/>
          <w:rtl/>
        </w:rPr>
        <w:t xml:space="preserve"> </w:t>
      </w:r>
      <w:r w:rsidRPr="002F2BC5">
        <w:rPr>
          <w:rtl/>
        </w:rPr>
        <w:t>אותו בן משפחה</w:t>
      </w:r>
      <w:r w:rsidRPr="002F2BC5">
        <w:rPr>
          <w:rStyle w:val="af9"/>
          <w:rtl/>
        </w:rPr>
        <w:footnoteReference w:id="39"/>
      </w:r>
      <w:r w:rsidRPr="002F2BC5">
        <w:rPr>
          <w:rtl/>
        </w:rPr>
        <w:t>.</w:t>
      </w:r>
    </w:p>
    <w:p w14:paraId="4B5FEFCC" w14:textId="77777777" w:rsidR="00817399" w:rsidRPr="002F2BC5" w:rsidRDefault="00817399" w:rsidP="00817399">
      <w:pPr>
        <w:spacing w:line="269" w:lineRule="auto"/>
        <w:rPr>
          <w:rtl/>
        </w:rPr>
      </w:pPr>
    </w:p>
    <w:p w14:paraId="3A7F520E" w14:textId="77777777" w:rsidR="00817399" w:rsidRPr="002F2BC5" w:rsidRDefault="00817399" w:rsidP="00817399">
      <w:pPr>
        <w:spacing w:line="269" w:lineRule="auto"/>
        <w:rPr>
          <w:rtl/>
        </w:rPr>
      </w:pPr>
      <w:r w:rsidRPr="002F2BC5">
        <w:rPr>
          <w:rFonts w:hint="cs"/>
          <w:rtl/>
        </w:rPr>
        <w:t>הסדרים חוקיים נוספים הכוללים התייחסות ייחודית לתופעת האלימות במשפחה, ובכך מבטאים את חומרת התופעה ואת אופייה הציבורי</w:t>
      </w:r>
      <w:r w:rsidRPr="002F2BC5">
        <w:rPr>
          <w:rStyle w:val="af9"/>
          <w:rtl/>
        </w:rPr>
        <w:footnoteReference w:id="40"/>
      </w:r>
      <w:r w:rsidRPr="002F2BC5">
        <w:rPr>
          <w:rFonts w:hint="cs"/>
          <w:rtl/>
        </w:rPr>
        <w:t xml:space="preserve">, מעוגנים בחוק העונשין, התשל"ז-1977 (להלן - חוק העונשין), הקובע את העבירות הפליליות ואת העונש שבצידן וכן מסדיר את דרכי ענישתם של עוברי חוק. חוק העונשין קובע רף ענישה גבוה יותר בעבירות מסוימות שנעברו כלפי בן משפחה בכלל וכלפי בן זוג </w:t>
      </w:r>
      <w:r w:rsidRPr="002F2BC5">
        <w:rPr>
          <w:rFonts w:hint="eastAsia"/>
          <w:rtl/>
        </w:rPr>
        <w:t>בפרט</w:t>
      </w:r>
      <w:r w:rsidRPr="002F2BC5">
        <w:rPr>
          <w:rStyle w:val="af9"/>
          <w:rtl/>
        </w:rPr>
        <w:footnoteReference w:id="41"/>
      </w:r>
      <w:r w:rsidRPr="002F2BC5">
        <w:rPr>
          <w:rFonts w:hint="cs"/>
          <w:rtl/>
        </w:rPr>
        <w:t>. נוסף על כך, החוק מסמיך את בית המשפט, בהליך הנדון בפניו, לחייב בטיפול שיקומי בקהילה אדם שהורשע בעבירת אלימות כלפי בן משפחתו או שנקבע כי נהג באלימות כלפי בן משפחתו, גם אם לא הורשע בכך (להלן - צו מבחן)</w:t>
      </w:r>
      <w:r w:rsidRPr="002F2BC5">
        <w:rPr>
          <w:rStyle w:val="af9"/>
          <w:rtl/>
        </w:rPr>
        <w:footnoteReference w:id="42"/>
      </w:r>
      <w:r w:rsidRPr="002F2BC5">
        <w:rPr>
          <w:rFonts w:hint="cs"/>
          <w:rtl/>
        </w:rPr>
        <w:t xml:space="preserve">. הסדרים ייחודיים נוספים המבטאים את חומרתה היתרה של התופעה קבועים גם בחוק סדר הדין הפלילי (סמכויות אכיפה - מעצרים), התשנ"ו-1996 (להלן - חוק המעצרים), </w:t>
      </w:r>
      <w:r w:rsidRPr="002F2BC5">
        <w:rPr>
          <w:rFonts w:hint="eastAsia"/>
          <w:rtl/>
        </w:rPr>
        <w:t>לפיו</w:t>
      </w:r>
      <w:r w:rsidRPr="002F2BC5">
        <w:rPr>
          <w:rFonts w:hint="cs"/>
          <w:rtl/>
        </w:rPr>
        <w:t xml:space="preserve"> </w:t>
      </w:r>
      <w:r w:rsidRPr="002F2BC5">
        <w:rPr>
          <w:rtl/>
        </w:rPr>
        <w:t xml:space="preserve">עבירת אלימות במשפחה מקימה עילת מעצר </w:t>
      </w:r>
      <w:r w:rsidRPr="002F2BC5">
        <w:rPr>
          <w:rFonts w:hint="cs"/>
          <w:rtl/>
        </w:rPr>
        <w:t>מיידית</w:t>
      </w:r>
      <w:r w:rsidRPr="002F2BC5">
        <w:rPr>
          <w:rtl/>
        </w:rPr>
        <w:t xml:space="preserve"> </w:t>
      </w:r>
      <w:r w:rsidRPr="002F2BC5">
        <w:rPr>
          <w:rFonts w:hint="eastAsia"/>
          <w:rtl/>
        </w:rPr>
        <w:t>של</w:t>
      </w:r>
      <w:r w:rsidRPr="002F2BC5">
        <w:rPr>
          <w:rtl/>
        </w:rPr>
        <w:t xml:space="preserve"> החשוד בעבירה, אף מבלי שהוצא צו מעצר כנגדו, </w:t>
      </w:r>
      <w:r w:rsidRPr="002F2BC5">
        <w:rPr>
          <w:rFonts w:hint="eastAsia"/>
          <w:rtl/>
        </w:rPr>
        <w:t>ובית</w:t>
      </w:r>
      <w:r w:rsidRPr="002F2BC5">
        <w:rPr>
          <w:rtl/>
        </w:rPr>
        <w:t xml:space="preserve"> </w:t>
      </w:r>
      <w:r w:rsidRPr="002F2BC5">
        <w:rPr>
          <w:rFonts w:hint="eastAsia"/>
          <w:rtl/>
        </w:rPr>
        <w:t>המשפט</w:t>
      </w:r>
      <w:r w:rsidRPr="002F2BC5">
        <w:rPr>
          <w:rFonts w:hint="cs"/>
          <w:rtl/>
        </w:rPr>
        <w:t xml:space="preserve"> גם מוסמך</w:t>
      </w:r>
      <w:r w:rsidRPr="002F2BC5">
        <w:rPr>
          <w:rtl/>
        </w:rPr>
        <w:t xml:space="preserve"> </w:t>
      </w:r>
      <w:r w:rsidRPr="002F2BC5">
        <w:rPr>
          <w:rFonts w:hint="cs"/>
          <w:rtl/>
        </w:rPr>
        <w:t xml:space="preserve">לפיו </w:t>
      </w:r>
      <w:r w:rsidRPr="002F2BC5">
        <w:rPr>
          <w:rFonts w:hint="eastAsia"/>
          <w:rtl/>
        </w:rPr>
        <w:t>להורות</w:t>
      </w:r>
      <w:r w:rsidRPr="002F2BC5">
        <w:rPr>
          <w:rtl/>
        </w:rPr>
        <w:t xml:space="preserve"> </w:t>
      </w:r>
      <w:r w:rsidRPr="002F2BC5">
        <w:rPr>
          <w:rFonts w:hint="eastAsia"/>
          <w:rtl/>
        </w:rPr>
        <w:t>על</w:t>
      </w:r>
      <w:r w:rsidRPr="002F2BC5">
        <w:rPr>
          <w:rtl/>
        </w:rPr>
        <w:t xml:space="preserve"> </w:t>
      </w:r>
      <w:r w:rsidRPr="002F2BC5">
        <w:rPr>
          <w:rFonts w:hint="eastAsia"/>
          <w:rtl/>
        </w:rPr>
        <w:t>מעצרו</w:t>
      </w:r>
      <w:r w:rsidRPr="002F2BC5">
        <w:rPr>
          <w:rtl/>
        </w:rPr>
        <w:t xml:space="preserve"> </w:t>
      </w:r>
      <w:r w:rsidRPr="002F2BC5">
        <w:rPr>
          <w:rFonts w:hint="eastAsia"/>
          <w:rtl/>
        </w:rPr>
        <w:t>של</w:t>
      </w:r>
      <w:r w:rsidRPr="002F2BC5">
        <w:rPr>
          <w:rtl/>
        </w:rPr>
        <w:t xml:space="preserve"> </w:t>
      </w:r>
      <w:r w:rsidRPr="002F2BC5">
        <w:rPr>
          <w:rFonts w:hint="eastAsia"/>
          <w:rtl/>
        </w:rPr>
        <w:t>נאשם</w:t>
      </w:r>
      <w:r w:rsidRPr="002F2BC5">
        <w:rPr>
          <w:rtl/>
        </w:rPr>
        <w:t xml:space="preserve"> </w:t>
      </w:r>
      <w:r w:rsidRPr="002F2BC5">
        <w:rPr>
          <w:rFonts w:hint="eastAsia"/>
          <w:rtl/>
        </w:rPr>
        <w:t>בעבירת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עד</w:t>
      </w:r>
      <w:r w:rsidRPr="002F2BC5">
        <w:rPr>
          <w:rtl/>
        </w:rPr>
        <w:t xml:space="preserve"> </w:t>
      </w:r>
      <w:r w:rsidRPr="002F2BC5">
        <w:rPr>
          <w:rFonts w:hint="eastAsia"/>
          <w:rtl/>
        </w:rPr>
        <w:t>תום</w:t>
      </w:r>
      <w:r w:rsidRPr="002F2BC5">
        <w:rPr>
          <w:rtl/>
        </w:rPr>
        <w:t xml:space="preserve"> </w:t>
      </w:r>
      <w:r w:rsidRPr="002F2BC5">
        <w:rPr>
          <w:rFonts w:hint="eastAsia"/>
          <w:rtl/>
        </w:rPr>
        <w:t>ההליכים</w:t>
      </w:r>
      <w:r w:rsidRPr="002F2BC5">
        <w:rPr>
          <w:rtl/>
        </w:rPr>
        <w:t xml:space="preserve"> המשפטיים נגד</w:t>
      </w:r>
      <w:r w:rsidRPr="002F2BC5">
        <w:rPr>
          <w:rFonts w:hint="cs"/>
          <w:rtl/>
        </w:rPr>
        <w:t>ו</w:t>
      </w:r>
      <w:r w:rsidRPr="002F2BC5">
        <w:rPr>
          <w:rStyle w:val="af9"/>
          <w:rtl/>
        </w:rPr>
        <w:footnoteReference w:id="43"/>
      </w:r>
      <w:r w:rsidRPr="002F2BC5">
        <w:rPr>
          <w:rFonts w:hint="cs"/>
          <w:rtl/>
        </w:rPr>
        <w:t xml:space="preserve">. </w:t>
      </w:r>
    </w:p>
    <w:p w14:paraId="417BC0F9" w14:textId="77777777" w:rsidR="00817399" w:rsidRPr="002F2BC5" w:rsidRDefault="00817399" w:rsidP="00817399">
      <w:pPr>
        <w:spacing w:line="269" w:lineRule="auto"/>
        <w:rPr>
          <w:rtl/>
        </w:rPr>
      </w:pPr>
    </w:p>
    <w:p w14:paraId="43A6DAC9" w14:textId="77777777" w:rsidR="00817399" w:rsidRPr="002F2BC5" w:rsidRDefault="00817399" w:rsidP="00817399">
      <w:pPr>
        <w:spacing w:line="269" w:lineRule="auto"/>
        <w:rPr>
          <w:rtl/>
        </w:rPr>
      </w:pPr>
      <w:r w:rsidRPr="002F2BC5">
        <w:rPr>
          <w:rFonts w:hint="cs"/>
          <w:rtl/>
        </w:rPr>
        <w:t>לצד ההסדרים הייחודיים שנקבעו בחוק העונשין ובחוק המעצרים, קיימים בחקיקה הסדרים כלליים העוסקים בטיפול בעוברי חוק ובשיקומם, ובהם עוברי חוק בתחום האלימות במשפחה, במהלך ההליך הפלילי ולאחריו</w:t>
      </w:r>
      <w:r w:rsidRPr="002F2BC5">
        <w:rPr>
          <w:rStyle w:val="af9"/>
          <w:rtl/>
        </w:rPr>
        <w:footnoteReference w:id="44"/>
      </w:r>
      <w:r w:rsidRPr="002F2BC5">
        <w:rPr>
          <w:rFonts w:hint="cs"/>
          <w:rtl/>
        </w:rPr>
        <w:t>. אלו מצויים באחריותם של שירות המבחן למבוגרים שבמשרד הרווחה, הממונה על הטיפול בבגירים שהם חשודים, נאשמים או נפגעי עבירה ובשיקומם</w:t>
      </w:r>
      <w:r w:rsidRPr="002F2BC5">
        <w:rPr>
          <w:rStyle w:val="af9"/>
          <w:rtl/>
        </w:rPr>
        <w:footnoteReference w:id="45"/>
      </w:r>
      <w:r w:rsidRPr="002F2BC5">
        <w:rPr>
          <w:rFonts w:hint="cs"/>
          <w:rtl/>
        </w:rPr>
        <w:t>; שירות בתי הסוהר, האמון על ניהול בתי הסוהר והבטחת האסירים, ובכלל זה על שילובם בפעילויות שיקום בין כותלי בית הסוהר</w:t>
      </w:r>
      <w:r w:rsidRPr="002F2BC5">
        <w:rPr>
          <w:rStyle w:val="af9"/>
          <w:rtl/>
        </w:rPr>
        <w:footnoteReference w:id="46"/>
      </w:r>
      <w:r w:rsidRPr="002F2BC5">
        <w:rPr>
          <w:rFonts w:hint="cs"/>
          <w:rtl/>
        </w:rPr>
        <w:t>; והרשות לשיקום האסיר, המופקדת לפי החוק על שיקומם של אסירים משוחררים ועל השתלבותם בקהילה לאחר שחרורם ממאסר</w:t>
      </w:r>
      <w:r w:rsidRPr="002F2BC5">
        <w:rPr>
          <w:rStyle w:val="af9"/>
          <w:rtl/>
        </w:rPr>
        <w:footnoteReference w:id="47"/>
      </w:r>
      <w:r w:rsidRPr="002F2BC5">
        <w:rPr>
          <w:rFonts w:hint="cs"/>
          <w:rtl/>
        </w:rPr>
        <w:t xml:space="preserve">. </w:t>
      </w:r>
    </w:p>
    <w:p w14:paraId="7324320D" w14:textId="77777777" w:rsidR="00817399" w:rsidRPr="002F2BC5" w:rsidRDefault="00817399" w:rsidP="00817399">
      <w:pPr>
        <w:spacing w:line="269" w:lineRule="auto"/>
        <w:rPr>
          <w:rtl/>
        </w:rPr>
      </w:pPr>
    </w:p>
    <w:p w14:paraId="4EA0FF2E" w14:textId="77777777" w:rsidR="00817399" w:rsidRPr="002F2BC5" w:rsidRDefault="00817399" w:rsidP="00817399">
      <w:pPr>
        <w:spacing w:line="269" w:lineRule="auto"/>
        <w:rPr>
          <w:rtl/>
        </w:rPr>
      </w:pPr>
      <w:r w:rsidRPr="002F2BC5">
        <w:rPr>
          <w:rFonts w:hint="cs"/>
          <w:rtl/>
        </w:rPr>
        <w:lastRenderedPageBreak/>
        <w:t>דרכי התמודדות נוספות עם תופעת האלימות בין בני זוג מוסדרות בהוראות רגולטוריות אחרות</w:t>
      </w:r>
      <w:r w:rsidRPr="002F2BC5">
        <w:rPr>
          <w:rStyle w:val="af9"/>
          <w:rtl/>
        </w:rPr>
        <w:footnoteReference w:id="48"/>
      </w:r>
      <w:r w:rsidRPr="002F2BC5">
        <w:rPr>
          <w:rFonts w:hint="cs"/>
          <w:rtl/>
        </w:rPr>
        <w:t>, ובמרכזן הוראות תקנון העבודה הסוציאלית (להלן - הוראות התע"ס)</w:t>
      </w:r>
      <w:r w:rsidRPr="002F2BC5">
        <w:rPr>
          <w:rStyle w:val="af9"/>
          <w:rtl/>
        </w:rPr>
        <w:footnoteReference w:id="49"/>
      </w:r>
      <w:r w:rsidRPr="002F2BC5">
        <w:rPr>
          <w:rFonts w:hint="cs"/>
          <w:rtl/>
        </w:rPr>
        <w:t xml:space="preserve">. </w:t>
      </w:r>
      <w:bookmarkStart w:id="101" w:name="_Hlk192148219"/>
      <w:r w:rsidRPr="002F2BC5">
        <w:rPr>
          <w:rFonts w:hint="cs"/>
          <w:rtl/>
        </w:rPr>
        <w:t>הוראות אלו הותקנו מכוח חוק שירותי הסעד, התשי"ח-1958 ותקנותיו</w:t>
      </w:r>
      <w:bookmarkEnd w:id="101"/>
      <w:r w:rsidRPr="002F2BC5">
        <w:rPr>
          <w:rFonts w:hint="cs"/>
          <w:rtl/>
        </w:rPr>
        <w:t xml:space="preserve"> (להלן - חוק שירותי הסעד), שבו מעוגן הבסיס החוקי העיקרי למתן שירותי רווחה אישיים בישראל. הוראות התע"ס </w:t>
      </w:r>
      <w:bookmarkStart w:id="102" w:name="_Hlk192148242"/>
      <w:r w:rsidRPr="002F2BC5">
        <w:rPr>
          <w:rFonts w:hint="cs"/>
          <w:rtl/>
        </w:rPr>
        <w:t>נועדו בעיקרן להתוות את התשתית המקצועית לעבודתן של המחלקות לשירותים חברתיים ברשויות המקומיות</w:t>
      </w:r>
      <w:bookmarkEnd w:id="102"/>
      <w:r w:rsidRPr="002F2BC5">
        <w:rPr>
          <w:rFonts w:hint="cs"/>
          <w:rtl/>
        </w:rPr>
        <w:t>, הנושאות לפי חוק שירותי הסעד באחריות העיקרית לאספקת שירותי הרווחה לתושביהן, ובכללם שירותים בקהילה בתחום הטיפול באלימות במשפחה ומניעתה</w:t>
      </w:r>
      <w:r w:rsidRPr="002F2BC5">
        <w:rPr>
          <w:rStyle w:val="af9"/>
          <w:rtl/>
        </w:rPr>
        <w:footnoteReference w:id="50"/>
      </w:r>
      <w:r w:rsidRPr="002F2BC5">
        <w:rPr>
          <w:rFonts w:hint="cs"/>
          <w:rtl/>
        </w:rPr>
        <w:t>. לצד זאת, הוראות התע"ס מסדירות את אספקת השירותים בתחום זה במסגרות דיור מחוץ לקהילה (להלן גם - שירותים חוץ-ביתיים), שאת האחריות להם קיבל על עצמו משרד הרווחה והוא מספק אותם באמצעות נותני שירותים חיצוניים</w:t>
      </w:r>
      <w:bookmarkStart w:id="103" w:name="_Ref185868206"/>
      <w:r w:rsidRPr="002F2BC5">
        <w:rPr>
          <w:rStyle w:val="af9"/>
          <w:rtl/>
        </w:rPr>
        <w:footnoteReference w:id="51"/>
      </w:r>
      <w:bookmarkEnd w:id="103"/>
      <w:r w:rsidRPr="002F2BC5">
        <w:rPr>
          <w:rFonts w:hint="cs"/>
          <w:rtl/>
        </w:rPr>
        <w:t xml:space="preserve">. </w:t>
      </w:r>
    </w:p>
    <w:p w14:paraId="116A5544" w14:textId="77777777" w:rsidR="00817399" w:rsidRPr="002F2BC5" w:rsidRDefault="00817399" w:rsidP="00817399">
      <w:pPr>
        <w:spacing w:line="269" w:lineRule="auto"/>
        <w:rPr>
          <w:rtl/>
        </w:rPr>
      </w:pPr>
    </w:p>
    <w:p w14:paraId="3755C51B" w14:textId="77777777" w:rsidR="00817399" w:rsidRPr="002F2BC5" w:rsidRDefault="00817399" w:rsidP="00817399">
      <w:pPr>
        <w:spacing w:line="269" w:lineRule="auto"/>
        <w:rPr>
          <w:rtl/>
        </w:rPr>
      </w:pPr>
      <w:r w:rsidRPr="002F2BC5">
        <w:rPr>
          <w:rFonts w:hint="cs"/>
          <w:rtl/>
        </w:rPr>
        <w:t>מלבד הבהרת חלוקת האחריות בין משרד הרווחה לבין הרשויות המקומיות בכל הקשור להתמודדות עם התופעה, הוראות התע"ס כוללות התייחסות למעגלי התמודדות נוספים שאינם מוסדרים בהוראות הדין. אלו כוללים פעולות למניעה מראש של התופעה עוד בטרם החלה, ובכלל זה הפעלת תוכניות חינוכיות בבתי הספר שמטרתן להקנות לתלמידים ידע בנושא ומיומנויות בפתרון סכסוכים, פעולות הסברה לציבור להעלאת המודעות לתופעה ולנזקיה (להלן - מניעה ראשונית), וכן פעולות לזיהוי ואיתור של מצבי אלימות בשלביהם המוקדמים, יידוע נפגעי האלימות בדבר המענים הטיפוליים ודרכי ההגנה העומדים בפניהם, אבחון והערכת מסוכנות ופיתוח מענים טיפוליים והתערבותיים בקהילה עבור הנפגעים ועבור הפוגעים (להלן - מניעה שניונית). לצד זאת הוראות התע"ס כוללות הסדרים נוספים העוסקים בשלביה המאוחרים של התופעה, בנסיבות שבהן נשקפת סכנה לנפגעי האלימות ונדרשת התערבות מיידית כדי להגן עליהם (להלן - מעגל המניעה השלישונית). הסדרים אלה כוללים תוכניות התערבות ייחודיות להתמודדות עם אלימות מתמשכת הגורמת לנזק, וזאת בדרך של הגנה על נפגעי האלימות, שיקום של הנפגעים והפוגעים וכן סיוע חומרי ותעסוקתי לנשים נפגעות אלימות וילדיהן</w:t>
      </w:r>
      <w:r w:rsidRPr="002F2BC5">
        <w:rPr>
          <w:rStyle w:val="af9"/>
          <w:rtl/>
        </w:rPr>
        <w:footnoteReference w:id="52"/>
      </w:r>
      <w:r w:rsidRPr="002F2BC5">
        <w:rPr>
          <w:rFonts w:hint="cs"/>
          <w:rtl/>
        </w:rPr>
        <w:t xml:space="preserve">. </w:t>
      </w:r>
    </w:p>
    <w:p w14:paraId="70776782" w14:textId="77777777" w:rsidR="00817399" w:rsidRPr="002F2BC5" w:rsidRDefault="00817399" w:rsidP="00817399">
      <w:pPr>
        <w:spacing w:line="269" w:lineRule="auto"/>
        <w:rPr>
          <w:rtl/>
        </w:rPr>
      </w:pPr>
    </w:p>
    <w:p w14:paraId="2FCAEA1A" w14:textId="77777777" w:rsidR="00817399" w:rsidRPr="002F2BC5" w:rsidRDefault="00817399" w:rsidP="00817399">
      <w:pPr>
        <w:spacing w:line="269" w:lineRule="auto"/>
        <w:rPr>
          <w:rtl/>
        </w:rPr>
      </w:pPr>
      <w:r w:rsidRPr="002F2BC5">
        <w:rPr>
          <w:rFonts w:hint="cs"/>
          <w:rtl/>
        </w:rPr>
        <w:lastRenderedPageBreak/>
        <w:t>לצד הוראות התע"ס נקבעו הוראות רגולטוריות נוספות שנועדו להשלים את התשתית המקצועית להתמודדות עם תופעת האלימות במשפחה בהיבטים נוספים, ובראשם היבטים הנוגעים למערכות הבריאות ואכיפת החוק; כן הן נועדו להסדיר את ממשקי העבודה בין הגופים הממשלתיים בכל הנוגע להתמודדות עם התופעה. הוראות אלו כוללות את נוהלי העבודה של משטרת ישראל</w:t>
      </w:r>
      <w:r w:rsidRPr="002F2BC5">
        <w:rPr>
          <w:rStyle w:val="af9"/>
          <w:rtl/>
        </w:rPr>
        <w:footnoteReference w:id="53"/>
      </w:r>
      <w:r w:rsidRPr="002F2BC5">
        <w:rPr>
          <w:rFonts w:hint="cs"/>
          <w:rtl/>
        </w:rPr>
        <w:t xml:space="preserve"> ומשרד הבריאות</w:t>
      </w:r>
      <w:r w:rsidRPr="002F2BC5">
        <w:rPr>
          <w:rStyle w:val="af9"/>
          <w:rtl/>
        </w:rPr>
        <w:footnoteReference w:id="54"/>
      </w:r>
      <w:r w:rsidRPr="002F2BC5">
        <w:rPr>
          <w:rFonts w:hint="cs"/>
          <w:rtl/>
        </w:rPr>
        <w:t xml:space="preserve"> בכל הקשור לזיהוי ואיתור נפגעי אלימות במשפחה והפנייתם לטיפול וכן את נוהלי העבודה של שירות בתי הסוהר בכל הקשור לטיפול בעצורים ואסירים בעבירות של אלימות במשפחה ושיקומם, במהלך מעצרם או מאסרם או אם שוחררו על תנאי</w:t>
      </w:r>
      <w:r w:rsidRPr="002F2BC5">
        <w:rPr>
          <w:rStyle w:val="af9"/>
          <w:rtl/>
        </w:rPr>
        <w:footnoteReference w:id="55"/>
      </w:r>
      <w:r w:rsidRPr="002F2BC5">
        <w:rPr>
          <w:rFonts w:hint="cs"/>
          <w:rtl/>
        </w:rPr>
        <w:t xml:space="preserve">. </w:t>
      </w:r>
    </w:p>
    <w:p w14:paraId="1683B54C" w14:textId="77777777" w:rsidR="00817399" w:rsidRPr="002F2BC5" w:rsidRDefault="00817399" w:rsidP="00817399">
      <w:pPr>
        <w:spacing w:line="269" w:lineRule="auto"/>
        <w:rPr>
          <w:rtl/>
        </w:rPr>
      </w:pPr>
    </w:p>
    <w:p w14:paraId="55CEF3E2" w14:textId="77777777" w:rsidR="00817399" w:rsidRPr="002F2BC5" w:rsidRDefault="00817399" w:rsidP="00817399">
      <w:pPr>
        <w:spacing w:line="269" w:lineRule="auto"/>
        <w:rPr>
          <w:rtl/>
        </w:rPr>
      </w:pPr>
      <w:r w:rsidRPr="002F2BC5">
        <w:rPr>
          <w:rFonts w:hint="cs"/>
          <w:rtl/>
        </w:rPr>
        <w:t>יצוין כי בכל הקשור למעגל המניעה הראשונית, חוק הרשות לקידום מעמד האישה, התשנ"ח-1998 (להלן - חוק הרשות לקידום מעמד האישה), מטיל על הרשות לקידום מעמד האישה את האחריות לגיבוש, קידום ועידוד של מדיניות ופעילות למניעת אלימות נגד נשים, ובכלל זה אלימות המופנית כלפי נשים בתוך התא המשפחתי</w:t>
      </w:r>
      <w:r w:rsidRPr="002F2BC5">
        <w:rPr>
          <w:rStyle w:val="af9"/>
          <w:rtl/>
        </w:rPr>
        <w:footnoteReference w:id="56"/>
      </w:r>
      <w:r w:rsidRPr="002F2BC5">
        <w:rPr>
          <w:rFonts w:hint="cs"/>
          <w:rtl/>
        </w:rPr>
        <w:t>. הוראות חוק הרשות לקידום מעמד האישה גם מטילות על הרשות את האחריות לעידוד, תיאום וקידום של פעולות גופי השלטון המרכזי והמקומי בתחומי פעולתה של הרשות וכן ניהול מעקב ובקרה על פעולותיהם של גופים אלו</w:t>
      </w:r>
      <w:r w:rsidRPr="002F2BC5">
        <w:rPr>
          <w:rStyle w:val="af9"/>
          <w:rtl/>
        </w:rPr>
        <w:footnoteReference w:id="57"/>
      </w:r>
      <w:r w:rsidRPr="002F2BC5">
        <w:rPr>
          <w:rFonts w:hint="cs"/>
          <w:rtl/>
        </w:rPr>
        <w:t xml:space="preserve">. האחריות לפעול למניעת אלימות נגד נשים מוטלת גם על היועצות לקידום מעמד האישה ברשויות המקומיות מכוח </w:t>
      </w:r>
      <w:r w:rsidRPr="002F2BC5">
        <w:rPr>
          <w:rtl/>
        </w:rPr>
        <w:t xml:space="preserve">חוק הרשויות המקומיות (יועצת לקידום מעמד האישה), </w:t>
      </w:r>
      <w:r w:rsidRPr="002F2BC5">
        <w:rPr>
          <w:rFonts w:hint="cs"/>
          <w:rtl/>
        </w:rPr>
        <w:t>ה</w:t>
      </w:r>
      <w:r w:rsidRPr="002F2BC5">
        <w:rPr>
          <w:rtl/>
        </w:rPr>
        <w:t>תש"ס-2000</w:t>
      </w:r>
      <w:r w:rsidRPr="002F2BC5">
        <w:rPr>
          <w:rFonts w:hint="cs"/>
          <w:rtl/>
        </w:rPr>
        <w:t xml:space="preserve"> (להלן גם - היועצות לקידום מעמד האישה)</w:t>
      </w:r>
      <w:r w:rsidRPr="002F2BC5">
        <w:rPr>
          <w:rStyle w:val="af9"/>
          <w:rtl/>
        </w:rPr>
        <w:footnoteReference w:id="58"/>
      </w:r>
      <w:r w:rsidRPr="002F2BC5">
        <w:rPr>
          <w:rFonts w:hint="cs"/>
          <w:rtl/>
        </w:rPr>
        <w:t>.</w:t>
      </w:r>
    </w:p>
    <w:p w14:paraId="7F6F05AE" w14:textId="77777777" w:rsidR="00817399" w:rsidRPr="002F2BC5" w:rsidRDefault="00817399" w:rsidP="00817399">
      <w:pPr>
        <w:spacing w:line="269" w:lineRule="auto"/>
        <w:rPr>
          <w:rtl/>
        </w:rPr>
      </w:pPr>
    </w:p>
    <w:p w14:paraId="6139E995" w14:textId="11781C5C" w:rsidR="00817399" w:rsidRPr="002F2BC5" w:rsidRDefault="00817399" w:rsidP="00817399">
      <w:pPr>
        <w:spacing w:line="269" w:lineRule="auto"/>
        <w:rPr>
          <w:rtl/>
        </w:rPr>
      </w:pPr>
      <w:r w:rsidRPr="002F2BC5">
        <w:rPr>
          <w:rFonts w:hint="cs"/>
          <w:rtl/>
        </w:rPr>
        <w:t>מעגלי ההתמודדות עם תופעת האלימות בין בני זוג, המוסדרים בהוראות הדין ובהוראות רגולטוריות אחרות, מוצגים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Ref175730464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w:t>
      </w:r>
      <w:r w:rsidRPr="002F2BC5">
        <w:rPr>
          <w:rtl/>
        </w:rPr>
        <w:fldChar w:fldCharType="end"/>
      </w:r>
      <w:r w:rsidRPr="002F2BC5">
        <w:rPr>
          <w:rFonts w:hint="cs"/>
          <w:rtl/>
        </w:rPr>
        <w:t xml:space="preserve"> ש</w:t>
      </w:r>
      <w:bookmarkStart w:id="105" w:name="_Ref186568088"/>
      <w:r w:rsidRPr="002F2BC5">
        <w:rPr>
          <w:rFonts w:hint="cs"/>
          <w:rtl/>
        </w:rPr>
        <w:t>להלן</w:t>
      </w:r>
      <w:r w:rsidRPr="002F2BC5">
        <w:rPr>
          <w:rStyle w:val="af9"/>
          <w:rtl/>
        </w:rPr>
        <w:footnoteReference w:id="59"/>
      </w:r>
      <w:bookmarkEnd w:id="105"/>
      <w:r w:rsidRPr="002F2BC5">
        <w:rPr>
          <w:rFonts w:hint="cs"/>
          <w:rtl/>
        </w:rPr>
        <w:t>.</w:t>
      </w:r>
    </w:p>
    <w:p w14:paraId="05C2DF43" w14:textId="77777777" w:rsidR="00817399" w:rsidRPr="002F2BC5" w:rsidRDefault="00817399" w:rsidP="00817399">
      <w:pPr>
        <w:spacing w:line="269" w:lineRule="auto"/>
        <w:rPr>
          <w:rtl/>
        </w:rPr>
      </w:pPr>
    </w:p>
    <w:p w14:paraId="1FFBB08F" w14:textId="77777777" w:rsidR="00817399" w:rsidRPr="002F2BC5" w:rsidRDefault="00817399" w:rsidP="00817399">
      <w:pPr>
        <w:pStyle w:val="a9"/>
        <w:spacing w:line="269" w:lineRule="auto"/>
        <w:rPr>
          <w:rtl/>
        </w:rPr>
      </w:pPr>
      <w:bookmarkStart w:id="106" w:name="_Ref175730464"/>
      <w:bookmarkStart w:id="107" w:name="_Toc192672894"/>
      <w:r w:rsidRPr="002F2BC5">
        <w:rPr>
          <w:rFonts w:hint="cs"/>
          <w:b w:val="0"/>
          <w:rtl/>
        </w:rPr>
        <w:lastRenderedPageBreak/>
        <w:t>:</w:t>
      </w:r>
      <w:r w:rsidRPr="002F2BC5">
        <w:rPr>
          <w:rFonts w:hint="cs"/>
          <w:rtl/>
        </w:rPr>
        <w:t xml:space="preserve"> </w:t>
      </w:r>
      <w:r w:rsidRPr="002F2BC5">
        <w:rPr>
          <w:rFonts w:hint="cs"/>
          <w:b w:val="0"/>
          <w:bCs/>
          <w:rtl/>
        </w:rPr>
        <w:t xml:space="preserve">מעגלי ההתמודדות עם תופעת האלימות </w:t>
      </w:r>
      <w:bookmarkEnd w:id="106"/>
      <w:r w:rsidRPr="002F2BC5">
        <w:rPr>
          <w:rFonts w:hint="cs"/>
          <w:b w:val="0"/>
          <w:bCs/>
          <w:rtl/>
        </w:rPr>
        <w:t>בין בני זוג</w:t>
      </w:r>
      <w:bookmarkEnd w:id="107"/>
    </w:p>
    <w:p w14:paraId="15B11FAA"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0C649D20" wp14:editId="0AEC9A03">
            <wp:extent cx="5220335" cy="2976245"/>
            <wp:effectExtent l="0" t="0" r="0" b="0"/>
            <wp:docPr id="2052770983" name="תמונה 205277098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0335" cy="2976245"/>
                    </a:xfrm>
                    <a:prstGeom prst="rect">
                      <a:avLst/>
                    </a:prstGeom>
                  </pic:spPr>
                </pic:pic>
              </a:graphicData>
            </a:graphic>
          </wp:inline>
        </w:drawing>
      </w:r>
    </w:p>
    <w:p w14:paraId="47187BB3" w14:textId="77777777" w:rsidR="00817399" w:rsidRPr="002F2BC5" w:rsidRDefault="00817399" w:rsidP="00817399">
      <w:pPr>
        <w:pStyle w:val="afffffff1"/>
        <w:bidi/>
        <w:spacing w:line="269" w:lineRule="auto"/>
        <w:rPr>
          <w:rtl/>
        </w:rPr>
      </w:pPr>
      <w:r w:rsidRPr="002F2BC5">
        <w:rPr>
          <w:rFonts w:hint="cs"/>
          <w:rtl/>
        </w:rPr>
        <w:t>על פי מידע שנאסף במהלך הביקורת, בעיבוד משרד מבקר המדינה.</w:t>
      </w:r>
    </w:p>
    <w:p w14:paraId="114E4BAF" w14:textId="77777777" w:rsidR="00817399" w:rsidRPr="002F2BC5" w:rsidRDefault="00817399" w:rsidP="00817399">
      <w:pPr>
        <w:spacing w:line="269" w:lineRule="auto"/>
        <w:rPr>
          <w:rtl/>
        </w:rPr>
      </w:pPr>
    </w:p>
    <w:p w14:paraId="03BA4142" w14:textId="299DB7D3" w:rsidR="00817399" w:rsidRPr="002F2BC5" w:rsidRDefault="00817399" w:rsidP="00817399">
      <w:pPr>
        <w:spacing w:line="269" w:lineRule="auto"/>
        <w:rPr>
          <w:rtl/>
        </w:rPr>
      </w:pPr>
      <w:r w:rsidRPr="002F2BC5">
        <w:rPr>
          <w:rFonts w:hint="cs"/>
          <w:rtl/>
        </w:rPr>
        <w:t>דרכי ההתמודדות עם תופעת האלימות בין בני זוג, בחלוקה לפי מעגלי ההתמודדות והגופים המעורבים, מוצגות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Ref176969234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2</w:t>
      </w:r>
      <w:r w:rsidRPr="002F2BC5">
        <w:rPr>
          <w:rtl/>
        </w:rPr>
        <w:fldChar w:fldCharType="end"/>
      </w:r>
      <w:r w:rsidRPr="002F2BC5">
        <w:rPr>
          <w:rFonts w:hint="cs"/>
          <w:rtl/>
        </w:rPr>
        <w:t xml:space="preserve"> שלהלן. </w:t>
      </w:r>
    </w:p>
    <w:p w14:paraId="1B663BCC" w14:textId="77777777" w:rsidR="00817399" w:rsidRPr="002F2BC5" w:rsidRDefault="00817399" w:rsidP="00817399">
      <w:pPr>
        <w:spacing w:line="269" w:lineRule="auto"/>
        <w:rPr>
          <w:rtl/>
        </w:rPr>
      </w:pPr>
    </w:p>
    <w:p w14:paraId="3C10CB24" w14:textId="77777777" w:rsidR="00817399" w:rsidRPr="002F2BC5" w:rsidRDefault="00817399" w:rsidP="00817399">
      <w:pPr>
        <w:pStyle w:val="a0"/>
        <w:spacing w:line="269" w:lineRule="auto"/>
        <w:rPr>
          <w:rtl/>
        </w:rPr>
      </w:pPr>
      <w:bookmarkStart w:id="108" w:name="_Ref176969234"/>
      <w:bookmarkStart w:id="109" w:name="_Toc192674047"/>
      <w:r w:rsidRPr="002F2BC5">
        <w:rPr>
          <w:rFonts w:hint="cs"/>
          <w:b w:val="0"/>
          <w:bCs w:val="0"/>
          <w:rtl/>
        </w:rPr>
        <w:lastRenderedPageBreak/>
        <w:t>:</w:t>
      </w:r>
      <w:r w:rsidRPr="002F2BC5">
        <w:rPr>
          <w:rFonts w:hint="cs"/>
          <w:rtl/>
        </w:rPr>
        <w:t xml:space="preserve"> דרכי ההתמודדות עם תופעת האלימות בין בני זוג </w:t>
      </w:r>
      <w:r w:rsidRPr="002F2BC5">
        <w:rPr>
          <w:rtl/>
        </w:rPr>
        <w:br/>
      </w:r>
      <w:r w:rsidRPr="002F2BC5">
        <w:rPr>
          <w:rFonts w:hint="cs"/>
          <w:rtl/>
        </w:rPr>
        <w:t>בחלוקה לפי מעגלי ההתמודדות והגורמים המעורבים במישרין או בעקיפין</w:t>
      </w:r>
      <w:bookmarkEnd w:id="108"/>
      <w:bookmarkEnd w:id="109"/>
    </w:p>
    <w:p w14:paraId="6B4DE93C"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31DD2036" wp14:editId="0B297729">
            <wp:extent cx="5220335" cy="7330440"/>
            <wp:effectExtent l="0" t="0" r="0" b="3810"/>
            <wp:docPr id="2052770978" name="תמונה 205277097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0335" cy="7330440"/>
                    </a:xfrm>
                    <a:prstGeom prst="rect">
                      <a:avLst/>
                    </a:prstGeom>
                  </pic:spPr>
                </pic:pic>
              </a:graphicData>
            </a:graphic>
          </wp:inline>
        </w:drawing>
      </w:r>
    </w:p>
    <w:p w14:paraId="26F995BD" w14:textId="77777777" w:rsidR="00817399" w:rsidRPr="002F2BC5" w:rsidRDefault="00817399" w:rsidP="00817399">
      <w:pPr>
        <w:pStyle w:val="afffffff1"/>
        <w:bidi/>
        <w:spacing w:line="269" w:lineRule="auto"/>
        <w:rPr>
          <w:rtl/>
        </w:rPr>
      </w:pPr>
      <w:r w:rsidRPr="002F2BC5">
        <w:rPr>
          <w:rFonts w:hint="cs"/>
          <w:rtl/>
        </w:rPr>
        <w:t>על פי מידע שנאסף במהלך הביקורת, בעיבוד משרד מבקר המדינה.</w:t>
      </w:r>
    </w:p>
    <w:p w14:paraId="4FF23FB6" w14:textId="77777777" w:rsidR="00817399" w:rsidRPr="002F2BC5" w:rsidRDefault="00817399" w:rsidP="00817399">
      <w:pPr>
        <w:pStyle w:val="afffffff1"/>
        <w:bidi/>
        <w:spacing w:line="269" w:lineRule="auto"/>
        <w:rPr>
          <w:rtl/>
        </w:rPr>
      </w:pPr>
      <w:r w:rsidRPr="002F2BC5">
        <w:rPr>
          <w:rFonts w:hint="cs"/>
          <w:rtl/>
        </w:rPr>
        <w:t>* באמצעות אגף בכיר משפחות, ילדים ונוער בקהילה ואגף בכיר השמות חוץ-ביתיות ומיוחדות שפועלים תחת מנהל שירותים אישיים וחברתיים וכן אגף בכיר שירות המבחן למבוגרים שפועל תחת מינהל של"מ (שיקום, ליווי ומניעה).</w:t>
      </w:r>
    </w:p>
    <w:p w14:paraId="1B8310F8" w14:textId="77777777" w:rsidR="00817399" w:rsidRPr="002F2BC5" w:rsidRDefault="00817399" w:rsidP="00817399">
      <w:pPr>
        <w:pStyle w:val="afffffff1"/>
        <w:bidi/>
        <w:spacing w:line="269" w:lineRule="auto"/>
        <w:rPr>
          <w:rtl/>
        </w:rPr>
      </w:pPr>
      <w:r w:rsidRPr="002F2BC5">
        <w:rPr>
          <w:rFonts w:hint="cs"/>
          <w:rtl/>
        </w:rPr>
        <w:t>** לרבות הרשות לביטחון קהילתי.</w:t>
      </w:r>
    </w:p>
    <w:p w14:paraId="0E2ECA7F" w14:textId="77777777" w:rsidR="00817399" w:rsidRPr="002F2BC5" w:rsidRDefault="00817399" w:rsidP="00817399">
      <w:pPr>
        <w:spacing w:line="269" w:lineRule="auto"/>
        <w:rPr>
          <w:rtl/>
        </w:rPr>
      </w:pPr>
    </w:p>
    <w:p w14:paraId="341B19CB" w14:textId="1E09E5B5" w:rsidR="00817399" w:rsidRPr="002F2BC5" w:rsidRDefault="00817399" w:rsidP="00817399">
      <w:pPr>
        <w:spacing w:line="269" w:lineRule="auto"/>
        <w:rPr>
          <w:rtl/>
        </w:rPr>
      </w:pPr>
      <w:r w:rsidRPr="002F2BC5">
        <w:rPr>
          <w:rFonts w:hint="eastAsia"/>
          <w:rtl/>
        </w:rPr>
        <w:lastRenderedPageBreak/>
        <w:t>המידע</w:t>
      </w:r>
      <w:r w:rsidRPr="002F2BC5">
        <w:rPr>
          <w:rtl/>
        </w:rPr>
        <w:t xml:space="preserve"> המוצג </w:t>
      </w:r>
      <w:r w:rsidRPr="002F2BC5">
        <w:rPr>
          <w:rFonts w:hint="eastAsia"/>
          <w:rtl/>
        </w:rPr>
        <w:t>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Ref176969234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2</w:t>
      </w:r>
      <w:r w:rsidRPr="002F2BC5">
        <w:rPr>
          <w:rtl/>
        </w:rPr>
        <w:fldChar w:fldCharType="end"/>
      </w:r>
      <w:r w:rsidRPr="002F2BC5">
        <w:rPr>
          <w:rtl/>
        </w:rPr>
        <w:t xml:space="preserve"> </w:t>
      </w:r>
      <w:r w:rsidRPr="002F2BC5">
        <w:rPr>
          <w:rFonts w:hint="cs"/>
          <w:rtl/>
        </w:rPr>
        <w:t xml:space="preserve">לעיל </w:t>
      </w:r>
      <w:r w:rsidRPr="002F2BC5">
        <w:rPr>
          <w:rtl/>
        </w:rPr>
        <w:t xml:space="preserve">ממחיש </w:t>
      </w:r>
      <w:r w:rsidRPr="002F2BC5">
        <w:rPr>
          <w:rFonts w:hint="eastAsia"/>
          <w:rtl/>
        </w:rPr>
        <w:t>כמה</w:t>
      </w:r>
      <w:r w:rsidRPr="002F2BC5">
        <w:rPr>
          <w:rtl/>
        </w:rPr>
        <w:t xml:space="preserve"> מ</w:t>
      </w:r>
      <w:r w:rsidRPr="002F2BC5">
        <w:rPr>
          <w:rFonts w:hint="eastAsia"/>
          <w:rtl/>
        </w:rPr>
        <w:t>אתגריה</w:t>
      </w:r>
      <w:r w:rsidRPr="002F2BC5">
        <w:rPr>
          <w:rtl/>
        </w:rPr>
        <w:t xml:space="preserve"> העיקריים של ההתמודדות עם תופעת האלימות בין בני זוג - </w:t>
      </w:r>
      <w:r w:rsidRPr="002F2BC5">
        <w:rPr>
          <w:rFonts w:hint="eastAsia"/>
          <w:rtl/>
        </w:rPr>
        <w:t>תיאום</w:t>
      </w:r>
      <w:r w:rsidRPr="002F2BC5">
        <w:rPr>
          <w:rtl/>
        </w:rPr>
        <w:t xml:space="preserve"> </w:t>
      </w:r>
      <w:r w:rsidRPr="002F2BC5">
        <w:rPr>
          <w:rFonts w:hint="eastAsia"/>
          <w:rtl/>
        </w:rPr>
        <w:t>ותכלול</w:t>
      </w:r>
      <w:r w:rsidRPr="002F2BC5">
        <w:rPr>
          <w:rtl/>
        </w:rPr>
        <w:t xml:space="preserve"> של מערך רב-ארגוני </w:t>
      </w:r>
      <w:r w:rsidRPr="002F2BC5">
        <w:rPr>
          <w:rFonts w:hint="eastAsia"/>
          <w:rtl/>
        </w:rPr>
        <w:t>ומבוזר</w:t>
      </w:r>
      <w:r w:rsidRPr="002F2BC5">
        <w:rPr>
          <w:rtl/>
        </w:rPr>
        <w:t xml:space="preserve"> </w:t>
      </w:r>
      <w:r w:rsidRPr="002F2BC5">
        <w:rPr>
          <w:rFonts w:hint="eastAsia"/>
          <w:rtl/>
        </w:rPr>
        <w:t>המעורב</w:t>
      </w:r>
      <w:r w:rsidRPr="002F2BC5">
        <w:rPr>
          <w:rtl/>
        </w:rPr>
        <w:t xml:space="preserve"> </w:t>
      </w:r>
      <w:r w:rsidRPr="002F2BC5">
        <w:rPr>
          <w:rFonts w:hint="eastAsia"/>
          <w:rtl/>
        </w:rPr>
        <w:t>בהתמודדות</w:t>
      </w:r>
      <w:r w:rsidRPr="002F2BC5">
        <w:rPr>
          <w:rtl/>
        </w:rPr>
        <w:t xml:space="preserve"> </w:t>
      </w:r>
      <w:r w:rsidRPr="002F2BC5">
        <w:rPr>
          <w:rFonts w:hint="eastAsia"/>
          <w:rtl/>
        </w:rPr>
        <w:t>עם</w:t>
      </w:r>
      <w:r w:rsidRPr="002F2BC5">
        <w:rPr>
          <w:rtl/>
        </w:rPr>
        <w:t xml:space="preserve"> </w:t>
      </w:r>
      <w:r w:rsidRPr="002F2BC5">
        <w:rPr>
          <w:rFonts w:hint="eastAsia"/>
          <w:rtl/>
        </w:rPr>
        <w:t>התופעה</w:t>
      </w:r>
      <w:r w:rsidRPr="002F2BC5">
        <w:rPr>
          <w:rtl/>
        </w:rPr>
        <w:t xml:space="preserve">, </w:t>
      </w:r>
      <w:r w:rsidRPr="002F2BC5">
        <w:rPr>
          <w:rFonts w:hint="eastAsia"/>
          <w:rtl/>
        </w:rPr>
        <w:t>ב</w:t>
      </w:r>
      <w:r w:rsidRPr="002F2BC5">
        <w:rPr>
          <w:rFonts w:hint="cs"/>
          <w:rtl/>
        </w:rPr>
        <w:t>ייחוד</w:t>
      </w:r>
      <w:r w:rsidRPr="002F2BC5">
        <w:rPr>
          <w:rtl/>
        </w:rPr>
        <w:t xml:space="preserve"> </w:t>
      </w:r>
      <w:r w:rsidRPr="002F2BC5">
        <w:rPr>
          <w:rFonts w:hint="eastAsia"/>
          <w:rtl/>
        </w:rPr>
        <w:t>במעגלי</w:t>
      </w:r>
      <w:r w:rsidRPr="002F2BC5">
        <w:rPr>
          <w:rtl/>
        </w:rPr>
        <w:t xml:space="preserve"> המניעה </w:t>
      </w:r>
      <w:r w:rsidRPr="002F2BC5">
        <w:rPr>
          <w:rFonts w:hint="eastAsia"/>
          <w:rtl/>
        </w:rPr>
        <w:t>השניונית</w:t>
      </w:r>
      <w:r w:rsidRPr="002F2BC5">
        <w:rPr>
          <w:rtl/>
        </w:rPr>
        <w:t xml:space="preserve"> </w:t>
      </w:r>
      <w:r w:rsidRPr="002F2BC5">
        <w:rPr>
          <w:rFonts w:hint="eastAsia"/>
          <w:rtl/>
        </w:rPr>
        <w:t>והשלישונית</w:t>
      </w:r>
      <w:r w:rsidRPr="002F2BC5">
        <w:rPr>
          <w:rtl/>
        </w:rPr>
        <w:t xml:space="preserve">, </w:t>
      </w:r>
      <w:r w:rsidRPr="002F2BC5">
        <w:rPr>
          <w:rFonts w:hint="eastAsia"/>
          <w:rtl/>
        </w:rPr>
        <w:t>והמגוון</w:t>
      </w:r>
      <w:r w:rsidRPr="002F2BC5">
        <w:rPr>
          <w:rtl/>
        </w:rPr>
        <w:t xml:space="preserve"> </w:t>
      </w:r>
      <w:r w:rsidRPr="002F2BC5">
        <w:rPr>
          <w:rFonts w:hint="eastAsia"/>
          <w:rtl/>
        </w:rPr>
        <w:t>הרחב</w:t>
      </w:r>
      <w:r w:rsidRPr="002F2BC5">
        <w:rPr>
          <w:rtl/>
        </w:rPr>
        <w:t xml:space="preserve"> </w:t>
      </w:r>
      <w:r w:rsidRPr="002F2BC5">
        <w:rPr>
          <w:rFonts w:hint="eastAsia"/>
          <w:rtl/>
        </w:rPr>
        <w:t>והמקיף</w:t>
      </w:r>
      <w:r w:rsidRPr="002F2BC5">
        <w:rPr>
          <w:rtl/>
        </w:rPr>
        <w:t xml:space="preserve"> </w:t>
      </w:r>
      <w:r w:rsidRPr="002F2BC5">
        <w:rPr>
          <w:rFonts w:hint="eastAsia"/>
          <w:rtl/>
        </w:rPr>
        <w:t>של</w:t>
      </w:r>
      <w:r w:rsidRPr="002F2BC5">
        <w:rPr>
          <w:rtl/>
        </w:rPr>
        <w:t xml:space="preserve"> </w:t>
      </w:r>
      <w:r w:rsidRPr="002F2BC5">
        <w:rPr>
          <w:rFonts w:hint="eastAsia"/>
          <w:rtl/>
        </w:rPr>
        <w:t>דרכי</w:t>
      </w:r>
      <w:r w:rsidRPr="002F2BC5">
        <w:rPr>
          <w:rtl/>
        </w:rPr>
        <w:t xml:space="preserve"> </w:t>
      </w:r>
      <w:r w:rsidRPr="002F2BC5">
        <w:rPr>
          <w:rFonts w:hint="eastAsia"/>
          <w:rtl/>
        </w:rPr>
        <w:t>הפעולה</w:t>
      </w:r>
      <w:r w:rsidRPr="002F2BC5">
        <w:rPr>
          <w:rtl/>
        </w:rPr>
        <w:t xml:space="preserve"> </w:t>
      </w:r>
      <w:r w:rsidRPr="002F2BC5">
        <w:rPr>
          <w:rFonts w:hint="eastAsia"/>
          <w:rtl/>
        </w:rPr>
        <w:t>הננקטות</w:t>
      </w:r>
      <w:r w:rsidRPr="002F2BC5">
        <w:rPr>
          <w:rtl/>
        </w:rPr>
        <w:t xml:space="preserve"> </w:t>
      </w:r>
      <w:r w:rsidRPr="002F2BC5">
        <w:rPr>
          <w:rFonts w:hint="eastAsia"/>
          <w:rtl/>
        </w:rPr>
        <w:t>ל</w:t>
      </w:r>
      <w:r w:rsidRPr="002F2BC5">
        <w:rPr>
          <w:rFonts w:hint="cs"/>
          <w:rtl/>
        </w:rPr>
        <w:t xml:space="preserve">שם </w:t>
      </w:r>
      <w:r w:rsidRPr="002F2BC5">
        <w:rPr>
          <w:rFonts w:hint="eastAsia"/>
          <w:rtl/>
        </w:rPr>
        <w:t>התמודדות</w:t>
      </w:r>
      <w:r w:rsidRPr="002F2BC5">
        <w:rPr>
          <w:rtl/>
        </w:rPr>
        <w:t xml:space="preserve"> </w:t>
      </w:r>
      <w:r w:rsidRPr="002F2BC5">
        <w:rPr>
          <w:rFonts w:hint="eastAsia"/>
          <w:rtl/>
        </w:rPr>
        <w:t>ע</w:t>
      </w:r>
      <w:r w:rsidRPr="002F2BC5">
        <w:rPr>
          <w:rFonts w:hint="cs"/>
          <w:rtl/>
        </w:rPr>
        <w:t>י</w:t>
      </w:r>
      <w:r w:rsidRPr="002F2BC5">
        <w:rPr>
          <w:rFonts w:hint="eastAsia"/>
          <w:rtl/>
        </w:rPr>
        <w:t>מה</w:t>
      </w:r>
      <w:r w:rsidRPr="002F2BC5">
        <w:rPr>
          <w:rtl/>
        </w:rPr>
        <w:t xml:space="preserve">. </w:t>
      </w:r>
      <w:r w:rsidRPr="002F2BC5">
        <w:rPr>
          <w:rFonts w:hint="cs"/>
          <w:rtl/>
        </w:rPr>
        <w:t>עוד</w:t>
      </w:r>
      <w:r w:rsidRPr="002F2BC5">
        <w:rPr>
          <w:rtl/>
        </w:rPr>
        <w:t xml:space="preserve"> עולה </w:t>
      </w:r>
      <w:r w:rsidRPr="002F2BC5">
        <w:rPr>
          <w:rFonts w:hint="eastAsia"/>
          <w:rtl/>
        </w:rPr>
        <w:t>מ</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Ref176969234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2</w:t>
      </w:r>
      <w:r w:rsidRPr="002F2BC5">
        <w:rPr>
          <w:rtl/>
        </w:rPr>
        <w:fldChar w:fldCharType="end"/>
      </w:r>
      <w:r w:rsidRPr="002F2BC5">
        <w:rPr>
          <w:rtl/>
        </w:rPr>
        <w:t xml:space="preserve"> כי בעוד </w:t>
      </w:r>
      <w:r w:rsidRPr="002F2BC5">
        <w:rPr>
          <w:rFonts w:hint="eastAsia"/>
          <w:rtl/>
        </w:rPr>
        <w:t>דרכי</w:t>
      </w:r>
      <w:r w:rsidRPr="002F2BC5">
        <w:rPr>
          <w:rtl/>
        </w:rPr>
        <w:t xml:space="preserve"> ההתמודדות עם התופעה במעגל המניעה השלישונית, </w:t>
      </w:r>
      <w:r w:rsidRPr="002F2BC5">
        <w:rPr>
          <w:rFonts w:hint="cs"/>
          <w:rtl/>
        </w:rPr>
        <w:t>מש</w:t>
      </w:r>
      <w:r w:rsidRPr="002F2BC5">
        <w:rPr>
          <w:rtl/>
        </w:rPr>
        <w:t>נשקפת סכנה לנפגעי האלימות ונדרשת התערבות מ</w:t>
      </w:r>
      <w:r w:rsidRPr="002F2BC5">
        <w:rPr>
          <w:rFonts w:hint="cs"/>
          <w:rtl/>
        </w:rPr>
        <w:t>י</w:t>
      </w:r>
      <w:r w:rsidRPr="002F2BC5">
        <w:rPr>
          <w:rtl/>
        </w:rPr>
        <w:t xml:space="preserve">ידית </w:t>
      </w:r>
      <w:r w:rsidRPr="002F2BC5">
        <w:rPr>
          <w:rFonts w:hint="cs"/>
          <w:rtl/>
        </w:rPr>
        <w:t>כדי</w:t>
      </w:r>
      <w:r w:rsidRPr="002F2BC5">
        <w:rPr>
          <w:rtl/>
        </w:rPr>
        <w:t xml:space="preserve"> להגן עליהם, </w:t>
      </w:r>
      <w:r w:rsidRPr="002F2BC5">
        <w:rPr>
          <w:rFonts w:hint="eastAsia"/>
          <w:rtl/>
        </w:rPr>
        <w:t>הוסדרו</w:t>
      </w:r>
      <w:r w:rsidRPr="002F2BC5">
        <w:rPr>
          <w:rtl/>
        </w:rPr>
        <w:t xml:space="preserve"> בעיקרן בחוק או בתקנות, </w:t>
      </w:r>
      <w:r w:rsidRPr="002F2BC5">
        <w:rPr>
          <w:rFonts w:hint="eastAsia"/>
          <w:rtl/>
        </w:rPr>
        <w:t>דרכי</w:t>
      </w:r>
      <w:r w:rsidRPr="002F2BC5">
        <w:rPr>
          <w:rtl/>
        </w:rPr>
        <w:t xml:space="preserve"> ההתמודדות במעגלי המניעה הראשונית והשניונית </w:t>
      </w:r>
      <w:r w:rsidRPr="002F2BC5">
        <w:rPr>
          <w:rFonts w:hint="eastAsia"/>
          <w:rtl/>
        </w:rPr>
        <w:t>עוגנו</w:t>
      </w:r>
      <w:r w:rsidRPr="002F2BC5">
        <w:rPr>
          <w:rtl/>
        </w:rPr>
        <w:t xml:space="preserve"> </w:t>
      </w:r>
      <w:r w:rsidRPr="002F2BC5">
        <w:rPr>
          <w:rFonts w:hint="eastAsia"/>
          <w:rtl/>
        </w:rPr>
        <w:t>בעיקרן</w:t>
      </w:r>
      <w:r w:rsidRPr="002F2BC5">
        <w:rPr>
          <w:rtl/>
        </w:rPr>
        <w:t xml:space="preserve"> בהוראות רגולטוריות אחרות, </w:t>
      </w:r>
      <w:r w:rsidRPr="002F2BC5">
        <w:rPr>
          <w:rFonts w:hint="eastAsia"/>
          <w:rtl/>
        </w:rPr>
        <w:t>שאינן</w:t>
      </w:r>
      <w:r w:rsidRPr="002F2BC5">
        <w:rPr>
          <w:rtl/>
        </w:rPr>
        <w:t xml:space="preserve"> </w:t>
      </w:r>
      <w:r w:rsidRPr="002F2BC5">
        <w:rPr>
          <w:rFonts w:hint="eastAsia"/>
          <w:rtl/>
        </w:rPr>
        <w:t>חוק</w:t>
      </w:r>
      <w:r w:rsidRPr="002F2BC5">
        <w:rPr>
          <w:rtl/>
        </w:rPr>
        <w:t xml:space="preserve"> </w:t>
      </w:r>
      <w:r w:rsidRPr="002F2BC5">
        <w:rPr>
          <w:rFonts w:hint="eastAsia"/>
          <w:rtl/>
        </w:rPr>
        <w:t>או</w:t>
      </w:r>
      <w:r w:rsidRPr="002F2BC5">
        <w:rPr>
          <w:rtl/>
        </w:rPr>
        <w:t xml:space="preserve"> </w:t>
      </w:r>
      <w:r w:rsidRPr="002F2BC5">
        <w:rPr>
          <w:rFonts w:hint="eastAsia"/>
          <w:rtl/>
        </w:rPr>
        <w:t>תקנות</w:t>
      </w:r>
      <w:r w:rsidRPr="002F2BC5">
        <w:rPr>
          <w:rtl/>
        </w:rPr>
        <w:t>.</w:t>
      </w:r>
    </w:p>
    <w:p w14:paraId="0EB9484E" w14:textId="77777777" w:rsidR="00817399" w:rsidRPr="002F2BC5" w:rsidRDefault="00817399" w:rsidP="00817399">
      <w:pPr>
        <w:spacing w:line="269" w:lineRule="auto"/>
        <w:rPr>
          <w:rtl/>
        </w:rPr>
      </w:pPr>
    </w:p>
    <w:p w14:paraId="75179DB7" w14:textId="77777777" w:rsidR="00817399" w:rsidRPr="002F2BC5" w:rsidRDefault="00817399" w:rsidP="00817399">
      <w:pPr>
        <w:spacing w:line="269" w:lineRule="auto"/>
        <w:rPr>
          <w:rtl/>
        </w:rPr>
      </w:pPr>
      <w:r w:rsidRPr="002F2BC5">
        <w:rPr>
          <w:rFonts w:hint="cs"/>
          <w:rtl/>
        </w:rPr>
        <w:t>יש לציין כי בשונה מהסדרה הנעשית בחוק או בתקנות, הסדרה הנעשית בהוראות רגולטוריות אחרות, לדוגמה בהוראות התע"ס או בנהלים פנימיים - בין שקביעתן נעשית מתוקף הסמכה מפורשת בהוראות הדין ובין שהיא נעשית מתוקף הסמכה כללית כאמור, מותירה לרשות המינהלית שיקול דעת שלא לפעול על פיהן, ובלבד שנימקה את החלטתה. זאת שכן מטרתן העיקרית של הוראות רגולטוריות אחרות היא להבטיח עקביות בהחלטות הרשות המינהלית ולהנחות אותה בהפעלת שיקול דעתה בכל הנוגע להפעלת הסמכויות שהוענקו לה בדין</w:t>
      </w:r>
      <w:r w:rsidRPr="002F2BC5">
        <w:rPr>
          <w:rStyle w:val="af9"/>
          <w:rtl/>
        </w:rPr>
        <w:footnoteReference w:id="60"/>
      </w:r>
      <w:r w:rsidRPr="002F2BC5">
        <w:rPr>
          <w:rFonts w:hint="cs"/>
          <w:rtl/>
        </w:rPr>
        <w:t xml:space="preserve">. </w:t>
      </w:r>
    </w:p>
    <w:p w14:paraId="260A7D54" w14:textId="77777777" w:rsidR="00817399" w:rsidRPr="002F2BC5" w:rsidRDefault="00817399" w:rsidP="00817399">
      <w:pPr>
        <w:spacing w:line="269" w:lineRule="auto"/>
        <w:rPr>
          <w:rtl/>
        </w:rPr>
      </w:pPr>
    </w:p>
    <w:p w14:paraId="7B76BF20" w14:textId="77777777" w:rsidR="00817399" w:rsidRPr="002F2BC5" w:rsidRDefault="00817399" w:rsidP="00817399">
      <w:pPr>
        <w:pStyle w:val="4"/>
        <w:spacing w:before="0" w:line="269" w:lineRule="auto"/>
        <w:rPr>
          <w:rtl/>
        </w:rPr>
      </w:pPr>
      <w:bookmarkStart w:id="110" w:name="_Ref184885583"/>
      <w:bookmarkStart w:id="111" w:name="_Toc189072201"/>
      <w:bookmarkStart w:id="112" w:name="_Toc191986912"/>
      <w:bookmarkStart w:id="113" w:name="_Toc191891380"/>
      <w:bookmarkStart w:id="114" w:name="_Toc192093032"/>
      <w:bookmarkStart w:id="115" w:name="_Toc193110590"/>
      <w:bookmarkStart w:id="116" w:name="_Toc192612740"/>
      <w:bookmarkStart w:id="117" w:name="_Toc192778814"/>
      <w:bookmarkStart w:id="118" w:name="_Toc198312164"/>
      <w:bookmarkStart w:id="119" w:name="_Toc198312633"/>
      <w:bookmarkStart w:id="120" w:name="_Toc200636792"/>
      <w:bookmarkStart w:id="121" w:name="_Toc200636823"/>
      <w:bookmarkStart w:id="122" w:name="_Toc200439791"/>
      <w:bookmarkStart w:id="123" w:name="_Toc200439822"/>
      <w:bookmarkStart w:id="124" w:name="_Toc201240927"/>
      <w:bookmarkStart w:id="125" w:name="_Toc192784368"/>
      <w:bookmarkStart w:id="126" w:name="_Toc201759354"/>
      <w:bookmarkStart w:id="127" w:name="_Toc203487987"/>
      <w:r w:rsidRPr="002F2BC5">
        <w:rPr>
          <w:rFonts w:hint="cs"/>
          <w:rtl/>
        </w:rPr>
        <w:t xml:space="preserve">הגדרת </w:t>
      </w:r>
      <w:bookmarkEnd w:id="99"/>
      <w:r w:rsidRPr="002F2BC5">
        <w:rPr>
          <w:rFonts w:hint="cs"/>
          <w:rtl/>
        </w:rPr>
        <w:t>תופעת האלימות בין בני זוג</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2F2BC5">
        <w:rPr>
          <w:rFonts w:hint="cs"/>
          <w:rtl/>
        </w:rPr>
        <w:t xml:space="preserve"> </w:t>
      </w:r>
    </w:p>
    <w:p w14:paraId="158F36FF" w14:textId="77777777" w:rsidR="00817399" w:rsidRPr="002F2BC5" w:rsidRDefault="00817399" w:rsidP="00817399">
      <w:pPr>
        <w:spacing w:line="269" w:lineRule="auto"/>
        <w:rPr>
          <w:rtl/>
        </w:rPr>
      </w:pPr>
    </w:p>
    <w:p w14:paraId="323D9E98" w14:textId="77777777" w:rsidR="00817399" w:rsidRPr="002F2BC5" w:rsidRDefault="00817399" w:rsidP="00817399">
      <w:pPr>
        <w:spacing w:line="269" w:lineRule="auto"/>
        <w:rPr>
          <w:rtl/>
        </w:rPr>
      </w:pPr>
      <w:bookmarkStart w:id="128" w:name="_Hlk192423448"/>
      <w:r w:rsidRPr="002F2BC5">
        <w:rPr>
          <w:rFonts w:hint="cs"/>
          <w:rtl/>
        </w:rPr>
        <w:t>קביעת הגדרה אחידה ובהירה של תופעות חברתיות בכלל ושל תופעות חברתיות בעלות משמעויות שליליות בפרט חיונית לעצם ההתמודדות עם התופעה מצד כלל הגורמים האמונים על כך, ובתוך כך הכרחית לצורך ניטור התופעה ואמידת ממדיה</w:t>
      </w:r>
      <w:r w:rsidRPr="002F2BC5">
        <w:rPr>
          <w:rStyle w:val="af9"/>
          <w:rtl/>
        </w:rPr>
        <w:footnoteReference w:id="61"/>
      </w:r>
      <w:r w:rsidRPr="002F2BC5">
        <w:rPr>
          <w:rFonts w:hint="cs"/>
          <w:rtl/>
        </w:rPr>
        <w:t>. מעבר לעצם קביעת ההגדרה, ישנה לעיתים חשיבות גם לכך שההגדרה תעוגן בהוראות הדין או בהוראות רגולטוריות אחרות המתוות את הבסיס החוקי והמקצועי להתמודדות עם התופעה. זאת כדי לבסס מסגרת משפטית אחידה, עקבית ומחייבת להתמודדות עימה</w:t>
      </w:r>
      <w:bookmarkEnd w:id="128"/>
      <w:r w:rsidRPr="002F2BC5">
        <w:rPr>
          <w:rStyle w:val="af9"/>
          <w:rtl/>
        </w:rPr>
        <w:footnoteReference w:id="62"/>
      </w:r>
      <w:r w:rsidRPr="002F2BC5">
        <w:rPr>
          <w:rFonts w:hint="cs"/>
          <w:rtl/>
        </w:rPr>
        <w:t>. בכל הקשור לתופעת האלימות בין בני זוג עולה קושי מיוחד בקביעת הגדרה אחידה לתופעה משום שגבולותיה הנורמטיביים הם תלויי מקום, זמן ותרבות</w:t>
      </w:r>
      <w:bookmarkStart w:id="129" w:name="_Ref183526864"/>
      <w:r w:rsidRPr="002F2BC5">
        <w:rPr>
          <w:rStyle w:val="af9"/>
          <w:rtl/>
        </w:rPr>
        <w:footnoteReference w:id="63"/>
      </w:r>
      <w:bookmarkEnd w:id="129"/>
      <w:r w:rsidRPr="002F2BC5">
        <w:rPr>
          <w:rFonts w:hint="cs"/>
          <w:rtl/>
        </w:rPr>
        <w:t xml:space="preserve">. </w:t>
      </w:r>
    </w:p>
    <w:p w14:paraId="00F9EB6A" w14:textId="77777777" w:rsidR="00817399" w:rsidRPr="002F2BC5" w:rsidRDefault="00817399" w:rsidP="00817399">
      <w:pPr>
        <w:spacing w:line="269" w:lineRule="auto"/>
        <w:rPr>
          <w:rtl/>
        </w:rPr>
      </w:pPr>
    </w:p>
    <w:p w14:paraId="0EC8EBD8" w14:textId="77777777" w:rsidR="00817399" w:rsidRPr="002F2BC5" w:rsidRDefault="00817399" w:rsidP="00817399">
      <w:pPr>
        <w:spacing w:line="269" w:lineRule="auto"/>
        <w:rPr>
          <w:b/>
          <w:bCs/>
          <w:rtl/>
        </w:rPr>
      </w:pPr>
      <w:r w:rsidRPr="002F2BC5">
        <w:rPr>
          <w:rFonts w:hint="cs"/>
          <w:b/>
          <w:bCs/>
          <w:rtl/>
        </w:rPr>
        <w:t>הוראות הדין המתוות את הבסיס החוקי והמקצועי להתמודדות עם תופעת האלימות בין בני זוג אינן כוללות הגדרה מפורשת לתופעה</w:t>
      </w:r>
      <w:r w:rsidRPr="002F2BC5">
        <w:rPr>
          <w:rStyle w:val="af9"/>
          <w:b/>
          <w:bCs/>
          <w:rtl/>
        </w:rPr>
        <w:footnoteReference w:id="64"/>
      </w:r>
      <w:r w:rsidRPr="002F2BC5">
        <w:rPr>
          <w:rFonts w:hint="cs"/>
          <w:b/>
          <w:bCs/>
          <w:rtl/>
        </w:rPr>
        <w:t>. הן אומנם מתייחסות במפורש לביטויים מסוימים של התופעה כדוגמת אלימות פיזית ומינית או התעללות נפשית מתמשכת, אולם היבטים מוכרים אחרים של התופעה, ובהם אלימות כלכלית</w:t>
      </w:r>
      <w:r w:rsidRPr="002F2BC5">
        <w:rPr>
          <w:rStyle w:val="af9"/>
          <w:b/>
          <w:bCs/>
          <w:rtl/>
        </w:rPr>
        <w:footnoteReference w:id="65"/>
      </w:r>
      <w:r w:rsidRPr="002F2BC5">
        <w:rPr>
          <w:rFonts w:hint="cs"/>
          <w:b/>
          <w:bCs/>
          <w:rtl/>
        </w:rPr>
        <w:t xml:space="preserve"> ומילולית והזנחה, אינם באים לידי ביטוי מפורש </w:t>
      </w:r>
      <w:r w:rsidRPr="002F2BC5">
        <w:rPr>
          <w:rFonts w:hint="cs"/>
          <w:b/>
          <w:bCs/>
          <w:rtl/>
        </w:rPr>
        <w:lastRenderedPageBreak/>
        <w:t>בהוראות הדין הללו</w:t>
      </w:r>
      <w:r w:rsidRPr="002F2BC5">
        <w:rPr>
          <w:rStyle w:val="af9"/>
          <w:b/>
          <w:bCs/>
          <w:rtl/>
        </w:rPr>
        <w:footnoteReference w:id="66"/>
      </w:r>
      <w:r w:rsidRPr="002F2BC5">
        <w:rPr>
          <w:rFonts w:hint="cs"/>
          <w:b/>
          <w:bCs/>
          <w:rtl/>
        </w:rPr>
        <w:t>. תופעות אלו של אלימות כלכלית ומילולית והזנחה אינן באות לידי ביטוי מפורש גם בהוראות התע"ס שפרסם משרד הרווחה, המסדירות בראייה מערכתית את דרכי ההתמודדות עם תופעת האלימות במשפחה, או בהנחיות ובנוהלי העבודה של המשטרה ומשרד הבריאות העוסקים בזיהוי ובאיתור של משפחות במעגל האלימות</w:t>
      </w:r>
      <w:r w:rsidRPr="002F2BC5">
        <w:rPr>
          <w:rStyle w:val="af9"/>
          <w:b/>
          <w:bCs/>
          <w:rtl/>
        </w:rPr>
        <w:footnoteReference w:id="67"/>
      </w:r>
      <w:r w:rsidRPr="002F2BC5">
        <w:rPr>
          <w:rFonts w:hint="cs"/>
          <w:b/>
          <w:bCs/>
          <w:rtl/>
        </w:rPr>
        <w:t>. זאת על אף שיעורן הלא מבוטל של תופעות אלו מכלל ביטוייה של תופעת האלימות במשפחה</w:t>
      </w:r>
      <w:r w:rsidRPr="002F2BC5">
        <w:rPr>
          <w:rStyle w:val="af9"/>
          <w:b/>
          <w:bCs/>
          <w:rtl/>
        </w:rPr>
        <w:footnoteReference w:id="68"/>
      </w:r>
      <w:r w:rsidRPr="002F2BC5">
        <w:rPr>
          <w:rFonts w:hint="cs"/>
          <w:b/>
          <w:bCs/>
          <w:rtl/>
        </w:rPr>
        <w:t xml:space="preserve">. </w:t>
      </w:r>
    </w:p>
    <w:p w14:paraId="4D0C88FF" w14:textId="77777777" w:rsidR="00817399" w:rsidRPr="002F2BC5" w:rsidRDefault="00817399" w:rsidP="00817399">
      <w:pPr>
        <w:spacing w:line="269" w:lineRule="auto"/>
        <w:rPr>
          <w:rtl/>
        </w:rPr>
      </w:pPr>
    </w:p>
    <w:p w14:paraId="74F08792" w14:textId="77777777" w:rsidR="00817399" w:rsidRPr="002F2BC5" w:rsidRDefault="00817399" w:rsidP="00817399">
      <w:pPr>
        <w:spacing w:line="269" w:lineRule="auto"/>
        <w:rPr>
          <w:rtl/>
        </w:rPr>
      </w:pPr>
      <w:r w:rsidRPr="002F2BC5">
        <w:rPr>
          <w:rFonts w:hint="cs"/>
          <w:rtl/>
        </w:rPr>
        <w:t xml:space="preserve">בשנת 2016 </w:t>
      </w:r>
      <w:bookmarkStart w:id="130" w:name="_Hlk192086591"/>
      <w:r w:rsidRPr="002F2BC5">
        <w:rPr>
          <w:rFonts w:hint="cs"/>
          <w:rtl/>
        </w:rPr>
        <w:t xml:space="preserve">ועדה בין-משרדית שהוקמה </w:t>
      </w:r>
      <w:r w:rsidRPr="002F2BC5">
        <w:rPr>
          <w:rtl/>
        </w:rPr>
        <w:t>במטרה לטייב את "הטיפול המערכתי בהתמודדות עם תופעת האלימות במשפחה"</w:t>
      </w:r>
      <w:bookmarkEnd w:id="130"/>
      <w:r w:rsidRPr="002F2BC5">
        <w:rPr>
          <w:rStyle w:val="af9"/>
          <w:rtl/>
        </w:rPr>
        <w:footnoteReference w:id="69"/>
      </w:r>
      <w:r w:rsidRPr="002F2BC5">
        <w:rPr>
          <w:rFonts w:hint="cs"/>
          <w:rtl/>
        </w:rPr>
        <w:t xml:space="preserve"> (ועדת רוזנבאום) קבעה הגדרה עדכנית ורחבה לתופעת האלימות במשפחה, הנוגעת למגוון האופנים שבהם היא מתבטאת, ובהם אלימות פיזית, מינית, נפשית וכלכלית המלוּוה בהפעלת כוח או הטלת אימה והזנחה. </w:t>
      </w:r>
      <w:r w:rsidRPr="002F2BC5">
        <w:rPr>
          <w:rtl/>
        </w:rPr>
        <w:t xml:space="preserve">ההגדרה נקבעה בהתבסס על הגדרה שאימץ </w:t>
      </w:r>
      <w:r w:rsidRPr="002F2BC5">
        <w:rPr>
          <w:rFonts w:hint="cs"/>
          <w:rtl/>
        </w:rPr>
        <w:t xml:space="preserve">ארגון </w:t>
      </w:r>
      <w:r w:rsidRPr="002F2BC5">
        <w:rPr>
          <w:rtl/>
        </w:rPr>
        <w:t>ה-</w:t>
      </w:r>
      <w:r w:rsidRPr="002F2BC5">
        <w:t>OECD</w:t>
      </w:r>
      <w:r w:rsidRPr="002F2BC5">
        <w:rPr>
          <w:rtl/>
        </w:rPr>
        <w:t xml:space="preserve"> ועל הגדרה שנכללה </w:t>
      </w:r>
      <w:bookmarkStart w:id="131" w:name="_Hlk177547849"/>
      <w:r w:rsidRPr="002F2BC5">
        <w:rPr>
          <w:rtl/>
        </w:rPr>
        <w:t xml:space="preserve">באמנת מועצת אירופה למאבק באלימות כלפי נשים ובאלימות במשפחה ולמניעתן </w:t>
      </w:r>
      <w:r w:rsidRPr="002F2BC5">
        <w:rPr>
          <w:rFonts w:hint="cs"/>
          <w:rtl/>
        </w:rPr>
        <w:t>מ</w:t>
      </w:r>
      <w:r w:rsidRPr="002F2BC5">
        <w:rPr>
          <w:rtl/>
        </w:rPr>
        <w:t>שנת 2011</w:t>
      </w:r>
      <w:bookmarkEnd w:id="131"/>
      <w:r w:rsidRPr="002F2BC5">
        <w:rPr>
          <w:rFonts w:hint="cs"/>
          <w:rtl/>
        </w:rPr>
        <w:t xml:space="preserve"> (להלן - אמנת איסטנבול)</w:t>
      </w:r>
      <w:bookmarkStart w:id="132" w:name="_Ref175645641"/>
      <w:r w:rsidRPr="002F2BC5">
        <w:rPr>
          <w:rFonts w:hint="cs"/>
          <w:rtl/>
        </w:rPr>
        <w:t>, אם כי מדינת ישראל לא חתמה על אמנה זו ומשכך גם לא אשררה אותה</w:t>
      </w:r>
      <w:r w:rsidRPr="002F2BC5">
        <w:rPr>
          <w:rStyle w:val="af9"/>
          <w:rtl/>
        </w:rPr>
        <w:footnoteReference w:id="70"/>
      </w:r>
      <w:bookmarkEnd w:id="132"/>
      <w:r w:rsidRPr="002F2BC5">
        <w:rPr>
          <w:rtl/>
        </w:rPr>
        <w:t xml:space="preserve">. </w:t>
      </w:r>
      <w:r w:rsidRPr="002F2BC5">
        <w:rPr>
          <w:rFonts w:hint="cs"/>
          <w:rtl/>
        </w:rPr>
        <w:t>ועדת רוזנבאום המליצה כי הגדרה זו תשמש "הגדרה ממשלתית אחידה לתופעת האלימות במשפחה על כל גווניה", וזאת כחלק מעקרונות הפעולה לטיוב הטיפול המערכתי בהתמודדות עם תופעת האלימות במשפחה</w:t>
      </w:r>
      <w:r w:rsidRPr="002F2BC5">
        <w:rPr>
          <w:rStyle w:val="af9"/>
          <w:rtl/>
        </w:rPr>
        <w:footnoteReference w:id="71"/>
      </w:r>
      <w:r w:rsidRPr="002F2BC5">
        <w:rPr>
          <w:rFonts w:hint="cs"/>
          <w:rtl/>
        </w:rPr>
        <w:t xml:space="preserve">. </w:t>
      </w:r>
    </w:p>
    <w:p w14:paraId="4A8DE7F8" w14:textId="77777777" w:rsidR="00817399" w:rsidRPr="002F2BC5" w:rsidRDefault="00817399" w:rsidP="00817399">
      <w:pPr>
        <w:spacing w:line="269" w:lineRule="auto"/>
        <w:rPr>
          <w:rtl/>
        </w:rPr>
      </w:pPr>
    </w:p>
    <w:p w14:paraId="4108FFB8" w14:textId="77777777" w:rsidR="00817399" w:rsidRPr="002F2BC5" w:rsidRDefault="00817399" w:rsidP="00817399">
      <w:pPr>
        <w:spacing w:line="269" w:lineRule="auto"/>
        <w:rPr>
          <w:rtl/>
        </w:rPr>
      </w:pPr>
      <w:bookmarkStart w:id="133" w:name="_Toc191986913"/>
      <w:r w:rsidRPr="002F2BC5">
        <w:rPr>
          <w:rStyle w:val="70"/>
          <w:rFonts w:hint="cs"/>
          <w:rtl/>
        </w:rPr>
        <w:t>הביקורת הקודמת:</w:t>
      </w:r>
      <w:bookmarkEnd w:id="133"/>
      <w:r w:rsidRPr="002F2BC5">
        <w:rPr>
          <w:rFonts w:hint="cs"/>
          <w:rtl/>
        </w:rPr>
        <w:t xml:space="preserve"> נמצא כי ההגדרה שעליה המליצה ועדת רוזנבאום או הגדרה אחידה אחרת לא עוגנו בחקיקה או בהוראות רגולטוריות אחרות. במועד סיום הביקורת הקודמת נמצא גם כי ישראל לא חתמה על </w:t>
      </w:r>
      <w:r w:rsidRPr="002F2BC5">
        <w:rPr>
          <w:rtl/>
        </w:rPr>
        <w:t xml:space="preserve">אמנת </w:t>
      </w:r>
      <w:r w:rsidRPr="002F2BC5">
        <w:rPr>
          <w:rFonts w:hint="cs"/>
          <w:rtl/>
        </w:rPr>
        <w:t>איסטנבול. זאת אף ש</w:t>
      </w:r>
      <w:r w:rsidRPr="002F2BC5">
        <w:rPr>
          <w:rFonts w:hint="eastAsia"/>
          <w:rtl/>
        </w:rPr>
        <w:t>נציגי</w:t>
      </w:r>
      <w:r w:rsidRPr="002F2BC5">
        <w:rPr>
          <w:rtl/>
        </w:rPr>
        <w:t xml:space="preserve"> </w:t>
      </w:r>
      <w:r w:rsidRPr="002F2BC5">
        <w:rPr>
          <w:rFonts w:hint="eastAsia"/>
          <w:rtl/>
        </w:rPr>
        <w:t>משרד</w:t>
      </w:r>
      <w:r w:rsidRPr="002F2BC5">
        <w:rPr>
          <w:rFonts w:hint="cs"/>
          <w:rtl/>
        </w:rPr>
        <w:t xml:space="preserve"> הרווחה</w:t>
      </w:r>
      <w:r w:rsidRPr="002F2BC5">
        <w:rPr>
          <w:rtl/>
        </w:rPr>
        <w:t xml:space="preserve"> </w:t>
      </w:r>
      <w:r w:rsidRPr="002F2BC5">
        <w:rPr>
          <w:rFonts w:hint="eastAsia"/>
          <w:rtl/>
        </w:rPr>
        <w:t>הודיעו</w:t>
      </w:r>
      <w:r w:rsidRPr="002F2BC5">
        <w:rPr>
          <w:rtl/>
        </w:rPr>
        <w:t xml:space="preserve"> </w:t>
      </w:r>
      <w:r w:rsidRPr="002F2BC5">
        <w:rPr>
          <w:rFonts w:hint="cs"/>
          <w:rtl/>
        </w:rPr>
        <w:t xml:space="preserve">עוד במרץ 2017 </w:t>
      </w:r>
      <w:r w:rsidRPr="002F2BC5">
        <w:rPr>
          <w:rtl/>
        </w:rPr>
        <w:t xml:space="preserve">על </w:t>
      </w:r>
      <w:r w:rsidRPr="002F2BC5">
        <w:rPr>
          <w:rFonts w:hint="cs"/>
          <w:rtl/>
        </w:rPr>
        <w:t>נכונות</w:t>
      </w:r>
      <w:r w:rsidRPr="002F2BC5">
        <w:rPr>
          <w:rtl/>
        </w:rPr>
        <w:t xml:space="preserve"> המדינה לעשות כן</w:t>
      </w:r>
      <w:r w:rsidRPr="002F2BC5">
        <w:rPr>
          <w:rFonts w:hint="cs"/>
          <w:rtl/>
        </w:rPr>
        <w:t>, בכפוף לסייגים מסוימים,</w:t>
      </w:r>
      <w:r w:rsidRPr="002F2BC5">
        <w:rPr>
          <w:rtl/>
        </w:rPr>
        <w:t xml:space="preserve"> </w:t>
      </w:r>
      <w:r w:rsidRPr="002F2BC5">
        <w:rPr>
          <w:rFonts w:hint="eastAsia"/>
          <w:rtl/>
        </w:rPr>
        <w:t>בדיון</w:t>
      </w:r>
      <w:r w:rsidRPr="002F2BC5">
        <w:rPr>
          <w:rtl/>
        </w:rPr>
        <w:t xml:space="preserve"> </w:t>
      </w:r>
      <w:r w:rsidRPr="002F2BC5">
        <w:rPr>
          <w:rFonts w:hint="eastAsia"/>
          <w:rtl/>
        </w:rPr>
        <w:t>בוועדה</w:t>
      </w:r>
      <w:r w:rsidRPr="002F2BC5">
        <w:rPr>
          <w:rtl/>
        </w:rPr>
        <w:t xml:space="preserve"> לקידום מעמד האישה</w:t>
      </w:r>
      <w:r w:rsidRPr="002F2BC5">
        <w:rPr>
          <w:rFonts w:hint="cs"/>
          <w:rtl/>
        </w:rPr>
        <w:t xml:space="preserve"> ולשוויון מגדרי</w:t>
      </w:r>
      <w:r w:rsidRPr="002F2BC5">
        <w:rPr>
          <w:rtl/>
        </w:rPr>
        <w:t xml:space="preserve"> בכנסת</w:t>
      </w:r>
      <w:r w:rsidRPr="002F2BC5">
        <w:rPr>
          <w:rFonts w:hint="cs"/>
          <w:rtl/>
        </w:rPr>
        <w:t xml:space="preserve"> (להלן - הוועדה לקידום מעמד האישה בכנסת)</w:t>
      </w:r>
      <w:r w:rsidRPr="002F2BC5">
        <w:rPr>
          <w:rStyle w:val="af9"/>
          <w:rtl/>
        </w:rPr>
        <w:footnoteReference w:id="72"/>
      </w:r>
      <w:r w:rsidRPr="002F2BC5">
        <w:rPr>
          <w:rFonts w:hint="cs"/>
          <w:rtl/>
        </w:rPr>
        <w:t>.</w:t>
      </w:r>
    </w:p>
    <w:p w14:paraId="1146FB88" w14:textId="77777777" w:rsidR="00817399" w:rsidRPr="002F2BC5" w:rsidRDefault="00817399" w:rsidP="00817399">
      <w:pPr>
        <w:spacing w:line="269" w:lineRule="auto"/>
        <w:rPr>
          <w:rtl/>
        </w:rPr>
      </w:pPr>
    </w:p>
    <w:p w14:paraId="6B2C4108" w14:textId="77777777" w:rsidR="00817399" w:rsidRPr="002F2BC5" w:rsidRDefault="00817399" w:rsidP="00817399">
      <w:pPr>
        <w:spacing w:line="269" w:lineRule="auto"/>
        <w:rPr>
          <w:rtl/>
        </w:rPr>
      </w:pPr>
      <w:r w:rsidRPr="002F2BC5">
        <w:rPr>
          <w:rFonts w:hint="cs"/>
          <w:rtl/>
        </w:rPr>
        <w:t>בהתאם לכך, בזיקה</w:t>
      </w:r>
      <w:r w:rsidRPr="002F2BC5">
        <w:rPr>
          <w:rtl/>
        </w:rPr>
        <w:t xml:space="preserve"> </w:t>
      </w:r>
      <w:r w:rsidRPr="002F2BC5">
        <w:rPr>
          <w:rFonts w:hint="cs"/>
          <w:rtl/>
        </w:rPr>
        <w:t>ל</w:t>
      </w:r>
      <w:r w:rsidRPr="002F2BC5">
        <w:rPr>
          <w:rFonts w:hint="eastAsia"/>
          <w:rtl/>
        </w:rPr>
        <w:t>אמנות</w:t>
      </w:r>
      <w:r w:rsidRPr="002F2BC5">
        <w:rPr>
          <w:rtl/>
        </w:rPr>
        <w:t xml:space="preserve"> </w:t>
      </w:r>
      <w:r w:rsidRPr="002F2BC5">
        <w:rPr>
          <w:rFonts w:hint="cs"/>
          <w:rtl/>
        </w:rPr>
        <w:t>ה</w:t>
      </w:r>
      <w:r w:rsidRPr="002F2BC5">
        <w:rPr>
          <w:rFonts w:hint="eastAsia"/>
          <w:rtl/>
        </w:rPr>
        <w:t>בי</w:t>
      </w:r>
      <w:r w:rsidRPr="002F2BC5">
        <w:rPr>
          <w:rFonts w:hint="cs"/>
          <w:rtl/>
        </w:rPr>
        <w:t>ן-</w:t>
      </w:r>
      <w:r w:rsidRPr="002F2BC5">
        <w:rPr>
          <w:rFonts w:hint="eastAsia"/>
          <w:rtl/>
        </w:rPr>
        <w:t>לאומיות</w:t>
      </w:r>
      <w:r w:rsidRPr="002F2BC5">
        <w:rPr>
          <w:rtl/>
        </w:rPr>
        <w:t xml:space="preserve"> </w:t>
      </w:r>
      <w:r w:rsidRPr="002F2BC5">
        <w:rPr>
          <w:rFonts w:hint="eastAsia"/>
          <w:rtl/>
        </w:rPr>
        <w:t>בנושא</w:t>
      </w:r>
      <w:r w:rsidRPr="002F2BC5">
        <w:rPr>
          <w:rFonts w:hint="cs"/>
          <w:rtl/>
        </w:rPr>
        <w:t>, המליץ משרד מבקר המדינה ל</w:t>
      </w:r>
      <w:r w:rsidRPr="002F2BC5">
        <w:rPr>
          <w:rtl/>
        </w:rPr>
        <w:t xml:space="preserve">משרד הרווחה </w:t>
      </w:r>
      <w:r w:rsidRPr="002F2BC5">
        <w:rPr>
          <w:rFonts w:hint="cs"/>
          <w:rtl/>
        </w:rPr>
        <w:t xml:space="preserve">- </w:t>
      </w:r>
      <w:r w:rsidRPr="002F2BC5">
        <w:rPr>
          <w:rFonts w:hint="eastAsia"/>
          <w:rtl/>
        </w:rPr>
        <w:t>בשיתוף</w:t>
      </w:r>
      <w:r w:rsidRPr="002F2BC5">
        <w:rPr>
          <w:rtl/>
        </w:rPr>
        <w:t xml:space="preserve"> </w:t>
      </w:r>
      <w:r w:rsidRPr="002F2BC5">
        <w:rPr>
          <w:rFonts w:hint="eastAsia"/>
          <w:rtl/>
        </w:rPr>
        <w:t>עם</w:t>
      </w:r>
      <w:r w:rsidRPr="002F2BC5">
        <w:rPr>
          <w:rtl/>
        </w:rPr>
        <w:t xml:space="preserve"> </w:t>
      </w:r>
      <w:r w:rsidRPr="002F2BC5">
        <w:rPr>
          <w:rFonts w:hint="eastAsia"/>
          <w:rtl/>
        </w:rPr>
        <w:t>השלטון</w:t>
      </w:r>
      <w:r w:rsidRPr="002F2BC5">
        <w:rPr>
          <w:rtl/>
        </w:rPr>
        <w:t xml:space="preserve"> </w:t>
      </w:r>
      <w:r w:rsidRPr="002F2BC5">
        <w:rPr>
          <w:rFonts w:hint="eastAsia"/>
          <w:rtl/>
        </w:rPr>
        <w:t>המקומי</w:t>
      </w:r>
      <w:r w:rsidRPr="002F2BC5">
        <w:rPr>
          <w:rtl/>
        </w:rPr>
        <w:t xml:space="preserve">, </w:t>
      </w:r>
      <w:r w:rsidRPr="002F2BC5">
        <w:rPr>
          <w:rFonts w:hint="eastAsia"/>
          <w:rtl/>
        </w:rPr>
        <w:t>משרדי</w:t>
      </w:r>
      <w:r w:rsidRPr="002F2BC5">
        <w:rPr>
          <w:rtl/>
        </w:rPr>
        <w:t xml:space="preserve"> </w:t>
      </w:r>
      <w:r w:rsidRPr="002F2BC5">
        <w:rPr>
          <w:rFonts w:hint="cs"/>
          <w:rtl/>
        </w:rPr>
        <w:t>ה</w:t>
      </w:r>
      <w:r w:rsidRPr="002F2BC5">
        <w:rPr>
          <w:rFonts w:hint="eastAsia"/>
          <w:rtl/>
        </w:rPr>
        <w:t>ממשלה</w:t>
      </w:r>
      <w:r w:rsidRPr="002F2BC5">
        <w:rPr>
          <w:rtl/>
        </w:rPr>
        <w:t xml:space="preserve"> </w:t>
      </w:r>
      <w:r w:rsidRPr="002F2BC5">
        <w:rPr>
          <w:rFonts w:hint="cs"/>
          <w:rtl/>
        </w:rPr>
        <w:t>ה</w:t>
      </w:r>
      <w:r w:rsidRPr="002F2BC5">
        <w:rPr>
          <w:rtl/>
        </w:rPr>
        <w:t xml:space="preserve">רלוונטיים, </w:t>
      </w:r>
      <w:r w:rsidRPr="002F2BC5">
        <w:rPr>
          <w:rFonts w:hint="eastAsia"/>
          <w:rtl/>
        </w:rPr>
        <w:t>רשויות</w:t>
      </w:r>
      <w:r w:rsidRPr="002F2BC5">
        <w:rPr>
          <w:rtl/>
        </w:rPr>
        <w:t xml:space="preserve"> </w:t>
      </w:r>
      <w:r w:rsidRPr="002F2BC5">
        <w:rPr>
          <w:rFonts w:hint="cs"/>
          <w:rtl/>
        </w:rPr>
        <w:t>ה</w:t>
      </w:r>
      <w:r w:rsidRPr="002F2BC5">
        <w:rPr>
          <w:rFonts w:hint="eastAsia"/>
          <w:rtl/>
        </w:rPr>
        <w:t>אכיפה</w:t>
      </w:r>
      <w:r w:rsidRPr="002F2BC5">
        <w:rPr>
          <w:rtl/>
        </w:rPr>
        <w:t xml:space="preserve"> </w:t>
      </w:r>
      <w:r w:rsidRPr="002F2BC5">
        <w:rPr>
          <w:rFonts w:hint="eastAsia"/>
          <w:rtl/>
        </w:rPr>
        <w:t>וארגוני</w:t>
      </w:r>
      <w:r w:rsidRPr="002F2BC5">
        <w:rPr>
          <w:rtl/>
        </w:rPr>
        <w:t xml:space="preserve"> </w:t>
      </w:r>
      <w:r w:rsidRPr="002F2BC5">
        <w:rPr>
          <w:rFonts w:hint="cs"/>
          <w:rtl/>
        </w:rPr>
        <w:t>ה</w:t>
      </w:r>
      <w:r w:rsidRPr="002F2BC5">
        <w:rPr>
          <w:rFonts w:hint="eastAsia"/>
          <w:rtl/>
        </w:rPr>
        <w:t>מגזר</w:t>
      </w:r>
      <w:r w:rsidRPr="002F2BC5">
        <w:rPr>
          <w:rtl/>
        </w:rPr>
        <w:t xml:space="preserve"> </w:t>
      </w:r>
      <w:r w:rsidRPr="002F2BC5">
        <w:rPr>
          <w:rFonts w:hint="cs"/>
          <w:rtl/>
        </w:rPr>
        <w:t>ה</w:t>
      </w:r>
      <w:r w:rsidRPr="002F2BC5">
        <w:rPr>
          <w:rFonts w:hint="eastAsia"/>
          <w:rtl/>
        </w:rPr>
        <w:t>שלישי</w:t>
      </w:r>
      <w:r w:rsidRPr="002F2BC5">
        <w:rPr>
          <w:rtl/>
        </w:rPr>
        <w:t xml:space="preserve"> </w:t>
      </w:r>
      <w:r w:rsidRPr="002F2BC5">
        <w:rPr>
          <w:rFonts w:hint="cs"/>
          <w:rtl/>
        </w:rPr>
        <w:t>-</w:t>
      </w:r>
      <w:r w:rsidRPr="002F2BC5">
        <w:rPr>
          <w:rtl/>
        </w:rPr>
        <w:t xml:space="preserve"> </w:t>
      </w:r>
      <w:r w:rsidRPr="002F2BC5">
        <w:rPr>
          <w:rFonts w:hint="cs"/>
          <w:rtl/>
        </w:rPr>
        <w:t>לבחון</w:t>
      </w:r>
      <w:r w:rsidRPr="002F2BC5">
        <w:rPr>
          <w:rtl/>
        </w:rPr>
        <w:t xml:space="preserve"> </w:t>
      </w:r>
      <w:r w:rsidRPr="002F2BC5">
        <w:rPr>
          <w:rFonts w:hint="cs"/>
          <w:rtl/>
        </w:rPr>
        <w:t>את האפשרות ל</w:t>
      </w:r>
      <w:r w:rsidRPr="002F2BC5">
        <w:rPr>
          <w:rtl/>
        </w:rPr>
        <w:t>הסדר</w:t>
      </w:r>
      <w:r w:rsidRPr="002F2BC5">
        <w:rPr>
          <w:rFonts w:hint="eastAsia"/>
          <w:rtl/>
        </w:rPr>
        <w:t>ת</w:t>
      </w:r>
      <w:r w:rsidRPr="002F2BC5">
        <w:rPr>
          <w:rtl/>
        </w:rPr>
        <w:t xml:space="preserve"> </w:t>
      </w:r>
      <w:r w:rsidRPr="002F2BC5">
        <w:rPr>
          <w:rFonts w:hint="eastAsia"/>
          <w:rtl/>
        </w:rPr>
        <w:t>הגדרה</w:t>
      </w:r>
      <w:r w:rsidRPr="002F2BC5">
        <w:rPr>
          <w:rtl/>
        </w:rPr>
        <w:t xml:space="preserve"> אחידה </w:t>
      </w:r>
      <w:r w:rsidRPr="002F2BC5">
        <w:rPr>
          <w:rFonts w:hint="eastAsia"/>
          <w:rtl/>
        </w:rPr>
        <w:t>מחייבת</w:t>
      </w:r>
      <w:r w:rsidRPr="002F2BC5">
        <w:rPr>
          <w:rtl/>
        </w:rPr>
        <w:t xml:space="preserve"> וכוללת (לרבות </w:t>
      </w:r>
      <w:r w:rsidRPr="002F2BC5">
        <w:rPr>
          <w:rFonts w:hint="eastAsia"/>
          <w:rtl/>
        </w:rPr>
        <w:t>בהורא</w:t>
      </w:r>
      <w:r w:rsidRPr="002F2BC5">
        <w:rPr>
          <w:rFonts w:hint="cs"/>
          <w:rtl/>
        </w:rPr>
        <w:t>ו</w:t>
      </w:r>
      <w:r w:rsidRPr="002F2BC5">
        <w:rPr>
          <w:rFonts w:hint="eastAsia"/>
          <w:rtl/>
        </w:rPr>
        <w:t>ת</w:t>
      </w:r>
      <w:r w:rsidRPr="002F2BC5">
        <w:rPr>
          <w:rtl/>
        </w:rPr>
        <w:t xml:space="preserve"> </w:t>
      </w:r>
      <w:r w:rsidRPr="002F2BC5">
        <w:rPr>
          <w:rFonts w:hint="eastAsia"/>
          <w:rtl/>
        </w:rPr>
        <w:t>התע</w:t>
      </w:r>
      <w:r w:rsidRPr="002F2BC5">
        <w:rPr>
          <w:rtl/>
        </w:rPr>
        <w:t>"ס)</w:t>
      </w:r>
      <w:r w:rsidRPr="002F2BC5">
        <w:rPr>
          <w:rFonts w:hint="cs"/>
          <w:rtl/>
        </w:rPr>
        <w:t xml:space="preserve"> </w:t>
      </w:r>
      <w:r w:rsidRPr="002F2BC5">
        <w:rPr>
          <w:rtl/>
        </w:rPr>
        <w:lastRenderedPageBreak/>
        <w:t xml:space="preserve">של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eastAsia"/>
          <w:rtl/>
        </w:rPr>
        <w:t>בין</w:t>
      </w:r>
      <w:r w:rsidRPr="002F2BC5">
        <w:rPr>
          <w:rtl/>
        </w:rPr>
        <w:t xml:space="preserve"> </w:t>
      </w:r>
      <w:r w:rsidRPr="002F2BC5">
        <w:rPr>
          <w:rFonts w:hint="eastAsia"/>
          <w:rtl/>
        </w:rPr>
        <w:t>בני</w:t>
      </w:r>
      <w:r w:rsidRPr="002F2BC5">
        <w:rPr>
          <w:rtl/>
        </w:rPr>
        <w:t xml:space="preserve"> </w:t>
      </w:r>
      <w:r w:rsidRPr="002F2BC5">
        <w:rPr>
          <w:rFonts w:hint="eastAsia"/>
          <w:rtl/>
        </w:rPr>
        <w:t>זוג</w:t>
      </w:r>
      <w:r w:rsidRPr="002F2BC5">
        <w:rPr>
          <w:rFonts w:hint="cs"/>
          <w:rtl/>
        </w:rPr>
        <w:t>,</w:t>
      </w:r>
      <w:r w:rsidRPr="002F2BC5">
        <w:rPr>
          <w:rtl/>
        </w:rPr>
        <w:t xml:space="preserve"> </w:t>
      </w:r>
      <w:r w:rsidRPr="002F2BC5">
        <w:rPr>
          <w:rFonts w:hint="eastAsia"/>
          <w:rtl/>
        </w:rPr>
        <w:t>אשר</w:t>
      </w:r>
      <w:r w:rsidRPr="002F2BC5">
        <w:rPr>
          <w:rtl/>
        </w:rPr>
        <w:t xml:space="preserve"> </w:t>
      </w:r>
      <w:r w:rsidRPr="002F2BC5">
        <w:rPr>
          <w:rFonts w:hint="eastAsia"/>
          <w:rtl/>
        </w:rPr>
        <w:t>תסייע</w:t>
      </w:r>
      <w:r w:rsidRPr="002F2BC5">
        <w:rPr>
          <w:rtl/>
        </w:rPr>
        <w:t xml:space="preserve"> </w:t>
      </w:r>
      <w:r w:rsidRPr="002F2BC5">
        <w:rPr>
          <w:rFonts w:hint="eastAsia"/>
          <w:rtl/>
        </w:rPr>
        <w:t>בגיבוש</w:t>
      </w:r>
      <w:r w:rsidRPr="002F2BC5">
        <w:rPr>
          <w:rtl/>
        </w:rPr>
        <w:t xml:space="preserve"> </w:t>
      </w:r>
      <w:r w:rsidRPr="002F2BC5">
        <w:rPr>
          <w:rFonts w:hint="eastAsia"/>
          <w:rtl/>
        </w:rPr>
        <w:t>המדיניות</w:t>
      </w:r>
      <w:r w:rsidRPr="002F2BC5">
        <w:rPr>
          <w:rtl/>
        </w:rPr>
        <w:t xml:space="preserve"> </w:t>
      </w:r>
      <w:r w:rsidRPr="002F2BC5">
        <w:rPr>
          <w:rFonts w:hint="eastAsia"/>
          <w:rtl/>
        </w:rPr>
        <w:t>והכלים</w:t>
      </w:r>
      <w:r w:rsidRPr="002F2BC5">
        <w:rPr>
          <w:rtl/>
        </w:rPr>
        <w:t xml:space="preserve"> </w:t>
      </w:r>
      <w:r w:rsidRPr="002F2BC5">
        <w:rPr>
          <w:rFonts w:hint="eastAsia"/>
          <w:rtl/>
        </w:rPr>
        <w:t>השונים</w:t>
      </w:r>
      <w:r w:rsidRPr="002F2BC5">
        <w:rPr>
          <w:rtl/>
        </w:rPr>
        <w:t xml:space="preserve"> </w:t>
      </w:r>
      <w:r w:rsidRPr="002F2BC5">
        <w:rPr>
          <w:rFonts w:hint="eastAsia"/>
          <w:rtl/>
        </w:rPr>
        <w:t>לטיפול</w:t>
      </w:r>
      <w:r w:rsidRPr="002F2BC5">
        <w:rPr>
          <w:rtl/>
        </w:rPr>
        <w:t xml:space="preserve"> </w:t>
      </w:r>
      <w:r w:rsidRPr="002F2BC5">
        <w:rPr>
          <w:rFonts w:hint="eastAsia"/>
          <w:rtl/>
        </w:rPr>
        <w:t>בתופעה</w:t>
      </w:r>
      <w:r w:rsidRPr="002F2BC5">
        <w:rPr>
          <w:rFonts w:hint="cs"/>
          <w:rtl/>
        </w:rPr>
        <w:t xml:space="preserve"> על מכלול היבטיה</w:t>
      </w:r>
      <w:r w:rsidRPr="002F2BC5">
        <w:rPr>
          <w:rtl/>
        </w:rPr>
        <w:t xml:space="preserve">. </w:t>
      </w:r>
    </w:p>
    <w:p w14:paraId="1BC7CBB1" w14:textId="77777777" w:rsidR="00817399" w:rsidRPr="002F2BC5" w:rsidRDefault="00817399" w:rsidP="00817399">
      <w:pPr>
        <w:spacing w:line="269" w:lineRule="auto"/>
        <w:rPr>
          <w:rtl/>
        </w:rPr>
      </w:pPr>
    </w:p>
    <w:p w14:paraId="5ADDFB79" w14:textId="77777777" w:rsidR="00817399" w:rsidRPr="002F2BC5" w:rsidRDefault="00817399" w:rsidP="00817399">
      <w:pPr>
        <w:spacing w:line="269" w:lineRule="auto"/>
        <w:rPr>
          <w:rtl/>
        </w:rPr>
      </w:pPr>
      <w:r w:rsidRPr="002F2BC5">
        <w:rPr>
          <w:rFonts w:hint="cs"/>
          <w:rtl/>
        </w:rPr>
        <w:t>משרד הרווחה ומשרד המשפטים מסרו בתשובותיהם לביקורת הקודמת מפברואר 2021 כי לאחר בחינת הנושא בוועדה הבין-משרדית הוחלט להסתפק בעצם קביעת ההגדרה המוסכמת ולא לעגנה בחקיקה.</w:t>
      </w:r>
    </w:p>
    <w:p w14:paraId="11053750" w14:textId="77777777" w:rsidR="00817399" w:rsidRPr="002F2BC5" w:rsidRDefault="00817399" w:rsidP="00817399">
      <w:pPr>
        <w:spacing w:line="269" w:lineRule="auto"/>
        <w:rPr>
          <w:rtl/>
        </w:rPr>
      </w:pPr>
    </w:p>
    <w:p w14:paraId="1027B030" w14:textId="77777777" w:rsidR="00817399" w:rsidRPr="002F2BC5" w:rsidRDefault="00817399" w:rsidP="00817399">
      <w:pPr>
        <w:spacing w:line="269" w:lineRule="auto"/>
        <w:rPr>
          <w:rtl/>
        </w:rPr>
      </w:pPr>
      <w:bookmarkStart w:id="134" w:name="_Toc191986914"/>
      <w:r w:rsidRPr="002F2BC5">
        <w:rPr>
          <w:rStyle w:val="70"/>
          <w:rFonts w:hint="cs"/>
          <w:rtl/>
        </w:rPr>
        <w:t>ביקורת המעקב:</w:t>
      </w:r>
      <w:bookmarkEnd w:id="134"/>
      <w:r w:rsidRPr="002F2BC5">
        <w:rPr>
          <w:rStyle w:val="70"/>
          <w:rFonts w:hint="cs"/>
          <w:rtl/>
        </w:rPr>
        <w:t xml:space="preserve"> </w:t>
      </w:r>
      <w:r w:rsidRPr="002F2BC5">
        <w:rPr>
          <w:rFonts w:hint="cs"/>
          <w:rtl/>
        </w:rPr>
        <w:t>נמצא כי ההגדרה העדכנית והאחידה שקבעה ועדת רוזנבאום או הגדרה אחידה אחרת טרם עוגנה בחקיקה או בהוראות רגולטוריות אחרות. נוסף על כך, דברי חקיקה והוראות רגולטוריות אחרות שנקבעו מאז הביקורת הקודמת כוללים הגדרות לתופעה שאינן בהכרח אחידות. כך לדוגמה, נוהל מעודכן שפרסם בשנת 2023 משרד הבינוי והשיכון לעניין הזכאות של נפגעי אלימות במשפחה לסיוע כספי בשכר הדירה</w:t>
      </w:r>
      <w:r w:rsidRPr="002F2BC5">
        <w:rPr>
          <w:rStyle w:val="af9"/>
          <w:rtl/>
        </w:rPr>
        <w:footnoteReference w:id="73"/>
      </w:r>
      <w:r w:rsidRPr="002F2BC5">
        <w:rPr>
          <w:rFonts w:hint="cs"/>
          <w:rtl/>
        </w:rPr>
        <w:t xml:space="preserve"> מפנה לעניין הגדרת התופעה לאתר המרשתת (האינטרנט) של משרד הרווחה, ושם מפורטים אופניה השונים של התופעה ברוח ההגדרה הרחבה שעליה המליצה ועדת רוזנבאום</w:t>
      </w:r>
      <w:r w:rsidRPr="002F2BC5">
        <w:rPr>
          <w:rStyle w:val="af9"/>
          <w:rtl/>
        </w:rPr>
        <w:footnoteReference w:id="74"/>
      </w:r>
      <w:r w:rsidRPr="002F2BC5">
        <w:rPr>
          <w:rFonts w:hint="cs"/>
          <w:rtl/>
        </w:rPr>
        <w:t>. לעומת זאת, ההסדרים שעוגנו בחקיקה בשנים 2021 ו-2023 לעניין הפיקוח הטכנולוגי להבטחת קיומו של צו הגנה שהוצא לפי החוק למניעת אלימות במשפחה</w:t>
      </w:r>
      <w:r w:rsidRPr="002F2BC5">
        <w:rPr>
          <w:rStyle w:val="af9"/>
          <w:rtl/>
        </w:rPr>
        <w:footnoteReference w:id="75"/>
      </w:r>
      <w:r w:rsidRPr="002F2BC5">
        <w:rPr>
          <w:rFonts w:hint="cs"/>
          <w:rtl/>
        </w:rPr>
        <w:t>, או לעניין החובה להורות על קבלת חוות דעת לגבי אדם שהוצא נגדו צו הגנה לפי החוק בהתייחס להתאמתו לטיפול</w:t>
      </w:r>
      <w:r w:rsidRPr="002F2BC5">
        <w:rPr>
          <w:rStyle w:val="af9"/>
          <w:rtl/>
        </w:rPr>
        <w:footnoteReference w:id="76"/>
      </w:r>
      <w:r w:rsidRPr="002F2BC5">
        <w:rPr>
          <w:rFonts w:hint="cs"/>
          <w:rtl/>
        </w:rPr>
        <w:t xml:space="preserve">, נוגעים לאופנים של התופעה המתוארים בחוק ואינם כוללים הגדרה לאלימות במשפחה, ובכלל זה הגדרה לאלימות כלכלית. </w:t>
      </w:r>
    </w:p>
    <w:p w14:paraId="5D9ED6C9" w14:textId="77777777" w:rsidR="00817399" w:rsidRPr="002F2BC5" w:rsidRDefault="00817399" w:rsidP="00817399">
      <w:pPr>
        <w:spacing w:line="269" w:lineRule="auto"/>
        <w:rPr>
          <w:rtl/>
        </w:rPr>
      </w:pPr>
    </w:p>
    <w:p w14:paraId="31A2C373" w14:textId="77777777" w:rsidR="00817399" w:rsidRPr="002F2BC5" w:rsidRDefault="00817399" w:rsidP="00817399">
      <w:pPr>
        <w:spacing w:line="269" w:lineRule="auto"/>
        <w:rPr>
          <w:rtl/>
        </w:rPr>
      </w:pPr>
      <w:r w:rsidRPr="002F2BC5">
        <w:rPr>
          <w:rFonts w:hint="cs"/>
          <w:rtl/>
        </w:rPr>
        <w:t>על כך יש להוסיף כי במהלך התקופה מאז הביקורת הקודמת נעשו כמה ניסיונות לקדם את הרחבת הביטויים המפורשים של תופעת האלימות במשפחה בחוק למניעת אלימות במשפחה, תוך הכללתה של האלימות הכלכלית בגדרו של חוק זה. באחד מהדיונים שהתקיים בשנת 2023 במליאת הכנסת, בהצעת חוק פרטית שהוגשה בנושא</w:t>
      </w:r>
      <w:r w:rsidRPr="002F2BC5">
        <w:rPr>
          <w:rStyle w:val="af9"/>
          <w:rtl/>
        </w:rPr>
        <w:footnoteReference w:id="77"/>
      </w:r>
      <w:r w:rsidRPr="002F2BC5">
        <w:rPr>
          <w:rFonts w:hint="cs"/>
          <w:rtl/>
        </w:rPr>
        <w:t>, הועלה כי התיקון לחוק לא קודם בשל היעדרו של מקור תקציבי וכן בשל מחלוקת על מתכונתו של התיקון המוצע</w:t>
      </w:r>
      <w:r w:rsidRPr="002F2BC5">
        <w:rPr>
          <w:rStyle w:val="af9"/>
          <w:rtl/>
        </w:rPr>
        <w:footnoteReference w:id="78"/>
      </w:r>
      <w:r w:rsidRPr="002F2BC5">
        <w:rPr>
          <w:rFonts w:hint="cs"/>
          <w:rtl/>
        </w:rPr>
        <w:t xml:space="preserve">. יצוין כי </w:t>
      </w:r>
      <w:r w:rsidRPr="002F2BC5">
        <w:rPr>
          <w:rtl/>
        </w:rPr>
        <w:t>להצעת החוק הפרטית קדמה הצעת חוק ממשלתית משנת 2020</w:t>
      </w:r>
      <w:r w:rsidRPr="002F2BC5">
        <w:rPr>
          <w:rFonts w:hint="cs"/>
          <w:rtl/>
        </w:rPr>
        <w:t>,</w:t>
      </w:r>
      <w:r w:rsidRPr="002F2BC5">
        <w:rPr>
          <w:rtl/>
        </w:rPr>
        <w:t xml:space="preserve"> שאושרה עקרונית בוועדת השרים לענייני חקיקה </w:t>
      </w:r>
      <w:r w:rsidRPr="002F2BC5">
        <w:rPr>
          <w:rFonts w:hint="cs"/>
          <w:rtl/>
        </w:rPr>
        <w:t>באותה השנה</w:t>
      </w:r>
      <w:r w:rsidRPr="002F2BC5">
        <w:rPr>
          <w:rtl/>
        </w:rPr>
        <w:t>, אך הליכי חקיקתה לא הושלמו</w:t>
      </w:r>
      <w:r w:rsidRPr="002F2BC5">
        <w:rPr>
          <w:rStyle w:val="af9"/>
          <w:rtl/>
        </w:rPr>
        <w:footnoteReference w:id="79"/>
      </w:r>
      <w:r w:rsidRPr="002F2BC5">
        <w:rPr>
          <w:rFonts w:hint="cs"/>
          <w:rtl/>
        </w:rPr>
        <w:t>.</w:t>
      </w:r>
    </w:p>
    <w:p w14:paraId="4C30D1DE" w14:textId="77777777" w:rsidR="00817399" w:rsidRPr="002F2BC5" w:rsidRDefault="00817399" w:rsidP="00817399">
      <w:pPr>
        <w:spacing w:line="269" w:lineRule="auto"/>
        <w:rPr>
          <w:rtl/>
        </w:rPr>
      </w:pPr>
    </w:p>
    <w:p w14:paraId="07F0093E" w14:textId="77777777" w:rsidR="00817399" w:rsidRPr="002F2BC5" w:rsidRDefault="00817399" w:rsidP="00817399">
      <w:pPr>
        <w:spacing w:line="269" w:lineRule="auto"/>
        <w:rPr>
          <w:rtl/>
        </w:rPr>
      </w:pPr>
      <w:r w:rsidRPr="002F2BC5">
        <w:rPr>
          <w:rFonts w:hint="cs"/>
          <w:rtl/>
        </w:rPr>
        <w:t>עוד העלתה ביקורת המעקב כי בדיון נוסף בוועדה לקידום מעמד האישה בכנסת בנובמבר 2021, בסמוך לסיום הביקורת הקודמת, שרי החוץ, המשפטים והרווחה שבו והביעו נכונות להצטרף לאמנת איסטנבול</w:t>
      </w:r>
      <w:r w:rsidRPr="002F2BC5">
        <w:rPr>
          <w:rStyle w:val="af9"/>
          <w:rtl/>
        </w:rPr>
        <w:footnoteReference w:id="80"/>
      </w:r>
      <w:r w:rsidRPr="002F2BC5">
        <w:rPr>
          <w:rFonts w:hint="cs"/>
          <w:rtl/>
        </w:rPr>
        <w:t>. עם זאת, כחצי שנה מאוחר יותר, לאחר חילופי השלטון, הסתייג משרד הפנים בנוגע לחתימה על האמנה בשל עניינים הנוגעים ל"הגירה ופליטות"</w:t>
      </w:r>
      <w:r w:rsidRPr="002F2BC5">
        <w:rPr>
          <w:rStyle w:val="af9"/>
          <w:rtl/>
        </w:rPr>
        <w:footnoteReference w:id="81"/>
      </w:r>
      <w:r w:rsidRPr="002F2BC5">
        <w:rPr>
          <w:rFonts w:hint="cs"/>
          <w:rtl/>
        </w:rPr>
        <w:t xml:space="preserve">. נכון למועד סיום ביקורת המעקב, מדינת ישראל לא חתמה על אמנת איסטנבול ומשכך גם לא אשררה אותה. </w:t>
      </w:r>
    </w:p>
    <w:p w14:paraId="1E9F4FF7" w14:textId="77777777" w:rsidR="00817399" w:rsidRPr="002F2BC5" w:rsidRDefault="00817399" w:rsidP="00817399">
      <w:pPr>
        <w:spacing w:line="269" w:lineRule="auto"/>
        <w:rPr>
          <w:rtl/>
        </w:rPr>
      </w:pPr>
    </w:p>
    <w:p w14:paraId="60CB724C" w14:textId="77777777" w:rsidR="00817399" w:rsidRPr="002F2BC5" w:rsidRDefault="00817399" w:rsidP="00817399">
      <w:pPr>
        <w:pStyle w:val="afffffff9"/>
        <w:spacing w:line="269" w:lineRule="auto"/>
        <w:rPr>
          <w:rtl/>
        </w:rPr>
      </w:pPr>
      <w:bookmarkStart w:id="135" w:name="_Toc191892664"/>
      <w:bookmarkStart w:id="136" w:name="_Toc191893048"/>
      <w:bookmarkStart w:id="137" w:name="_Toc191986915"/>
      <w:bookmarkStart w:id="138" w:name="_Toc192093033"/>
      <w:bookmarkStart w:id="139" w:name="_Toc192612741"/>
      <w:bookmarkStart w:id="140" w:name="_Toc198312165"/>
      <w:bookmarkStart w:id="141" w:name="_Toc198312634"/>
      <w:bookmarkStart w:id="142" w:name="_Toc200636824"/>
      <w:bookmarkStart w:id="143" w:name="_Toc200439823"/>
      <w:bookmarkStart w:id="144" w:name="_Toc201240928"/>
      <w:r w:rsidRPr="002F2BC5">
        <w:rPr>
          <w:rtl/>
        </w:rPr>
        <w:t xml:space="preserve">הביקורת הקודמת העלתה כי ההגדרה שעליה המליצה ועדת רוזנבאום </w:t>
      </w:r>
      <w:r w:rsidRPr="002F2BC5">
        <w:rPr>
          <w:rFonts w:hint="eastAsia"/>
          <w:rtl/>
        </w:rPr>
        <w:t>לתופעת</w:t>
      </w:r>
      <w:r w:rsidRPr="002F2BC5">
        <w:rPr>
          <w:rtl/>
        </w:rPr>
        <w:t xml:space="preserve"> האלימות </w:t>
      </w:r>
      <w:r w:rsidRPr="002F2BC5">
        <w:rPr>
          <w:rFonts w:hint="cs"/>
          <w:rtl/>
        </w:rPr>
        <w:t>במשפחה</w:t>
      </w:r>
      <w:r w:rsidRPr="002F2BC5">
        <w:rPr>
          <w:rtl/>
        </w:rPr>
        <w:t xml:space="preserve"> או הגדרה אחידה אחרת לא עוגנ</w:t>
      </w:r>
      <w:r w:rsidRPr="002F2BC5">
        <w:rPr>
          <w:rFonts w:hint="cs"/>
          <w:rtl/>
        </w:rPr>
        <w:t>ה</w:t>
      </w:r>
      <w:r w:rsidRPr="002F2BC5">
        <w:rPr>
          <w:rtl/>
        </w:rPr>
        <w:t xml:space="preserve"> בחקיקה או בהוראות רגולטוריות אחרות</w:t>
      </w:r>
      <w:r w:rsidRPr="002F2BC5">
        <w:rPr>
          <w:rFonts w:hint="cs"/>
          <w:rtl/>
        </w:rPr>
        <w:t>.</w:t>
      </w:r>
      <w:r w:rsidRPr="002F2BC5">
        <w:rPr>
          <w:rtl/>
        </w:rPr>
        <w:t xml:space="preserve"> כן נמצא </w:t>
      </w:r>
      <w:r w:rsidRPr="002F2BC5">
        <w:rPr>
          <w:rtl/>
        </w:rPr>
        <w:lastRenderedPageBreak/>
        <w:t>כי ישראל לא חתמה על אמנת איסטנבול</w:t>
      </w:r>
      <w:r w:rsidRPr="002F2BC5">
        <w:rPr>
          <w:rFonts w:hint="cs"/>
          <w:rtl/>
        </w:rPr>
        <w:t>, ומשכך גם לא אשררה אותה</w:t>
      </w:r>
      <w:r w:rsidRPr="002F2BC5">
        <w:rPr>
          <w:rtl/>
        </w:rPr>
        <w:t>.</w:t>
      </w:r>
      <w:r w:rsidRPr="002F2BC5">
        <w:rPr>
          <w:rFonts w:hint="cs"/>
          <w:rtl/>
        </w:rPr>
        <w:t xml:space="preserve"> בביקורת המעקב הועלה כי הליקוי לא תוקן. במועד סיומה, בדצמבר 2024, בחלוף יותר משמונה שנים מאז שהמליצה ועדת רוזנבאום על הגדרה רחבה שתשמש "כהגדרה ממשלתית אחידה לתופעת האלימות במשפחה על כל גווניה" - </w:t>
      </w:r>
      <w:bookmarkStart w:id="145" w:name="_Hlk202962086"/>
      <w:r w:rsidRPr="002F2BC5">
        <w:rPr>
          <w:rFonts w:hint="cs"/>
          <w:rtl/>
        </w:rPr>
        <w:t xml:space="preserve">הגדרה זו או הגדרה מוסכמת אחרת לא עוגנה באופן רשמי בהוראות החוק המתוות את הבסיס </w:t>
      </w:r>
      <w:bookmarkStart w:id="146" w:name="_Hlk190808001"/>
      <w:r w:rsidRPr="002F2BC5">
        <w:rPr>
          <w:rFonts w:hint="cs"/>
          <w:rtl/>
        </w:rPr>
        <w:t xml:space="preserve">החוקי </w:t>
      </w:r>
      <w:bookmarkEnd w:id="146"/>
      <w:r w:rsidRPr="002F2BC5">
        <w:rPr>
          <w:rFonts w:hint="cs"/>
          <w:rtl/>
        </w:rPr>
        <w:t>והמקצועי להתמודדות עם התופעה או בהוראות רגולטוריות אחרות</w:t>
      </w:r>
      <w:bookmarkEnd w:id="145"/>
      <w:r w:rsidRPr="002F2BC5">
        <w:rPr>
          <w:rFonts w:hint="cs"/>
          <w:rtl/>
        </w:rPr>
        <w:t>, ובהן הוראות התע"ס. נוסף על כך, הצעות החוק להכללת האלימות הכלכלית בגדרו של החוק למניעת אלימות במשפחה לא הבשילו לכדי חקיקה מחייבת.</w:t>
      </w:r>
      <w:bookmarkEnd w:id="135"/>
      <w:bookmarkEnd w:id="136"/>
      <w:bookmarkEnd w:id="137"/>
      <w:bookmarkEnd w:id="138"/>
      <w:bookmarkEnd w:id="139"/>
      <w:bookmarkEnd w:id="140"/>
      <w:bookmarkEnd w:id="141"/>
      <w:bookmarkEnd w:id="142"/>
      <w:bookmarkEnd w:id="143"/>
      <w:bookmarkEnd w:id="144"/>
    </w:p>
    <w:p w14:paraId="77ECB6F5" w14:textId="77777777" w:rsidR="00817399" w:rsidRPr="002F2BC5" w:rsidRDefault="00817399" w:rsidP="00817399">
      <w:pPr>
        <w:spacing w:line="269" w:lineRule="auto"/>
        <w:rPr>
          <w:rtl/>
        </w:rPr>
      </w:pPr>
    </w:p>
    <w:p w14:paraId="4F33BDAE" w14:textId="77777777" w:rsidR="00817399" w:rsidRPr="002F2BC5" w:rsidRDefault="00817399" w:rsidP="00817399">
      <w:pPr>
        <w:spacing w:line="269" w:lineRule="auto"/>
        <w:rPr>
          <w:rtl/>
        </w:rPr>
      </w:pPr>
      <w:r w:rsidRPr="002F2BC5">
        <w:rPr>
          <w:rFonts w:hint="cs"/>
          <w:rtl/>
        </w:rPr>
        <w:t>משרד המשפטים מסר בתשובתו מאפריל 2025 כי נכון למועד התשובה, עיגונה בחקיקה של הגדרה לתופעת האלימות במשפחה עודנו מצוי בבדיקה, ונעשית בנושא עבודה בין-משרדית, והוסיף כי קביעת הגדרה בחקיקה היא עניין של מדיניות ממשלתית והסכמה חברתית. לצד זאת ציין כי הוועדה הבין-משרדית פעלה בשיתוף פעולה עם יוזמת "שיתופים - קווים אדומים" (להלן גם - יוזמת "שיתופים") לקביעת הגדרה לתופעת האלימות הזוגית ולפרסומה באתר המרשתת של היוזמה</w:t>
      </w:r>
      <w:r w:rsidRPr="002F2BC5">
        <w:rPr>
          <w:rStyle w:val="af9"/>
          <w:rtl/>
        </w:rPr>
        <w:footnoteReference w:id="82"/>
      </w:r>
      <w:r w:rsidRPr="002F2BC5">
        <w:rPr>
          <w:rFonts w:hint="cs"/>
          <w:rtl/>
        </w:rPr>
        <w:t xml:space="preserve">. לפי התשובה, אומנם הגדרה זו אינה מחייבת משפטית, אך תורמת להעלאת המודעות לתופעה בקרב הציבור. </w:t>
      </w:r>
    </w:p>
    <w:p w14:paraId="0F008C9D" w14:textId="77777777" w:rsidR="00817399" w:rsidRPr="002F2BC5" w:rsidRDefault="00817399" w:rsidP="00817399">
      <w:pPr>
        <w:spacing w:line="269" w:lineRule="auto"/>
        <w:rPr>
          <w:rtl/>
        </w:rPr>
      </w:pPr>
    </w:p>
    <w:p w14:paraId="231F12B1" w14:textId="77777777" w:rsidR="00817399" w:rsidRPr="002F2BC5" w:rsidRDefault="00817399" w:rsidP="00817399">
      <w:pPr>
        <w:pStyle w:val="afffffffa"/>
        <w:spacing w:line="269" w:lineRule="auto"/>
        <w:rPr>
          <w:rtl/>
        </w:rPr>
      </w:pPr>
      <w:bookmarkStart w:id="147" w:name="_Toc191892665"/>
      <w:bookmarkStart w:id="148" w:name="_Toc191893049"/>
      <w:bookmarkStart w:id="149" w:name="_Toc191986916"/>
      <w:bookmarkStart w:id="150" w:name="_Toc192093034"/>
      <w:bookmarkStart w:id="151" w:name="_Toc192612742"/>
      <w:bookmarkStart w:id="152" w:name="_Toc198312166"/>
      <w:bookmarkStart w:id="153" w:name="_Toc198312635"/>
      <w:bookmarkStart w:id="154" w:name="_Toc200636825"/>
      <w:bookmarkStart w:id="155" w:name="_Toc200439824"/>
      <w:bookmarkStart w:id="156" w:name="_Toc201240929"/>
      <w:r w:rsidRPr="002F2BC5">
        <w:rPr>
          <w:rFonts w:hint="cs"/>
          <w:rtl/>
        </w:rPr>
        <w:t xml:space="preserve">משרד מבקר המדינה שב וממליץ למשרד </w:t>
      </w:r>
      <w:r w:rsidRPr="002F2BC5">
        <w:rPr>
          <w:rFonts w:hint="eastAsia"/>
          <w:rtl/>
        </w:rPr>
        <w:t>הרווחה</w:t>
      </w:r>
      <w:r w:rsidRPr="002F2BC5">
        <w:rPr>
          <w:rFonts w:hint="cs"/>
          <w:rtl/>
        </w:rPr>
        <w:t>, העומד בראשות הוועדה הבין-משרדית הקבועה,</w:t>
      </w:r>
      <w:r w:rsidRPr="002F2BC5">
        <w:rPr>
          <w:rtl/>
        </w:rPr>
        <w:t xml:space="preserve"> </w:t>
      </w:r>
      <w:r w:rsidRPr="002F2BC5">
        <w:rPr>
          <w:rFonts w:hint="eastAsia"/>
          <w:rtl/>
        </w:rPr>
        <w:t>לפעול</w:t>
      </w:r>
      <w:r w:rsidRPr="002F2BC5">
        <w:rPr>
          <w:rtl/>
        </w:rPr>
        <w:t xml:space="preserve"> </w:t>
      </w:r>
      <w:r w:rsidRPr="002F2BC5">
        <w:rPr>
          <w:rFonts w:hint="eastAsia"/>
          <w:rtl/>
        </w:rPr>
        <w:t>בשיתוף</w:t>
      </w:r>
      <w:r w:rsidRPr="002F2BC5">
        <w:rPr>
          <w:rtl/>
        </w:rPr>
        <w:t xml:space="preserve"> </w:t>
      </w:r>
      <w:r w:rsidRPr="002F2BC5">
        <w:rPr>
          <w:rFonts w:hint="eastAsia"/>
          <w:rtl/>
        </w:rPr>
        <w:t>משרד</w:t>
      </w:r>
      <w:r w:rsidRPr="002F2BC5">
        <w:rPr>
          <w:rtl/>
        </w:rPr>
        <w:t xml:space="preserve"> </w:t>
      </w:r>
      <w:r w:rsidRPr="002F2BC5">
        <w:rPr>
          <w:rFonts w:hint="eastAsia"/>
          <w:rtl/>
        </w:rPr>
        <w:t>המשפטים</w:t>
      </w:r>
      <w:r w:rsidRPr="002F2BC5">
        <w:rPr>
          <w:rtl/>
        </w:rPr>
        <w:t xml:space="preserve"> </w:t>
      </w:r>
      <w:r w:rsidRPr="002F2BC5">
        <w:rPr>
          <w:rFonts w:hint="cs"/>
          <w:rtl/>
        </w:rPr>
        <w:t>לעגן בחקיקה - או בהוראות רגולטוריות אחרות - הגדרה עדכנית של המונח "אלימות במשפחה", בין זו שקבעה ועדת רוזנבאום ובין הגדרה אחידה אחרת. זאת כדי להבטיח אחידות גישה בהתמודדות עם תופעת האלימות במשפחה, על מכלול היבטיה, מצד כלל הגופים האמונים על כך. בראש ובראשונה מן הראוי כי ההגדרה העדכנית תעוגן בהוראות התע"ס שקבע משרד הרווחה, המסדירות בראייה מערכתית את דרכי ההתמודדות עם תופעת האלימות במשפחה. בכך יהיה גם משום ביטוי למחויבותה של מדינת ישראל לעקרונותיה הכלליים של אמנת איסטנבול, המשמשים מפת דרכים להתמודדות עם אלימות כלפי נשים בכלל ועם אלימות כלפי נשים במערכת הזוגית בפרט, ושלגביהם קיימת הסכמה רחבה.</w:t>
      </w:r>
      <w:bookmarkEnd w:id="147"/>
      <w:bookmarkEnd w:id="148"/>
      <w:bookmarkEnd w:id="149"/>
      <w:bookmarkEnd w:id="150"/>
      <w:bookmarkEnd w:id="151"/>
      <w:bookmarkEnd w:id="152"/>
      <w:bookmarkEnd w:id="153"/>
      <w:bookmarkEnd w:id="154"/>
      <w:bookmarkEnd w:id="155"/>
      <w:bookmarkEnd w:id="156"/>
    </w:p>
    <w:p w14:paraId="7A1CD7DB" w14:textId="77777777" w:rsidR="00817399" w:rsidRPr="002F2BC5" w:rsidRDefault="00817399" w:rsidP="00817399">
      <w:pPr>
        <w:spacing w:line="269" w:lineRule="auto"/>
        <w:rPr>
          <w:rtl/>
        </w:rPr>
      </w:pPr>
    </w:p>
    <w:p w14:paraId="3F91D84E"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592409F7" w14:textId="77777777" w:rsidR="00817399" w:rsidRPr="002F2BC5" w:rsidRDefault="00817399" w:rsidP="00817399">
      <w:pPr>
        <w:pStyle w:val="afffffff7"/>
        <w:spacing w:before="0" w:line="269" w:lineRule="auto"/>
      </w:pPr>
      <w:bookmarkStart w:id="157" w:name="_Toc198312167"/>
      <w:bookmarkStart w:id="158" w:name="_Toc198312636"/>
      <w:bookmarkStart w:id="159" w:name="_Toc189072202"/>
      <w:r w:rsidRPr="002F2BC5">
        <w:rPr>
          <w:noProof/>
        </w:rPr>
        <w:drawing>
          <wp:inline distT="0" distB="0" distL="0" distR="0" wp14:anchorId="50CD1492" wp14:editId="669AF31D">
            <wp:extent cx="4324350" cy="933450"/>
            <wp:effectExtent l="0" t="0" r="0" b="0"/>
            <wp:docPr id="2052770979"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57"/>
      <w:bookmarkEnd w:id="158"/>
    </w:p>
    <w:p w14:paraId="569F3C92" w14:textId="77777777" w:rsidR="00817399" w:rsidRDefault="00817399" w:rsidP="00817399">
      <w:pPr>
        <w:bidi w:val="0"/>
        <w:spacing w:after="200" w:line="276" w:lineRule="auto"/>
        <w:rPr>
          <w:rtl/>
        </w:rPr>
      </w:pPr>
      <w:r>
        <w:rPr>
          <w:rtl/>
        </w:rPr>
        <w:br w:type="page"/>
      </w:r>
    </w:p>
    <w:p w14:paraId="35E37FD6" w14:textId="77777777" w:rsidR="00817399" w:rsidRPr="002F2BC5" w:rsidRDefault="00817399" w:rsidP="00817399">
      <w:pPr>
        <w:pStyle w:val="4"/>
        <w:spacing w:before="0" w:line="269" w:lineRule="auto"/>
        <w:rPr>
          <w:rtl/>
        </w:rPr>
      </w:pPr>
      <w:bookmarkStart w:id="160" w:name="_Ref186956388"/>
      <w:bookmarkStart w:id="161" w:name="_Toc189072203"/>
      <w:bookmarkStart w:id="162" w:name="_Toc191986917"/>
      <w:bookmarkStart w:id="163" w:name="_Toc191891381"/>
      <w:bookmarkStart w:id="164" w:name="_Toc192093035"/>
      <w:bookmarkStart w:id="165" w:name="_Toc193110591"/>
      <w:bookmarkStart w:id="166" w:name="_Toc192612743"/>
      <w:bookmarkStart w:id="167" w:name="_Toc192778815"/>
      <w:bookmarkStart w:id="168" w:name="_Toc198312168"/>
      <w:bookmarkStart w:id="169" w:name="_Toc198312637"/>
      <w:bookmarkStart w:id="170" w:name="_Toc200636793"/>
      <w:bookmarkStart w:id="171" w:name="_Toc200636826"/>
      <w:bookmarkStart w:id="172" w:name="_Toc200439792"/>
      <w:bookmarkStart w:id="173" w:name="_Toc200439825"/>
      <w:bookmarkStart w:id="174" w:name="_Toc201240930"/>
      <w:bookmarkStart w:id="175" w:name="_Toc192784369"/>
      <w:bookmarkStart w:id="176" w:name="_Toc201759355"/>
      <w:bookmarkStart w:id="177" w:name="_Ref175820180"/>
      <w:bookmarkStart w:id="178" w:name="_Toc203487988"/>
      <w:bookmarkEnd w:id="159"/>
      <w:r w:rsidRPr="002F2BC5">
        <w:rPr>
          <w:rFonts w:hint="cs"/>
          <w:rtl/>
        </w:rPr>
        <w:lastRenderedPageBreak/>
        <w:t xml:space="preserve">הערכת המסוכנות הנשקפת לנפגעי אלימות </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2F2BC5">
        <w:rPr>
          <w:rFonts w:hint="cs"/>
          <w:rtl/>
        </w:rPr>
        <w:t>בין בני זוג</w:t>
      </w:r>
      <w:bookmarkEnd w:id="178"/>
    </w:p>
    <w:p w14:paraId="73AC0390" w14:textId="77777777" w:rsidR="00817399" w:rsidRPr="002F2BC5" w:rsidRDefault="00817399" w:rsidP="00817399">
      <w:pPr>
        <w:spacing w:line="269" w:lineRule="auto"/>
        <w:rPr>
          <w:rtl/>
        </w:rPr>
      </w:pPr>
    </w:p>
    <w:p w14:paraId="2911AED0" w14:textId="77777777" w:rsidR="00817399" w:rsidRPr="002F2BC5" w:rsidRDefault="00817399" w:rsidP="00817399">
      <w:pPr>
        <w:spacing w:line="269" w:lineRule="auto"/>
        <w:rPr>
          <w:rtl/>
        </w:rPr>
      </w:pPr>
      <w:r w:rsidRPr="002F2BC5">
        <w:rPr>
          <w:rFonts w:hint="cs"/>
          <w:rtl/>
        </w:rPr>
        <w:t xml:space="preserve">הערכת מסוכנות היא </w:t>
      </w:r>
      <w:r w:rsidRPr="002F2BC5">
        <w:rPr>
          <w:rtl/>
        </w:rPr>
        <w:t xml:space="preserve">הליך </w:t>
      </w:r>
      <w:r w:rsidRPr="002F2BC5">
        <w:rPr>
          <w:rFonts w:hint="cs"/>
          <w:rtl/>
        </w:rPr>
        <w:t>תומך החלטה המשמש לאמידת ההיתכנות לכך שאדם יגרום לפגיעה גופנית או אחרת באדם אחר, לרבות אמידת ההיתכנות לפגיעה חוזרת כאמור. בכך מסייע הליך זה להבחין בין אלו הנשקפת מהם מסוכנות בדרגת הסתברות גבוהה לבין אלו הנשקפת מהם מסוכנות בהסתברות נמוכה</w:t>
      </w:r>
      <w:r w:rsidRPr="002F2BC5">
        <w:rPr>
          <w:rStyle w:val="af9"/>
          <w:rtl/>
        </w:rPr>
        <w:footnoteReference w:id="83"/>
      </w:r>
      <w:r w:rsidRPr="002F2BC5">
        <w:rPr>
          <w:rFonts w:hint="cs"/>
          <w:rtl/>
        </w:rPr>
        <w:t>. הליך הערכת המסוכנות נדרש הן במעגל המניעה השניונית - כדי לקבוע את הצורך והדחיפות בהתערבות ובמתן הגנה מיידית לאחר איתור וזיהוי של נפגעי אלימות במשפחה</w:t>
      </w:r>
      <w:r w:rsidRPr="002F2BC5">
        <w:rPr>
          <w:rStyle w:val="af9"/>
          <w:rtl/>
        </w:rPr>
        <w:footnoteReference w:id="84"/>
      </w:r>
      <w:r w:rsidRPr="002F2BC5">
        <w:rPr>
          <w:rFonts w:hint="cs"/>
          <w:rtl/>
        </w:rPr>
        <w:t>, והן במעגל המניעה השלישונית - לשם קביעת תנאי פיקוח תחת צו הגנה, הגשת בקשה למעצר עד תום ההליכים בעבירות אלימות במשפחה או בחינת האפשרות לשחרור ממעצר בערובה, יציאה לחופשה במהלך מאסר או החלטה על שחרור על תנאי ממאסר בגין עבירות אלו</w:t>
      </w:r>
      <w:r w:rsidRPr="002F2BC5">
        <w:rPr>
          <w:rStyle w:val="af9"/>
          <w:rtl/>
        </w:rPr>
        <w:footnoteReference w:id="85"/>
      </w:r>
      <w:r w:rsidRPr="002F2BC5">
        <w:rPr>
          <w:rtl/>
        </w:rPr>
        <w:t>.</w:t>
      </w:r>
      <w:r w:rsidRPr="002F2BC5">
        <w:rPr>
          <w:rFonts w:hint="cs"/>
          <w:rtl/>
        </w:rPr>
        <w:t xml:space="preserve"> ועדה בין-משרדית לטיפול בבעיית האלימות במשפחה, שפרסמה את המלצותיה בשנת 1998 (ועדת בן-שלום), ציינה כי הליך הערכת המסוכנות הוא מיומנות טיפולית שכל איש מקצוע העוסק בתופעת האלימות במשפחה נדרש לרכוש בטרם הוא פוגש בקורבנות התופעה, ולצורך כך יש להעמיד לרשותו כלים מתאימים</w:t>
      </w:r>
      <w:r w:rsidRPr="002F2BC5">
        <w:rPr>
          <w:rStyle w:val="af9"/>
          <w:rtl/>
        </w:rPr>
        <w:footnoteReference w:id="86"/>
      </w:r>
      <w:r w:rsidRPr="002F2BC5">
        <w:rPr>
          <w:rFonts w:hint="cs"/>
          <w:rtl/>
        </w:rPr>
        <w:t xml:space="preserve"> (להלן - כלים להערכת מסוכנות).</w:t>
      </w:r>
    </w:p>
    <w:p w14:paraId="266C3303" w14:textId="77777777" w:rsidR="00817399" w:rsidRPr="002F2BC5" w:rsidRDefault="00817399" w:rsidP="00817399">
      <w:pPr>
        <w:spacing w:line="269" w:lineRule="auto"/>
        <w:rPr>
          <w:rtl/>
        </w:rPr>
      </w:pPr>
    </w:p>
    <w:p w14:paraId="1FEDBE94" w14:textId="77777777" w:rsidR="00817399" w:rsidRPr="002F2BC5" w:rsidRDefault="00817399" w:rsidP="00817399">
      <w:pPr>
        <w:spacing w:line="269" w:lineRule="auto"/>
        <w:rPr>
          <w:rtl/>
        </w:rPr>
      </w:pPr>
      <w:r w:rsidRPr="002F2BC5">
        <w:rPr>
          <w:rFonts w:hint="cs"/>
          <w:rtl/>
        </w:rPr>
        <w:t>ועדת רוזנבאום מצאה כי הכלים הקיימים להערכת מסוכנות המיושמים בגופים שונים אינם מתואמים ביניהם ואינם "רגישי תרבות". לפיכך הם אינם מאפשרים לגבש תמונת מצב אחודה של רמת המסוכנות של הפוגע ולהתאים את הליך הטיפול למאפייניו הייחודיים. בהתאם לכך המליצה הוועדה על גיבוש</w:t>
      </w:r>
      <w:r w:rsidRPr="002F2BC5">
        <w:rPr>
          <w:rtl/>
        </w:rPr>
        <w:t xml:space="preserve"> כלי להערכת מסוכנות </w:t>
      </w:r>
      <w:r w:rsidRPr="002F2BC5">
        <w:rPr>
          <w:rFonts w:hint="cs"/>
          <w:rtl/>
        </w:rPr>
        <w:t>שהוא</w:t>
      </w:r>
      <w:r w:rsidRPr="002F2BC5">
        <w:rPr>
          <w:rtl/>
        </w:rPr>
        <w:t xml:space="preserve"> </w:t>
      </w:r>
      <w:r w:rsidRPr="002F2BC5">
        <w:rPr>
          <w:rFonts w:hint="cs"/>
          <w:rtl/>
        </w:rPr>
        <w:t>"</w:t>
      </w:r>
      <w:r w:rsidRPr="002F2BC5">
        <w:rPr>
          <w:rtl/>
        </w:rPr>
        <w:t>אחוד, מודולרי ומותאם לסוגי האלימות, לנפגעי האלימות השונים</w:t>
      </w:r>
      <w:r w:rsidRPr="002F2BC5">
        <w:rPr>
          <w:rFonts w:hint="cs"/>
          <w:rtl/>
        </w:rPr>
        <w:t xml:space="preserve"> </w:t>
      </w:r>
      <w:r w:rsidRPr="002F2BC5">
        <w:rPr>
          <w:rtl/>
        </w:rPr>
        <w:t xml:space="preserve">ולמגזרים ייחודיים באופן שיהיה </w:t>
      </w:r>
      <w:r w:rsidRPr="002F2BC5">
        <w:rPr>
          <w:rFonts w:hint="cs"/>
          <w:rtl/>
        </w:rPr>
        <w:t>אפשר</w:t>
      </w:r>
      <w:r w:rsidRPr="002F2BC5">
        <w:rPr>
          <w:rtl/>
        </w:rPr>
        <w:t xml:space="preserve"> לשקלל את רמת המסוכנות</w:t>
      </w:r>
      <w:r w:rsidRPr="002F2BC5">
        <w:rPr>
          <w:rFonts w:hint="cs"/>
          <w:rtl/>
        </w:rPr>
        <w:t xml:space="preserve"> </w:t>
      </w:r>
      <w:r w:rsidRPr="002F2BC5">
        <w:rPr>
          <w:rtl/>
        </w:rPr>
        <w:t>האחידה ולתאם את המשך הטיפול</w:t>
      </w:r>
      <w:r w:rsidRPr="002F2BC5">
        <w:rPr>
          <w:rFonts w:hint="cs"/>
          <w:rtl/>
        </w:rPr>
        <w:t>"</w:t>
      </w:r>
      <w:r w:rsidRPr="002F2BC5">
        <w:rPr>
          <w:rtl/>
        </w:rPr>
        <w:t>.</w:t>
      </w:r>
      <w:r w:rsidRPr="002F2BC5">
        <w:rPr>
          <w:rFonts w:hint="cs"/>
          <w:rtl/>
        </w:rPr>
        <w:t xml:space="preserve"> עוד המליצה כי הכלי יתוקף </w:t>
      </w:r>
      <w:r w:rsidRPr="002F2BC5">
        <w:rPr>
          <w:rtl/>
        </w:rPr>
        <w:t>באמצעות מחקר מלווה וספרות אמפירית ותיאורטית</w:t>
      </w:r>
      <w:r w:rsidRPr="002F2BC5">
        <w:rPr>
          <w:rStyle w:val="af9"/>
          <w:rtl/>
        </w:rPr>
        <w:footnoteReference w:id="87"/>
      </w:r>
      <w:r w:rsidRPr="002F2BC5">
        <w:rPr>
          <w:rtl/>
        </w:rPr>
        <w:t>.</w:t>
      </w:r>
      <w:r w:rsidRPr="002F2BC5">
        <w:rPr>
          <w:rFonts w:hint="cs"/>
          <w:rtl/>
        </w:rPr>
        <w:t xml:space="preserve"> יצוין כי המלצות דומות נכללו עוד קודם לכן בדין וחשבון ועדת בן-שלום</w:t>
      </w:r>
      <w:r w:rsidRPr="002F2BC5">
        <w:rPr>
          <w:rStyle w:val="af9"/>
          <w:rtl/>
        </w:rPr>
        <w:footnoteReference w:id="88"/>
      </w:r>
      <w:r w:rsidRPr="002F2BC5">
        <w:rPr>
          <w:rFonts w:hint="cs"/>
          <w:rtl/>
        </w:rPr>
        <w:t>. על החשיבות שבהטמעת כלי מתואם להערכת מסוכנות עמדה גם הוועדה הבין-משרדית לבדיקת מקרי רצח של נשים בידי בן זוגן, שמצאה בשנת 2019 כי הקושי בתכלול גורמי הסיכון והמסוכנות לצד חוסר מודעות וידע בנושא הם גורמי סיכון קריטיים במקרי רצח</w:t>
      </w:r>
      <w:r w:rsidRPr="002F2BC5">
        <w:rPr>
          <w:rStyle w:val="af9"/>
          <w:rtl/>
        </w:rPr>
        <w:footnoteReference w:id="89"/>
      </w:r>
      <w:r w:rsidRPr="002F2BC5">
        <w:rPr>
          <w:rFonts w:hint="cs"/>
          <w:rtl/>
        </w:rPr>
        <w:t>.</w:t>
      </w:r>
    </w:p>
    <w:p w14:paraId="7EB4E7FD" w14:textId="77777777" w:rsidR="00817399" w:rsidRPr="002F2BC5" w:rsidRDefault="00817399" w:rsidP="00817399">
      <w:pPr>
        <w:spacing w:line="269" w:lineRule="auto"/>
        <w:rPr>
          <w:rtl/>
        </w:rPr>
      </w:pPr>
    </w:p>
    <w:p w14:paraId="7D34C5E6" w14:textId="77777777" w:rsidR="00817399" w:rsidRPr="002F2BC5" w:rsidRDefault="00817399" w:rsidP="00817399">
      <w:pPr>
        <w:spacing w:line="269" w:lineRule="auto"/>
        <w:rPr>
          <w:rtl/>
        </w:rPr>
      </w:pPr>
      <w:bookmarkStart w:id="179" w:name="_Toc191986918"/>
      <w:r w:rsidRPr="002F2BC5">
        <w:rPr>
          <w:rStyle w:val="70"/>
          <w:rFonts w:hint="cs"/>
          <w:rtl/>
        </w:rPr>
        <w:t>הביקורת הקודמת:</w:t>
      </w:r>
      <w:bookmarkEnd w:id="179"/>
      <w:r w:rsidRPr="002F2BC5">
        <w:rPr>
          <w:rFonts w:hint="cs"/>
          <w:rtl/>
        </w:rPr>
        <w:t xml:space="preserve"> נמצא כי בהמשך להמלצותיה של ועדת רוזנבאום, הוקם צוות משנה רב-תחומי של הוועדה הבין-משרדית הקבועה (להלן - הצוות הבין-משרדי בתחום הערכת מסוכנות). הצוות ערך מיפוי של כלים קיימים להערכת מסוכנות, שבהם נעשה שימוש על ידי גופים שונים, וזיהה עשרה כלים כאלו</w:t>
      </w:r>
      <w:r w:rsidRPr="002F2BC5">
        <w:rPr>
          <w:rStyle w:val="af9"/>
          <w:rtl/>
        </w:rPr>
        <w:footnoteReference w:id="90"/>
      </w:r>
      <w:r w:rsidRPr="002F2BC5">
        <w:rPr>
          <w:rFonts w:hint="cs"/>
          <w:rtl/>
        </w:rPr>
        <w:t>.</w:t>
      </w:r>
      <w:r w:rsidRPr="002F2BC5">
        <w:rPr>
          <w:rtl/>
        </w:rPr>
        <w:t xml:space="preserve"> </w:t>
      </w:r>
      <w:r w:rsidRPr="002F2BC5">
        <w:rPr>
          <w:rFonts w:hint="cs"/>
          <w:rtl/>
        </w:rPr>
        <w:t xml:space="preserve">הביקורת העלתה עוד כי עובדי רווחה בשליש מהרשויות </w:t>
      </w:r>
      <w:r w:rsidRPr="002F2BC5">
        <w:rPr>
          <w:rFonts w:hint="cs"/>
          <w:rtl/>
        </w:rPr>
        <w:lastRenderedPageBreak/>
        <w:t xml:space="preserve">המקומיות שנבדקו (5 מתוך 15) סברו שהכלי ששימש באותה העת להערכת מסוכנות במחלקות לשירותים חברתיים ובמרכזים לטיפול ומניעת אלימות במשפחה אינו מספק מענה מיטבי, והוא נחשב ל"פשטני", "לא אובייקטיבי" ו"לא ידידותי לשימוש". </w:t>
      </w:r>
    </w:p>
    <w:p w14:paraId="6C990575" w14:textId="77777777" w:rsidR="00817399" w:rsidRPr="002F2BC5" w:rsidRDefault="00817399" w:rsidP="00817399">
      <w:pPr>
        <w:spacing w:line="269" w:lineRule="auto"/>
        <w:rPr>
          <w:rtl/>
        </w:rPr>
      </w:pPr>
    </w:p>
    <w:p w14:paraId="457351EA"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למשרד הרווחה - בשיתוף עם הרשויות המקומיות, משטרת ישראל, שירות בתי הסוהר ומשרד הבריאות - לפעול להשלמת הפיתוח של כלי אחוד להערכת מסוכנות. עוד המליץ כי בעת גיבוש הכלי יובא בחשבון ניסיונם של הרשויות המקומיות ויתר גורמי הטיפול ואכיפת החוק במסגרת הפעלת הכלים הקיימים להערכת מסוכנות. </w:t>
      </w:r>
    </w:p>
    <w:p w14:paraId="741A53F3" w14:textId="77777777" w:rsidR="00817399" w:rsidRPr="002F2BC5" w:rsidRDefault="00817399" w:rsidP="00817399">
      <w:pPr>
        <w:spacing w:line="269" w:lineRule="auto"/>
        <w:rPr>
          <w:rtl/>
        </w:rPr>
      </w:pPr>
    </w:p>
    <w:p w14:paraId="3113783B" w14:textId="77777777" w:rsidR="00817399" w:rsidRPr="002F2BC5" w:rsidRDefault="00817399" w:rsidP="00817399">
      <w:pPr>
        <w:spacing w:line="269" w:lineRule="auto"/>
        <w:rPr>
          <w:rtl/>
        </w:rPr>
      </w:pP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cs"/>
          <w:rtl/>
        </w:rPr>
        <w:t xml:space="preserve">ומשטרת ישראל </w:t>
      </w:r>
      <w:r w:rsidRPr="002F2BC5">
        <w:rPr>
          <w:rFonts w:hint="eastAsia"/>
          <w:rtl/>
        </w:rPr>
        <w:t>מסר</w:t>
      </w:r>
      <w:r w:rsidRPr="002F2BC5">
        <w:rPr>
          <w:rFonts w:hint="cs"/>
          <w:rtl/>
        </w:rPr>
        <w:t>ו</w:t>
      </w:r>
      <w:r w:rsidRPr="002F2BC5">
        <w:rPr>
          <w:rtl/>
        </w:rPr>
        <w:t xml:space="preserve"> </w:t>
      </w:r>
      <w:r w:rsidRPr="002F2BC5">
        <w:rPr>
          <w:rFonts w:hint="eastAsia"/>
          <w:rtl/>
        </w:rPr>
        <w:t>בתשוב</w:t>
      </w:r>
      <w:r w:rsidRPr="002F2BC5">
        <w:rPr>
          <w:rFonts w:hint="cs"/>
          <w:rtl/>
        </w:rPr>
        <w:t>ו</w:t>
      </w:r>
      <w:r w:rsidRPr="002F2BC5">
        <w:rPr>
          <w:rFonts w:hint="eastAsia"/>
          <w:rtl/>
        </w:rPr>
        <w:t>ת</w:t>
      </w:r>
      <w:r w:rsidRPr="002F2BC5">
        <w:rPr>
          <w:rFonts w:hint="cs"/>
          <w:rtl/>
        </w:rPr>
        <w:t>יהם</w:t>
      </w:r>
      <w:r w:rsidRPr="002F2BC5">
        <w:rPr>
          <w:rtl/>
        </w:rPr>
        <w:t xml:space="preserve"> </w:t>
      </w:r>
      <w:r w:rsidRPr="002F2BC5">
        <w:rPr>
          <w:rFonts w:hint="cs"/>
          <w:rtl/>
        </w:rPr>
        <w:t>לביקורת הקודמת</w:t>
      </w:r>
      <w:r w:rsidRPr="002F2BC5">
        <w:rPr>
          <w:rtl/>
        </w:rPr>
        <w:t xml:space="preserve"> </w:t>
      </w:r>
      <w:r w:rsidRPr="002F2BC5">
        <w:rPr>
          <w:rFonts w:hint="cs"/>
          <w:rtl/>
        </w:rPr>
        <w:t xml:space="preserve">מפברואר 2021 </w:t>
      </w:r>
      <w:r w:rsidRPr="002F2BC5">
        <w:rPr>
          <w:rtl/>
        </w:rPr>
        <w:t xml:space="preserve">כי </w:t>
      </w:r>
      <w:r w:rsidRPr="002F2BC5">
        <w:rPr>
          <w:rFonts w:hint="cs"/>
          <w:rtl/>
        </w:rPr>
        <w:t>הצוות הבין-משרדי בתחום הערכת מסוכנות</w:t>
      </w:r>
      <w:r w:rsidRPr="002F2BC5">
        <w:rPr>
          <w:rtl/>
        </w:rPr>
        <w:t xml:space="preserve"> פית</w:t>
      </w:r>
      <w:r w:rsidRPr="002F2BC5">
        <w:rPr>
          <w:rFonts w:hint="cs"/>
          <w:rtl/>
        </w:rPr>
        <w:t>ח</w:t>
      </w:r>
      <w:r w:rsidRPr="002F2BC5">
        <w:rPr>
          <w:rtl/>
        </w:rPr>
        <w:t xml:space="preserve"> כלי </w:t>
      </w:r>
      <w:r w:rsidRPr="002F2BC5">
        <w:rPr>
          <w:rFonts w:hint="cs"/>
          <w:rtl/>
        </w:rPr>
        <w:t xml:space="preserve">חדש ומקיף </w:t>
      </w:r>
      <w:r w:rsidRPr="002F2BC5">
        <w:rPr>
          <w:rtl/>
        </w:rPr>
        <w:t>להערכת מסוכנות</w:t>
      </w:r>
      <w:r w:rsidRPr="002F2BC5">
        <w:rPr>
          <w:rFonts w:hint="cs"/>
          <w:rtl/>
        </w:rPr>
        <w:t xml:space="preserve">, שעתיד להיות מוטמע במהלך שנת 2021, עם השלמת תיקופו. </w:t>
      </w:r>
    </w:p>
    <w:p w14:paraId="52F83916" w14:textId="77777777" w:rsidR="00817399" w:rsidRPr="002F2BC5" w:rsidRDefault="00817399" w:rsidP="00817399">
      <w:pPr>
        <w:spacing w:line="269" w:lineRule="auto"/>
        <w:rPr>
          <w:rtl/>
        </w:rPr>
      </w:pPr>
    </w:p>
    <w:p w14:paraId="17B2F00A" w14:textId="77777777" w:rsidR="00817399" w:rsidRPr="002F2BC5" w:rsidRDefault="00817399" w:rsidP="00817399">
      <w:pPr>
        <w:spacing w:line="269" w:lineRule="auto"/>
        <w:rPr>
          <w:rtl/>
        </w:rPr>
      </w:pPr>
      <w:bookmarkStart w:id="180" w:name="_Toc191986919"/>
      <w:r w:rsidRPr="002F2BC5">
        <w:rPr>
          <w:rStyle w:val="70"/>
          <w:rFonts w:hint="cs"/>
          <w:rtl/>
        </w:rPr>
        <w:t>ביקורת המעקב:</w:t>
      </w:r>
      <w:bookmarkEnd w:id="180"/>
      <w:r w:rsidRPr="002F2BC5">
        <w:rPr>
          <w:rStyle w:val="70"/>
          <w:rFonts w:hint="cs"/>
          <w:rtl/>
        </w:rPr>
        <w:t xml:space="preserve"> </w:t>
      </w:r>
      <w:r w:rsidRPr="002F2BC5">
        <w:rPr>
          <w:rFonts w:hint="cs"/>
          <w:rtl/>
        </w:rPr>
        <w:t xml:space="preserve">נמצא כי באוקטובר 2021 החל משרד הרווחה בתהליך הטמעתו של הכלי החדש להערכת מסוכנות שגיבש הצוות הבין-משרדי בתחום הערכת מסוכנות. </w:t>
      </w:r>
      <w:r w:rsidRPr="002F2BC5">
        <w:rPr>
          <w:rtl/>
        </w:rPr>
        <w:t xml:space="preserve">השלב הראשון בתהליך כלל מפגשי חשיפה ותרגול </w:t>
      </w:r>
      <w:r w:rsidRPr="002F2BC5">
        <w:rPr>
          <w:rFonts w:hint="cs"/>
          <w:rtl/>
        </w:rPr>
        <w:t xml:space="preserve">מעשי </w:t>
      </w:r>
      <w:r w:rsidRPr="002F2BC5">
        <w:rPr>
          <w:rtl/>
        </w:rPr>
        <w:t xml:space="preserve">של </w:t>
      </w:r>
      <w:r w:rsidRPr="002F2BC5">
        <w:rPr>
          <w:rFonts w:hint="cs"/>
          <w:rtl/>
        </w:rPr>
        <w:t>השימוש ב</w:t>
      </w:r>
      <w:r w:rsidRPr="002F2BC5">
        <w:rPr>
          <w:rtl/>
        </w:rPr>
        <w:t>כלי</w:t>
      </w:r>
      <w:r w:rsidRPr="002F2BC5">
        <w:rPr>
          <w:rFonts w:hint="cs"/>
          <w:rtl/>
        </w:rPr>
        <w:t xml:space="preserve"> בקרב מאות עובדים </w:t>
      </w:r>
      <w:r w:rsidRPr="002F2BC5">
        <w:rPr>
          <w:rFonts w:hint="eastAsia"/>
          <w:rtl/>
        </w:rPr>
        <w:t>מתחומי</w:t>
      </w:r>
      <w:r w:rsidRPr="002F2BC5">
        <w:rPr>
          <w:rtl/>
        </w:rPr>
        <w:t xml:space="preserve"> </w:t>
      </w:r>
      <w:r w:rsidRPr="002F2BC5">
        <w:rPr>
          <w:rFonts w:hint="eastAsia"/>
          <w:rtl/>
        </w:rPr>
        <w:t>הרווחה</w:t>
      </w:r>
      <w:r w:rsidRPr="002F2BC5">
        <w:rPr>
          <w:rtl/>
        </w:rPr>
        <w:t xml:space="preserve">, </w:t>
      </w:r>
      <w:r w:rsidRPr="002F2BC5">
        <w:rPr>
          <w:rFonts w:hint="eastAsia"/>
          <w:rtl/>
        </w:rPr>
        <w:t>הבריאות</w:t>
      </w:r>
      <w:r w:rsidRPr="002F2BC5">
        <w:rPr>
          <w:rtl/>
        </w:rPr>
        <w:t xml:space="preserve"> </w:t>
      </w:r>
      <w:r w:rsidRPr="002F2BC5">
        <w:rPr>
          <w:rFonts w:hint="eastAsia"/>
          <w:rtl/>
        </w:rPr>
        <w:t>ואכיפת</w:t>
      </w:r>
      <w:r w:rsidRPr="002F2BC5">
        <w:rPr>
          <w:rtl/>
        </w:rPr>
        <w:t xml:space="preserve"> </w:t>
      </w:r>
      <w:r w:rsidRPr="002F2BC5">
        <w:rPr>
          <w:rFonts w:hint="eastAsia"/>
          <w:rtl/>
        </w:rPr>
        <w:t>החוק</w:t>
      </w:r>
      <w:r w:rsidRPr="002F2BC5">
        <w:rPr>
          <w:rFonts w:hint="cs"/>
          <w:rtl/>
        </w:rPr>
        <w:t xml:space="preserve"> לצורך תיקוף איכותי של תהליך העבודה ותוצרי הכלי (</w:t>
      </w:r>
      <w:bookmarkStart w:id="181" w:name="_Hlk202018573"/>
      <w:r w:rsidRPr="002F2BC5">
        <w:rPr>
          <w:rFonts w:hint="cs"/>
          <w:rtl/>
        </w:rPr>
        <w:t>להלן גם - התיקוף האיכותי</w:t>
      </w:r>
      <w:bookmarkEnd w:id="181"/>
      <w:r w:rsidRPr="002F2BC5">
        <w:rPr>
          <w:rFonts w:hint="cs"/>
          <w:rtl/>
        </w:rPr>
        <w:t>)</w:t>
      </w:r>
      <w:r w:rsidRPr="002F2BC5">
        <w:rPr>
          <w:rtl/>
        </w:rPr>
        <w:t xml:space="preserve">. </w:t>
      </w:r>
      <w:r w:rsidRPr="002F2BC5">
        <w:rPr>
          <w:rFonts w:hint="cs"/>
          <w:rtl/>
        </w:rPr>
        <w:t>במהלך השנים 2023 ו-2024 עודכן הכלי שלוש פעמים בעקבות משובים שהתקבלו מהמשתתפים בתהליך ההטמעה. בד בבד נמשך תהליך ההטמעה השוטפת תוך הרחבת מעגל המשתתפים והכשרתם. המשך תהליך ההטמעה כלל תיקוף של הכלי החדש באמצעות יישומו על מקרי אלימות שאירעו בעבר ובחינת תוצריו אל מול ההתרחשויות בפועל (להלן גם - התיקוף ההיסטורי), ובהמשך הוחל בהפעלה של הכלי "בזמן אמת" - השלב האחרון בתהליך ההטמעה (להלן גם - התיקוף המבצעי)</w:t>
      </w:r>
      <w:r w:rsidRPr="002F2BC5">
        <w:rPr>
          <w:rStyle w:val="af9"/>
          <w:rtl/>
        </w:rPr>
        <w:footnoteReference w:id="91"/>
      </w:r>
      <w:r w:rsidRPr="002F2BC5">
        <w:rPr>
          <w:rFonts w:hint="cs"/>
          <w:rtl/>
        </w:rPr>
        <w:t xml:space="preserve">. לצד המשך הטמעתו של הכלי החדש, גובש מדריך עבודה מפורט ומקיף לשימוש בכלי, המתייחס לתהליך הפיתוח והתיקוף של הכלי, לאופן השימוש בו ולתוצריו. </w:t>
      </w:r>
    </w:p>
    <w:p w14:paraId="46AF6A74" w14:textId="77777777" w:rsidR="00817399" w:rsidRPr="002F2BC5" w:rsidRDefault="00817399" w:rsidP="00817399">
      <w:pPr>
        <w:spacing w:line="269" w:lineRule="auto"/>
        <w:rPr>
          <w:rtl/>
        </w:rPr>
      </w:pPr>
    </w:p>
    <w:p w14:paraId="5293AE2B" w14:textId="77777777" w:rsidR="00817399" w:rsidRPr="002F2BC5" w:rsidRDefault="00817399" w:rsidP="00817399">
      <w:pPr>
        <w:spacing w:line="269" w:lineRule="auto"/>
        <w:rPr>
          <w:rtl/>
        </w:rPr>
      </w:pPr>
      <w:r w:rsidRPr="002F2BC5">
        <w:rPr>
          <w:rFonts w:hint="cs"/>
          <w:rtl/>
        </w:rPr>
        <w:t>יצוין כי הכלי החדש להערכת מסוכנות כולל שימוש בשפה אחידה, תוך הבחנה בין סוגיה השונים של האלימות במשפחה והסביבה והתרבות שבה היא מתרחשת, והוא נועד לתת מענה למאפייניהם השונים של הגופים האמורים לעשות בו שימוש. כמו כן הכלי החדש מאפשר לקבוע מדד כמותי של רמת מסוכנות (</w:t>
      </w:r>
      <w:r w:rsidRPr="002F2BC5">
        <w:rPr>
          <w:rtl/>
        </w:rPr>
        <w:t>0</w:t>
      </w:r>
      <w:r w:rsidRPr="002F2BC5">
        <w:rPr>
          <w:rFonts w:hint="cs"/>
          <w:rtl/>
        </w:rPr>
        <w:t xml:space="preserve"> - </w:t>
      </w:r>
      <w:r w:rsidRPr="002F2BC5">
        <w:rPr>
          <w:rtl/>
        </w:rPr>
        <w:t>1 מסוכנות נמוכה; 1</w:t>
      </w:r>
      <w:r w:rsidRPr="002F2BC5">
        <w:rPr>
          <w:rFonts w:hint="cs"/>
          <w:rtl/>
        </w:rPr>
        <w:t xml:space="preserve"> -</w:t>
      </w:r>
      <w:r w:rsidRPr="002F2BC5">
        <w:rPr>
          <w:rtl/>
        </w:rPr>
        <w:t xml:space="preserve"> 2 מסוכנות בינונית; 2</w:t>
      </w:r>
      <w:r w:rsidRPr="002F2BC5">
        <w:rPr>
          <w:rFonts w:hint="cs"/>
          <w:rtl/>
        </w:rPr>
        <w:t xml:space="preserve"> -</w:t>
      </w:r>
      <w:r w:rsidRPr="002F2BC5">
        <w:rPr>
          <w:rtl/>
        </w:rPr>
        <w:t xml:space="preserve"> 3 מסוכנות</w:t>
      </w:r>
      <w:r w:rsidRPr="002F2BC5">
        <w:rPr>
          <w:rFonts w:hint="cs"/>
          <w:rtl/>
        </w:rPr>
        <w:t xml:space="preserve"> גבוהה), ולצד זאת הוא גם מאפשר זיהוי מיידי של סימני אזהרה היכולים להצביע על סיכון</w:t>
      </w:r>
      <w:r w:rsidRPr="002F2BC5">
        <w:rPr>
          <w:rStyle w:val="af9"/>
          <w:rtl/>
        </w:rPr>
        <w:footnoteReference w:id="92"/>
      </w:r>
      <w:r w:rsidRPr="002F2BC5">
        <w:rPr>
          <w:rFonts w:hint="cs"/>
          <w:rtl/>
        </w:rPr>
        <w:t>.</w:t>
      </w:r>
    </w:p>
    <w:p w14:paraId="068D9326" w14:textId="77777777" w:rsidR="00817399" w:rsidRPr="002F2BC5" w:rsidRDefault="00817399" w:rsidP="00817399">
      <w:pPr>
        <w:spacing w:line="269" w:lineRule="auto"/>
        <w:rPr>
          <w:rtl/>
        </w:rPr>
      </w:pPr>
    </w:p>
    <w:p w14:paraId="0052BF06" w14:textId="43B3AD9F" w:rsidR="00817399" w:rsidRPr="002F2BC5" w:rsidRDefault="00817399" w:rsidP="00817399">
      <w:pPr>
        <w:spacing w:line="269" w:lineRule="auto"/>
        <w:rPr>
          <w:rtl/>
        </w:rPr>
      </w:pPr>
      <w:r w:rsidRPr="002F2BC5">
        <w:rPr>
          <w:rFonts w:hint="cs"/>
          <w:rtl/>
        </w:rPr>
        <w:t>תיאור ההתקדמות של הליך הטמעת הכלי החדש להערכת מסוכנות, נכון למועד סיום הביקורת, בדצמבר 2024, מובא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Ref184833018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w:t>
      </w:r>
      <w:r w:rsidRPr="002F2BC5">
        <w:rPr>
          <w:rtl/>
        </w:rPr>
        <w:fldChar w:fldCharType="end"/>
      </w:r>
      <w:r w:rsidRPr="002F2BC5">
        <w:rPr>
          <w:rFonts w:hint="cs"/>
          <w:rtl/>
        </w:rPr>
        <w:t xml:space="preserve"> שלהלן.</w:t>
      </w:r>
    </w:p>
    <w:p w14:paraId="0176EEB9" w14:textId="77777777" w:rsidR="00817399" w:rsidRPr="002F2BC5" w:rsidRDefault="00817399" w:rsidP="00817399">
      <w:pPr>
        <w:spacing w:line="269" w:lineRule="auto"/>
        <w:rPr>
          <w:rtl/>
        </w:rPr>
      </w:pPr>
    </w:p>
    <w:p w14:paraId="4AB0E2C2" w14:textId="77777777" w:rsidR="00817399" w:rsidRPr="002F2BC5" w:rsidRDefault="00817399" w:rsidP="00817399">
      <w:pPr>
        <w:pStyle w:val="a9"/>
        <w:spacing w:line="269" w:lineRule="auto"/>
        <w:rPr>
          <w:rtl/>
        </w:rPr>
      </w:pPr>
      <w:bookmarkStart w:id="182" w:name="_Ref184833018"/>
      <w:bookmarkStart w:id="183" w:name="_Toc192672895"/>
      <w:r w:rsidRPr="002F2BC5">
        <w:rPr>
          <w:rFonts w:hint="cs"/>
          <w:rtl/>
        </w:rPr>
        <w:lastRenderedPageBreak/>
        <w:t xml:space="preserve">: </w:t>
      </w:r>
      <w:r w:rsidRPr="002F2BC5">
        <w:rPr>
          <w:rFonts w:hint="cs"/>
          <w:b w:val="0"/>
          <w:bCs/>
          <w:rtl/>
        </w:rPr>
        <w:t xml:space="preserve">התקדמות הליך הטמעת הכלי החדש להערכת מסוכנות, </w:t>
      </w:r>
      <w:r w:rsidRPr="002F2BC5">
        <w:rPr>
          <w:b w:val="0"/>
          <w:bCs/>
          <w:rtl/>
        </w:rPr>
        <w:br/>
      </w:r>
      <w:r w:rsidRPr="002F2BC5">
        <w:rPr>
          <w:rFonts w:hint="cs"/>
          <w:b w:val="0"/>
          <w:bCs/>
          <w:rtl/>
        </w:rPr>
        <w:t>נכון למועד סיום הביקורת</w:t>
      </w:r>
      <w:bookmarkEnd w:id="182"/>
      <w:r w:rsidRPr="002F2BC5">
        <w:rPr>
          <w:rFonts w:hint="cs"/>
          <w:b w:val="0"/>
          <w:bCs/>
          <w:rtl/>
        </w:rPr>
        <w:t>, בדצמבר 2024</w:t>
      </w:r>
      <w:bookmarkEnd w:id="183"/>
    </w:p>
    <w:p w14:paraId="7EF8137D"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616D83B6" wp14:editId="4162D7B3">
            <wp:extent cx="5220000" cy="2692598"/>
            <wp:effectExtent l="0" t="0" r="0" b="0"/>
            <wp:docPr id="2052770982" name="תמונה 205277098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0000" cy="2692598"/>
                    </a:xfrm>
                    <a:prstGeom prst="rect">
                      <a:avLst/>
                    </a:prstGeom>
                    <a:noFill/>
                  </pic:spPr>
                </pic:pic>
              </a:graphicData>
            </a:graphic>
          </wp:inline>
        </w:drawing>
      </w:r>
    </w:p>
    <w:p w14:paraId="0E108DDC" w14:textId="77777777" w:rsidR="00817399" w:rsidRPr="002F2BC5" w:rsidRDefault="00817399" w:rsidP="00817399">
      <w:pPr>
        <w:pStyle w:val="afffffff1"/>
        <w:bidi/>
        <w:spacing w:line="269" w:lineRule="auto"/>
        <w:rPr>
          <w:rtl/>
        </w:rPr>
      </w:pPr>
      <w:r w:rsidRPr="002F2BC5">
        <w:rPr>
          <w:rFonts w:hint="cs"/>
          <w:rtl/>
        </w:rPr>
        <w:t>על פי מידע שנאסף במהלך ביקורת המעקב, בעיבוד משרד מבקר המדינה.</w:t>
      </w:r>
    </w:p>
    <w:p w14:paraId="2C1EF6AF" w14:textId="77777777" w:rsidR="00817399" w:rsidRPr="002F2BC5" w:rsidRDefault="00817399" w:rsidP="00817399">
      <w:pPr>
        <w:spacing w:line="269" w:lineRule="auto"/>
        <w:rPr>
          <w:rtl/>
        </w:rPr>
      </w:pPr>
    </w:p>
    <w:p w14:paraId="3AEA4F2C" w14:textId="77777777" w:rsidR="00817399" w:rsidRPr="002F2BC5" w:rsidRDefault="00817399" w:rsidP="00817399">
      <w:pPr>
        <w:pStyle w:val="afffffff9"/>
        <w:spacing w:line="269" w:lineRule="auto"/>
        <w:rPr>
          <w:rtl/>
        </w:rPr>
      </w:pPr>
      <w:bookmarkStart w:id="184" w:name="_Toc198312169"/>
      <w:bookmarkStart w:id="185" w:name="_Toc198312638"/>
      <w:bookmarkStart w:id="186" w:name="_Toc200636827"/>
      <w:bookmarkStart w:id="187" w:name="_Toc200439826"/>
      <w:bookmarkStart w:id="188" w:name="_Toc201240931"/>
      <w:bookmarkStart w:id="189" w:name="_Toc191892666"/>
      <w:bookmarkStart w:id="190" w:name="_Toc191893050"/>
      <w:bookmarkStart w:id="191" w:name="_Toc191986920"/>
      <w:bookmarkStart w:id="192" w:name="_Toc192093036"/>
      <w:bookmarkStart w:id="193" w:name="_Toc192612744"/>
      <w:r w:rsidRPr="002F2BC5">
        <w:rPr>
          <w:rFonts w:hint="cs"/>
          <w:rtl/>
        </w:rPr>
        <w:t xml:space="preserve">הביקורת הקודמת העלתה כי משרד הרווחה טרם השלים את המהלך לפיתוח וגיבוש כלי אחוד להערכת מסוכנות כפי שהמליצה ועדת רוזנבאום. בביקורת המעקב הועלה כי הליקוי תוקן במידה רבה. במועד סיומה, בדצמבר 2024, תהליך הטמעתו של הכלי החדש להערכת מסוכנות היה מצוי בעיצומו. לפי הערכת </w:t>
      </w:r>
      <w:r w:rsidRPr="002F2BC5">
        <w:rPr>
          <w:rtl/>
        </w:rPr>
        <w:t>הצוות הבין-משרדי בתחום הערכת מסוכנות</w:t>
      </w:r>
      <w:r w:rsidRPr="002F2BC5">
        <w:rPr>
          <w:rFonts w:hint="cs"/>
          <w:rtl/>
        </w:rPr>
        <w:t>, תהליך ההטמעה המלא בקרב כלל הגופים הנוגעים בדבר צפוי להסתיים בתוך כשנתיים, עם השלמת התיקוף המבצעי שלו.</w:t>
      </w:r>
      <w:bookmarkEnd w:id="184"/>
      <w:bookmarkEnd w:id="185"/>
      <w:bookmarkEnd w:id="186"/>
      <w:bookmarkEnd w:id="187"/>
      <w:bookmarkEnd w:id="188"/>
      <w:r w:rsidRPr="002F2BC5">
        <w:rPr>
          <w:rFonts w:hint="cs"/>
          <w:rtl/>
        </w:rPr>
        <w:t xml:space="preserve"> </w:t>
      </w:r>
      <w:bookmarkEnd w:id="189"/>
      <w:bookmarkEnd w:id="190"/>
      <w:bookmarkEnd w:id="191"/>
      <w:bookmarkEnd w:id="192"/>
      <w:bookmarkEnd w:id="193"/>
    </w:p>
    <w:p w14:paraId="49EC1C48" w14:textId="77777777" w:rsidR="00817399" w:rsidRPr="002F2BC5" w:rsidRDefault="00817399" w:rsidP="00817399">
      <w:pPr>
        <w:spacing w:line="269" w:lineRule="auto"/>
        <w:rPr>
          <w:rtl/>
        </w:rPr>
      </w:pPr>
    </w:p>
    <w:p w14:paraId="0205D312" w14:textId="77777777" w:rsidR="00817399" w:rsidRPr="002F2BC5" w:rsidRDefault="00817399" w:rsidP="00817399">
      <w:pPr>
        <w:spacing w:line="269" w:lineRule="auto"/>
        <w:rPr>
          <w:rtl/>
        </w:rPr>
      </w:pPr>
      <w:r w:rsidRPr="002F2BC5">
        <w:rPr>
          <w:rFonts w:hint="cs"/>
          <w:rtl/>
        </w:rPr>
        <w:t xml:space="preserve">משרד הרווחה מסר במהלך ביקורת המעקב, בדצמבר 2024, כי ההערכה המקורית בנוגע למשך הזמן הדרוש להשלמת ההטמעה לא הביאה בחשבון במלואה את המורכבות הרבה הכרוכה בה - בכלל זה מאות העובדים העושים שימוש בכלי ואמורים להשתתף בהליך ההטמעה; הצורך בהתאמתו של הכלי לשימוש בסביבה ממוחשבת; וכן המגבלות המשפטיות הכרוכות בהעברת מידע בין גופים. </w:t>
      </w:r>
    </w:p>
    <w:p w14:paraId="347F1602" w14:textId="77777777" w:rsidR="00817399" w:rsidRPr="002F2BC5" w:rsidRDefault="00817399" w:rsidP="00817399">
      <w:pPr>
        <w:spacing w:line="269" w:lineRule="auto"/>
        <w:rPr>
          <w:rtl/>
        </w:rPr>
      </w:pPr>
    </w:p>
    <w:p w14:paraId="0A7C149D" w14:textId="77777777" w:rsidR="00817399" w:rsidRPr="002F2BC5" w:rsidRDefault="00817399" w:rsidP="00817399">
      <w:pPr>
        <w:spacing w:line="269" w:lineRule="auto"/>
        <w:rPr>
          <w:rtl/>
        </w:rPr>
      </w:pPr>
      <w:r w:rsidRPr="002F2BC5">
        <w:rPr>
          <w:rFonts w:hint="cs"/>
          <w:rtl/>
        </w:rPr>
        <w:t xml:space="preserve">לצד זאת, משרד הבריאות מסר במהלך ביקורת המעקב, בנובמבר 2024, </w:t>
      </w:r>
      <w:r w:rsidRPr="002F2BC5">
        <w:rPr>
          <w:rtl/>
        </w:rPr>
        <w:t>כי ב</w:t>
      </w:r>
      <w:r w:rsidRPr="002F2BC5">
        <w:rPr>
          <w:rFonts w:hint="cs"/>
          <w:rtl/>
        </w:rPr>
        <w:t>עת</w:t>
      </w:r>
      <w:r w:rsidRPr="002F2BC5">
        <w:rPr>
          <w:rtl/>
        </w:rPr>
        <w:t xml:space="preserve"> תהליך ההטמעה של הכלי התעוררו קשיים בשימוש בו</w:t>
      </w:r>
      <w:r w:rsidRPr="002F2BC5">
        <w:rPr>
          <w:rFonts w:hint="cs"/>
          <w:rtl/>
        </w:rPr>
        <w:t xml:space="preserve">. </w:t>
      </w:r>
      <w:r w:rsidRPr="002F2BC5">
        <w:rPr>
          <w:rtl/>
        </w:rPr>
        <w:t>בין השאר עלה כי לגורמי טיפול מסוימים במערכת הבריאות אין גישה למלוא המידע הדרוש לשם שימוש בכלי; משך הזמן הדרוש לשם השימוש בכלי אינו מתאים לטיפול קצר מועד ולעומסי העבודה במערכת הבריאות; וכי בלי שהכלי מוטמע במערכת המחשוב של המוסד הרפואי, השימוש בו מחייב הזנת נתונים ביותר ממערכת ממוחשבת אחת, באופן הגוזל זמן מגורמי הטיפול וכן מקשה על תיעוד המידע. מנגד,</w:t>
      </w:r>
      <w:r w:rsidRPr="002F2BC5">
        <w:rPr>
          <w:rFonts w:hint="cs"/>
          <w:rtl/>
        </w:rPr>
        <w:t xml:space="preserve"> </w:t>
      </w:r>
      <w:r w:rsidRPr="002F2BC5">
        <w:rPr>
          <w:rtl/>
        </w:rPr>
        <w:t xml:space="preserve">הרשות לשיקום האסיר מסרה </w:t>
      </w:r>
      <w:r w:rsidRPr="002F2BC5">
        <w:rPr>
          <w:rFonts w:hint="cs"/>
          <w:rtl/>
        </w:rPr>
        <w:t xml:space="preserve">במהלך ביקורת המעקב, בנובמבר 2024, </w:t>
      </w:r>
      <w:r w:rsidRPr="002F2BC5">
        <w:rPr>
          <w:rtl/>
        </w:rPr>
        <w:t>כי במסגרת הפיילוט להטמעתו של הכלי נעשה בו שימוש פעמים ספורות בלבד, וכי על סמך השימוש שנעשה בו עד כה אי אפשר להעריך את מידת יעילותו ותרומתו במסגרת עבודתה של הרשות לשיקום האסיר.</w:t>
      </w:r>
    </w:p>
    <w:p w14:paraId="552F72E5" w14:textId="77777777" w:rsidR="00817399" w:rsidRPr="002F2BC5" w:rsidRDefault="00817399" w:rsidP="00817399">
      <w:pPr>
        <w:spacing w:line="269" w:lineRule="auto"/>
        <w:rPr>
          <w:rtl/>
        </w:rPr>
      </w:pPr>
    </w:p>
    <w:p w14:paraId="1857AD4F" w14:textId="77777777" w:rsidR="00817399" w:rsidRPr="002F2BC5" w:rsidRDefault="00817399" w:rsidP="00817399">
      <w:pPr>
        <w:pStyle w:val="afffffffa"/>
        <w:spacing w:line="269" w:lineRule="auto"/>
        <w:rPr>
          <w:rtl/>
        </w:rPr>
      </w:pPr>
      <w:bookmarkStart w:id="194" w:name="_Toc191892667"/>
      <w:bookmarkStart w:id="195" w:name="_Toc191893051"/>
      <w:bookmarkStart w:id="196" w:name="_Toc191986921"/>
      <w:bookmarkStart w:id="197" w:name="_Toc192093037"/>
      <w:bookmarkStart w:id="198" w:name="_Toc192612745"/>
      <w:bookmarkStart w:id="199" w:name="_Toc198312170"/>
      <w:bookmarkStart w:id="200" w:name="_Toc198312639"/>
      <w:bookmarkStart w:id="201" w:name="_Toc200636828"/>
      <w:bookmarkStart w:id="202" w:name="_Toc200439827"/>
      <w:bookmarkStart w:id="203" w:name="_Toc201240932"/>
      <w:r w:rsidRPr="002F2BC5">
        <w:rPr>
          <w:rFonts w:hint="cs"/>
          <w:rtl/>
        </w:rPr>
        <w:t>מומלץ למשרד הרווחה, העומד בראשות הוועדה הבין-משרדית הקבועה - בשיתוף עם הרשויות המקומיות, משטרת ישראל, שירות בתי הסוהר, הרשות לשיקום האסיר ומשרד הבריאות - להשלים את הטמעתו של הכלי החדש להערכת מסוכנות</w:t>
      </w:r>
      <w:r w:rsidRPr="002F2BC5">
        <w:rPr>
          <w:rtl/>
        </w:rPr>
        <w:t xml:space="preserve">, לרבות </w:t>
      </w:r>
      <w:r w:rsidRPr="002F2BC5">
        <w:rPr>
          <w:rFonts w:hint="cs"/>
          <w:rtl/>
        </w:rPr>
        <w:t xml:space="preserve">הטמעתו </w:t>
      </w:r>
      <w:r w:rsidRPr="002F2BC5">
        <w:rPr>
          <w:rFonts w:hint="eastAsia"/>
          <w:rtl/>
        </w:rPr>
        <w:t>במערכות</w:t>
      </w:r>
      <w:r w:rsidRPr="002F2BC5">
        <w:rPr>
          <w:rtl/>
        </w:rPr>
        <w:t xml:space="preserve"> </w:t>
      </w:r>
      <w:r w:rsidRPr="002F2BC5">
        <w:rPr>
          <w:rFonts w:hint="eastAsia"/>
          <w:rtl/>
        </w:rPr>
        <w:t>המחשוב</w:t>
      </w:r>
      <w:r w:rsidRPr="002F2BC5">
        <w:rPr>
          <w:rtl/>
        </w:rPr>
        <w:t xml:space="preserve"> </w:t>
      </w:r>
      <w:r w:rsidRPr="002F2BC5">
        <w:rPr>
          <w:rFonts w:hint="eastAsia"/>
          <w:rtl/>
        </w:rPr>
        <w:t>של</w:t>
      </w:r>
      <w:r w:rsidRPr="002F2BC5">
        <w:rPr>
          <w:rtl/>
        </w:rPr>
        <w:t xml:space="preserve"> </w:t>
      </w:r>
      <w:r w:rsidRPr="002F2BC5">
        <w:rPr>
          <w:rFonts w:hint="eastAsia"/>
          <w:rtl/>
        </w:rPr>
        <w:t>הגופים</w:t>
      </w:r>
      <w:r w:rsidRPr="002F2BC5">
        <w:rPr>
          <w:rtl/>
        </w:rPr>
        <w:t xml:space="preserve"> </w:t>
      </w:r>
      <w:r w:rsidRPr="002F2BC5">
        <w:rPr>
          <w:rFonts w:hint="eastAsia"/>
          <w:rtl/>
        </w:rPr>
        <w:t>הללו</w:t>
      </w:r>
      <w:r w:rsidRPr="002F2BC5">
        <w:rPr>
          <w:rtl/>
        </w:rPr>
        <w:t xml:space="preserve"> </w:t>
      </w:r>
      <w:r w:rsidRPr="002F2BC5">
        <w:rPr>
          <w:rFonts w:hint="eastAsia"/>
          <w:rtl/>
        </w:rPr>
        <w:t>לפי</w:t>
      </w:r>
      <w:r w:rsidRPr="002F2BC5">
        <w:rPr>
          <w:rtl/>
        </w:rPr>
        <w:t xml:space="preserve"> </w:t>
      </w:r>
      <w:r w:rsidRPr="002F2BC5">
        <w:rPr>
          <w:rFonts w:hint="eastAsia"/>
          <w:rtl/>
        </w:rPr>
        <w:t>הצורך</w:t>
      </w:r>
      <w:r w:rsidRPr="002F2BC5">
        <w:rPr>
          <w:rtl/>
        </w:rPr>
        <w:t xml:space="preserve">, </w:t>
      </w:r>
      <w:r w:rsidRPr="002F2BC5">
        <w:rPr>
          <w:rFonts w:hint="eastAsia"/>
          <w:rtl/>
        </w:rPr>
        <w:t>ותוך</w:t>
      </w:r>
      <w:r w:rsidRPr="002F2BC5">
        <w:rPr>
          <w:rtl/>
        </w:rPr>
        <w:t xml:space="preserve"> התאמתו המיטבית </w:t>
      </w:r>
      <w:r w:rsidRPr="002F2BC5">
        <w:rPr>
          <w:rFonts w:hint="eastAsia"/>
          <w:rtl/>
        </w:rPr>
        <w:t>ל</w:t>
      </w:r>
      <w:r w:rsidRPr="002F2BC5">
        <w:rPr>
          <w:rFonts w:hint="cs"/>
          <w:rtl/>
        </w:rPr>
        <w:t>כלל גורמי הטיפול והאכיפה האמורים לעשות בו שימוש. מומלץ כי כלל הגופים הללו, המשתתפים בתהליך ההטמעה של הכלי החדש, יפעלו במשותף, מתוך מחויבות עמוקה להשלמת תהליך ההטמעה של הכלי ומתוך הכרה בחשיבותו לתמיכה שיטתית ומקצועית בתהליכי העבודה החיוניים לזיהוי סכנה מיידית לנפגעי אלימות במשפחה.</w:t>
      </w:r>
      <w:bookmarkEnd w:id="194"/>
      <w:bookmarkEnd w:id="195"/>
      <w:bookmarkEnd w:id="196"/>
      <w:bookmarkEnd w:id="197"/>
      <w:bookmarkEnd w:id="198"/>
      <w:bookmarkEnd w:id="199"/>
      <w:bookmarkEnd w:id="200"/>
      <w:bookmarkEnd w:id="201"/>
      <w:bookmarkEnd w:id="202"/>
      <w:bookmarkEnd w:id="203"/>
    </w:p>
    <w:p w14:paraId="76A07BAC" w14:textId="77777777" w:rsidR="00817399" w:rsidRPr="002F2BC5" w:rsidRDefault="00817399" w:rsidP="00817399">
      <w:pPr>
        <w:spacing w:line="269" w:lineRule="auto"/>
        <w:rPr>
          <w:rtl/>
        </w:rPr>
      </w:pPr>
      <w:r w:rsidRPr="002F2BC5">
        <w:rPr>
          <w:rFonts w:hint="cs"/>
          <w:rtl/>
        </w:rPr>
        <w:lastRenderedPageBreak/>
        <w:t>משרד הרווחה מסר בתשובתו ממאי 2025 כי הוא מקבל את המלצת הביקורת ויפעל ביתר שאת לקידום תהליך ההטמעה של הכלי החדש להערכת מסוכנות בקרב כלל גופי הטיפול והאכיפה.</w:t>
      </w:r>
    </w:p>
    <w:p w14:paraId="05B57CBC" w14:textId="77777777" w:rsidR="00817399" w:rsidRPr="002F2BC5" w:rsidRDefault="00817399" w:rsidP="00817399">
      <w:pPr>
        <w:spacing w:line="269" w:lineRule="auto"/>
        <w:rPr>
          <w:rtl/>
        </w:rPr>
      </w:pPr>
    </w:p>
    <w:p w14:paraId="1E7EE688" w14:textId="77777777" w:rsidR="00817399" w:rsidRPr="002F2BC5" w:rsidRDefault="00817399" w:rsidP="00817399">
      <w:pPr>
        <w:spacing w:line="269" w:lineRule="auto"/>
        <w:rPr>
          <w:rtl/>
        </w:rPr>
      </w:pPr>
      <w:r w:rsidRPr="002F2BC5">
        <w:rPr>
          <w:rFonts w:hint="cs"/>
          <w:rtl/>
        </w:rPr>
        <w:t xml:space="preserve">משטרת ישראל ושירות בתי הסוהר מסרו בתשובותיהם מאפריל 2024 כי נציגיהם לוקחים חלק פעיל בצוות הבין-משרדי בתחום הערכת מסוכנות. משטרת ישראל הוסיפה כי היא מעורבת במכלול תהליך הפיתוח של הכלי להערכת מסוכנות, שנעשה בהובלת משרד הרווחה, וכחלק מכך מדור נפגעי עבירה ומשפחה במשטרת ישראל (להלן - מדור נפגעי עבירה) קיים כנס ייעודי לבחינת הכלי בהשתתפות עו"ס מחלקי משפחה; חוקרי אלימות במשפחה השתתפו בפיילוט לבחינת הכלי; וכן נציגת מדור נפגעי עבירה ועו"ס מחלקי משפחה השתתפו בקורס הראשון שקיים משרד הרווחה להטמעתו של הכלי. עוד ציינה משטרת ישראל כי עם סיום השתתפותה בתיקוף המבצעי של הכלי, לפי דרישת הוועדה הבין-משרדית, תיבחן הטמעתו על כל היבטיו. שירות בתי הסוהר הוסיף כי לאחר השלמת תהליך הטמעתו הראשוני של הכלי להערכת מסוכנות במחלקות לשירותים חברתיים ברשויות המקומיות, תחל הטמעתו של הכלי גם בקרב אנשי מקצוע מתוך שירות בתי הסוהר לצורך היכרות מעמיקה והכשרתם לשימוש בו. </w:t>
      </w:r>
    </w:p>
    <w:p w14:paraId="055EA5A9" w14:textId="77777777" w:rsidR="00817399" w:rsidRPr="002F2BC5" w:rsidRDefault="00817399" w:rsidP="00817399">
      <w:pPr>
        <w:spacing w:line="269" w:lineRule="auto"/>
        <w:rPr>
          <w:rtl/>
        </w:rPr>
      </w:pPr>
    </w:p>
    <w:p w14:paraId="1B05E4FE" w14:textId="77777777" w:rsidR="00817399" w:rsidRPr="002F2BC5" w:rsidRDefault="00817399" w:rsidP="00817399">
      <w:pPr>
        <w:spacing w:line="269" w:lineRule="auto"/>
        <w:rPr>
          <w:rtl/>
        </w:rPr>
      </w:pPr>
      <w:r w:rsidRPr="002F2BC5">
        <w:rPr>
          <w:rFonts w:hint="cs"/>
          <w:rtl/>
        </w:rPr>
        <w:t>גם משרד הבריאות מסר בתשובתו מאפריל 2025 כי נציגיו לקחו חלק פעיל בתהליך הפיתוח של הכלי להערכת מסוכנות ובתהליך הטמעתו וחשיפתו לכלל הגורמים הרלוונטיים במערכת הבריאות. כמו כן, לפי התשובה, וכפי שגם נמסר במהלך ביקורת המעקב, תהליך הטמעתו של הכלי העלה קשיים בשימוש בו במערכת הבריאות, ובין השאר בכל הנוגע ל</w:t>
      </w:r>
      <w:r w:rsidRPr="002F2BC5">
        <w:rPr>
          <w:rtl/>
        </w:rPr>
        <w:t>משך הזמן הדרוש לשם השימוש בכלי</w:t>
      </w:r>
      <w:r w:rsidRPr="002F2BC5">
        <w:rPr>
          <w:rFonts w:hint="cs"/>
          <w:rtl/>
        </w:rPr>
        <w:t xml:space="preserve"> ולצורך בהטמעתו</w:t>
      </w:r>
      <w:r w:rsidRPr="002F2BC5">
        <w:rPr>
          <w:rtl/>
        </w:rPr>
        <w:t xml:space="preserve"> במערכת המחשוב של המוסד הרפואי</w:t>
      </w:r>
      <w:r w:rsidRPr="002F2BC5">
        <w:rPr>
          <w:rFonts w:hint="cs"/>
          <w:rtl/>
        </w:rPr>
        <w:t>. משרד הבריאות הוסיף כי הוא בודק את מידת ההיכרות של צוותי בתי החולים וקופות החולים עם הכלי כחלק מבקרות הרישוי שהוא עושה במוסדות אלה.</w:t>
      </w:r>
    </w:p>
    <w:p w14:paraId="4C2E9846" w14:textId="77777777" w:rsidR="00817399" w:rsidRPr="002F2BC5" w:rsidRDefault="00817399" w:rsidP="00817399">
      <w:pPr>
        <w:spacing w:line="269" w:lineRule="auto"/>
        <w:rPr>
          <w:rtl/>
        </w:rPr>
      </w:pPr>
    </w:p>
    <w:p w14:paraId="32949185" w14:textId="77777777" w:rsidR="00817399" w:rsidRPr="002F2BC5" w:rsidRDefault="00817399" w:rsidP="00817399">
      <w:pPr>
        <w:spacing w:line="269" w:lineRule="auto"/>
        <w:rPr>
          <w:rtl/>
        </w:rPr>
      </w:pPr>
      <w:r w:rsidRPr="002F2BC5">
        <w:rPr>
          <w:rFonts w:hint="eastAsia"/>
          <w:rtl/>
        </w:rPr>
        <w:t>מרכז</w:t>
      </w:r>
      <w:r w:rsidRPr="002F2BC5">
        <w:rPr>
          <w:rtl/>
        </w:rPr>
        <w:t xml:space="preserve"> השלטון המקומי </w:t>
      </w:r>
      <w:r w:rsidRPr="002F2BC5">
        <w:rPr>
          <w:rFonts w:hint="cs"/>
          <w:rtl/>
        </w:rPr>
        <w:t xml:space="preserve">בישראל (להלן - מרכז השלטון המקומי) </w:t>
      </w:r>
      <w:r w:rsidRPr="002F2BC5">
        <w:rPr>
          <w:rFonts w:hint="eastAsia"/>
          <w:rtl/>
        </w:rPr>
        <w:t>מסר</w:t>
      </w:r>
      <w:r w:rsidRPr="002F2BC5">
        <w:rPr>
          <w:rtl/>
        </w:rPr>
        <w:t xml:space="preserve"> בתשובתו ממאי 2025 כי הכלי להערכת מסוכנות הוא כלי מקצועי חשוב וחיוני </w:t>
      </w:r>
      <w:r w:rsidRPr="002F2BC5">
        <w:rPr>
          <w:rFonts w:hint="eastAsia"/>
          <w:rtl/>
        </w:rPr>
        <w:t>במסגרת</w:t>
      </w:r>
      <w:r w:rsidRPr="002F2BC5">
        <w:rPr>
          <w:rtl/>
        </w:rPr>
        <w:t xml:space="preserve"> </w:t>
      </w:r>
      <w:r w:rsidRPr="002F2BC5">
        <w:rPr>
          <w:rFonts w:hint="eastAsia"/>
          <w:rtl/>
        </w:rPr>
        <w:t>ההתמודדות</w:t>
      </w:r>
      <w:r w:rsidRPr="002F2BC5">
        <w:rPr>
          <w:rtl/>
        </w:rPr>
        <w:t xml:space="preserve"> </w:t>
      </w:r>
      <w:r w:rsidRPr="002F2BC5">
        <w:rPr>
          <w:rFonts w:hint="eastAsia"/>
          <w:rtl/>
        </w:rPr>
        <w:t>עם</w:t>
      </w:r>
      <w:r w:rsidRPr="002F2BC5">
        <w:rPr>
          <w:rtl/>
        </w:rPr>
        <w:t xml:space="preserve"> </w:t>
      </w:r>
      <w:r w:rsidRPr="002F2BC5">
        <w:rPr>
          <w:rFonts w:hint="eastAsia"/>
          <w:rtl/>
        </w:rPr>
        <w:t>תופעת</w:t>
      </w:r>
      <w:r w:rsidRPr="002F2BC5">
        <w:rPr>
          <w:rtl/>
        </w:rPr>
        <w:t xml:space="preserve"> </w:t>
      </w:r>
      <w:r w:rsidRPr="002F2BC5">
        <w:rPr>
          <w:rFonts w:hint="eastAsia"/>
          <w:rtl/>
        </w:rPr>
        <w:t>ה</w:t>
      </w:r>
      <w:r w:rsidRPr="002F2BC5">
        <w:rPr>
          <w:rtl/>
        </w:rPr>
        <w:t xml:space="preserve">אלימות בין בני זוג. הרשויות </w:t>
      </w:r>
      <w:r w:rsidRPr="002F2BC5">
        <w:rPr>
          <w:rFonts w:hint="eastAsia"/>
          <w:rtl/>
        </w:rPr>
        <w:t>המקומיות</w:t>
      </w:r>
      <w:r w:rsidRPr="002F2BC5">
        <w:rPr>
          <w:rtl/>
        </w:rPr>
        <w:t xml:space="preserve"> לקחו חלק פעיל </w:t>
      </w:r>
      <w:r w:rsidRPr="002F2BC5">
        <w:rPr>
          <w:rFonts w:hint="eastAsia"/>
          <w:rtl/>
        </w:rPr>
        <w:t>בתהליך</w:t>
      </w:r>
      <w:r w:rsidRPr="002F2BC5">
        <w:rPr>
          <w:rtl/>
        </w:rPr>
        <w:t xml:space="preserve"> </w:t>
      </w:r>
      <w:r w:rsidRPr="002F2BC5">
        <w:rPr>
          <w:rFonts w:hint="eastAsia"/>
          <w:rtl/>
        </w:rPr>
        <w:t>פיתוח</w:t>
      </w:r>
      <w:r w:rsidRPr="002F2BC5">
        <w:rPr>
          <w:rtl/>
        </w:rPr>
        <w:t xml:space="preserve"> הכלי וחלקן אף השתתפו בפיילוט לבחינתו. </w:t>
      </w:r>
      <w:r w:rsidRPr="002F2BC5">
        <w:rPr>
          <w:rFonts w:hint="eastAsia"/>
          <w:rtl/>
        </w:rPr>
        <w:t>עוד</w:t>
      </w:r>
      <w:r w:rsidRPr="002F2BC5">
        <w:rPr>
          <w:rtl/>
        </w:rPr>
        <w:t xml:space="preserve"> </w:t>
      </w:r>
      <w:r w:rsidRPr="002F2BC5">
        <w:rPr>
          <w:rFonts w:hint="eastAsia"/>
          <w:rtl/>
        </w:rPr>
        <w:t>מסר</w:t>
      </w:r>
      <w:r w:rsidRPr="002F2BC5">
        <w:rPr>
          <w:rtl/>
        </w:rPr>
        <w:t xml:space="preserve"> </w:t>
      </w:r>
      <w:r w:rsidRPr="002F2BC5">
        <w:rPr>
          <w:rFonts w:hint="eastAsia"/>
          <w:rtl/>
        </w:rPr>
        <w:t>כי</w:t>
      </w:r>
      <w:r w:rsidRPr="002F2BC5">
        <w:rPr>
          <w:rtl/>
        </w:rPr>
        <w:t xml:space="preserve"> </w:t>
      </w:r>
      <w:r w:rsidRPr="002F2BC5">
        <w:rPr>
          <w:rFonts w:hint="cs"/>
          <w:rtl/>
        </w:rPr>
        <w:t xml:space="preserve">אם </w:t>
      </w:r>
      <w:r w:rsidRPr="002F2BC5">
        <w:rPr>
          <w:rFonts w:hint="eastAsia"/>
          <w:rtl/>
        </w:rPr>
        <w:t>יידרש</w:t>
      </w:r>
      <w:r w:rsidRPr="002F2BC5">
        <w:rPr>
          <w:rtl/>
        </w:rPr>
        <w:t xml:space="preserve"> </w:t>
      </w:r>
      <w:r w:rsidRPr="002F2BC5">
        <w:rPr>
          <w:rFonts w:hint="eastAsia"/>
          <w:rtl/>
        </w:rPr>
        <w:t>הוא</w:t>
      </w:r>
      <w:r w:rsidRPr="002F2BC5">
        <w:rPr>
          <w:rtl/>
        </w:rPr>
        <w:t xml:space="preserve"> </w:t>
      </w:r>
      <w:r w:rsidRPr="002F2BC5">
        <w:rPr>
          <w:rFonts w:hint="cs"/>
          <w:rtl/>
        </w:rPr>
        <w:t>יוסיף</w:t>
      </w:r>
      <w:r w:rsidRPr="002F2BC5">
        <w:rPr>
          <w:rtl/>
        </w:rPr>
        <w:t xml:space="preserve"> </w:t>
      </w:r>
      <w:r w:rsidRPr="002F2BC5">
        <w:rPr>
          <w:rFonts w:hint="eastAsia"/>
          <w:rtl/>
        </w:rPr>
        <w:t>לשתף</w:t>
      </w:r>
      <w:r w:rsidRPr="002F2BC5">
        <w:rPr>
          <w:rtl/>
        </w:rPr>
        <w:t xml:space="preserve"> </w:t>
      </w:r>
      <w:r w:rsidRPr="002F2BC5">
        <w:rPr>
          <w:rFonts w:hint="eastAsia"/>
          <w:rtl/>
        </w:rPr>
        <w:t>פעולה</w:t>
      </w:r>
      <w:r w:rsidRPr="002F2BC5">
        <w:rPr>
          <w:rtl/>
        </w:rPr>
        <w:t xml:space="preserve"> </w:t>
      </w:r>
      <w:r w:rsidRPr="002F2BC5">
        <w:rPr>
          <w:rFonts w:hint="eastAsia"/>
          <w:rtl/>
        </w:rPr>
        <w:t>ולסייע</w:t>
      </w:r>
      <w:r w:rsidRPr="002F2BC5">
        <w:rPr>
          <w:rtl/>
        </w:rPr>
        <w:t xml:space="preserve"> </w:t>
      </w:r>
      <w:r w:rsidRPr="002F2BC5">
        <w:rPr>
          <w:rFonts w:hint="eastAsia"/>
          <w:rtl/>
        </w:rPr>
        <w:t>בהכשרות</w:t>
      </w:r>
      <w:r w:rsidRPr="002F2BC5">
        <w:rPr>
          <w:rtl/>
        </w:rPr>
        <w:t xml:space="preserve"> </w:t>
      </w:r>
      <w:r w:rsidRPr="002F2BC5">
        <w:rPr>
          <w:rFonts w:hint="eastAsia"/>
          <w:rtl/>
        </w:rPr>
        <w:t>ובהטמעת</w:t>
      </w:r>
      <w:r w:rsidRPr="002F2BC5">
        <w:rPr>
          <w:rtl/>
        </w:rPr>
        <w:t xml:space="preserve"> הכלי </w:t>
      </w:r>
      <w:r w:rsidRPr="002F2BC5">
        <w:rPr>
          <w:rFonts w:hint="eastAsia"/>
          <w:rtl/>
        </w:rPr>
        <w:t>במחלקות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w:t>
      </w:r>
    </w:p>
    <w:p w14:paraId="089F57DD" w14:textId="77777777" w:rsidR="00817399" w:rsidRPr="002F2BC5" w:rsidRDefault="00817399" w:rsidP="00817399">
      <w:pPr>
        <w:spacing w:line="269" w:lineRule="auto"/>
        <w:rPr>
          <w:rtl/>
        </w:rPr>
      </w:pPr>
    </w:p>
    <w:p w14:paraId="63FA63C5"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7D25609" w14:textId="77777777" w:rsidR="00817399" w:rsidRPr="002F2BC5" w:rsidRDefault="00817399" w:rsidP="00817399">
      <w:pPr>
        <w:pStyle w:val="afffffff7"/>
        <w:spacing w:before="0" w:line="269" w:lineRule="auto"/>
        <w:rPr>
          <w:rtl/>
        </w:rPr>
      </w:pPr>
      <w:bookmarkStart w:id="204" w:name="_Toc198312171"/>
      <w:bookmarkStart w:id="205" w:name="_Toc198312640"/>
      <w:bookmarkStart w:id="206" w:name="_Toc189072204"/>
      <w:r w:rsidRPr="002F2BC5">
        <w:rPr>
          <w:noProof/>
        </w:rPr>
        <w:drawing>
          <wp:inline distT="0" distB="0" distL="0" distR="0" wp14:anchorId="07F9CE2A" wp14:editId="1566D676">
            <wp:extent cx="4324350" cy="933450"/>
            <wp:effectExtent l="0" t="0" r="0" b="0"/>
            <wp:docPr id="15"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04"/>
      <w:bookmarkEnd w:id="205"/>
    </w:p>
    <w:p w14:paraId="7B3B4619" w14:textId="77777777" w:rsidR="00817399" w:rsidRPr="002F2BC5" w:rsidRDefault="00817399" w:rsidP="00817399">
      <w:pPr>
        <w:spacing w:line="269" w:lineRule="auto"/>
        <w:rPr>
          <w:rtl/>
        </w:rPr>
      </w:pPr>
    </w:p>
    <w:p w14:paraId="2BFD1B14" w14:textId="77777777" w:rsidR="00817399" w:rsidRPr="002F2BC5" w:rsidRDefault="00817399" w:rsidP="00817399">
      <w:pPr>
        <w:pStyle w:val="31"/>
        <w:spacing w:before="0" w:line="269" w:lineRule="auto"/>
        <w:rPr>
          <w:rtl/>
        </w:rPr>
      </w:pPr>
      <w:bookmarkStart w:id="207" w:name="_Toc189072205"/>
      <w:bookmarkStart w:id="208" w:name="_Toc191986922"/>
      <w:bookmarkStart w:id="209" w:name="_Toc191891382"/>
      <w:bookmarkStart w:id="210" w:name="_Toc192093038"/>
      <w:bookmarkStart w:id="211" w:name="_Toc193110592"/>
      <w:bookmarkStart w:id="212" w:name="_Toc192612746"/>
      <w:bookmarkStart w:id="213" w:name="_Toc192778816"/>
      <w:bookmarkStart w:id="214" w:name="_Toc198312172"/>
      <w:bookmarkStart w:id="215" w:name="_Toc198312641"/>
      <w:bookmarkStart w:id="216" w:name="_Toc200636794"/>
      <w:bookmarkStart w:id="217" w:name="_Toc200636829"/>
      <w:bookmarkStart w:id="218" w:name="_Toc200439793"/>
      <w:bookmarkStart w:id="219" w:name="_Toc200439828"/>
      <w:bookmarkStart w:id="220" w:name="_Toc201240933"/>
      <w:bookmarkStart w:id="221" w:name="_Toc192784370"/>
      <w:bookmarkStart w:id="222" w:name="_Toc201759356"/>
      <w:bookmarkStart w:id="223" w:name="_Toc203487989"/>
      <w:bookmarkEnd w:id="206"/>
      <w:r w:rsidRPr="002F2BC5">
        <w:rPr>
          <w:rFonts w:hint="cs"/>
          <w:rtl/>
        </w:rPr>
        <w:t>המערך הלאומי להתמודדות עם תופעת האלימות בין בני זוג</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8049A9F" w14:textId="77777777" w:rsidR="00817399" w:rsidRPr="002F2BC5" w:rsidRDefault="00817399" w:rsidP="00817399">
      <w:pPr>
        <w:spacing w:line="269" w:lineRule="auto"/>
        <w:rPr>
          <w:rtl/>
        </w:rPr>
      </w:pPr>
    </w:p>
    <w:p w14:paraId="53AC7CC2" w14:textId="77777777" w:rsidR="00817399" w:rsidRPr="002F2BC5" w:rsidRDefault="00817399" w:rsidP="00817399">
      <w:pPr>
        <w:spacing w:line="269" w:lineRule="auto"/>
        <w:rPr>
          <w:rtl/>
        </w:rPr>
      </w:pPr>
      <w:bookmarkStart w:id="224" w:name="_Toc191986923"/>
      <w:r w:rsidRPr="002F2BC5">
        <w:rPr>
          <w:rStyle w:val="70"/>
          <w:rFonts w:hint="eastAsia"/>
          <w:rtl/>
        </w:rPr>
        <w:t>הנושא</w:t>
      </w:r>
      <w:r w:rsidRPr="002F2BC5">
        <w:rPr>
          <w:rStyle w:val="70"/>
          <w:rtl/>
        </w:rPr>
        <w:t xml:space="preserve"> המפורט להלן </w:t>
      </w:r>
      <w:r w:rsidRPr="002F2BC5">
        <w:rPr>
          <w:rStyle w:val="70"/>
          <w:rFonts w:hint="eastAsia"/>
          <w:rtl/>
        </w:rPr>
        <w:t>נבדק</w:t>
      </w:r>
      <w:r w:rsidRPr="002F2BC5">
        <w:rPr>
          <w:rStyle w:val="70"/>
          <w:rtl/>
        </w:rPr>
        <w:t xml:space="preserve"> </w:t>
      </w:r>
      <w:r w:rsidRPr="002F2BC5">
        <w:rPr>
          <w:rStyle w:val="70"/>
          <w:rFonts w:hint="eastAsia"/>
          <w:rtl/>
        </w:rPr>
        <w:t>לראשונה</w:t>
      </w:r>
      <w:r w:rsidRPr="002F2BC5">
        <w:rPr>
          <w:rStyle w:val="70"/>
          <w:rtl/>
        </w:rPr>
        <w:t xml:space="preserve"> </w:t>
      </w:r>
      <w:r w:rsidRPr="002F2BC5">
        <w:rPr>
          <w:rStyle w:val="70"/>
          <w:rFonts w:hint="eastAsia"/>
          <w:rtl/>
        </w:rPr>
        <w:t>במסגרת</w:t>
      </w:r>
      <w:r w:rsidRPr="002F2BC5">
        <w:rPr>
          <w:rStyle w:val="70"/>
          <w:rtl/>
        </w:rPr>
        <w:t xml:space="preserve"> </w:t>
      </w:r>
      <w:r w:rsidRPr="002F2BC5">
        <w:rPr>
          <w:rStyle w:val="70"/>
          <w:rFonts w:hint="eastAsia"/>
          <w:rtl/>
        </w:rPr>
        <w:t>ביקורת</w:t>
      </w:r>
      <w:r w:rsidRPr="002F2BC5">
        <w:rPr>
          <w:rStyle w:val="70"/>
          <w:rtl/>
        </w:rPr>
        <w:t xml:space="preserve"> </w:t>
      </w:r>
      <w:r w:rsidRPr="002F2BC5">
        <w:rPr>
          <w:rStyle w:val="70"/>
          <w:rFonts w:hint="eastAsia"/>
          <w:rtl/>
        </w:rPr>
        <w:t>זו</w:t>
      </w:r>
      <w:r w:rsidRPr="002F2BC5">
        <w:rPr>
          <w:rStyle w:val="70"/>
          <w:rFonts w:hint="cs"/>
          <w:rtl/>
        </w:rPr>
        <w:t>:</w:t>
      </w:r>
      <w:bookmarkEnd w:id="224"/>
      <w:r w:rsidRPr="002F2BC5">
        <w:rPr>
          <w:rFonts w:hint="cs"/>
          <w:rtl/>
        </w:rPr>
        <w:t xml:space="preserve"> החל משנות השמונים של המאה ה-20 חלו שינויים ניכרים במדיניות הממשלתית בכל הנוגע להתמודדות עם תופעת האלימות בין בני זוג. התופעה שקודם לכן נתפסה כבעיה אישית ומשפחתית, השייכת ל"עולמם הפרטי" של בני האדם, החלה להיתפס כבעיה חברתית, הנוגעת לציבור בכללותו ומחייבת פעולה מערכתית ומתואמת לשם התמודדות מיטבית עימה. </w:t>
      </w:r>
    </w:p>
    <w:p w14:paraId="1B3B04C2" w14:textId="77777777" w:rsidR="00817399" w:rsidRPr="002F2BC5" w:rsidRDefault="00817399" w:rsidP="00817399">
      <w:pPr>
        <w:spacing w:line="269" w:lineRule="auto"/>
        <w:rPr>
          <w:rtl/>
        </w:rPr>
      </w:pPr>
    </w:p>
    <w:p w14:paraId="423237A1" w14:textId="77777777" w:rsidR="00817399" w:rsidRPr="002F2BC5" w:rsidRDefault="00817399" w:rsidP="00817399">
      <w:pPr>
        <w:spacing w:line="269" w:lineRule="auto"/>
      </w:pPr>
      <w:r w:rsidRPr="002F2BC5">
        <w:rPr>
          <w:rFonts w:hint="cs"/>
          <w:rtl/>
        </w:rPr>
        <w:t xml:space="preserve">הכרה זו באה לידי ביטוי בהמלצותיה של ועדת קרפ משנת 1989, שנתבקשה על פי כתב המינוי שלה להמליץ על "מדיניות חקירה ותביעה" בתחום האלימות במשפחה, ובכך התמקדו המלצותיה. אולם הוועדה סברה כי התמודדות מיטבית עם התופעה בכלל היבטיה לא תוכל להתמצות בתחום המשפט וכי היא מחייבת "התארגנות מערכתית כוללת". משכך, עמדה הוועדה גם על "המלצות נלוות לשיתוף פעולה בין-מערכתי, לחיזוק מערכות האכיפה ובעקיפין גם לחיזוק הטיפול </w:t>
      </w:r>
      <w:r w:rsidRPr="002F2BC5">
        <w:rPr>
          <w:rFonts w:hint="cs"/>
          <w:rtl/>
        </w:rPr>
        <w:lastRenderedPageBreak/>
        <w:t>החברתי"</w:t>
      </w:r>
      <w:r w:rsidRPr="002F2BC5">
        <w:rPr>
          <w:rStyle w:val="af9"/>
          <w:rtl/>
        </w:rPr>
        <w:footnoteReference w:id="93"/>
      </w:r>
      <w:r w:rsidRPr="002F2BC5">
        <w:rPr>
          <w:rFonts w:hint="cs"/>
          <w:rtl/>
        </w:rPr>
        <w:t>. המלצות אלו הופנו, בין השאר, למשרדי הרווחה והבריאות, והן כללו גם המלצה על הקמת "גופי תיאום מחוזיים", שיהיו אמונים על מעקב אחר נקיטת הפעולות להתמודדות עם התופעה ויישום המלצותיה של הוועדה וכן על דיווח עיתי בנושאים אלה</w:t>
      </w:r>
      <w:r w:rsidRPr="002F2BC5">
        <w:rPr>
          <w:rStyle w:val="af9"/>
          <w:rtl/>
        </w:rPr>
        <w:footnoteReference w:id="94"/>
      </w:r>
      <w:r w:rsidRPr="002F2BC5">
        <w:rPr>
          <w:rFonts w:hint="cs"/>
          <w:rtl/>
        </w:rPr>
        <w:t>.</w:t>
      </w:r>
    </w:p>
    <w:p w14:paraId="1B8CFB53" w14:textId="77777777" w:rsidR="00817399" w:rsidRPr="002F2BC5" w:rsidRDefault="00817399" w:rsidP="00817399">
      <w:pPr>
        <w:spacing w:line="269" w:lineRule="auto"/>
        <w:rPr>
          <w:rtl/>
        </w:rPr>
      </w:pPr>
    </w:p>
    <w:p w14:paraId="0A925ED8" w14:textId="77777777" w:rsidR="00817399" w:rsidRPr="002F2BC5" w:rsidRDefault="00817399" w:rsidP="00817399">
      <w:pPr>
        <w:spacing w:line="269" w:lineRule="auto"/>
        <w:rPr>
          <w:rtl/>
        </w:rPr>
      </w:pPr>
      <w:r w:rsidRPr="002F2BC5">
        <w:rPr>
          <w:rFonts w:hint="cs"/>
          <w:rtl/>
        </w:rPr>
        <w:t>כעשור לאחר פרסום המלצותיה של ועדת קרפ, בשנת 1998, החליטה הממשלה לראשונה על הקמת "צוות בכיר קבוע לתיאום ולשיפור מתמיד של המדיניות, נהלי עבודה, שיתוף הפעולה והצלבת מידע בין כל הגורמים המופקדים על הסיוע למעורבים באלימות במשפחה" בראשותו של המנהל הכללי של משרד הרווחה</w:t>
      </w:r>
      <w:r w:rsidRPr="002F2BC5">
        <w:rPr>
          <w:rStyle w:val="af9"/>
          <w:rtl/>
        </w:rPr>
        <w:footnoteReference w:id="95"/>
      </w:r>
      <w:r w:rsidRPr="002F2BC5">
        <w:rPr>
          <w:rFonts w:hint="cs"/>
          <w:rtl/>
        </w:rPr>
        <w:t xml:space="preserve"> (ועדת בן-שלום). המלצותיה של הוועדה הוגשו באותה השנה והן כללו התייחסות, בין השאר, לחשיבות הרבה של הבטחת "שיתוף פעולה יומיומי ומתמשך" ושל המשך ניטור ופיקוח על יישום ההמלצות באמצעות צוות קבוע של הוועדה ובאמצעות ועדות המשנה שלה (</w:t>
      </w:r>
      <w:bookmarkStart w:id="225" w:name="_Hlk202039574"/>
      <w:r w:rsidRPr="002F2BC5">
        <w:rPr>
          <w:rFonts w:hint="cs"/>
          <w:rtl/>
        </w:rPr>
        <w:t>להלן - הוועדה הבין-משרדית הקבועה או הוועדה הקבועה</w:t>
      </w:r>
      <w:bookmarkEnd w:id="225"/>
      <w:r w:rsidRPr="002F2BC5">
        <w:rPr>
          <w:rFonts w:hint="cs"/>
          <w:rtl/>
        </w:rPr>
        <w:t>)</w:t>
      </w:r>
      <w:r w:rsidRPr="002F2BC5">
        <w:rPr>
          <w:rStyle w:val="af9"/>
          <w:rtl/>
        </w:rPr>
        <w:footnoteReference w:id="96"/>
      </w:r>
      <w:r w:rsidRPr="002F2BC5">
        <w:rPr>
          <w:rFonts w:hint="cs"/>
          <w:rtl/>
        </w:rPr>
        <w:t>. המלצותיה של ועדת בן-שלום אומצו בהמשך בהחלטות ממשלה ובהן נתבקשה הוועדה הקבועה להמשיך בעבודתה וללוות את המשך יישום המלצותיה של ועדת בן-שלום (</w:t>
      </w:r>
      <w:bookmarkStart w:id="226" w:name="_Hlk202039634"/>
      <w:r w:rsidRPr="002F2BC5">
        <w:rPr>
          <w:rFonts w:hint="cs"/>
          <w:rtl/>
        </w:rPr>
        <w:t>להלן - החלטות הממשלה משנת 1998</w:t>
      </w:r>
      <w:bookmarkEnd w:id="226"/>
      <w:r w:rsidRPr="002F2BC5">
        <w:rPr>
          <w:rFonts w:hint="cs"/>
          <w:rtl/>
        </w:rPr>
        <w:t>)</w:t>
      </w:r>
      <w:r w:rsidRPr="002F2BC5">
        <w:rPr>
          <w:rStyle w:val="af9"/>
          <w:rtl/>
        </w:rPr>
        <w:footnoteReference w:id="97"/>
      </w:r>
      <w:r w:rsidRPr="002F2BC5">
        <w:rPr>
          <w:rFonts w:hint="cs"/>
          <w:rtl/>
        </w:rPr>
        <w:t>. בעקבות זאת עוגנו מעמדה של הוועדה הקבועה, הרכבה ותחומי אחריותה בהוראות התע"ס.</w:t>
      </w:r>
    </w:p>
    <w:p w14:paraId="2C4D4715" w14:textId="77777777" w:rsidR="00817399" w:rsidRPr="002F2BC5" w:rsidRDefault="00817399" w:rsidP="00817399">
      <w:pPr>
        <w:spacing w:line="269" w:lineRule="auto"/>
        <w:rPr>
          <w:rtl/>
        </w:rPr>
      </w:pPr>
    </w:p>
    <w:p w14:paraId="2BACB677" w14:textId="77777777" w:rsidR="00817399" w:rsidRPr="002F2BC5" w:rsidRDefault="00817399" w:rsidP="00817399">
      <w:pPr>
        <w:spacing w:line="269" w:lineRule="auto"/>
        <w:rPr>
          <w:rtl/>
        </w:rPr>
      </w:pPr>
      <w:r w:rsidRPr="002F2BC5">
        <w:rPr>
          <w:rFonts w:hint="cs"/>
          <w:rtl/>
        </w:rPr>
        <w:t>על אף האמור בהחלטות הממשלה משנת 1998 ובהוראות התע"ס, בשנת 2002 מצא משרד מבקר המדינה כי הוועדה הקבועה לא המשיכה בעבודתה לאחר הגשת המלצותיה של ועדת בן-שלום, ומשכך לא ליוותה את יישום ההמלצות</w:t>
      </w:r>
      <w:r w:rsidRPr="002F2BC5">
        <w:rPr>
          <w:rStyle w:val="af9"/>
          <w:rtl/>
        </w:rPr>
        <w:footnoteReference w:id="98"/>
      </w:r>
      <w:r w:rsidRPr="002F2BC5">
        <w:rPr>
          <w:rFonts w:hint="cs"/>
          <w:rtl/>
        </w:rPr>
        <w:t>. בשנת 2002, בעקבות ממצאי דוח מבקר המדינה, הודיע משרד הרווחה על הקמת ועדה קבועה בראשותו ועל תיקון הוראות התע"ס בהתאם</w:t>
      </w:r>
      <w:r w:rsidRPr="002F2BC5">
        <w:rPr>
          <w:rStyle w:val="af9"/>
          <w:rtl/>
        </w:rPr>
        <w:footnoteReference w:id="99"/>
      </w:r>
      <w:r w:rsidRPr="002F2BC5">
        <w:rPr>
          <w:rFonts w:hint="cs"/>
          <w:rtl/>
        </w:rPr>
        <w:t>.</w:t>
      </w:r>
    </w:p>
    <w:p w14:paraId="1BE0B1CC" w14:textId="77777777" w:rsidR="00817399" w:rsidRPr="002F2BC5" w:rsidRDefault="00817399" w:rsidP="00817399">
      <w:pPr>
        <w:spacing w:line="269" w:lineRule="auto"/>
        <w:rPr>
          <w:rtl/>
        </w:rPr>
      </w:pPr>
    </w:p>
    <w:p w14:paraId="1611AC4A" w14:textId="77777777" w:rsidR="00817399" w:rsidRPr="002F2BC5" w:rsidRDefault="00817399" w:rsidP="00817399">
      <w:pPr>
        <w:spacing w:line="269" w:lineRule="auto"/>
        <w:rPr>
          <w:rtl/>
        </w:rPr>
      </w:pPr>
      <w:r w:rsidRPr="002F2BC5">
        <w:rPr>
          <w:rFonts w:hint="cs"/>
          <w:rtl/>
        </w:rPr>
        <w:t>כעבור כעשור, בשנת 2014, במטרה לטייב את "הטיפול המערכתי בהתמודדות עם תופעת האלימות במשפחה", החליטו השר לביטחון לאומי ושר הרווחה דאז על הקמתה אד-הוק של ועדה בין-משרדית נוספת (ועדת רוזנבאום). המלצותיה של ועדת רוזנבאום פורסמו בשנת 2016 והן כללו התייחסות לצורך בקביעת גורם "מתאם ומתכלל" ברמה המקומית וברמה הארצית בכל הקשור להתמודדות עם התופעה. בהתאם לכך הומלץ על הקמת תת-ועדה קבועה בראשות מנכ"ל משרד הרווחה לשם קביעת מדיניות ארצית שנתית וכיווני פעולה עבור משרדי הממשלה; גיבוש תוכנית לאומית להתמודדות עם התופעה בהתבסס על המלצותיה של ועדת רוזנבאום; וכן הפעלת פיקוח ובקרה על יישום המדיניות שתיקבע</w:t>
      </w:r>
      <w:r w:rsidRPr="002F2BC5">
        <w:rPr>
          <w:rStyle w:val="af9"/>
          <w:rtl/>
        </w:rPr>
        <w:footnoteReference w:id="100"/>
      </w:r>
      <w:r w:rsidRPr="002F2BC5">
        <w:rPr>
          <w:rFonts w:hint="cs"/>
          <w:rtl/>
        </w:rPr>
        <w:t xml:space="preserve">. </w:t>
      </w:r>
    </w:p>
    <w:p w14:paraId="3F0B49CE" w14:textId="77777777" w:rsidR="00817399" w:rsidRPr="002F2BC5" w:rsidRDefault="00817399" w:rsidP="00817399">
      <w:pPr>
        <w:spacing w:line="269" w:lineRule="auto"/>
        <w:rPr>
          <w:rtl/>
        </w:rPr>
      </w:pPr>
    </w:p>
    <w:p w14:paraId="2F1B4325" w14:textId="77777777" w:rsidR="00817399" w:rsidRPr="002F2BC5" w:rsidRDefault="00817399" w:rsidP="00817399">
      <w:pPr>
        <w:spacing w:line="269" w:lineRule="auto"/>
        <w:rPr>
          <w:rtl/>
        </w:rPr>
      </w:pPr>
      <w:r w:rsidRPr="002F2BC5">
        <w:rPr>
          <w:rFonts w:hint="cs"/>
          <w:rtl/>
        </w:rPr>
        <w:t>בד בבד עם פרסום המלצות ועדת רוזנבאום התקבלה במרץ 2016 החלטת ממשלה המורה על הקמתה של ועדה בין-משרדית בראשותו של מנכ"ל משרד הרווחה "לצורך תיאום והתווית מדיניות אחידה ומובנית והפעלתה" בתחום האלימות במשפחה (</w:t>
      </w:r>
      <w:bookmarkStart w:id="227" w:name="_Hlk202039835"/>
      <w:r w:rsidRPr="002F2BC5">
        <w:rPr>
          <w:rFonts w:hint="cs"/>
          <w:rtl/>
        </w:rPr>
        <w:t>להלן - ועדת המנכ"לים</w:t>
      </w:r>
      <w:bookmarkEnd w:id="227"/>
      <w:r w:rsidRPr="002F2BC5">
        <w:rPr>
          <w:rFonts w:hint="cs"/>
          <w:rtl/>
        </w:rPr>
        <w:t>)</w:t>
      </w:r>
      <w:r w:rsidRPr="002F2BC5">
        <w:rPr>
          <w:rStyle w:val="af9"/>
          <w:rtl/>
        </w:rPr>
        <w:footnoteReference w:id="101"/>
      </w:r>
      <w:r w:rsidRPr="002F2BC5">
        <w:rPr>
          <w:rFonts w:hint="cs"/>
          <w:rtl/>
        </w:rPr>
        <w:t xml:space="preserve">. ועדת המנכ"לים התבקשה להגיש לממשלה, בתוך שישה חודשים למן הקמתה, תוכנית עבודה מפורטת ליישום המלצותיה של ועדת רוזנבאום. כמו כן נדרש מהוועדה להמשיך ולדווח אחת לשישה חודשים על פעילותה לוועדת השרים למאבק באלימות (להלן - ועדת השרים או ועדת השרים </w:t>
      </w:r>
      <w:r w:rsidRPr="002F2BC5">
        <w:rPr>
          <w:rFonts w:hint="cs"/>
          <w:rtl/>
        </w:rPr>
        <w:lastRenderedPageBreak/>
        <w:t>למאבק באלימות)</w:t>
      </w:r>
      <w:r w:rsidRPr="002F2BC5">
        <w:rPr>
          <w:rStyle w:val="af9"/>
          <w:rtl/>
        </w:rPr>
        <w:footnoteReference w:id="102"/>
      </w:r>
      <w:r w:rsidRPr="002F2BC5">
        <w:rPr>
          <w:rFonts w:hint="cs"/>
          <w:rtl/>
        </w:rPr>
        <w:t>. על פי החלטת הממשלה, ועדת המנכ"לים "תמשיך את עבודתה עד ליישום מלא של החלטותיה". תוכנית הפעולה שגיבשה ועדת המנכ"לים והוגשה במרץ 2017</w:t>
      </w:r>
      <w:bookmarkStart w:id="228" w:name="_Ref183019045"/>
      <w:r w:rsidRPr="002F2BC5">
        <w:rPr>
          <w:rStyle w:val="af9"/>
          <w:rtl/>
        </w:rPr>
        <w:footnoteReference w:id="103"/>
      </w:r>
      <w:bookmarkEnd w:id="228"/>
      <w:r w:rsidRPr="002F2BC5">
        <w:rPr>
          <w:rFonts w:hint="cs"/>
          <w:rtl/>
        </w:rPr>
        <w:t xml:space="preserve"> אומצה באופן עקרוני בהחלטת ממשלה. בתוך כך, בהחלטה זו הונחו המשרד לביטחון לאומי ומשרד הרווחה לדווח לוועדת השרים אחת לרבעון על יישום ההמלצות וכן הונחו היועצים המשפטיים של משרדי הממשלה הרלוונטיים כי "יכינו בעדיפות עליונה תיקוני חקיקה הנדרשים לצורך יישום ההמלצות"</w:t>
      </w:r>
      <w:r w:rsidRPr="002F2BC5">
        <w:rPr>
          <w:rStyle w:val="af9"/>
          <w:rtl/>
        </w:rPr>
        <w:footnoteReference w:id="104"/>
      </w:r>
      <w:r w:rsidRPr="002F2BC5">
        <w:rPr>
          <w:rFonts w:hint="cs"/>
          <w:rtl/>
        </w:rPr>
        <w:t xml:space="preserve">. </w:t>
      </w:r>
    </w:p>
    <w:p w14:paraId="43EBBE14" w14:textId="77777777" w:rsidR="00817399" w:rsidRPr="002F2BC5" w:rsidRDefault="00817399" w:rsidP="00817399">
      <w:pPr>
        <w:spacing w:line="269" w:lineRule="auto"/>
        <w:rPr>
          <w:rtl/>
        </w:rPr>
      </w:pPr>
    </w:p>
    <w:p w14:paraId="45E7E4B9" w14:textId="4A863867" w:rsidR="00817399" w:rsidRPr="002F2BC5" w:rsidRDefault="00817399" w:rsidP="00817399">
      <w:pPr>
        <w:spacing w:line="269" w:lineRule="auto"/>
        <w:rPr>
          <w:rtl/>
        </w:rPr>
      </w:pPr>
      <w:r w:rsidRPr="002F2BC5">
        <w:rPr>
          <w:rFonts w:hint="cs"/>
          <w:rtl/>
        </w:rPr>
        <w:t>ריכוז הוועדות והצוותים הבין-משרדיים שפעלו בשנים 1989 - 2024 ופרסמו את המלצותיהם וכן דוחות מבקר המדינה שעסקו בהיבטיה השונים של ההתמודדות עם תופעת האלימות במשפחה - מוצגים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Ref186442781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3</w:t>
      </w:r>
      <w:r w:rsidRPr="002F2BC5">
        <w:rPr>
          <w:rtl/>
        </w:rPr>
        <w:fldChar w:fldCharType="end"/>
      </w:r>
      <w:r w:rsidRPr="002F2BC5">
        <w:rPr>
          <w:rFonts w:hint="cs"/>
          <w:rtl/>
        </w:rPr>
        <w:t xml:space="preserve"> שלהלן.</w:t>
      </w:r>
    </w:p>
    <w:p w14:paraId="6C3E76C7" w14:textId="77777777" w:rsidR="00817399" w:rsidRPr="002F2BC5" w:rsidRDefault="00817399" w:rsidP="00817399">
      <w:pPr>
        <w:spacing w:line="269" w:lineRule="auto"/>
        <w:rPr>
          <w:rtl/>
        </w:rPr>
      </w:pPr>
    </w:p>
    <w:p w14:paraId="335FADE0" w14:textId="77777777" w:rsidR="00817399" w:rsidRPr="002F2BC5" w:rsidRDefault="00817399" w:rsidP="00817399">
      <w:pPr>
        <w:pStyle w:val="a9"/>
        <w:spacing w:line="269" w:lineRule="auto"/>
        <w:rPr>
          <w:rtl/>
        </w:rPr>
      </w:pPr>
      <w:bookmarkStart w:id="229" w:name="_Ref186442781"/>
      <w:bookmarkStart w:id="230" w:name="_Toc192672896"/>
      <w:r w:rsidRPr="002F2BC5">
        <w:rPr>
          <w:rFonts w:hint="cs"/>
          <w:rtl/>
        </w:rPr>
        <w:t xml:space="preserve">: </w:t>
      </w:r>
      <w:r w:rsidRPr="002F2BC5">
        <w:rPr>
          <w:b w:val="0"/>
          <w:bCs/>
          <w:rtl/>
        </w:rPr>
        <w:t xml:space="preserve">ריכוז הוועדות והצוותים הבין-משרדיים </w:t>
      </w:r>
      <w:r w:rsidRPr="002F2BC5">
        <w:rPr>
          <w:rFonts w:hint="cs"/>
          <w:b w:val="0"/>
          <w:bCs/>
          <w:rtl/>
        </w:rPr>
        <w:t>ו</w:t>
      </w:r>
      <w:r w:rsidRPr="002F2BC5">
        <w:rPr>
          <w:b w:val="0"/>
          <w:bCs/>
          <w:rtl/>
        </w:rPr>
        <w:t>דוחות מבקר המדינה שעסקו בהיבטיה השונים של ההתמודדות עם תופעת האלימות במשפחה</w:t>
      </w:r>
      <w:r w:rsidRPr="002F2BC5">
        <w:rPr>
          <w:rFonts w:hint="cs"/>
          <w:b w:val="0"/>
          <w:bCs/>
          <w:rtl/>
        </w:rPr>
        <w:t>, 1989 - 2024</w:t>
      </w:r>
      <w:bookmarkEnd w:id="229"/>
      <w:bookmarkEnd w:id="230"/>
    </w:p>
    <w:p w14:paraId="789E2E55"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253E1EFF" wp14:editId="5B37E3F8">
            <wp:extent cx="5220000" cy="2859459"/>
            <wp:effectExtent l="0" t="0" r="0" b="0"/>
            <wp:docPr id="2052770963" name="תמונה 205277096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0000" cy="2859459"/>
                    </a:xfrm>
                    <a:prstGeom prst="rect">
                      <a:avLst/>
                    </a:prstGeom>
                    <a:noFill/>
                  </pic:spPr>
                </pic:pic>
              </a:graphicData>
            </a:graphic>
          </wp:inline>
        </w:drawing>
      </w:r>
    </w:p>
    <w:p w14:paraId="6764696A" w14:textId="77777777" w:rsidR="00817399" w:rsidRPr="002F2BC5" w:rsidRDefault="00817399" w:rsidP="00817399">
      <w:pPr>
        <w:pStyle w:val="afffffff1"/>
        <w:bidi/>
        <w:spacing w:line="269" w:lineRule="auto"/>
        <w:rPr>
          <w:rtl/>
        </w:rPr>
      </w:pPr>
      <w:r w:rsidRPr="002F2BC5">
        <w:rPr>
          <w:rFonts w:hint="cs"/>
          <w:rtl/>
        </w:rPr>
        <w:t>על פי מידע שנאסף במהלך ביקורת המעקב, בעיבוד משרד מבקר המדינה.</w:t>
      </w:r>
    </w:p>
    <w:p w14:paraId="122CEF23" w14:textId="77777777" w:rsidR="00817399" w:rsidRPr="002F2BC5" w:rsidRDefault="00817399" w:rsidP="00817399">
      <w:pPr>
        <w:pStyle w:val="afffffff1"/>
        <w:bidi/>
        <w:spacing w:line="269" w:lineRule="auto"/>
        <w:rPr>
          <w:rtl/>
        </w:rPr>
      </w:pPr>
      <w:r w:rsidRPr="002F2BC5">
        <w:rPr>
          <w:rFonts w:hint="cs"/>
          <w:vertAlign w:val="superscript"/>
          <w:rtl/>
        </w:rPr>
        <w:t>(1)</w:t>
      </w:r>
      <w:r w:rsidRPr="002F2BC5">
        <w:rPr>
          <w:rFonts w:hint="cs"/>
          <w:rtl/>
        </w:rPr>
        <w:t xml:space="preserve"> </w:t>
      </w:r>
      <w:r w:rsidRPr="002F2BC5">
        <w:rPr>
          <w:rtl/>
        </w:rPr>
        <w:t>לפרסום המלצות הוועדה קדמו המלצותיה של ועדת העבודה והרווחה מ-9.3.1988 בנושא "1) נשים מוכות 2) אלימות במשפחה".</w:t>
      </w:r>
    </w:p>
    <w:p w14:paraId="60DECD35" w14:textId="77777777" w:rsidR="00817399" w:rsidRPr="002F2BC5" w:rsidRDefault="00817399" w:rsidP="00817399">
      <w:pPr>
        <w:pStyle w:val="afffffff1"/>
        <w:bidi/>
        <w:spacing w:line="269" w:lineRule="auto"/>
        <w:rPr>
          <w:rtl/>
        </w:rPr>
      </w:pPr>
      <w:r w:rsidRPr="002F2BC5">
        <w:rPr>
          <w:rFonts w:hint="cs"/>
          <w:vertAlign w:val="superscript"/>
          <w:rtl/>
        </w:rPr>
        <w:t>(2)</w:t>
      </w:r>
      <w:r w:rsidRPr="002F2BC5">
        <w:rPr>
          <w:rFonts w:hint="cs"/>
          <w:rtl/>
        </w:rPr>
        <w:t xml:space="preserve"> </w:t>
      </w:r>
      <w:r w:rsidRPr="002F2BC5">
        <w:rPr>
          <w:rtl/>
        </w:rPr>
        <w:t xml:space="preserve">מכוח החלטת </w:t>
      </w:r>
      <w:r w:rsidRPr="002F2BC5">
        <w:rPr>
          <w:rFonts w:hint="cs"/>
          <w:rtl/>
        </w:rPr>
        <w:t>ה</w:t>
      </w:r>
      <w:r w:rsidRPr="002F2BC5">
        <w:rPr>
          <w:rtl/>
        </w:rPr>
        <w:t xml:space="preserve">ממשלה 3124 (4.1.98) </w:t>
      </w:r>
      <w:r w:rsidRPr="002F2BC5">
        <w:rPr>
          <w:rFonts w:hint="eastAsia"/>
          <w:rtl/>
        </w:rPr>
        <w:t>ו</w:t>
      </w:r>
      <w:r w:rsidRPr="002F2BC5">
        <w:rPr>
          <w:rFonts w:hint="cs"/>
          <w:rtl/>
        </w:rPr>
        <w:t xml:space="preserve">החלטת הממשלה </w:t>
      </w:r>
      <w:r w:rsidRPr="002F2BC5">
        <w:rPr>
          <w:rtl/>
        </w:rPr>
        <w:t xml:space="preserve">3291 (15.2.98); מעמדה של הוועדה וסמכויותיה עוגנו בהוראת תע"ס 3.28. להחלטות אלו קדמה החלטת </w:t>
      </w:r>
      <w:r w:rsidRPr="002F2BC5">
        <w:rPr>
          <w:rFonts w:hint="cs"/>
          <w:rtl/>
        </w:rPr>
        <w:t>ה</w:t>
      </w:r>
      <w:r w:rsidRPr="002F2BC5">
        <w:rPr>
          <w:rtl/>
        </w:rPr>
        <w:t xml:space="preserve">ממשלה מ-2.8.96 שהנחתה את משרדי הממשלה לפעול לשם התמודדות עם התופעה במישור החינוכי והמשפטי (החלטת </w:t>
      </w:r>
      <w:r w:rsidRPr="002F2BC5">
        <w:rPr>
          <w:rFonts w:hint="cs"/>
          <w:rtl/>
        </w:rPr>
        <w:t>ה</w:t>
      </w:r>
      <w:r w:rsidRPr="002F2BC5">
        <w:rPr>
          <w:rtl/>
        </w:rPr>
        <w:t>ממשלה 155).</w:t>
      </w:r>
    </w:p>
    <w:p w14:paraId="5E734CA2" w14:textId="77777777" w:rsidR="00817399" w:rsidRPr="002F2BC5" w:rsidRDefault="00817399" w:rsidP="00817399">
      <w:pPr>
        <w:pStyle w:val="afffffff1"/>
        <w:bidi/>
        <w:spacing w:line="269" w:lineRule="auto"/>
        <w:rPr>
          <w:rtl/>
        </w:rPr>
      </w:pPr>
      <w:r w:rsidRPr="002F2BC5">
        <w:rPr>
          <w:rFonts w:hint="cs"/>
          <w:vertAlign w:val="superscript"/>
          <w:rtl/>
        </w:rPr>
        <w:t>(3)</w:t>
      </w:r>
      <w:r w:rsidRPr="002F2BC5">
        <w:rPr>
          <w:rFonts w:hint="cs"/>
          <w:rtl/>
        </w:rPr>
        <w:t xml:space="preserve"> </w:t>
      </w:r>
      <w:r w:rsidRPr="002F2BC5">
        <w:rPr>
          <w:rtl/>
        </w:rPr>
        <w:t xml:space="preserve">אומצו </w:t>
      </w:r>
      <w:r w:rsidRPr="002F2BC5">
        <w:rPr>
          <w:rFonts w:hint="cs"/>
          <w:rtl/>
        </w:rPr>
        <w:t xml:space="preserve">בהחלטת הממשלה 46 (1.8.99) ובהחלטת הממשלה 5006 (25.4.99). </w:t>
      </w:r>
    </w:p>
    <w:p w14:paraId="084FCFA7" w14:textId="77777777" w:rsidR="00817399" w:rsidRPr="002F2BC5" w:rsidRDefault="00817399" w:rsidP="00817399">
      <w:pPr>
        <w:pStyle w:val="afffffff1"/>
        <w:bidi/>
        <w:spacing w:line="269" w:lineRule="auto"/>
        <w:rPr>
          <w:rtl/>
        </w:rPr>
      </w:pPr>
      <w:r w:rsidRPr="002F2BC5">
        <w:rPr>
          <w:rFonts w:hint="cs"/>
          <w:vertAlign w:val="superscript"/>
          <w:rtl/>
        </w:rPr>
        <w:t>(4)</w:t>
      </w:r>
      <w:r w:rsidRPr="002F2BC5">
        <w:rPr>
          <w:rFonts w:hint="cs"/>
          <w:rtl/>
        </w:rPr>
        <w:t xml:space="preserve"> </w:t>
      </w:r>
      <w:r w:rsidRPr="002F2BC5">
        <w:rPr>
          <w:rtl/>
        </w:rPr>
        <w:t xml:space="preserve">המלצותיו של הדוח קיבלו התייחסות בהחלטת </w:t>
      </w:r>
      <w:r w:rsidRPr="002F2BC5">
        <w:rPr>
          <w:rFonts w:hint="cs"/>
          <w:rtl/>
        </w:rPr>
        <w:t>ה</w:t>
      </w:r>
      <w:r w:rsidRPr="002F2BC5">
        <w:rPr>
          <w:rtl/>
        </w:rPr>
        <w:t>ממשלה 1820 (16.5.02); ממצאי המעקב פורסמו בשנת 2004.</w:t>
      </w:r>
    </w:p>
    <w:p w14:paraId="78DDE340" w14:textId="77777777" w:rsidR="00817399" w:rsidRPr="002F2BC5" w:rsidRDefault="00817399" w:rsidP="00817399">
      <w:pPr>
        <w:pStyle w:val="afffffff1"/>
        <w:bidi/>
        <w:spacing w:line="269" w:lineRule="auto"/>
        <w:rPr>
          <w:rtl/>
        </w:rPr>
      </w:pPr>
      <w:r w:rsidRPr="002F2BC5">
        <w:rPr>
          <w:rFonts w:hint="cs"/>
          <w:vertAlign w:val="superscript"/>
          <w:rtl/>
        </w:rPr>
        <w:t xml:space="preserve">(5) </w:t>
      </w:r>
      <w:r w:rsidRPr="002F2BC5">
        <w:rPr>
          <w:rtl/>
        </w:rPr>
        <w:t xml:space="preserve">מכוח החלטת </w:t>
      </w:r>
      <w:r w:rsidRPr="002F2BC5">
        <w:rPr>
          <w:rFonts w:hint="cs"/>
          <w:rtl/>
        </w:rPr>
        <w:t>ה</w:t>
      </w:r>
      <w:r w:rsidRPr="002F2BC5">
        <w:rPr>
          <w:rtl/>
        </w:rPr>
        <w:t>ממשלה 1249 (10.3.16).</w:t>
      </w:r>
    </w:p>
    <w:p w14:paraId="7364072E" w14:textId="77777777" w:rsidR="00817399" w:rsidRPr="002F2BC5" w:rsidRDefault="00817399" w:rsidP="00817399">
      <w:pPr>
        <w:pStyle w:val="afffffff1"/>
        <w:bidi/>
        <w:spacing w:line="269" w:lineRule="auto"/>
        <w:rPr>
          <w:rtl/>
        </w:rPr>
      </w:pPr>
      <w:r w:rsidRPr="002F2BC5">
        <w:rPr>
          <w:rFonts w:hint="cs"/>
          <w:vertAlign w:val="superscript"/>
          <w:rtl/>
        </w:rPr>
        <w:t>(6)</w:t>
      </w:r>
      <w:r w:rsidRPr="002F2BC5">
        <w:rPr>
          <w:rFonts w:hint="cs"/>
          <w:rtl/>
        </w:rPr>
        <w:t xml:space="preserve"> </w:t>
      </w:r>
      <w:r w:rsidRPr="002F2BC5">
        <w:rPr>
          <w:rtl/>
        </w:rPr>
        <w:t xml:space="preserve">תוכנית הפעולה אומצה בהחלטת </w:t>
      </w:r>
      <w:r w:rsidRPr="002F2BC5">
        <w:rPr>
          <w:rFonts w:hint="cs"/>
          <w:rtl/>
        </w:rPr>
        <w:t>ה</w:t>
      </w:r>
      <w:r w:rsidRPr="002F2BC5">
        <w:rPr>
          <w:rtl/>
        </w:rPr>
        <w:t>ממשלה 2820 (7.7.17).</w:t>
      </w:r>
    </w:p>
    <w:p w14:paraId="5F747681" w14:textId="77777777" w:rsidR="00817399" w:rsidRPr="002F2BC5" w:rsidRDefault="00817399" w:rsidP="00817399">
      <w:pPr>
        <w:spacing w:line="269" w:lineRule="auto"/>
        <w:rPr>
          <w:rtl/>
        </w:rPr>
      </w:pPr>
    </w:p>
    <w:p w14:paraId="11F32A61" w14:textId="77777777" w:rsidR="00817399" w:rsidRPr="002F2BC5" w:rsidRDefault="00817399" w:rsidP="00817399">
      <w:pPr>
        <w:spacing w:line="269" w:lineRule="auto"/>
        <w:rPr>
          <w:rtl/>
        </w:rPr>
      </w:pPr>
      <w:r w:rsidRPr="002F2BC5">
        <w:rPr>
          <w:rFonts w:hint="cs"/>
          <w:rtl/>
        </w:rPr>
        <w:t xml:space="preserve">אחת מההמלצות של ועדת המנכ"לים, שהוגדרה על ידה כ"פורצת דרך", הייתה הקמת מערך לאומי בין-משרדי, ברמה הארצית, המחוזית והיישובית, להובלת ההתמודדות הכלל-ממשלתית </w:t>
      </w:r>
      <w:r w:rsidRPr="002F2BC5">
        <w:rPr>
          <w:rFonts w:hint="cs"/>
          <w:rtl/>
        </w:rPr>
        <w:lastRenderedPageBreak/>
        <w:t>עם תופעת האלימות במשפחה (להלן גם - המערך הלאומי או המערך הלאומי להתמודדות עם תופעת האלימות במשפחה). הומלץ כי בראש המערך הלאומי תעמוד ועדה בין-משרדית קבועה, שחבריה ימונו על ידי ועדת השרים לאלימות או מנכ"לי משרדי הממשלה. לפי המלצת ועדת המנכ"לים, הוועדה הבין-משרדית הקבועה תהיה אמונה על גיבוש תמונת מצב עדכנית ומתמשכת בכל הקשור למאפייני תופעת האלימות במשפחה והיקפה; גיבוש מדיניות, תורת הפעלה ודרכי פעולה בכלל מישורי הפעילות בתחום האלימות במשפחה; הסדרת ממשקי העבודה וקביעת נוהלי עבודה משותפים; פיקוח והערכת ביצועים; וכן מעקב ובקרה בנושאים תקציביים. ועדת המנכ"לים המליצה כי לשם הובלת המערך הלאומי, הוצאתן לפועל של תוכניות הפעולה הבין-משרדיות, גיבוש תהליכי עבודה סדורים ומשותפים וכן פיתוח כלי מדידה ואיגום המידע ימונה בתקן קבוע איש מקצוע בעל מומחיות בתחום האלימות במשפחה (להלן - מְנהל המערך הלאומי)</w:t>
      </w:r>
      <w:r w:rsidRPr="002F2BC5">
        <w:rPr>
          <w:rStyle w:val="af9"/>
          <w:rtl/>
        </w:rPr>
        <w:footnoteReference w:id="105"/>
      </w:r>
      <w:r w:rsidRPr="002F2BC5">
        <w:rPr>
          <w:rFonts w:hint="cs"/>
          <w:rtl/>
        </w:rPr>
        <w:t xml:space="preserve">. </w:t>
      </w:r>
    </w:p>
    <w:p w14:paraId="38AD73DA" w14:textId="77777777" w:rsidR="00817399" w:rsidRPr="002F2BC5" w:rsidRDefault="00817399" w:rsidP="00817399">
      <w:pPr>
        <w:spacing w:line="269" w:lineRule="auto"/>
        <w:rPr>
          <w:rtl/>
        </w:rPr>
      </w:pPr>
    </w:p>
    <w:p w14:paraId="714236E7" w14:textId="77777777" w:rsidR="00817399" w:rsidRPr="002F2BC5" w:rsidRDefault="00817399" w:rsidP="00817399">
      <w:pPr>
        <w:spacing w:line="269" w:lineRule="auto"/>
        <w:rPr>
          <w:rtl/>
        </w:rPr>
      </w:pPr>
      <w:r w:rsidRPr="002F2BC5">
        <w:rPr>
          <w:rFonts w:hint="cs"/>
          <w:rtl/>
        </w:rPr>
        <w:t>עוד בשנת 2020, במסגרת ביקורת על ההתמודדות עם תופעת האלימות בין בני זוג בעיריית רמלה, משרד מבקר המדינה מצא כי אף שהוחל ביישומן של מרבית המלצותיה של ועדת המנכ"לים, הן טרם יושמו במלואן, ובין השאר נמצא כי לא יושמה המלצתה של ועדת המנכ"לים בדבר הקמתו של המערך הלאומי להתמודדות עם תופעת האלימות במשפחה. משרד מבקר המדינה המליץ אז למשרד הרווחה להמשיך ולקדם את יישום המלצותיה של ועדת המנכ"לים, ובפרט המלצתה על הקמת המערך הלאומי אשר יוכל לקדם את יישום יתר המלצותיה</w:t>
      </w:r>
      <w:r w:rsidRPr="002F2BC5">
        <w:rPr>
          <w:rStyle w:val="af9"/>
          <w:rtl/>
        </w:rPr>
        <w:footnoteReference w:id="106"/>
      </w:r>
      <w:r w:rsidRPr="002F2BC5">
        <w:rPr>
          <w:rFonts w:hint="cs"/>
          <w:rtl/>
        </w:rPr>
        <w:t>.</w:t>
      </w:r>
    </w:p>
    <w:p w14:paraId="14412B6A" w14:textId="77777777" w:rsidR="00817399" w:rsidRPr="002F2BC5" w:rsidRDefault="00817399" w:rsidP="00817399">
      <w:pPr>
        <w:spacing w:line="269" w:lineRule="auto"/>
        <w:rPr>
          <w:rtl/>
        </w:rPr>
      </w:pPr>
    </w:p>
    <w:p w14:paraId="232B3FC6" w14:textId="77777777" w:rsidR="00817399" w:rsidRPr="002F2BC5" w:rsidRDefault="00817399" w:rsidP="00817399">
      <w:pPr>
        <w:pStyle w:val="afffffff9"/>
        <w:spacing w:line="269" w:lineRule="auto"/>
        <w:rPr>
          <w:rtl/>
        </w:rPr>
      </w:pPr>
      <w:bookmarkStart w:id="231" w:name="_Toc191892668"/>
      <w:bookmarkStart w:id="232" w:name="_Toc191893052"/>
      <w:bookmarkStart w:id="233" w:name="_Toc191986924"/>
      <w:bookmarkStart w:id="234" w:name="_Toc192093039"/>
      <w:bookmarkStart w:id="235" w:name="_Toc192612747"/>
      <w:bookmarkStart w:id="236" w:name="_Toc198312173"/>
      <w:bookmarkStart w:id="237" w:name="_Toc198312642"/>
      <w:bookmarkStart w:id="238" w:name="_Toc200636830"/>
      <w:bookmarkStart w:id="239" w:name="_Toc200439829"/>
      <w:bookmarkStart w:id="240" w:name="_Toc201240934"/>
      <w:r w:rsidRPr="002F2BC5">
        <w:rPr>
          <w:rFonts w:hint="cs"/>
          <w:rtl/>
        </w:rPr>
        <w:t>הביקורת הנוכחית העלתה כי נכון למועד סיומה, בדצמבר 2024, בחלוף כשבע שנים מאז אומצו בהחלטת ממשלה המלצותיה של ועדת המנכ"לים, לא הושלם יישום המלצתה בדבר הקמתו של מערך לאומי להתמודדות עם תופעת האלימות במשפחה במתכונתו המלאה. בתוך כך לא הוקם המערך ברמה המחוזית והיישובית על פי המתווה האמור בהמלצותיה של ועדת המנכ"לים. יתרה מזו, וכפי שיפורט בהרחבה להלן, עבודתה של הוועדה הבין-משרדית, שהחלה לפעול עוד קודם להמלצותיה של ועדת המנכ"לים, וכן עבודת מְנהלת המערך הלאומי, לא הותאמו לכפיפות ההייררכית, לתחומי האחריות ולסמכויות האמורים בהמלצותיה של ועדת המנכ"לים.</w:t>
      </w:r>
      <w:bookmarkEnd w:id="231"/>
      <w:bookmarkEnd w:id="232"/>
      <w:bookmarkEnd w:id="233"/>
      <w:bookmarkEnd w:id="234"/>
      <w:bookmarkEnd w:id="235"/>
      <w:bookmarkEnd w:id="236"/>
      <w:bookmarkEnd w:id="237"/>
      <w:bookmarkEnd w:id="238"/>
      <w:bookmarkEnd w:id="239"/>
      <w:bookmarkEnd w:id="240"/>
    </w:p>
    <w:p w14:paraId="4D3A6698" w14:textId="77777777" w:rsidR="00817399" w:rsidRPr="002F2BC5" w:rsidRDefault="00817399" w:rsidP="00817399">
      <w:pPr>
        <w:spacing w:line="269" w:lineRule="auto"/>
        <w:rPr>
          <w:rtl/>
        </w:rPr>
      </w:pPr>
    </w:p>
    <w:p w14:paraId="547EC2FD" w14:textId="09B6951C" w:rsidR="00817399" w:rsidRPr="002F2BC5" w:rsidRDefault="00817399" w:rsidP="00817399">
      <w:pPr>
        <w:spacing w:line="269" w:lineRule="auto"/>
        <w:rPr>
          <w:rtl/>
        </w:rPr>
      </w:pPr>
      <w:r w:rsidRPr="002F2BC5">
        <w:rPr>
          <w:rFonts w:hint="cs"/>
          <w:rtl/>
        </w:rPr>
        <w:t>המבנה הארגוני של המערך הלאומי להתמודדות עם תופעת האלימות במשפחה על פי המלצותיה של ועדת המנכ"לים ומידת יישום המלצותיה בעניין זה מובא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Ref185489617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4</w:t>
      </w:r>
      <w:r w:rsidRPr="002F2BC5">
        <w:rPr>
          <w:rtl/>
        </w:rPr>
        <w:fldChar w:fldCharType="end"/>
      </w:r>
      <w:r w:rsidRPr="002F2BC5">
        <w:rPr>
          <w:rFonts w:hint="cs"/>
          <w:rtl/>
        </w:rPr>
        <w:t xml:space="preserve"> שלהלן.</w:t>
      </w:r>
    </w:p>
    <w:p w14:paraId="1E0B41B9" w14:textId="77777777" w:rsidR="00817399" w:rsidRPr="002F2BC5" w:rsidRDefault="00817399" w:rsidP="00817399">
      <w:pPr>
        <w:spacing w:line="269" w:lineRule="auto"/>
        <w:rPr>
          <w:rtl/>
        </w:rPr>
      </w:pPr>
    </w:p>
    <w:p w14:paraId="30E51992" w14:textId="77777777" w:rsidR="00817399" w:rsidRPr="002F2BC5" w:rsidRDefault="00817399" w:rsidP="00817399">
      <w:pPr>
        <w:pStyle w:val="a9"/>
        <w:spacing w:line="269" w:lineRule="auto"/>
        <w:rPr>
          <w:rtl/>
        </w:rPr>
      </w:pPr>
      <w:bookmarkStart w:id="241" w:name="_Ref185489617"/>
      <w:bookmarkStart w:id="242" w:name="_Toc192672897"/>
      <w:r w:rsidRPr="002F2BC5">
        <w:rPr>
          <w:rFonts w:hint="cs"/>
          <w:rtl/>
        </w:rPr>
        <w:lastRenderedPageBreak/>
        <w:t>:</w:t>
      </w:r>
      <w:bookmarkEnd w:id="241"/>
      <w:r w:rsidRPr="002F2BC5">
        <w:rPr>
          <w:rFonts w:hint="cs"/>
          <w:rtl/>
        </w:rPr>
        <w:t xml:space="preserve"> </w:t>
      </w:r>
      <w:r w:rsidRPr="002F2BC5">
        <w:rPr>
          <w:rFonts w:hint="cs"/>
          <w:b w:val="0"/>
          <w:bCs/>
          <w:rtl/>
        </w:rPr>
        <w:t>המבנה הארגוני של המערך הלאומי להתמודדות עם תופעת האלימות במשפחה,</w:t>
      </w:r>
      <w:r w:rsidRPr="002F2BC5">
        <w:rPr>
          <w:b w:val="0"/>
          <w:bCs/>
          <w:rtl/>
        </w:rPr>
        <w:br/>
      </w:r>
      <w:r w:rsidRPr="002F2BC5">
        <w:rPr>
          <w:rFonts w:hint="cs"/>
          <w:b w:val="0"/>
          <w:bCs/>
          <w:rtl/>
        </w:rPr>
        <w:t>על פי המלצותיה של ועדת המנכ"לים, ומידת יישום ההמלצות, דצמבר 2024</w:t>
      </w:r>
      <w:bookmarkEnd w:id="242"/>
    </w:p>
    <w:p w14:paraId="6012B4D4"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0A3177F0" wp14:editId="26D2F9AC">
            <wp:extent cx="3600000" cy="3225473"/>
            <wp:effectExtent l="0" t="0" r="0" b="0"/>
            <wp:docPr id="2052770965" name="תמונה 205277096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3225473"/>
                    </a:xfrm>
                    <a:prstGeom prst="rect">
                      <a:avLst/>
                    </a:prstGeom>
                    <a:noFill/>
                  </pic:spPr>
                </pic:pic>
              </a:graphicData>
            </a:graphic>
          </wp:inline>
        </w:drawing>
      </w:r>
    </w:p>
    <w:p w14:paraId="48B00B19" w14:textId="77777777" w:rsidR="00817399" w:rsidRPr="002F2BC5" w:rsidRDefault="00817399" w:rsidP="00817399">
      <w:pPr>
        <w:pStyle w:val="afffffff1"/>
        <w:bidi/>
        <w:spacing w:line="269" w:lineRule="auto"/>
      </w:pPr>
      <w:r w:rsidRPr="002F2BC5">
        <w:rPr>
          <w:rFonts w:hint="cs"/>
          <w:rtl/>
        </w:rPr>
        <w:t>על פי תיאור המבנה הארגוני של המערך הלאומי שהוצג בתוכנית הפעולה של ועדת המנכ"לים והמידע שנאסף במהלך הביקורת הנוכחית, בעיבוד משרד מבקר המדינה.</w:t>
      </w:r>
    </w:p>
    <w:p w14:paraId="24A68F02" w14:textId="77777777" w:rsidR="00817399" w:rsidRPr="002F2BC5" w:rsidRDefault="00817399" w:rsidP="00817399">
      <w:pPr>
        <w:spacing w:line="269" w:lineRule="auto"/>
        <w:rPr>
          <w:rtl/>
        </w:rPr>
      </w:pPr>
    </w:p>
    <w:p w14:paraId="24C8F9CC" w14:textId="77777777" w:rsidR="00817399" w:rsidRPr="002F2BC5" w:rsidRDefault="00817399" w:rsidP="00817399">
      <w:pPr>
        <w:spacing w:line="269" w:lineRule="auto"/>
        <w:rPr>
          <w:rtl/>
        </w:rPr>
      </w:pPr>
      <w:r w:rsidRPr="002F2BC5">
        <w:rPr>
          <w:rFonts w:hint="cs"/>
          <w:rtl/>
        </w:rPr>
        <w:t>משרד המשפטים מסר בתשובתו כי יש מקום לבחון את המשך הצורך בהקמתו של המערך הלאומי במתכונת האמורה, תוך שיח בין משרדי הממשלה, בטרם קבלת ההחלטה בנושא.</w:t>
      </w:r>
    </w:p>
    <w:p w14:paraId="4D23D82E" w14:textId="77777777" w:rsidR="00817399" w:rsidRPr="002F2BC5" w:rsidRDefault="00817399" w:rsidP="00817399">
      <w:pPr>
        <w:spacing w:line="269" w:lineRule="auto"/>
        <w:rPr>
          <w:rtl/>
        </w:rPr>
      </w:pPr>
    </w:p>
    <w:p w14:paraId="73294B14" w14:textId="77777777" w:rsidR="00817399" w:rsidRPr="002F2BC5" w:rsidRDefault="00817399" w:rsidP="00817399">
      <w:pPr>
        <w:spacing w:line="269" w:lineRule="auto"/>
        <w:rPr>
          <w:rtl/>
        </w:rPr>
      </w:pPr>
      <w:r w:rsidRPr="002F2BC5">
        <w:rPr>
          <w:rFonts w:hint="cs"/>
          <w:rtl/>
        </w:rPr>
        <w:t xml:space="preserve">משרד הרווחה מסר בתשובתו כי אכן לא הושלמה הקמתו של </w:t>
      </w:r>
      <w:r w:rsidRPr="002F2BC5">
        <w:rPr>
          <w:rtl/>
        </w:rPr>
        <w:t>המערך הלאומי</w:t>
      </w:r>
      <w:r w:rsidRPr="002F2BC5">
        <w:rPr>
          <w:rFonts w:hint="cs"/>
          <w:rtl/>
        </w:rPr>
        <w:t xml:space="preserve">, ובדגש על המתאמים המחוזיים והיישוביים, וזאת בעיקר על רקע משבר הקורונה ומלחמת חרבות ברזל, והוסיף כי </w:t>
      </w:r>
      <w:r w:rsidRPr="002F2BC5">
        <w:rPr>
          <w:rtl/>
        </w:rPr>
        <w:t>הנושא יובא לבחינה מחודשת של הו</w:t>
      </w:r>
      <w:r w:rsidRPr="002F2BC5">
        <w:rPr>
          <w:rFonts w:hint="cs"/>
          <w:rtl/>
        </w:rPr>
        <w:t>ו</w:t>
      </w:r>
      <w:r w:rsidRPr="002F2BC5">
        <w:rPr>
          <w:rtl/>
        </w:rPr>
        <w:t>עדה הבין</w:t>
      </w:r>
      <w:r w:rsidRPr="002F2BC5">
        <w:rPr>
          <w:rFonts w:hint="cs"/>
          <w:rtl/>
        </w:rPr>
        <w:t>-</w:t>
      </w:r>
      <w:r w:rsidRPr="002F2BC5">
        <w:rPr>
          <w:rtl/>
        </w:rPr>
        <w:t>משרדית.</w:t>
      </w:r>
    </w:p>
    <w:p w14:paraId="12322D76" w14:textId="77777777" w:rsidR="00817399" w:rsidRPr="002F2BC5" w:rsidRDefault="00817399" w:rsidP="00817399">
      <w:pPr>
        <w:spacing w:line="269" w:lineRule="auto"/>
        <w:rPr>
          <w:rtl/>
        </w:rPr>
      </w:pPr>
    </w:p>
    <w:p w14:paraId="2A06D0A0" w14:textId="77777777" w:rsidR="00817399" w:rsidRPr="002F2BC5" w:rsidRDefault="00817399" w:rsidP="00817399">
      <w:pPr>
        <w:spacing w:line="269" w:lineRule="auto"/>
        <w:rPr>
          <w:rtl/>
        </w:rPr>
      </w:pPr>
      <w:r w:rsidRPr="002F2BC5">
        <w:rPr>
          <w:rFonts w:hint="cs"/>
          <w:rtl/>
        </w:rPr>
        <w:t xml:space="preserve">הרשות לקידום מעמד האישה מסרה בתשובתה ממאי 2025 כי אם יוחלט על השלמת הקמתו של המערך הלאומי, היא </w:t>
      </w:r>
      <w:r w:rsidRPr="002F2BC5">
        <w:rPr>
          <w:rtl/>
        </w:rPr>
        <w:t xml:space="preserve">תשמח לתרום </w:t>
      </w:r>
      <w:r w:rsidRPr="002F2BC5">
        <w:rPr>
          <w:rFonts w:hint="cs"/>
          <w:rtl/>
        </w:rPr>
        <w:t>ולסייע לצורך כך מניסיונה המקצועי ומהידע</w:t>
      </w:r>
      <w:r w:rsidRPr="002F2BC5">
        <w:rPr>
          <w:rtl/>
        </w:rPr>
        <w:t xml:space="preserve"> </w:t>
      </w:r>
      <w:r w:rsidRPr="002F2BC5">
        <w:rPr>
          <w:rFonts w:hint="cs"/>
          <w:rtl/>
        </w:rPr>
        <w:t>שלה</w:t>
      </w:r>
      <w:r w:rsidRPr="002F2BC5">
        <w:rPr>
          <w:rtl/>
        </w:rPr>
        <w:t>.</w:t>
      </w:r>
    </w:p>
    <w:p w14:paraId="627E4BE9" w14:textId="77777777" w:rsidR="00817399" w:rsidRPr="002F2BC5" w:rsidRDefault="00817399" w:rsidP="00817399">
      <w:pPr>
        <w:spacing w:line="269" w:lineRule="auto"/>
        <w:rPr>
          <w:rtl/>
        </w:rPr>
      </w:pPr>
    </w:p>
    <w:p w14:paraId="223315EB" w14:textId="77777777" w:rsidR="00817399" w:rsidRPr="002F2BC5" w:rsidRDefault="00817399" w:rsidP="00817399">
      <w:pPr>
        <w:pStyle w:val="afffffffa"/>
        <w:spacing w:line="269" w:lineRule="auto"/>
        <w:rPr>
          <w:rtl/>
        </w:rPr>
      </w:pPr>
      <w:bookmarkStart w:id="243" w:name="_Toc191892669"/>
      <w:bookmarkStart w:id="244" w:name="_Toc191893053"/>
      <w:bookmarkStart w:id="245" w:name="_Toc191986925"/>
      <w:bookmarkStart w:id="246" w:name="_Toc192093040"/>
      <w:bookmarkStart w:id="247" w:name="_Toc192612748"/>
      <w:bookmarkStart w:id="248" w:name="_Toc198312174"/>
      <w:bookmarkStart w:id="249" w:name="_Toc198312643"/>
      <w:bookmarkStart w:id="250" w:name="_Toc200636831"/>
      <w:bookmarkStart w:id="251" w:name="_Toc200439830"/>
      <w:bookmarkStart w:id="252" w:name="_Toc201240935"/>
      <w:r w:rsidRPr="002F2BC5">
        <w:rPr>
          <w:rFonts w:hint="cs"/>
          <w:rtl/>
        </w:rPr>
        <w:t>על משרד הרווחה, העומד בראשות הוועדה הבין-משרדית הקבועה, לפעול בהקדם להשלמת יישום מלוא המלצותיה של ועדת המנכ"לים - ובראשן השלמת הקמתו של המערך הלאומי להתמודדות עם תופעת האלימות במשפחה במתכונתו המלאה.</w:t>
      </w:r>
      <w:bookmarkEnd w:id="243"/>
      <w:bookmarkEnd w:id="244"/>
      <w:bookmarkEnd w:id="245"/>
      <w:bookmarkEnd w:id="246"/>
      <w:bookmarkEnd w:id="247"/>
      <w:r w:rsidRPr="002F2BC5">
        <w:rPr>
          <w:rFonts w:hint="cs"/>
          <w:rtl/>
        </w:rPr>
        <w:t xml:space="preserve"> זאת בכפוף לבחינת הצורך בהתאמתן של ההמלצות ובעדכונן לנוכח חלוף הזמן מאז התקבלו והשינויים שחלו בנושא.</w:t>
      </w:r>
      <w:bookmarkEnd w:id="248"/>
      <w:bookmarkEnd w:id="249"/>
      <w:bookmarkEnd w:id="250"/>
      <w:bookmarkEnd w:id="251"/>
      <w:bookmarkEnd w:id="252"/>
    </w:p>
    <w:p w14:paraId="1CDC9DE8" w14:textId="77777777" w:rsidR="00817399" w:rsidRPr="002F2BC5" w:rsidRDefault="00817399" w:rsidP="00817399">
      <w:pPr>
        <w:spacing w:line="269" w:lineRule="auto"/>
        <w:rPr>
          <w:b/>
          <w:bCs/>
          <w:rtl/>
        </w:rPr>
      </w:pPr>
    </w:p>
    <w:p w14:paraId="56A29656" w14:textId="77777777" w:rsidR="00817399" w:rsidRPr="002F2BC5" w:rsidRDefault="00817399" w:rsidP="00817399">
      <w:pPr>
        <w:pStyle w:val="4"/>
        <w:spacing w:before="0" w:line="269" w:lineRule="auto"/>
        <w:rPr>
          <w:rtl/>
        </w:rPr>
      </w:pPr>
      <w:bookmarkStart w:id="253" w:name="_Toc189072206"/>
      <w:bookmarkStart w:id="254" w:name="_Toc191986926"/>
      <w:bookmarkStart w:id="255" w:name="_Toc191891383"/>
      <w:bookmarkStart w:id="256" w:name="_Toc192093041"/>
      <w:bookmarkStart w:id="257" w:name="_Toc193110593"/>
      <w:bookmarkStart w:id="258" w:name="_Toc192612749"/>
      <w:bookmarkStart w:id="259" w:name="_Toc192778817"/>
      <w:bookmarkStart w:id="260" w:name="_Toc198312175"/>
      <w:bookmarkStart w:id="261" w:name="_Toc198312644"/>
      <w:bookmarkStart w:id="262" w:name="_Toc200636795"/>
      <w:bookmarkStart w:id="263" w:name="_Toc200636832"/>
      <w:bookmarkStart w:id="264" w:name="_Toc200439794"/>
      <w:bookmarkStart w:id="265" w:name="_Toc200439831"/>
      <w:bookmarkStart w:id="266" w:name="_Toc201240936"/>
      <w:bookmarkStart w:id="267" w:name="_Toc192784371"/>
      <w:bookmarkStart w:id="268" w:name="_Toc201759357"/>
      <w:bookmarkStart w:id="269" w:name="_Toc203487990"/>
      <w:r w:rsidRPr="002F2BC5">
        <w:rPr>
          <w:rFonts w:hint="cs"/>
          <w:rtl/>
        </w:rPr>
        <w:t>מעמדה, סדרי עבודתה ותפקידיה של הוועדה הבין-משרדית הקבועה</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366E3EE7" w14:textId="77777777" w:rsidR="00817399" w:rsidRPr="002F2BC5" w:rsidRDefault="00817399" w:rsidP="00817399">
      <w:pPr>
        <w:spacing w:line="269" w:lineRule="auto"/>
        <w:rPr>
          <w:rtl/>
        </w:rPr>
      </w:pPr>
    </w:p>
    <w:p w14:paraId="3E6FFFB5" w14:textId="77777777" w:rsidR="00817399" w:rsidRPr="002F2BC5" w:rsidRDefault="00817399" w:rsidP="00817399">
      <w:pPr>
        <w:spacing w:line="269" w:lineRule="auto"/>
        <w:rPr>
          <w:rtl/>
        </w:rPr>
      </w:pPr>
      <w:bookmarkStart w:id="270" w:name="_Toc191986927"/>
      <w:r w:rsidRPr="002F2BC5">
        <w:rPr>
          <w:rStyle w:val="70"/>
          <w:rFonts w:hint="cs"/>
          <w:rtl/>
        </w:rPr>
        <w:t>הנושא המפורט להלן נבדק לראשונה במסגרת ביקורת זו:</w:t>
      </w:r>
      <w:bookmarkEnd w:id="270"/>
      <w:r w:rsidRPr="002F2BC5">
        <w:rPr>
          <w:rFonts w:hint="cs"/>
          <w:rtl/>
        </w:rPr>
        <w:t xml:space="preserve"> להבטחת פעילותה הסדורה של ועדה בין-משרדית קבועה, בין שהיא פועלת מכוח החלטות ממשלה ובין שהיא פועלת מכוח הוראות התע"ס או הוראות רגולטוריות אחרות, חשיבות רבה לשם הבטחת תיאום מיטבי בין כלל הגורמים המעורבים בהתמודדות עם תופעת האלימות בין בני זוג בקביעת המדיניות ותוכניות העבודה; איגום והקצאה יעילה של המשאבים וניצולם המיטבי; וכן קיום </w:t>
      </w:r>
      <w:r w:rsidRPr="002F2BC5">
        <w:rPr>
          <w:rFonts w:hint="cs"/>
          <w:rtl/>
        </w:rPr>
        <w:lastRenderedPageBreak/>
        <w:t>מנגנוני פיקוח ובקרה - הן על יישום המלצותיהן של ועדות בין-משרדיות שהוקמו בעבר אד-הוק ושאומצו בהחלטות ממשלה והן על יישום החלטותיה של הוועדה הבין-משרדית הקבועה עצמה</w:t>
      </w:r>
      <w:r w:rsidRPr="002F2BC5">
        <w:rPr>
          <w:rStyle w:val="af9"/>
          <w:rtl/>
        </w:rPr>
        <w:footnoteReference w:id="107"/>
      </w:r>
      <w:r w:rsidRPr="002F2BC5">
        <w:rPr>
          <w:rFonts w:hint="cs"/>
          <w:rtl/>
        </w:rPr>
        <w:t xml:space="preserve">. </w:t>
      </w:r>
    </w:p>
    <w:p w14:paraId="69B189C9" w14:textId="77777777" w:rsidR="00817399" w:rsidRPr="002F2BC5" w:rsidRDefault="00817399" w:rsidP="00817399">
      <w:pPr>
        <w:spacing w:line="269" w:lineRule="auto"/>
        <w:rPr>
          <w:rtl/>
        </w:rPr>
      </w:pPr>
    </w:p>
    <w:p w14:paraId="5AFFC55A" w14:textId="77777777" w:rsidR="00817399" w:rsidRPr="002F2BC5" w:rsidRDefault="00817399" w:rsidP="00817399">
      <w:pPr>
        <w:pStyle w:val="a9"/>
        <w:spacing w:line="269" w:lineRule="auto"/>
        <w:rPr>
          <w:rtl/>
        </w:rPr>
      </w:pPr>
      <w:bookmarkStart w:id="271" w:name="_Toc192672898"/>
      <w:r w:rsidRPr="002F2BC5">
        <w:rPr>
          <w:rFonts w:hint="cs"/>
          <w:rtl/>
        </w:rPr>
        <w:t xml:space="preserve">: </w:t>
      </w:r>
      <w:r w:rsidRPr="002F2BC5">
        <w:rPr>
          <w:rFonts w:hint="cs"/>
          <w:b w:val="0"/>
          <w:bCs/>
          <w:rtl/>
        </w:rPr>
        <w:t>תפקידיה של הוועדה הבין-משרדית הקבועה</w:t>
      </w:r>
      <w:bookmarkEnd w:id="271"/>
    </w:p>
    <w:p w14:paraId="2142E5AA"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06C0F9E7" wp14:editId="343FD229">
            <wp:extent cx="5220000" cy="2296207"/>
            <wp:effectExtent l="0" t="0" r="0" b="8890"/>
            <wp:docPr id="2052770969" name="תמונה 205277096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000" cy="2296207"/>
                    </a:xfrm>
                    <a:prstGeom prst="rect">
                      <a:avLst/>
                    </a:prstGeom>
                    <a:noFill/>
                  </pic:spPr>
                </pic:pic>
              </a:graphicData>
            </a:graphic>
          </wp:inline>
        </w:drawing>
      </w:r>
      <w:r w:rsidRPr="002F2BC5">
        <w:t xml:space="preserve"> </w:t>
      </w:r>
    </w:p>
    <w:p w14:paraId="1E7167AD" w14:textId="77777777" w:rsidR="00817399" w:rsidRPr="002F2BC5" w:rsidRDefault="00817399" w:rsidP="00817399">
      <w:pPr>
        <w:pStyle w:val="afffffff1"/>
        <w:bidi/>
        <w:spacing w:line="269" w:lineRule="auto"/>
        <w:rPr>
          <w:rtl/>
        </w:rPr>
      </w:pPr>
      <w:r w:rsidRPr="002F2BC5">
        <w:rPr>
          <w:rFonts w:hint="cs"/>
          <w:rtl/>
        </w:rPr>
        <w:t>על פי מידע שנאסף במהלך הביקורת הנוכחית, בעיבוד משרד מבקר המדינה.</w:t>
      </w:r>
    </w:p>
    <w:p w14:paraId="7FA3252C" w14:textId="77777777" w:rsidR="00817399" w:rsidRPr="002F2BC5" w:rsidRDefault="00817399" w:rsidP="00817399">
      <w:pPr>
        <w:spacing w:line="269" w:lineRule="auto"/>
        <w:rPr>
          <w:rtl/>
        </w:rPr>
      </w:pPr>
    </w:p>
    <w:p w14:paraId="30D5F435" w14:textId="77777777" w:rsidR="00817399" w:rsidRPr="002F2BC5" w:rsidRDefault="00817399" w:rsidP="00817399">
      <w:pPr>
        <w:spacing w:line="269" w:lineRule="auto"/>
        <w:rPr>
          <w:rtl/>
        </w:rPr>
      </w:pPr>
      <w:r w:rsidRPr="002F2BC5">
        <w:rPr>
          <w:rFonts w:hint="cs"/>
          <w:rtl/>
        </w:rPr>
        <w:t>במועד סיום הביקורת הנוכחית, בדצמבר 2024, פעלה ועדה בין-משרדית קבועה אחת בהובלתו של משרד הרווחה ותחתיה פעלו ועדות משנה. משרד מבקר המדינה בדק את מעמדה וכפיפותה של הוועדה הקבועה, את סדרי עבודתה וכן את תחומי אחריותה ותפקידיה. להלן יפורטו ממצאי הביקורת הנוכחית בנושאים אלה.</w:t>
      </w:r>
    </w:p>
    <w:p w14:paraId="1B066C66" w14:textId="77777777" w:rsidR="00817399" w:rsidRPr="002F2BC5" w:rsidRDefault="00817399" w:rsidP="00817399">
      <w:pPr>
        <w:spacing w:line="269" w:lineRule="auto"/>
        <w:rPr>
          <w:rtl/>
        </w:rPr>
      </w:pPr>
    </w:p>
    <w:p w14:paraId="6079420B" w14:textId="77777777" w:rsidR="00817399" w:rsidRPr="002F2BC5" w:rsidRDefault="00817399" w:rsidP="00817399">
      <w:pPr>
        <w:pStyle w:val="50"/>
        <w:spacing w:line="269" w:lineRule="auto"/>
        <w:rPr>
          <w:rtl/>
        </w:rPr>
      </w:pPr>
      <w:bookmarkStart w:id="272" w:name="_Toc189072207"/>
      <w:bookmarkStart w:id="273" w:name="_Toc191986928"/>
      <w:bookmarkStart w:id="274" w:name="_Toc192093042"/>
      <w:bookmarkStart w:id="275" w:name="_Toc193110594"/>
      <w:bookmarkStart w:id="276" w:name="_Toc192612750"/>
      <w:bookmarkStart w:id="277" w:name="_Toc198312645"/>
      <w:bookmarkStart w:id="278" w:name="_Toc200636833"/>
      <w:bookmarkStart w:id="279" w:name="_Toc200439832"/>
      <w:bookmarkStart w:id="280" w:name="_Toc201240937"/>
      <w:r w:rsidRPr="002F2BC5">
        <w:rPr>
          <w:rFonts w:hint="cs"/>
          <w:rtl/>
        </w:rPr>
        <w:t>ראשות הוועדה הבין-משרדית הקבועה</w:t>
      </w:r>
      <w:bookmarkEnd w:id="272"/>
      <w:bookmarkEnd w:id="273"/>
      <w:bookmarkEnd w:id="274"/>
      <w:bookmarkEnd w:id="275"/>
      <w:bookmarkEnd w:id="276"/>
      <w:r w:rsidRPr="002F2BC5">
        <w:rPr>
          <w:rFonts w:hint="cs"/>
          <w:rtl/>
        </w:rPr>
        <w:t xml:space="preserve"> והמסד הנורמטיבי לעבודתה</w:t>
      </w:r>
      <w:bookmarkEnd w:id="277"/>
      <w:bookmarkEnd w:id="278"/>
      <w:bookmarkEnd w:id="279"/>
      <w:bookmarkEnd w:id="280"/>
    </w:p>
    <w:p w14:paraId="26E79AA8" w14:textId="77777777" w:rsidR="00817399" w:rsidRPr="002F2BC5" w:rsidRDefault="00817399" w:rsidP="00817399">
      <w:pPr>
        <w:spacing w:line="269" w:lineRule="auto"/>
        <w:rPr>
          <w:rtl/>
        </w:rPr>
      </w:pPr>
    </w:p>
    <w:p w14:paraId="1E24DFC6" w14:textId="77777777" w:rsidR="00817399" w:rsidRPr="002F2BC5" w:rsidRDefault="00817399" w:rsidP="00817399">
      <w:pPr>
        <w:spacing w:line="269" w:lineRule="auto"/>
      </w:pPr>
      <w:r w:rsidRPr="002F2BC5">
        <w:rPr>
          <w:rFonts w:hint="cs"/>
          <w:rtl/>
        </w:rPr>
        <w:t>לפי הוראות התע"ס, וכך גם לפי החלטות הממשלה, בראש הוועדה הבין-משרדית הקבועה יעמוד מנכ"ל משרד הרווחה</w:t>
      </w:r>
      <w:r w:rsidRPr="002F2BC5">
        <w:rPr>
          <w:rStyle w:val="af9"/>
          <w:rtl/>
        </w:rPr>
        <w:footnoteReference w:id="108"/>
      </w:r>
      <w:r w:rsidRPr="002F2BC5">
        <w:rPr>
          <w:rFonts w:hint="cs"/>
          <w:rtl/>
        </w:rPr>
        <w:t xml:space="preserve">. </w:t>
      </w:r>
    </w:p>
    <w:p w14:paraId="07A96003" w14:textId="77777777" w:rsidR="00817399" w:rsidRPr="002F2BC5" w:rsidRDefault="00817399" w:rsidP="00817399">
      <w:pPr>
        <w:spacing w:line="269" w:lineRule="auto"/>
        <w:rPr>
          <w:rtl/>
        </w:rPr>
      </w:pPr>
    </w:p>
    <w:p w14:paraId="07D50598" w14:textId="77777777" w:rsidR="00817399" w:rsidRPr="002F2BC5" w:rsidRDefault="00817399" w:rsidP="00817399">
      <w:pPr>
        <w:spacing w:line="269" w:lineRule="auto"/>
      </w:pPr>
      <w:r w:rsidRPr="002F2BC5">
        <w:rPr>
          <w:rFonts w:hint="cs"/>
          <w:rtl/>
        </w:rPr>
        <w:t>אומנם במהלך הביקורת הקודמת ועד לאמצע שנת 2023 עמדה בראש הוועדה הבין-משרדית הקבועה סמנכ"לית מינהל שירותים חברתיים ואישיים במשרד הרווחה. עם זאת, באמצע שנת 2023 הוחלט במשרד הרווחה כי בראש הוועדה הבין-משרדית הקבועה תעמוד מנהלת אגף בכיר פרט וקהילה במינהל שירותים חברתיים ואישיים (</w:t>
      </w:r>
      <w:bookmarkStart w:id="281" w:name="_Hlk202076988"/>
      <w:r w:rsidRPr="002F2BC5">
        <w:rPr>
          <w:rFonts w:hint="cs"/>
          <w:rtl/>
        </w:rPr>
        <w:t>להלן - אגף בכיר פרט וקהילה</w:t>
      </w:r>
      <w:bookmarkEnd w:id="281"/>
      <w:r w:rsidRPr="002F2BC5">
        <w:rPr>
          <w:rFonts w:hint="cs"/>
          <w:rtl/>
        </w:rPr>
        <w:t>). אגף זה מופקד, בין היתר, על הטיפול בקהילה בנפגעי אלימות במשפחה ובפוגעים.</w:t>
      </w:r>
    </w:p>
    <w:p w14:paraId="12445C08" w14:textId="77777777" w:rsidR="00817399" w:rsidRPr="002F2BC5" w:rsidRDefault="00817399" w:rsidP="00817399">
      <w:pPr>
        <w:spacing w:line="269" w:lineRule="auto"/>
        <w:rPr>
          <w:rtl/>
        </w:rPr>
      </w:pPr>
    </w:p>
    <w:p w14:paraId="638B6124" w14:textId="77777777" w:rsidR="00817399" w:rsidRPr="002F2BC5" w:rsidRDefault="00817399" w:rsidP="00817399">
      <w:pPr>
        <w:spacing w:line="269" w:lineRule="auto"/>
        <w:rPr>
          <w:rtl/>
        </w:rPr>
      </w:pPr>
      <w:r w:rsidRPr="002F2BC5">
        <w:rPr>
          <w:rFonts w:hint="cs"/>
          <w:rtl/>
        </w:rPr>
        <w:t>העברת האחריות להובלת הוועדה הבין-משרדית הקבועה לאגף האמון על הטיפול הסוציאלי בקהילה בתחום האלימות במשפחה, בתוך משרד הרווחה, יש בה כדי לתרום למיקוד העיסוק ומתן קדימות לנושא בתוך האגף. עם זאת, האצלת הסמכויות לאגף המצוי במדרג הייררכי נמוך יותר בתוך משרד הרווחה - למול המדרג ההייררכי שנקבע בהחלטות הממשלה שנתקבלו לאורך השנים - עלולה להפחית מרמת החשיבות שתינתן לנושא ברמה המשרדית בתוך משרד הרווחה, כמו גם במשרדי הממשלה האחרים שנציגיהם חברים בוועדה הקבועה. כך גם שינוי זה עלול להשליך על אופייה של הוועדה הקבועה, שהוקמה כוועדה בין-משרדית במטרה לקדם פעולה משותפת ומשולבת של משרדי הממשלה ולהוביל גיבוש של מדיניות לאומית בהתייחס לכלל מעגלי ההתמודדות עם תופעת האלימות במשפחה.</w:t>
      </w:r>
    </w:p>
    <w:p w14:paraId="751A91CB" w14:textId="77777777" w:rsidR="00817399" w:rsidRPr="002F2BC5" w:rsidRDefault="00817399" w:rsidP="00817399">
      <w:pPr>
        <w:spacing w:line="269" w:lineRule="auto"/>
        <w:rPr>
          <w:rtl/>
        </w:rPr>
      </w:pPr>
    </w:p>
    <w:p w14:paraId="17581248" w14:textId="77777777" w:rsidR="00817399" w:rsidRPr="002F2BC5" w:rsidRDefault="00817399" w:rsidP="00817399">
      <w:pPr>
        <w:pStyle w:val="afffffff9"/>
        <w:spacing w:line="269" w:lineRule="auto"/>
        <w:rPr>
          <w:rtl/>
        </w:rPr>
      </w:pPr>
      <w:bookmarkStart w:id="282" w:name="_Toc191892670"/>
      <w:bookmarkStart w:id="283" w:name="_Toc191893054"/>
      <w:bookmarkStart w:id="284" w:name="_Toc191986929"/>
      <w:bookmarkStart w:id="285" w:name="_Toc192093043"/>
      <w:bookmarkStart w:id="286" w:name="_Toc192612751"/>
      <w:bookmarkStart w:id="287" w:name="_Toc198312176"/>
      <w:bookmarkStart w:id="288" w:name="_Toc198312646"/>
      <w:bookmarkStart w:id="289" w:name="_Toc200636834"/>
      <w:bookmarkStart w:id="290" w:name="_Toc200439833"/>
      <w:bookmarkStart w:id="291" w:name="_Toc201240938"/>
      <w:r w:rsidRPr="002F2BC5">
        <w:rPr>
          <w:rFonts w:hint="cs"/>
          <w:rtl/>
        </w:rPr>
        <w:lastRenderedPageBreak/>
        <w:t>יוצא מכך כי הדרג הניהולי של העומד בראש הוועדה הבין-משרדית הקבועה (</w:t>
      </w:r>
      <w:r w:rsidRPr="002F2BC5">
        <w:rPr>
          <w:rFonts w:hint="eastAsia"/>
          <w:rtl/>
        </w:rPr>
        <w:t>מנהלת</w:t>
      </w:r>
      <w:r w:rsidRPr="002F2BC5">
        <w:rPr>
          <w:rtl/>
        </w:rPr>
        <w:t xml:space="preserve"> </w:t>
      </w:r>
      <w:r w:rsidRPr="002F2BC5">
        <w:rPr>
          <w:rFonts w:hint="eastAsia"/>
          <w:rtl/>
        </w:rPr>
        <w:t>אגף</w:t>
      </w:r>
      <w:r w:rsidRPr="002F2BC5">
        <w:rPr>
          <w:rtl/>
        </w:rPr>
        <w:t xml:space="preserve"> </w:t>
      </w:r>
      <w:r w:rsidRPr="002F2BC5">
        <w:rPr>
          <w:rFonts w:hint="cs"/>
          <w:rtl/>
        </w:rPr>
        <w:t xml:space="preserve">בכיר </w:t>
      </w:r>
      <w:r w:rsidRPr="002F2BC5">
        <w:rPr>
          <w:rFonts w:hint="eastAsia"/>
          <w:rtl/>
        </w:rPr>
        <w:t>פרט</w:t>
      </w:r>
      <w:r w:rsidRPr="002F2BC5">
        <w:rPr>
          <w:rtl/>
        </w:rPr>
        <w:t xml:space="preserve"> </w:t>
      </w:r>
      <w:r w:rsidRPr="002F2BC5">
        <w:rPr>
          <w:rFonts w:hint="eastAsia"/>
          <w:rtl/>
        </w:rPr>
        <w:t>וקהילה</w:t>
      </w:r>
      <w:r w:rsidRPr="002F2BC5">
        <w:rPr>
          <w:rtl/>
        </w:rPr>
        <w:t xml:space="preserve"> </w:t>
      </w:r>
      <w:r w:rsidRPr="002F2BC5">
        <w:rPr>
          <w:rFonts w:hint="eastAsia"/>
          <w:rtl/>
        </w:rPr>
        <w:t>במינהל</w:t>
      </w:r>
      <w:r w:rsidRPr="002F2BC5">
        <w:rPr>
          <w:rtl/>
        </w:rPr>
        <w:t xml:space="preserve"> </w:t>
      </w:r>
      <w:r w:rsidRPr="002F2BC5">
        <w:rPr>
          <w:rFonts w:hint="eastAsia"/>
          <w:rtl/>
        </w:rPr>
        <w:t>שירותים</w:t>
      </w:r>
      <w:r w:rsidRPr="002F2BC5">
        <w:rPr>
          <w:rtl/>
        </w:rPr>
        <w:t xml:space="preserve"> </w:t>
      </w:r>
      <w:r w:rsidRPr="002F2BC5">
        <w:rPr>
          <w:rFonts w:hint="eastAsia"/>
          <w:rtl/>
        </w:rPr>
        <w:t>חברתיים</w:t>
      </w:r>
      <w:r w:rsidRPr="002F2BC5">
        <w:rPr>
          <w:rtl/>
        </w:rPr>
        <w:t xml:space="preserve"> </w:t>
      </w:r>
      <w:r w:rsidRPr="002F2BC5">
        <w:rPr>
          <w:rFonts w:hint="eastAsia"/>
          <w:rtl/>
        </w:rPr>
        <w:t>ואישיים</w:t>
      </w:r>
      <w:r w:rsidRPr="002F2BC5">
        <w:rPr>
          <w:rtl/>
        </w:rPr>
        <w:t>)</w:t>
      </w:r>
      <w:r w:rsidRPr="002F2BC5">
        <w:rPr>
          <w:rFonts w:hint="cs"/>
          <w:rtl/>
        </w:rPr>
        <w:t xml:space="preserve"> אינו תואם את הוראות התע"ס, והוא גם אינו תואם את החלטות הממשלה שנתקבלו לאורך השנים ושהורו על הקמתן של ועדות בין-משרדיות קבועות ועל המשך עבודתן (לפיהן בראש הוועדה יעמוד מנכ"ל משרד הרווחה). כמו כן, מְנהלת המערך הלאומי הוכפפה מן הבחינה הארגונית לאגף בכיר פרט וקהילה. עוד הועלה כי קיימת אי-בהירות במשרד הרווחה בנוגע לבסיס הנורמטיבי לפעילותה של הוועדה הבין-משרדית הקבועה ובעניין השאלה אם היא פועלת מכוח החלטת ממשלה או מכוח הוראות התע"ס, ולכך משמעויות לעניין תחומי אחריותה, תפקידיה והרכב חבריה</w:t>
      </w:r>
      <w:r w:rsidRPr="002F2BC5">
        <w:rPr>
          <w:rStyle w:val="af9"/>
          <w:b w:val="0"/>
          <w:bCs w:val="0"/>
          <w:rtl/>
        </w:rPr>
        <w:footnoteReference w:id="109"/>
      </w:r>
      <w:r w:rsidRPr="002F2BC5">
        <w:rPr>
          <w:rFonts w:hint="cs"/>
          <w:rtl/>
        </w:rPr>
        <w:t>.</w:t>
      </w:r>
      <w:bookmarkEnd w:id="282"/>
      <w:bookmarkEnd w:id="283"/>
      <w:bookmarkEnd w:id="284"/>
      <w:bookmarkEnd w:id="285"/>
      <w:bookmarkEnd w:id="286"/>
      <w:bookmarkEnd w:id="287"/>
      <w:bookmarkEnd w:id="288"/>
      <w:bookmarkEnd w:id="289"/>
      <w:bookmarkEnd w:id="290"/>
      <w:bookmarkEnd w:id="291"/>
    </w:p>
    <w:p w14:paraId="28C21F9C" w14:textId="77777777" w:rsidR="00817399" w:rsidRPr="002F2BC5" w:rsidRDefault="00817399" w:rsidP="00817399">
      <w:pPr>
        <w:spacing w:line="269" w:lineRule="auto"/>
        <w:rPr>
          <w:rtl/>
        </w:rPr>
      </w:pPr>
    </w:p>
    <w:p w14:paraId="3A437A24" w14:textId="77777777" w:rsidR="00817399" w:rsidRPr="002F2BC5" w:rsidRDefault="00817399" w:rsidP="00817399">
      <w:pPr>
        <w:spacing w:line="269" w:lineRule="auto"/>
        <w:rPr>
          <w:rtl/>
        </w:rPr>
      </w:pPr>
      <w:r w:rsidRPr="002F2BC5">
        <w:rPr>
          <w:rFonts w:hint="cs"/>
          <w:rtl/>
        </w:rPr>
        <w:t>משרד הרווחה מסר בתשובתו כי הוא סבור שמנהלת אגף בכיר פרט וקהילה היא המתאימה ביותר לעמוד בראשות הוועדה הבין-משרדית הקבועה, וזאת כדי להבטיח את רציפות העבודה, וכי יינתן מקום מרכזי לטיפול בנושא האלימות במשפחה.</w:t>
      </w:r>
    </w:p>
    <w:p w14:paraId="49B18215" w14:textId="77777777" w:rsidR="00817399" w:rsidRPr="002F2BC5" w:rsidRDefault="00817399" w:rsidP="00817399">
      <w:pPr>
        <w:spacing w:line="269" w:lineRule="auto"/>
        <w:rPr>
          <w:rtl/>
        </w:rPr>
      </w:pPr>
    </w:p>
    <w:p w14:paraId="39D832A6" w14:textId="77777777" w:rsidR="00817399" w:rsidRPr="002F2BC5" w:rsidRDefault="00817399" w:rsidP="00817399">
      <w:pPr>
        <w:spacing w:line="269" w:lineRule="auto"/>
        <w:rPr>
          <w:rtl/>
        </w:rPr>
      </w:pPr>
      <w:r w:rsidRPr="002F2BC5">
        <w:rPr>
          <w:rFonts w:hint="cs"/>
          <w:rtl/>
        </w:rPr>
        <w:t xml:space="preserve">משרד המשפטים מסר בתשובתו כי </w:t>
      </w:r>
      <w:r w:rsidRPr="002F2BC5">
        <w:rPr>
          <w:rtl/>
        </w:rPr>
        <w:t xml:space="preserve">הוראות התע"ס </w:t>
      </w:r>
      <w:r w:rsidRPr="002F2BC5">
        <w:rPr>
          <w:rFonts w:hint="cs"/>
          <w:rtl/>
        </w:rPr>
        <w:t xml:space="preserve">אינן בעלות תוקף מחייב כלפי </w:t>
      </w:r>
      <w:r w:rsidRPr="002F2BC5">
        <w:rPr>
          <w:rtl/>
        </w:rPr>
        <w:t>בעלי מקצוע</w:t>
      </w:r>
      <w:r w:rsidRPr="002F2BC5">
        <w:rPr>
          <w:rFonts w:hint="cs"/>
          <w:rtl/>
        </w:rPr>
        <w:t>ות שאינם עובדים סוציאליים, ועל כן יש מקום להסדיר את עבודתה של הוועדה הבין-משרדית באופן אחר החוצה משרדים ואסכולות, וזאת נוסף על הוראות התע"ס או במקומן</w:t>
      </w:r>
      <w:r w:rsidRPr="002F2BC5">
        <w:rPr>
          <w:rtl/>
        </w:rPr>
        <w:t>.</w:t>
      </w:r>
    </w:p>
    <w:p w14:paraId="361BEE09" w14:textId="77777777" w:rsidR="00817399" w:rsidRPr="002F2BC5" w:rsidRDefault="00817399" w:rsidP="00817399">
      <w:pPr>
        <w:spacing w:line="269" w:lineRule="auto"/>
        <w:rPr>
          <w:rtl/>
        </w:rPr>
      </w:pPr>
    </w:p>
    <w:p w14:paraId="6887A00A" w14:textId="77777777" w:rsidR="00817399" w:rsidRPr="002F2BC5" w:rsidRDefault="00817399" w:rsidP="00817399">
      <w:pPr>
        <w:pStyle w:val="afffffffa"/>
        <w:spacing w:line="269" w:lineRule="auto"/>
        <w:rPr>
          <w:rtl/>
        </w:rPr>
      </w:pPr>
      <w:bookmarkStart w:id="292" w:name="_Toc191892671"/>
      <w:bookmarkStart w:id="293" w:name="_Toc191893055"/>
      <w:bookmarkStart w:id="294" w:name="_Toc191986930"/>
      <w:bookmarkStart w:id="295" w:name="_Toc192093044"/>
      <w:bookmarkStart w:id="296" w:name="_Toc192612752"/>
      <w:bookmarkStart w:id="297" w:name="_Toc198312177"/>
      <w:bookmarkStart w:id="298" w:name="_Toc198312647"/>
      <w:bookmarkStart w:id="299" w:name="_Toc200439834"/>
      <w:bookmarkStart w:id="300" w:name="_Toc200636835"/>
      <w:bookmarkStart w:id="301" w:name="_Toc201240939"/>
      <w:r w:rsidRPr="002F2BC5">
        <w:rPr>
          <w:rFonts w:hint="cs"/>
          <w:rtl/>
        </w:rPr>
        <w:t>על משרד הרווחה</w:t>
      </w:r>
      <w:r w:rsidRPr="002F2BC5">
        <w:rPr>
          <w:rtl/>
        </w:rPr>
        <w:t xml:space="preserve">, </w:t>
      </w:r>
      <w:r w:rsidRPr="002F2BC5">
        <w:rPr>
          <w:rFonts w:hint="eastAsia"/>
          <w:rtl/>
        </w:rPr>
        <w:t>כמי</w:t>
      </w:r>
      <w:r w:rsidRPr="002F2BC5">
        <w:rPr>
          <w:rtl/>
        </w:rPr>
        <w:t xml:space="preserve"> </w:t>
      </w:r>
      <w:r w:rsidRPr="002F2BC5">
        <w:rPr>
          <w:rFonts w:hint="eastAsia"/>
          <w:rtl/>
        </w:rPr>
        <w:t>שעומד</w:t>
      </w:r>
      <w:r w:rsidRPr="002F2BC5">
        <w:rPr>
          <w:rtl/>
        </w:rPr>
        <w:t xml:space="preserve"> </w:t>
      </w:r>
      <w:r w:rsidRPr="002F2BC5">
        <w:rPr>
          <w:rFonts w:hint="eastAsia"/>
          <w:rtl/>
        </w:rPr>
        <w:t>בראש</w:t>
      </w:r>
      <w:r w:rsidRPr="002F2BC5">
        <w:rPr>
          <w:rtl/>
        </w:rPr>
        <w:t xml:space="preserve"> </w:t>
      </w:r>
      <w:r w:rsidRPr="002F2BC5">
        <w:rPr>
          <w:rFonts w:hint="eastAsia"/>
          <w:rtl/>
        </w:rPr>
        <w:t>המערך</w:t>
      </w:r>
      <w:r w:rsidRPr="002F2BC5">
        <w:rPr>
          <w:rtl/>
        </w:rPr>
        <w:t xml:space="preserve"> </w:t>
      </w:r>
      <w:r w:rsidRPr="002F2BC5">
        <w:rPr>
          <w:rFonts w:hint="eastAsia"/>
          <w:rtl/>
        </w:rPr>
        <w:t>הלאומי</w:t>
      </w:r>
      <w:r w:rsidRPr="002F2BC5">
        <w:rPr>
          <w:rtl/>
        </w:rPr>
        <w:t xml:space="preserve"> </w:t>
      </w:r>
      <w:r w:rsidRPr="002F2BC5">
        <w:rPr>
          <w:rFonts w:hint="eastAsia"/>
          <w:rtl/>
        </w:rPr>
        <w:t>להתמודדות</w:t>
      </w:r>
      <w:r w:rsidRPr="002F2BC5">
        <w:rPr>
          <w:rtl/>
        </w:rPr>
        <w:t xml:space="preserve"> </w:t>
      </w:r>
      <w:r w:rsidRPr="002F2BC5">
        <w:rPr>
          <w:rFonts w:hint="eastAsia"/>
          <w:rtl/>
        </w:rPr>
        <w:t>עם</w:t>
      </w:r>
      <w:r w:rsidRPr="002F2BC5">
        <w:rPr>
          <w:rtl/>
        </w:rPr>
        <w:t xml:space="preserve">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להסדיר</w:t>
      </w:r>
      <w:r w:rsidRPr="002F2BC5">
        <w:rPr>
          <w:rtl/>
        </w:rPr>
        <w:t xml:space="preserve"> </w:t>
      </w:r>
      <w:r w:rsidRPr="002F2BC5">
        <w:rPr>
          <w:rFonts w:hint="eastAsia"/>
          <w:rtl/>
        </w:rPr>
        <w:t>ולהבהיר</w:t>
      </w:r>
      <w:r w:rsidRPr="002F2BC5">
        <w:rPr>
          <w:rtl/>
        </w:rPr>
        <w:t xml:space="preserve"> - </w:t>
      </w:r>
      <w:r w:rsidRPr="002F2BC5">
        <w:rPr>
          <w:rFonts w:hint="eastAsia"/>
          <w:rtl/>
        </w:rPr>
        <w:t>בהוראה</w:t>
      </w:r>
      <w:r w:rsidRPr="002F2BC5">
        <w:rPr>
          <w:rtl/>
        </w:rPr>
        <w:t xml:space="preserve"> רגולטורית בעלת תוקף מחייב כלפי כלל הגופים </w:t>
      </w:r>
      <w:r w:rsidRPr="002F2BC5">
        <w:rPr>
          <w:rFonts w:hint="eastAsia"/>
          <w:rtl/>
        </w:rPr>
        <w:t>האמורים</w:t>
      </w:r>
      <w:r w:rsidRPr="002F2BC5">
        <w:rPr>
          <w:rtl/>
        </w:rPr>
        <w:t xml:space="preserve"> </w:t>
      </w:r>
      <w:r w:rsidRPr="002F2BC5">
        <w:rPr>
          <w:rFonts w:hint="eastAsia"/>
          <w:rtl/>
        </w:rPr>
        <w:t>להימנות</w:t>
      </w:r>
      <w:r w:rsidRPr="002F2BC5">
        <w:rPr>
          <w:rtl/>
        </w:rPr>
        <w:t xml:space="preserve"> על מערך זה -</w:t>
      </w:r>
      <w:r w:rsidRPr="002F2BC5">
        <w:rPr>
          <w:rFonts w:hint="cs"/>
          <w:rtl/>
        </w:rPr>
        <w:t xml:space="preserve"> את הבסיס הנורמטיבי לפעילות הוועדה הבין-משרדית הקבועה ולפעול להתאמת הדרג הניהולי של העומד בראשה. זאת, </w:t>
      </w:r>
      <w:r w:rsidRPr="002F2BC5">
        <w:rPr>
          <w:rtl/>
        </w:rPr>
        <w:t xml:space="preserve">באופן שיבטיח שהוועדה </w:t>
      </w:r>
      <w:r w:rsidRPr="002F2BC5">
        <w:rPr>
          <w:rFonts w:hint="cs"/>
          <w:rtl/>
        </w:rPr>
        <w:t xml:space="preserve">הבין-משרדית </w:t>
      </w:r>
      <w:r w:rsidRPr="002F2BC5">
        <w:rPr>
          <w:rtl/>
        </w:rPr>
        <w:t>הקבועה תוכל למלא באופן המיטבי את תפקידה ב</w:t>
      </w:r>
      <w:r w:rsidRPr="002F2BC5">
        <w:rPr>
          <w:rFonts w:hint="cs"/>
          <w:rtl/>
        </w:rPr>
        <w:t>כל הנוגע ל</w:t>
      </w:r>
      <w:r w:rsidRPr="002F2BC5">
        <w:rPr>
          <w:rtl/>
        </w:rPr>
        <w:t>תיאום הפעולה המערכתית להתמודדות עם תופעת האלימות במשפחה.</w:t>
      </w:r>
      <w:bookmarkEnd w:id="292"/>
      <w:bookmarkEnd w:id="293"/>
      <w:bookmarkEnd w:id="294"/>
      <w:bookmarkEnd w:id="295"/>
      <w:bookmarkEnd w:id="296"/>
      <w:bookmarkEnd w:id="297"/>
      <w:bookmarkEnd w:id="298"/>
      <w:bookmarkEnd w:id="299"/>
      <w:bookmarkEnd w:id="300"/>
      <w:bookmarkEnd w:id="301"/>
    </w:p>
    <w:p w14:paraId="3613987E" w14:textId="77777777" w:rsidR="00817399" w:rsidRPr="002F2BC5" w:rsidRDefault="00817399" w:rsidP="00817399">
      <w:pPr>
        <w:spacing w:line="269" w:lineRule="auto"/>
        <w:rPr>
          <w:b/>
          <w:bCs/>
          <w:rtl/>
        </w:rPr>
      </w:pPr>
    </w:p>
    <w:p w14:paraId="28CDF317" w14:textId="77777777" w:rsidR="00817399" w:rsidRPr="002F2BC5" w:rsidRDefault="00817399" w:rsidP="00817399">
      <w:pPr>
        <w:pStyle w:val="50"/>
        <w:spacing w:line="269" w:lineRule="auto"/>
        <w:rPr>
          <w:rtl/>
        </w:rPr>
      </w:pPr>
      <w:bookmarkStart w:id="302" w:name="_Ref188340548"/>
      <w:bookmarkStart w:id="303" w:name="_Toc189072208"/>
      <w:bookmarkStart w:id="304" w:name="_Toc191986931"/>
      <w:bookmarkStart w:id="305" w:name="_Toc192093045"/>
      <w:bookmarkStart w:id="306" w:name="_Toc193110595"/>
      <w:bookmarkStart w:id="307" w:name="_Toc192612753"/>
      <w:bookmarkStart w:id="308" w:name="_Toc198312648"/>
      <w:bookmarkStart w:id="309" w:name="_Toc200636836"/>
      <w:bookmarkStart w:id="310" w:name="_Toc200439835"/>
      <w:bookmarkStart w:id="311" w:name="_Toc201240940"/>
      <w:r w:rsidRPr="002F2BC5">
        <w:rPr>
          <w:rFonts w:hint="cs"/>
          <w:rtl/>
        </w:rPr>
        <w:t>סדרי עבודתה של הוועדה הבין-משרדית הקבועה</w:t>
      </w:r>
      <w:bookmarkEnd w:id="302"/>
      <w:bookmarkEnd w:id="303"/>
      <w:bookmarkEnd w:id="304"/>
      <w:bookmarkEnd w:id="305"/>
      <w:bookmarkEnd w:id="306"/>
      <w:bookmarkEnd w:id="307"/>
      <w:bookmarkEnd w:id="308"/>
      <w:bookmarkEnd w:id="309"/>
      <w:bookmarkEnd w:id="310"/>
      <w:bookmarkEnd w:id="311"/>
    </w:p>
    <w:p w14:paraId="7FF3809C" w14:textId="77777777" w:rsidR="00817399" w:rsidRPr="002F2BC5" w:rsidRDefault="00817399" w:rsidP="00817399">
      <w:pPr>
        <w:spacing w:line="269" w:lineRule="auto"/>
        <w:rPr>
          <w:rtl/>
        </w:rPr>
      </w:pPr>
    </w:p>
    <w:p w14:paraId="3B99D6E9" w14:textId="77777777" w:rsidR="00817399" w:rsidRPr="002F2BC5" w:rsidRDefault="00817399" w:rsidP="00817399">
      <w:pPr>
        <w:pStyle w:val="afa"/>
        <w:numPr>
          <w:ilvl w:val="0"/>
          <w:numId w:val="28"/>
        </w:numPr>
        <w:spacing w:line="269" w:lineRule="auto"/>
      </w:pPr>
      <w:bookmarkStart w:id="312" w:name="_Toc191986932"/>
      <w:r w:rsidRPr="002F2BC5">
        <w:rPr>
          <w:rStyle w:val="70"/>
          <w:rFonts w:hint="cs"/>
          <w:rtl/>
        </w:rPr>
        <w:t>קביעת סדרי עבודתה של הוועדה הקבועה:</w:t>
      </w:r>
      <w:bookmarkEnd w:id="312"/>
      <w:r w:rsidRPr="002F2BC5">
        <w:rPr>
          <w:rFonts w:hint="cs"/>
          <w:rtl/>
        </w:rPr>
        <w:t xml:space="preserve"> לפי הוראות התע"ס, לשם מילוי תפקידיה, על הוועדה הבין-משרדית הקבועה לפעול במליאתה ובאמצעות ועדות משנה</w:t>
      </w:r>
      <w:r w:rsidRPr="002F2BC5">
        <w:rPr>
          <w:rStyle w:val="af9"/>
          <w:rtl/>
        </w:rPr>
        <w:footnoteReference w:id="110"/>
      </w:r>
      <w:r w:rsidRPr="002F2BC5">
        <w:rPr>
          <w:rFonts w:hint="cs"/>
          <w:rtl/>
        </w:rPr>
        <w:t xml:space="preserve">. הוראות התע"ס אינן קובעות את התדירות המחייבת להתכנסות הוועדה הקבועה או את יתר סדרי עבודתה, ובכלל זה את בעל התפקיד הנושא באחריות לכינוס הוועדה; המניין החוקי בישיבותיה; אופן רישום פרוטוקולי הדיונים - המוזמנים אליהם והמשתתפים בהם, וכן את אופן תיעוד החלטותיה. אומנם בהוראות התע"ס לא הוסדר מנגנון הבקרה על עבודת הוועדה הבין-משרדית, אך בהחלטת הממשלה 1249 נקבע כי על הוועדה הקבועה (ועדת המנכ"לים) לדווח מדי שישה חודשים על פעילותה לוועדת השרים </w:t>
      </w:r>
      <w:r w:rsidRPr="002F2BC5">
        <w:rPr>
          <w:rtl/>
        </w:rPr>
        <w:t xml:space="preserve">למאבק באלימות </w:t>
      </w:r>
      <w:r w:rsidRPr="002F2BC5">
        <w:rPr>
          <w:rFonts w:hint="cs"/>
          <w:rtl/>
        </w:rPr>
        <w:t>עד ליישום מלוא המלצותיה</w:t>
      </w:r>
      <w:r w:rsidRPr="002F2BC5">
        <w:rPr>
          <w:rStyle w:val="af9"/>
          <w:rtl/>
        </w:rPr>
        <w:footnoteReference w:id="111"/>
      </w:r>
      <w:r w:rsidRPr="002F2BC5">
        <w:rPr>
          <w:rFonts w:hint="cs"/>
          <w:rtl/>
        </w:rPr>
        <w:t xml:space="preserve">. </w:t>
      </w:r>
    </w:p>
    <w:p w14:paraId="17D67466" w14:textId="77777777" w:rsidR="00817399" w:rsidRPr="002F2BC5" w:rsidRDefault="00817399" w:rsidP="00817399">
      <w:pPr>
        <w:spacing w:line="269" w:lineRule="auto"/>
        <w:rPr>
          <w:rtl/>
        </w:rPr>
      </w:pPr>
    </w:p>
    <w:p w14:paraId="193C3909" w14:textId="77777777" w:rsidR="00817399" w:rsidRPr="002F2BC5" w:rsidRDefault="00817399" w:rsidP="00817399">
      <w:pPr>
        <w:pStyle w:val="afffffff9"/>
        <w:spacing w:line="269" w:lineRule="auto"/>
        <w:ind w:left="312"/>
        <w:rPr>
          <w:rtl/>
        </w:rPr>
      </w:pPr>
      <w:bookmarkStart w:id="313" w:name="_Toc191892672"/>
      <w:bookmarkStart w:id="314" w:name="_Toc191893056"/>
      <w:bookmarkStart w:id="315" w:name="_Toc191986933"/>
      <w:bookmarkStart w:id="316" w:name="_Toc192093046"/>
      <w:bookmarkStart w:id="317" w:name="_Toc192612754"/>
      <w:bookmarkStart w:id="318" w:name="_Toc198312178"/>
      <w:bookmarkStart w:id="319" w:name="_Toc198312649"/>
      <w:bookmarkStart w:id="320" w:name="_Toc200636837"/>
      <w:bookmarkStart w:id="321" w:name="_Toc200439836"/>
      <w:bookmarkStart w:id="322" w:name="_Toc201240941"/>
      <w:r w:rsidRPr="002F2BC5">
        <w:rPr>
          <w:rFonts w:hint="cs"/>
          <w:rtl/>
        </w:rPr>
        <w:t>נמצא כי הוועדה הקבועה לא קבעה בנוהל עבודה פנימי את סדרי עבודתה בנושאים שלא הוסדרו בהוראות התע"ס או בהחלטות הממשלה. עוד הועלה כי הוועדה לא נוהגת להעביר דיווחים עיתיים על עבודתה לוועדת השרים למאבק באלימות וגם לא קבעה גורם בקרה ממשלתי אחר שאליו יועברו דיווחיה.</w:t>
      </w:r>
      <w:bookmarkEnd w:id="313"/>
      <w:bookmarkEnd w:id="314"/>
      <w:bookmarkEnd w:id="315"/>
      <w:bookmarkEnd w:id="316"/>
      <w:bookmarkEnd w:id="317"/>
      <w:bookmarkEnd w:id="318"/>
      <w:bookmarkEnd w:id="319"/>
      <w:bookmarkEnd w:id="320"/>
      <w:bookmarkEnd w:id="321"/>
      <w:bookmarkEnd w:id="322"/>
    </w:p>
    <w:p w14:paraId="3664C8CA" w14:textId="77777777" w:rsidR="00817399" w:rsidRPr="002F2BC5" w:rsidRDefault="00817399" w:rsidP="00817399">
      <w:pPr>
        <w:spacing w:line="269" w:lineRule="auto"/>
        <w:rPr>
          <w:rtl/>
        </w:rPr>
      </w:pPr>
    </w:p>
    <w:p w14:paraId="5377C1E7" w14:textId="77777777" w:rsidR="00817399" w:rsidRPr="002F2BC5" w:rsidRDefault="00817399" w:rsidP="00817399">
      <w:pPr>
        <w:pStyle w:val="afa"/>
        <w:spacing w:line="269" w:lineRule="auto"/>
        <w:ind w:left="340"/>
        <w:rPr>
          <w:rtl/>
        </w:rPr>
      </w:pPr>
      <w:r w:rsidRPr="002F2BC5">
        <w:rPr>
          <w:rFonts w:hint="cs"/>
          <w:rtl/>
        </w:rPr>
        <w:t>לצד האמור יצוין כי בדיון שקיימה הוועדה הקבועה עוד במהלך הביקורת, בנובמבר 2024, היא קבעה לראשונה בהרכבה החדש היבטים מסוימים של סדרי עבודתה, ובין השאר את תדירות התכנסותה - אחת לחודשיים.</w:t>
      </w:r>
    </w:p>
    <w:p w14:paraId="34569090" w14:textId="77777777" w:rsidR="00817399" w:rsidRPr="002F2BC5" w:rsidRDefault="00817399" w:rsidP="00817399">
      <w:pPr>
        <w:spacing w:line="269" w:lineRule="auto"/>
        <w:rPr>
          <w:rtl/>
        </w:rPr>
      </w:pPr>
    </w:p>
    <w:p w14:paraId="77F4AF63" w14:textId="77777777" w:rsidR="00817399" w:rsidRPr="002F2BC5" w:rsidRDefault="00817399" w:rsidP="00817399">
      <w:pPr>
        <w:spacing w:line="269" w:lineRule="auto"/>
        <w:ind w:left="312"/>
        <w:rPr>
          <w:rtl/>
        </w:rPr>
      </w:pPr>
      <w:r w:rsidRPr="002F2BC5">
        <w:rPr>
          <w:rFonts w:hint="cs"/>
          <w:rtl/>
        </w:rPr>
        <w:lastRenderedPageBreak/>
        <w:t>משרד הרווחה מסר בתשובתו כי במהלך הרבעון האחרון של שנת 2024 קבעה הוועדה הבין-משרדית תוכנית עבודה קבועה, הכוללת, כפי שגם נמסר במהלך הביקורת הנוכחית, את תדירות התכנסותה, אחת לחודשיים, וכן את מועדי התכנסותן של ועדות המשנה שלה (בתחום המניעה, בתחום ההתמודדות עם התופעה בחברה הערבית ובתחום הטיפול בגברים). עוד מסר כי אחת לשנה, לקראת יום המאבק הבין-לאומי למניעת אלימות נגד נשים, הוועדה מסכמת את פעילותה ומציגה את עיקריה בכנסת.</w:t>
      </w:r>
    </w:p>
    <w:p w14:paraId="00F96952" w14:textId="77777777" w:rsidR="00817399" w:rsidRPr="002F2BC5" w:rsidRDefault="00817399" w:rsidP="00817399">
      <w:pPr>
        <w:spacing w:line="269" w:lineRule="auto"/>
        <w:rPr>
          <w:rtl/>
        </w:rPr>
      </w:pPr>
    </w:p>
    <w:p w14:paraId="7B4A281B" w14:textId="77777777" w:rsidR="00817399" w:rsidRPr="002F2BC5" w:rsidRDefault="00817399" w:rsidP="00817399">
      <w:pPr>
        <w:pStyle w:val="afffffffa"/>
        <w:spacing w:line="269" w:lineRule="auto"/>
        <w:ind w:left="312"/>
        <w:rPr>
          <w:rtl/>
        </w:rPr>
      </w:pPr>
      <w:bookmarkStart w:id="323" w:name="_Toc191892673"/>
      <w:bookmarkStart w:id="324" w:name="_Toc191893057"/>
      <w:bookmarkStart w:id="325" w:name="_Toc191986934"/>
      <w:bookmarkStart w:id="326" w:name="_Toc192093047"/>
      <w:bookmarkStart w:id="327" w:name="_Toc198312179"/>
      <w:bookmarkStart w:id="328" w:name="_Toc198312650"/>
      <w:bookmarkStart w:id="329" w:name="_Toc200636838"/>
      <w:bookmarkStart w:id="330" w:name="_Toc200439837"/>
      <w:bookmarkStart w:id="331" w:name="_Toc201240942"/>
      <w:bookmarkStart w:id="332" w:name="_Toc192612755"/>
      <w:r w:rsidRPr="002F2BC5">
        <w:rPr>
          <w:rFonts w:hint="cs"/>
          <w:rtl/>
        </w:rPr>
        <w:t>מומלץ כי משרד הרווחה</w:t>
      </w:r>
      <w:r w:rsidRPr="002F2BC5">
        <w:rPr>
          <w:rtl/>
        </w:rPr>
        <w:t xml:space="preserve">, </w:t>
      </w:r>
      <w:r w:rsidRPr="002F2BC5">
        <w:rPr>
          <w:rFonts w:hint="eastAsia"/>
          <w:rtl/>
        </w:rPr>
        <w:t>כמי</w:t>
      </w:r>
      <w:r w:rsidRPr="002F2BC5">
        <w:rPr>
          <w:rtl/>
        </w:rPr>
        <w:t xml:space="preserve"> </w:t>
      </w:r>
      <w:r w:rsidRPr="002F2BC5">
        <w:rPr>
          <w:rFonts w:hint="eastAsia"/>
          <w:rtl/>
        </w:rPr>
        <w:t>שעומד</w:t>
      </w:r>
      <w:r w:rsidRPr="002F2BC5">
        <w:rPr>
          <w:rtl/>
        </w:rPr>
        <w:t xml:space="preserve"> </w:t>
      </w:r>
      <w:r w:rsidRPr="002F2BC5">
        <w:rPr>
          <w:rFonts w:hint="eastAsia"/>
          <w:rtl/>
        </w:rPr>
        <w:t>בראש</w:t>
      </w:r>
      <w:r w:rsidRPr="002F2BC5">
        <w:rPr>
          <w:rtl/>
        </w:rPr>
        <w:t xml:space="preserve"> </w:t>
      </w:r>
      <w:r w:rsidRPr="002F2BC5">
        <w:rPr>
          <w:rFonts w:hint="eastAsia"/>
          <w:rtl/>
        </w:rPr>
        <w:t>המערך</w:t>
      </w:r>
      <w:r w:rsidRPr="002F2BC5">
        <w:rPr>
          <w:rtl/>
        </w:rPr>
        <w:t xml:space="preserve"> </w:t>
      </w:r>
      <w:r w:rsidRPr="002F2BC5">
        <w:rPr>
          <w:rFonts w:hint="eastAsia"/>
          <w:rtl/>
        </w:rPr>
        <w:t>הלאומי</w:t>
      </w:r>
      <w:r w:rsidRPr="002F2BC5">
        <w:rPr>
          <w:rtl/>
        </w:rPr>
        <w:t xml:space="preserve"> </w:t>
      </w:r>
      <w:r w:rsidRPr="002F2BC5">
        <w:rPr>
          <w:rFonts w:hint="eastAsia"/>
          <w:rtl/>
        </w:rPr>
        <w:t>להתמודדות</w:t>
      </w:r>
      <w:r w:rsidRPr="002F2BC5">
        <w:rPr>
          <w:rtl/>
        </w:rPr>
        <w:t xml:space="preserve"> </w:t>
      </w:r>
      <w:r w:rsidRPr="002F2BC5">
        <w:rPr>
          <w:rFonts w:hint="eastAsia"/>
          <w:rtl/>
        </w:rPr>
        <w:t>עם</w:t>
      </w:r>
      <w:r w:rsidRPr="002F2BC5">
        <w:rPr>
          <w:rtl/>
        </w:rPr>
        <w:t xml:space="preserve">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יפעל</w:t>
      </w:r>
      <w:r w:rsidRPr="002F2BC5">
        <w:rPr>
          <w:rtl/>
        </w:rPr>
        <w:t xml:space="preserve"> </w:t>
      </w:r>
      <w:r w:rsidRPr="002F2BC5">
        <w:rPr>
          <w:rFonts w:hint="eastAsia"/>
          <w:rtl/>
        </w:rPr>
        <w:t>לקביעת</w:t>
      </w:r>
      <w:r w:rsidRPr="002F2BC5">
        <w:rPr>
          <w:rtl/>
        </w:rPr>
        <w:t xml:space="preserve"> נוהלי עבודה משלימים לוועדה </w:t>
      </w:r>
      <w:r w:rsidRPr="002F2BC5">
        <w:rPr>
          <w:rFonts w:hint="eastAsia"/>
          <w:rtl/>
        </w:rPr>
        <w:t>הבין</w:t>
      </w:r>
      <w:r w:rsidRPr="002F2BC5">
        <w:rPr>
          <w:rtl/>
        </w:rPr>
        <w:t xml:space="preserve">-משרדית </w:t>
      </w:r>
      <w:r w:rsidRPr="002F2BC5">
        <w:rPr>
          <w:rFonts w:hint="eastAsia"/>
          <w:rtl/>
        </w:rPr>
        <w:t>הקבועה</w:t>
      </w:r>
      <w:r w:rsidRPr="002F2BC5">
        <w:rPr>
          <w:rtl/>
        </w:rPr>
        <w:t xml:space="preserve"> - בהוראה רגולטורית בעלת תוקף מחייב כלפי כלל הגופים האמורים להימנות על מערך זה</w:t>
      </w:r>
      <w:r w:rsidRPr="002F2BC5">
        <w:rPr>
          <w:rFonts w:hint="cs"/>
          <w:rtl/>
        </w:rPr>
        <w:t>. מומלץ כי נוהלי העבודה המשלימים יתייחסו לסדרי העבודה של הוועדה ושל ועדות המשנה שלה - ובכלל זה התדירות המחייבת להתכנסותן וכן רישום פרוטוקולי הדיונים ותיעוד החלטותיהן. זאת כדי לייצר מסגרת עבודה קבועה ומחייבת, שתבטיח אחידות ועקביות בפעילות הוועדה וועדות המשנה שלה וכן את שימור וניהול הידע שלהן באופן מיטבי. כמו כן מומלץ כי בנוהלי העבודה המשלימים תובא התייחסות למנגנון הבקרה החיצוני על עבודת הוועדה - הגורם האמון על קבלת דיווחיה ועל תדירות הדיווחים שיועברו אליו על ידה -</w:t>
      </w:r>
      <w:r w:rsidRPr="002F2BC5">
        <w:rPr>
          <w:rtl/>
        </w:rPr>
        <w:t xml:space="preserve"> </w:t>
      </w:r>
      <w:bookmarkEnd w:id="323"/>
      <w:bookmarkEnd w:id="324"/>
      <w:bookmarkEnd w:id="325"/>
      <w:bookmarkEnd w:id="326"/>
      <w:r w:rsidRPr="002F2BC5">
        <w:rPr>
          <w:rFonts w:hint="eastAsia"/>
          <w:rtl/>
        </w:rPr>
        <w:t>ו</w:t>
      </w:r>
      <w:r w:rsidRPr="002F2BC5">
        <w:rPr>
          <w:rFonts w:hint="cs"/>
          <w:rtl/>
        </w:rPr>
        <w:t>כי</w:t>
      </w:r>
      <w:r w:rsidRPr="002F2BC5">
        <w:rPr>
          <w:rtl/>
        </w:rPr>
        <w:t xml:space="preserve"> </w:t>
      </w:r>
      <w:r w:rsidRPr="002F2BC5">
        <w:rPr>
          <w:rFonts w:hint="eastAsia"/>
          <w:rtl/>
        </w:rPr>
        <w:t>הוועדה</w:t>
      </w:r>
      <w:r w:rsidRPr="002F2BC5">
        <w:rPr>
          <w:rtl/>
        </w:rPr>
        <w:t xml:space="preserve"> </w:t>
      </w:r>
      <w:r w:rsidRPr="002F2BC5">
        <w:rPr>
          <w:rFonts w:hint="eastAsia"/>
          <w:rtl/>
        </w:rPr>
        <w:t>הקבועה</w:t>
      </w:r>
      <w:r w:rsidRPr="002F2BC5">
        <w:rPr>
          <w:rtl/>
        </w:rPr>
        <w:t xml:space="preserve"> </w:t>
      </w:r>
      <w:r w:rsidRPr="002F2BC5">
        <w:rPr>
          <w:rFonts w:hint="cs"/>
          <w:rtl/>
        </w:rPr>
        <w:t>ת</w:t>
      </w:r>
      <w:r w:rsidRPr="002F2BC5">
        <w:rPr>
          <w:rFonts w:hint="eastAsia"/>
          <w:rtl/>
        </w:rPr>
        <w:t>קפיד</w:t>
      </w:r>
      <w:r w:rsidRPr="002F2BC5">
        <w:rPr>
          <w:rtl/>
        </w:rPr>
        <w:t xml:space="preserve"> </w:t>
      </w:r>
      <w:r w:rsidRPr="002F2BC5">
        <w:rPr>
          <w:rFonts w:hint="eastAsia"/>
          <w:rtl/>
        </w:rPr>
        <w:t>לדווח</w:t>
      </w:r>
      <w:r w:rsidRPr="002F2BC5">
        <w:rPr>
          <w:rtl/>
        </w:rPr>
        <w:t xml:space="preserve"> </w:t>
      </w:r>
      <w:r w:rsidRPr="002F2BC5">
        <w:rPr>
          <w:rFonts w:hint="cs"/>
          <w:rtl/>
        </w:rPr>
        <w:t xml:space="preserve">לגורם האמור בהתאם למנגנון </w:t>
      </w:r>
      <w:r w:rsidRPr="002F2BC5">
        <w:rPr>
          <w:rFonts w:hint="eastAsia"/>
          <w:rtl/>
        </w:rPr>
        <w:t>שייקבע</w:t>
      </w:r>
      <w:r w:rsidRPr="002F2BC5">
        <w:rPr>
          <w:rtl/>
        </w:rPr>
        <w:t xml:space="preserve"> </w:t>
      </w:r>
      <w:r w:rsidRPr="002F2BC5">
        <w:rPr>
          <w:rFonts w:hint="eastAsia"/>
          <w:rtl/>
        </w:rPr>
        <w:t>בעניין</w:t>
      </w:r>
      <w:r w:rsidRPr="002F2BC5">
        <w:rPr>
          <w:rtl/>
        </w:rPr>
        <w:t xml:space="preserve"> </w:t>
      </w:r>
      <w:r w:rsidRPr="002F2BC5">
        <w:rPr>
          <w:rFonts w:hint="eastAsia"/>
          <w:rtl/>
        </w:rPr>
        <w:t>זה</w:t>
      </w:r>
      <w:r w:rsidRPr="002F2BC5">
        <w:rPr>
          <w:rtl/>
        </w:rPr>
        <w:t>.</w:t>
      </w:r>
      <w:bookmarkEnd w:id="327"/>
      <w:bookmarkEnd w:id="328"/>
      <w:bookmarkEnd w:id="329"/>
      <w:bookmarkEnd w:id="330"/>
      <w:bookmarkEnd w:id="331"/>
      <w:r w:rsidRPr="002F2BC5">
        <w:rPr>
          <w:rFonts w:hint="cs"/>
          <w:rtl/>
        </w:rPr>
        <w:t xml:space="preserve"> </w:t>
      </w:r>
      <w:bookmarkEnd w:id="332"/>
    </w:p>
    <w:p w14:paraId="66F19249" w14:textId="77777777" w:rsidR="00817399" w:rsidRPr="002F2BC5" w:rsidRDefault="00817399" w:rsidP="00817399">
      <w:pPr>
        <w:spacing w:line="269" w:lineRule="auto"/>
        <w:rPr>
          <w:rtl/>
        </w:rPr>
      </w:pPr>
    </w:p>
    <w:p w14:paraId="5C85F746" w14:textId="77777777" w:rsidR="00817399" w:rsidRPr="002F2BC5" w:rsidRDefault="00817399" w:rsidP="00817399">
      <w:pPr>
        <w:pStyle w:val="afa"/>
        <w:numPr>
          <w:ilvl w:val="0"/>
          <w:numId w:val="28"/>
        </w:numPr>
        <w:spacing w:line="269" w:lineRule="auto"/>
        <w:rPr>
          <w:rtl/>
        </w:rPr>
      </w:pPr>
      <w:bookmarkStart w:id="333" w:name="_Toc191986935"/>
      <w:r w:rsidRPr="002F2BC5">
        <w:rPr>
          <w:rStyle w:val="70"/>
          <w:rFonts w:hint="cs"/>
          <w:rtl/>
        </w:rPr>
        <w:t>מדיניות פרסום מידע על עבודת הוועדה:</w:t>
      </w:r>
      <w:bookmarkEnd w:id="333"/>
      <w:r w:rsidRPr="002F2BC5">
        <w:rPr>
          <w:rtl/>
        </w:rPr>
        <w:t xml:space="preserve"> </w:t>
      </w:r>
      <w:r w:rsidRPr="002F2BC5">
        <w:rPr>
          <w:rFonts w:hint="cs"/>
          <w:rtl/>
        </w:rPr>
        <w:t>בשנת 2018 פרסמה היחידה הממשלתית לחופש המידע במשרד המשפטים קווים מנחים "בעניין מדיניות פרסום יזום של מידע הנוגע לוועדות הפועלות בשירות הממשלה והעוזרות לה בקביעת מדיניות או יישומה" (להלן - נוהל היחידה הממשלתית לחופש המידע)</w:t>
      </w:r>
      <w:r w:rsidRPr="002F2BC5">
        <w:rPr>
          <w:rStyle w:val="af9"/>
          <w:rtl/>
        </w:rPr>
        <w:footnoteReference w:id="112"/>
      </w:r>
      <w:r w:rsidRPr="002F2BC5">
        <w:rPr>
          <w:rFonts w:hint="cs"/>
          <w:rtl/>
        </w:rPr>
        <w:t xml:space="preserve">. </w:t>
      </w:r>
    </w:p>
    <w:p w14:paraId="1A6C22D5" w14:textId="77777777" w:rsidR="00817399" w:rsidRPr="002F2BC5" w:rsidRDefault="00817399" w:rsidP="00817399">
      <w:pPr>
        <w:spacing w:line="269" w:lineRule="auto"/>
        <w:rPr>
          <w:rtl/>
        </w:rPr>
      </w:pPr>
    </w:p>
    <w:p w14:paraId="4180F628" w14:textId="77777777" w:rsidR="00817399" w:rsidRPr="002F2BC5" w:rsidRDefault="00817399" w:rsidP="00817399">
      <w:pPr>
        <w:pStyle w:val="afa"/>
        <w:spacing w:line="269" w:lineRule="auto"/>
        <w:ind w:left="340"/>
        <w:rPr>
          <w:rtl/>
        </w:rPr>
      </w:pPr>
      <w:r w:rsidRPr="002F2BC5">
        <w:rPr>
          <w:rFonts w:hint="cs"/>
          <w:rtl/>
        </w:rPr>
        <w:t>הוראות נוהל זה חלו</w:t>
      </w:r>
      <w:r w:rsidRPr="002F2BC5">
        <w:rPr>
          <w:rFonts w:hint="eastAsia"/>
          <w:rtl/>
        </w:rPr>
        <w:t>ת</w:t>
      </w:r>
      <w:r w:rsidRPr="002F2BC5">
        <w:rPr>
          <w:rFonts w:hint="cs"/>
          <w:rtl/>
        </w:rPr>
        <w:t xml:space="preserve"> על ועדות שהוקמו בשירות הציבורי, בהתאם לתנאים המפורטים בו, ובכללן ועדות שהוקמו מכוח החלטת ממשלה או ועדות הפועלות על פי פרק 64 להוראות התקשי"ר (תקנון שירות המדינה) וכן ועדות המשנה שלהן (</w:t>
      </w:r>
      <w:bookmarkStart w:id="334" w:name="_Hlk202077697"/>
      <w:r w:rsidRPr="002F2BC5">
        <w:rPr>
          <w:rFonts w:hint="cs"/>
          <w:rtl/>
        </w:rPr>
        <w:t>להלן - ועדות ציבוריות</w:t>
      </w:r>
      <w:bookmarkEnd w:id="334"/>
      <w:r w:rsidRPr="002F2BC5">
        <w:rPr>
          <w:rFonts w:hint="cs"/>
          <w:rtl/>
        </w:rPr>
        <w:t>)</w:t>
      </w:r>
      <w:r w:rsidRPr="002F2BC5">
        <w:rPr>
          <w:rStyle w:val="af9"/>
          <w:rtl/>
        </w:rPr>
        <w:footnoteReference w:id="113"/>
      </w:r>
      <w:r w:rsidRPr="002F2BC5">
        <w:rPr>
          <w:rFonts w:hint="cs"/>
          <w:rtl/>
        </w:rPr>
        <w:t xml:space="preserve">. על פי האמור בנוהל, </w:t>
      </w:r>
      <w:r w:rsidRPr="002F2BC5">
        <w:rPr>
          <w:rtl/>
        </w:rPr>
        <w:t xml:space="preserve">בעת מינוי </w:t>
      </w:r>
      <w:r w:rsidRPr="002F2BC5">
        <w:rPr>
          <w:rFonts w:hint="cs"/>
          <w:rtl/>
        </w:rPr>
        <w:t>ו</w:t>
      </w:r>
      <w:r w:rsidRPr="002F2BC5">
        <w:rPr>
          <w:rtl/>
        </w:rPr>
        <w:t xml:space="preserve">עדה </w:t>
      </w:r>
      <w:r w:rsidRPr="002F2BC5">
        <w:rPr>
          <w:rFonts w:hint="cs"/>
          <w:rtl/>
        </w:rPr>
        <w:t xml:space="preserve">ציבורית </w:t>
      </w:r>
      <w:r w:rsidRPr="002F2BC5">
        <w:rPr>
          <w:rtl/>
        </w:rPr>
        <w:t>ולא יאוחר מ</w:t>
      </w:r>
      <w:r w:rsidRPr="002F2BC5">
        <w:rPr>
          <w:rFonts w:hint="cs"/>
          <w:rtl/>
        </w:rPr>
        <w:t>-</w:t>
      </w:r>
      <w:r w:rsidRPr="002F2BC5">
        <w:rPr>
          <w:rtl/>
        </w:rPr>
        <w:t>21 יום מהמועד הראשון להתכנסותה</w:t>
      </w:r>
      <w:r w:rsidRPr="002F2BC5">
        <w:rPr>
          <w:rFonts w:hint="cs"/>
          <w:rtl/>
        </w:rPr>
        <w:t xml:space="preserve">, </w:t>
      </w:r>
      <w:r w:rsidRPr="002F2BC5">
        <w:rPr>
          <w:rtl/>
        </w:rPr>
        <w:t xml:space="preserve">הגורם שמינה את הוועדה </w:t>
      </w:r>
      <w:r w:rsidRPr="002F2BC5">
        <w:rPr>
          <w:rFonts w:hint="cs"/>
          <w:rtl/>
        </w:rPr>
        <w:t>או מי שעומד בראשותה (</w:t>
      </w:r>
      <w:bookmarkStart w:id="335" w:name="_Hlk202077711"/>
      <w:r w:rsidRPr="002F2BC5">
        <w:rPr>
          <w:rFonts w:hint="cs"/>
          <w:rtl/>
        </w:rPr>
        <w:t>להלן - הגורם המחליט</w:t>
      </w:r>
      <w:r w:rsidRPr="002F2BC5">
        <w:rPr>
          <w:rtl/>
        </w:rPr>
        <w:t>)</w:t>
      </w:r>
      <w:r w:rsidRPr="002F2BC5">
        <w:rPr>
          <w:rFonts w:hint="cs"/>
          <w:rtl/>
        </w:rPr>
        <w:t xml:space="preserve">, </w:t>
      </w:r>
      <w:bookmarkEnd w:id="335"/>
      <w:r w:rsidRPr="002F2BC5">
        <w:rPr>
          <w:rtl/>
        </w:rPr>
        <w:t xml:space="preserve">לאחר התייעצות עם הגורמים הרלוונטיים, יקבע את רמת השקיפות שבכוונתו לאמץ בעניין </w:t>
      </w:r>
      <w:r w:rsidRPr="002F2BC5">
        <w:rPr>
          <w:rFonts w:hint="cs"/>
          <w:rtl/>
        </w:rPr>
        <w:t xml:space="preserve">עבודת </w:t>
      </w:r>
      <w:r w:rsidRPr="002F2BC5">
        <w:rPr>
          <w:rtl/>
        </w:rPr>
        <w:t>הוועדה</w:t>
      </w:r>
      <w:r w:rsidRPr="002F2BC5">
        <w:rPr>
          <w:rFonts w:hint="cs"/>
          <w:rtl/>
        </w:rPr>
        <w:t>, ובכלל זה מידע מקדים לעבודתה (כתב המינוי שלה או החלטת הממשלה שמכוחה היא הוקמה, סדרי עבודתה ודרכי קבלת החלטותיה, חבריה ותחומי מומחיותם, דרכים לשיתוף הציבור בעבודת הוועדה, תקציבה הייעודי וכן לוחות הזמנים לעבודתה); מידע הנוצר על ידי הוועדה ומתעד את עבודתה (פרוטוקולי הוועדה); חומרים שהועמדו בפני הוועדה; וכן תוצרי עבודתה (להלן יחדיו - מדיניות הפרסום אודות עבודת הוועדה). עוד קובע הנוהל כי המדיניות שתיקבע "</w:t>
      </w:r>
      <w:r w:rsidRPr="002F2BC5">
        <w:rPr>
          <w:rtl/>
        </w:rPr>
        <w:t>תפורסם ללא שיהוי ולא יאוחר משבועיים</w:t>
      </w:r>
      <w:r w:rsidRPr="002F2BC5">
        <w:rPr>
          <w:rFonts w:hint="cs"/>
          <w:rtl/>
        </w:rPr>
        <w:t xml:space="preserve"> </w:t>
      </w:r>
      <w:r w:rsidRPr="002F2BC5">
        <w:rPr>
          <w:rtl/>
        </w:rPr>
        <w:t>מיום קבלתה, באופן פומבי באמצעי הפרסום האפקטיביים ביותר בנסיבות העניין</w:t>
      </w:r>
      <w:r w:rsidRPr="002F2BC5">
        <w:rPr>
          <w:rFonts w:hint="cs"/>
          <w:rtl/>
        </w:rPr>
        <w:t xml:space="preserve"> </w:t>
      </w:r>
      <w:r w:rsidRPr="002F2BC5">
        <w:rPr>
          <w:rtl/>
        </w:rPr>
        <w:t>והמבטיחים יידוע לכלל הציבור ויידוע קהל יעד רלוונטי</w:t>
      </w:r>
      <w:r w:rsidRPr="002F2BC5">
        <w:rPr>
          <w:rFonts w:hint="cs"/>
          <w:rtl/>
        </w:rPr>
        <w:t>"</w:t>
      </w:r>
      <w:r w:rsidRPr="002F2BC5">
        <w:rPr>
          <w:rStyle w:val="af9"/>
          <w:rtl/>
        </w:rPr>
        <w:footnoteReference w:id="114"/>
      </w:r>
      <w:r w:rsidRPr="002F2BC5">
        <w:rPr>
          <w:rFonts w:hint="cs"/>
          <w:rtl/>
        </w:rPr>
        <w:t xml:space="preserve">. </w:t>
      </w:r>
    </w:p>
    <w:p w14:paraId="0B703FE4" w14:textId="77777777" w:rsidR="00817399" w:rsidRPr="002F2BC5" w:rsidRDefault="00817399" w:rsidP="00817399">
      <w:pPr>
        <w:spacing w:line="269" w:lineRule="auto"/>
        <w:rPr>
          <w:rtl/>
        </w:rPr>
      </w:pPr>
    </w:p>
    <w:p w14:paraId="6C4FBBC2" w14:textId="77777777" w:rsidR="00817399" w:rsidRPr="002F2BC5" w:rsidRDefault="00817399" w:rsidP="00817399">
      <w:pPr>
        <w:pStyle w:val="afffffff9"/>
        <w:spacing w:line="269" w:lineRule="auto"/>
        <w:ind w:left="312"/>
        <w:rPr>
          <w:rtl/>
        </w:rPr>
      </w:pPr>
      <w:bookmarkStart w:id="336" w:name="_Toc191892674"/>
      <w:bookmarkStart w:id="337" w:name="_Toc191893058"/>
      <w:bookmarkStart w:id="338" w:name="_Toc191986936"/>
      <w:bookmarkStart w:id="339" w:name="_Toc192093048"/>
      <w:bookmarkStart w:id="340" w:name="_Toc192612756"/>
      <w:bookmarkStart w:id="341" w:name="_Toc198312180"/>
      <w:bookmarkStart w:id="342" w:name="_Toc198312651"/>
      <w:bookmarkStart w:id="343" w:name="_Toc200636839"/>
      <w:bookmarkStart w:id="344" w:name="_Toc200439838"/>
      <w:bookmarkStart w:id="345" w:name="_Toc201240943"/>
      <w:r w:rsidRPr="002F2BC5">
        <w:rPr>
          <w:rFonts w:hint="cs"/>
          <w:rtl/>
        </w:rPr>
        <w:t>הועלה כי הגורם המחליט כפי שהוגדר בנוהל היחידה הממשלתית לחופש המידע לא קבע מדיניות בעניין פרסום אודות עבודת הוועדה הבין-משרדית הקבועה ובכלל זה באשר לפרסום הפרוטוקולים של דיוניה. משכך מדיניות זו גם לא פורסמה בפומבי כפי שמורה הנוהל.</w:t>
      </w:r>
      <w:bookmarkEnd w:id="336"/>
      <w:bookmarkEnd w:id="337"/>
      <w:bookmarkEnd w:id="338"/>
      <w:bookmarkEnd w:id="339"/>
      <w:bookmarkEnd w:id="340"/>
      <w:bookmarkEnd w:id="341"/>
      <w:bookmarkEnd w:id="342"/>
      <w:bookmarkEnd w:id="343"/>
      <w:bookmarkEnd w:id="344"/>
      <w:bookmarkEnd w:id="345"/>
    </w:p>
    <w:p w14:paraId="49E2E894" w14:textId="77777777" w:rsidR="00817399" w:rsidRPr="002F2BC5" w:rsidRDefault="00817399" w:rsidP="00817399">
      <w:pPr>
        <w:spacing w:line="269" w:lineRule="auto"/>
        <w:rPr>
          <w:rtl/>
        </w:rPr>
      </w:pPr>
    </w:p>
    <w:p w14:paraId="21014D36" w14:textId="77777777" w:rsidR="00817399" w:rsidRPr="002F2BC5" w:rsidRDefault="00817399" w:rsidP="00817399">
      <w:pPr>
        <w:pStyle w:val="afffffffa"/>
        <w:spacing w:line="269" w:lineRule="auto"/>
        <w:ind w:left="312"/>
        <w:rPr>
          <w:rtl/>
        </w:rPr>
      </w:pPr>
      <w:bookmarkStart w:id="346" w:name="_Toc191892675"/>
      <w:bookmarkStart w:id="347" w:name="_Toc191893059"/>
      <w:bookmarkStart w:id="348" w:name="_Toc191986937"/>
      <w:bookmarkStart w:id="349" w:name="_Toc192093049"/>
      <w:bookmarkStart w:id="350" w:name="_Toc192612757"/>
      <w:bookmarkStart w:id="351" w:name="_Toc198312181"/>
      <w:bookmarkStart w:id="352" w:name="_Toc198312652"/>
      <w:bookmarkStart w:id="353" w:name="_Toc200636840"/>
      <w:bookmarkStart w:id="354" w:name="_Toc200439839"/>
      <w:bookmarkStart w:id="355" w:name="_Toc201240944"/>
      <w:r w:rsidRPr="002F2BC5">
        <w:rPr>
          <w:rFonts w:hint="cs"/>
          <w:rtl/>
        </w:rPr>
        <w:t>על הוועדה הבין-משרדית הקבועה ועל העומד בראשה לקבוע מדיניות באשר לפרסום מידע אודות עבודת הוועדה בהתאם להוראותיו של נוהל היחידה הממשלתית לחופש המידע ולפרסמה בפומבי, וכן להקפיד ולפעול על פי המדיניות שקבעה בעניין זה.</w:t>
      </w:r>
      <w:bookmarkEnd w:id="346"/>
      <w:bookmarkEnd w:id="347"/>
      <w:bookmarkEnd w:id="348"/>
      <w:bookmarkEnd w:id="349"/>
      <w:bookmarkEnd w:id="350"/>
      <w:bookmarkEnd w:id="351"/>
      <w:bookmarkEnd w:id="352"/>
      <w:bookmarkEnd w:id="353"/>
      <w:bookmarkEnd w:id="354"/>
      <w:bookmarkEnd w:id="355"/>
      <w:r w:rsidRPr="002F2BC5">
        <w:rPr>
          <w:rFonts w:hint="cs"/>
          <w:rtl/>
        </w:rPr>
        <w:t xml:space="preserve"> </w:t>
      </w:r>
    </w:p>
    <w:p w14:paraId="49FBC31E" w14:textId="77777777" w:rsidR="00817399" w:rsidRPr="002F2BC5" w:rsidRDefault="00817399" w:rsidP="00817399">
      <w:pPr>
        <w:spacing w:line="269" w:lineRule="auto"/>
        <w:ind w:left="312"/>
        <w:rPr>
          <w:rtl/>
        </w:rPr>
      </w:pPr>
      <w:r w:rsidRPr="002F2BC5">
        <w:rPr>
          <w:rFonts w:hint="cs"/>
          <w:rtl/>
        </w:rPr>
        <w:lastRenderedPageBreak/>
        <w:t>משרד הרווחה מסר בתשובתו כי הוועדה הבין-משרדית תפרסם בנובמבר 2025 את עיקרי פעילותה ואת הנתונים שבידה בנוגע לתופעת האלימות במשפחה.</w:t>
      </w:r>
    </w:p>
    <w:p w14:paraId="5A794012" w14:textId="77777777" w:rsidR="00817399" w:rsidRPr="002F2BC5" w:rsidRDefault="00817399" w:rsidP="00817399">
      <w:pPr>
        <w:spacing w:line="269" w:lineRule="auto"/>
        <w:rPr>
          <w:rtl/>
        </w:rPr>
      </w:pPr>
    </w:p>
    <w:p w14:paraId="789BDB23" w14:textId="77777777" w:rsidR="00817399" w:rsidRPr="002F2BC5" w:rsidRDefault="00817399" w:rsidP="00817399">
      <w:pPr>
        <w:pStyle w:val="afa"/>
        <w:numPr>
          <w:ilvl w:val="0"/>
          <w:numId w:val="28"/>
        </w:numPr>
        <w:spacing w:line="269" w:lineRule="auto"/>
      </w:pPr>
      <w:bookmarkStart w:id="356" w:name="_Toc191986938"/>
      <w:r w:rsidRPr="002F2BC5">
        <w:rPr>
          <w:rStyle w:val="70"/>
          <w:rFonts w:hint="cs"/>
          <w:rtl/>
        </w:rPr>
        <w:t>הרכב הוועדה הבין-משרדית הקבועה:</w:t>
      </w:r>
      <w:bookmarkEnd w:id="356"/>
      <w:r w:rsidRPr="002F2BC5">
        <w:rPr>
          <w:rStyle w:val="70"/>
          <w:rFonts w:hint="cs"/>
          <w:rtl/>
        </w:rPr>
        <w:t xml:space="preserve"> </w:t>
      </w:r>
      <w:r w:rsidRPr="002F2BC5">
        <w:rPr>
          <w:rFonts w:hint="cs"/>
          <w:rtl/>
        </w:rPr>
        <w:t>לפי הוראות התע"ס, לצד מנהלה הכללי של משרד הרווחה, העומד בראש הוועדה, נציגיהם של 11 משרדי ממשלה ויחידות סמך ממשלתיות ישמשו חברים קבועים בוועדה: המשרד לביטחון לאומי, שירות בתי הסוהר, משטרת ישראל, הרשות לקידום מעמד האישה, משרד החינוך, משרד התרבות והספורט, המוסד לביטוח לאומי, משרד הבריאות, משרד העלייה, משרד המשפטים ומשרד הבינוי והשיכון. לפי הוראות התע"ס, נוסף עליהם ישמשו כחברים בוועדה גם "נציגי ארגונים וולונטריים העוסקים בתחום".</w:t>
      </w:r>
    </w:p>
    <w:p w14:paraId="0E32BD70" w14:textId="77777777" w:rsidR="00817399" w:rsidRPr="002F2BC5" w:rsidRDefault="00817399" w:rsidP="00817399">
      <w:pPr>
        <w:spacing w:line="269" w:lineRule="auto"/>
        <w:rPr>
          <w:rtl/>
        </w:rPr>
      </w:pPr>
    </w:p>
    <w:p w14:paraId="4B9A1E92" w14:textId="77777777" w:rsidR="00817399" w:rsidRPr="002F2BC5" w:rsidRDefault="00817399" w:rsidP="00817399">
      <w:pPr>
        <w:spacing w:line="269" w:lineRule="auto"/>
        <w:ind w:left="312"/>
        <w:rPr>
          <w:rtl/>
        </w:rPr>
      </w:pPr>
      <w:r w:rsidRPr="002F2BC5">
        <w:rPr>
          <w:rFonts w:hint="cs"/>
          <w:rtl/>
        </w:rPr>
        <w:t>בהחלטת הממשלה 1249 נקבע כי בוועדה הקבועה (ועדת המנכ"לים) ישמשו חברים קבועים, לצד מנהלה הכללי של משרד הרווחה, נציגיהם של תשעה משרדי ממשלה ויחידות סמך ממשלתיות: המשרד לביטחון לאומי, משרד המשפטים, משרד החינוך, משרד העלייה, משרד הבריאות, משרד הפנים, משרד החוץ, משרד האוצר והמשרד לשוויון חברתי וקידום מעמד האישה (</w:t>
      </w:r>
      <w:bookmarkStart w:id="357" w:name="_Hlk202078017"/>
      <w:r w:rsidRPr="002F2BC5">
        <w:rPr>
          <w:rFonts w:hint="cs"/>
          <w:rtl/>
        </w:rPr>
        <w:t>להלן - המשרד לשוויון חברתי</w:t>
      </w:r>
      <w:bookmarkEnd w:id="357"/>
      <w:r w:rsidRPr="002F2BC5">
        <w:rPr>
          <w:rFonts w:hint="cs"/>
          <w:rtl/>
        </w:rPr>
        <w:t xml:space="preserve">). נוסף על כך נקבע בהחלטה זו כי לדיוני הוועדה הקבועה יוזמנו נציגי הרשות לקידום מעמד האישה, משטרת ישראל, מרכז השלטון המקומי ושירות בתי הסוהר. </w:t>
      </w:r>
    </w:p>
    <w:p w14:paraId="7293994F" w14:textId="77777777" w:rsidR="00817399" w:rsidRPr="002F2BC5" w:rsidRDefault="00817399" w:rsidP="00817399">
      <w:pPr>
        <w:spacing w:line="269" w:lineRule="auto"/>
        <w:rPr>
          <w:rtl/>
        </w:rPr>
      </w:pPr>
    </w:p>
    <w:p w14:paraId="236D5679" w14:textId="77777777" w:rsidR="00817399" w:rsidRPr="002F2BC5" w:rsidRDefault="00817399" w:rsidP="00817399">
      <w:pPr>
        <w:spacing w:line="269" w:lineRule="auto"/>
        <w:ind w:left="312"/>
        <w:rPr>
          <w:rtl/>
        </w:rPr>
      </w:pPr>
      <w:bookmarkStart w:id="358" w:name="_Hlk188341324"/>
      <w:r w:rsidRPr="002F2BC5">
        <w:rPr>
          <w:rFonts w:hint="eastAsia"/>
          <w:rtl/>
        </w:rPr>
        <w:t>נמצא</w:t>
      </w:r>
      <w:bookmarkEnd w:id="358"/>
      <w:r w:rsidRPr="002F2BC5">
        <w:rPr>
          <w:rFonts w:hint="cs"/>
          <w:rtl/>
        </w:rPr>
        <w:t xml:space="preserve"> </w:t>
      </w:r>
      <w:r w:rsidRPr="002F2BC5">
        <w:rPr>
          <w:rFonts w:hint="eastAsia"/>
          <w:rtl/>
        </w:rPr>
        <w:t>כי</w:t>
      </w:r>
      <w:r w:rsidRPr="002F2BC5">
        <w:rPr>
          <w:rFonts w:hint="cs"/>
          <w:rtl/>
        </w:rPr>
        <w:t xml:space="preserve"> הרכב חבריה של הוועדה הקבועה אינו תואם את הוראות התע"ס: בוועדה הקבועה חברים נציגי משרד הרווחה, הרשות לשיקום האסיר, המשרד לביטחון לאומי (הרשות הלאומית לביטחון קהילתי), משטרת ישראל, משרד הפנים, משרד החינוך, משרד המשפטים, שירות בתי הסוהר ומשרד הבריאות. נוסף עליהם גם לרשויות המקומיות יש נציגות קבועה בוועדה. זאת בעוד </w:t>
      </w:r>
      <w:bookmarkStart w:id="359" w:name="_Hlk181601007"/>
      <w:r w:rsidRPr="002F2BC5">
        <w:rPr>
          <w:rFonts w:hint="cs"/>
          <w:rtl/>
        </w:rPr>
        <w:t xml:space="preserve">הרשות לקידום מעמד האישה, משרד התרבות והספורט, המוסד לביטוח לאומי, משרד העלייה ומשרד הבינוי והשיכון </w:t>
      </w:r>
      <w:bookmarkEnd w:id="359"/>
      <w:r w:rsidRPr="002F2BC5">
        <w:rPr>
          <w:rFonts w:hint="cs"/>
          <w:rtl/>
        </w:rPr>
        <w:t>- שעל פי הוראות התע"ס נציגיהם אמורים להימנות עם חברי הוועדה הקבועה - אינם נמנים עם חבריה. כך גם לא נמנים עם חברי הוועדה הקבועים נציגיהם של משרד החוץ, משרד האוצר והמשרד לשוויון חברתי - שאמורים להימנות עם חברי הוועדה הקבועים לפי החלטת הממשלה 1249.</w:t>
      </w:r>
    </w:p>
    <w:p w14:paraId="349B33A7" w14:textId="77777777" w:rsidR="00817399" w:rsidRPr="002F2BC5" w:rsidRDefault="00817399" w:rsidP="00817399">
      <w:pPr>
        <w:spacing w:line="269" w:lineRule="auto"/>
        <w:rPr>
          <w:rtl/>
        </w:rPr>
      </w:pPr>
    </w:p>
    <w:p w14:paraId="41196363" w14:textId="09CDFE0A" w:rsidR="00817399" w:rsidRPr="002F2BC5" w:rsidRDefault="00817399" w:rsidP="00817399">
      <w:pPr>
        <w:spacing w:line="269" w:lineRule="auto"/>
        <w:ind w:left="312"/>
        <w:rPr>
          <w:rtl/>
        </w:rPr>
      </w:pPr>
      <w:r w:rsidRPr="002F2BC5">
        <w:rPr>
          <w:rFonts w:hint="cs"/>
          <w:rtl/>
        </w:rPr>
        <w:t>השוואה בין הרכב הוועדה הקבועה לפי הוראות התע"ס, לפי החלטת הממשלה 1249 ולפי הרכב הוועדה בפועל, בהתבסס על המידע שמסרה הוועדה הבין-משרדית במהלך הביקורת הנוכחית, מוצגת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Ref186447176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3</w:t>
      </w:r>
      <w:r w:rsidRPr="002F2BC5">
        <w:rPr>
          <w:rtl/>
        </w:rPr>
        <w:fldChar w:fldCharType="end"/>
      </w:r>
      <w:r w:rsidRPr="002F2BC5">
        <w:rPr>
          <w:rFonts w:hint="cs"/>
          <w:rtl/>
        </w:rPr>
        <w:t>.</w:t>
      </w:r>
    </w:p>
    <w:p w14:paraId="06069F04" w14:textId="77777777" w:rsidR="00817399" w:rsidRPr="002F2BC5" w:rsidRDefault="00817399" w:rsidP="00817399">
      <w:pPr>
        <w:spacing w:line="269" w:lineRule="auto"/>
        <w:rPr>
          <w:rtl/>
        </w:rPr>
      </w:pPr>
    </w:p>
    <w:p w14:paraId="470F0BF5" w14:textId="77777777" w:rsidR="00817399" w:rsidRPr="002F2BC5" w:rsidRDefault="00817399" w:rsidP="00817399">
      <w:pPr>
        <w:pStyle w:val="a0"/>
        <w:spacing w:line="269" w:lineRule="auto"/>
        <w:rPr>
          <w:b w:val="0"/>
          <w:bCs w:val="0"/>
          <w:rtl/>
        </w:rPr>
      </w:pPr>
      <w:bookmarkStart w:id="360" w:name="_Ref186447176"/>
      <w:bookmarkStart w:id="361" w:name="_Toc192674048"/>
      <w:r w:rsidRPr="002F2BC5">
        <w:rPr>
          <w:rFonts w:hint="cs"/>
          <w:b w:val="0"/>
          <w:bCs w:val="0"/>
          <w:rtl/>
        </w:rPr>
        <w:lastRenderedPageBreak/>
        <w:t xml:space="preserve">: </w:t>
      </w:r>
      <w:r w:rsidRPr="002F2BC5">
        <w:rPr>
          <w:rFonts w:hint="cs"/>
          <w:rtl/>
        </w:rPr>
        <w:t>השוואה בין הרכב הוועדה הקבועה לפי הוראות התע"ס ולפי החלטת הממשלה 1249</w:t>
      </w:r>
      <w:bookmarkEnd w:id="360"/>
      <w:r w:rsidRPr="002F2BC5">
        <w:rPr>
          <w:rFonts w:hint="cs"/>
          <w:rtl/>
        </w:rPr>
        <w:t xml:space="preserve"> </w:t>
      </w:r>
      <w:r w:rsidRPr="002F2BC5">
        <w:rPr>
          <w:rtl/>
        </w:rPr>
        <w:br/>
      </w:r>
      <w:r w:rsidRPr="002F2BC5">
        <w:rPr>
          <w:rFonts w:hint="cs"/>
          <w:rtl/>
        </w:rPr>
        <w:t>לבין הרכב הוועדה הקבועה נכון למועד סיום הביקורת הנוכחית, דצמבר 2024</w:t>
      </w:r>
      <w:bookmarkEnd w:id="361"/>
    </w:p>
    <w:p w14:paraId="274A95FD" w14:textId="77777777" w:rsidR="00817399" w:rsidRPr="002F2BC5" w:rsidRDefault="00817399" w:rsidP="00817399">
      <w:pPr>
        <w:pStyle w:val="afffffff4"/>
        <w:bidi/>
        <w:spacing w:before="0" w:after="0" w:line="269" w:lineRule="auto"/>
      </w:pPr>
      <w:r w:rsidRPr="002F2BC5">
        <w:rPr>
          <w:noProof/>
        </w:rPr>
        <w:t xml:space="preserve"> </w:t>
      </w:r>
      <w:r w:rsidRPr="002F2BC5">
        <w:rPr>
          <w:noProof/>
        </w:rPr>
        <w:drawing>
          <wp:inline distT="0" distB="0" distL="0" distR="0" wp14:anchorId="0F6E2E10" wp14:editId="10E9D403">
            <wp:extent cx="4320000" cy="4492455"/>
            <wp:effectExtent l="0" t="0" r="4445" b="3810"/>
            <wp:docPr id="43" name="תמונה 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000" cy="4492455"/>
                    </a:xfrm>
                    <a:prstGeom prst="rect">
                      <a:avLst/>
                    </a:prstGeom>
                  </pic:spPr>
                </pic:pic>
              </a:graphicData>
            </a:graphic>
          </wp:inline>
        </w:drawing>
      </w:r>
    </w:p>
    <w:p w14:paraId="7368D888" w14:textId="77777777" w:rsidR="00817399" w:rsidRPr="002F2BC5" w:rsidRDefault="00817399" w:rsidP="00817399">
      <w:pPr>
        <w:pStyle w:val="afffffff1"/>
        <w:bidi/>
        <w:spacing w:line="269" w:lineRule="auto"/>
      </w:pPr>
      <w:r w:rsidRPr="002F2BC5">
        <w:rPr>
          <w:rFonts w:hint="cs"/>
          <w:rtl/>
        </w:rPr>
        <w:t xml:space="preserve">על פי </w:t>
      </w:r>
      <w:r w:rsidRPr="002F2BC5">
        <w:rPr>
          <w:rtl/>
        </w:rPr>
        <w:t>הוראות התע"ס, החלטת הממשלה 1249 והרכב הוועדה בפועל, בהתבסס על המידע שמסרה הוועדה הבין-משרדית</w:t>
      </w:r>
      <w:r w:rsidRPr="002F2BC5">
        <w:rPr>
          <w:rFonts w:hint="cs"/>
          <w:rtl/>
        </w:rPr>
        <w:t xml:space="preserve"> במהלך הביקורת הנוכחית, בעיבוד משרד מבקר המדינה.</w:t>
      </w:r>
    </w:p>
    <w:p w14:paraId="1847E081" w14:textId="77777777" w:rsidR="00817399" w:rsidRPr="002F2BC5" w:rsidRDefault="00817399" w:rsidP="00817399">
      <w:pPr>
        <w:spacing w:line="269" w:lineRule="auto"/>
        <w:rPr>
          <w:rtl/>
        </w:rPr>
      </w:pPr>
    </w:p>
    <w:p w14:paraId="187C7B86" w14:textId="77777777" w:rsidR="00817399" w:rsidRPr="002F2BC5" w:rsidRDefault="00817399" w:rsidP="00817399">
      <w:pPr>
        <w:pStyle w:val="afffffff9"/>
        <w:spacing w:line="269" w:lineRule="auto"/>
        <w:ind w:left="312"/>
        <w:rPr>
          <w:rtl/>
        </w:rPr>
      </w:pPr>
      <w:bookmarkStart w:id="362" w:name="_Toc191892676"/>
      <w:bookmarkStart w:id="363" w:name="_Toc191893060"/>
      <w:bookmarkStart w:id="364" w:name="_Toc191986939"/>
      <w:bookmarkStart w:id="365" w:name="_Toc192093050"/>
      <w:bookmarkStart w:id="366" w:name="_Toc192612758"/>
      <w:bookmarkStart w:id="367" w:name="_Toc198312182"/>
      <w:bookmarkStart w:id="368" w:name="_Toc198312653"/>
      <w:bookmarkStart w:id="369" w:name="_Toc200636841"/>
      <w:bookmarkStart w:id="370" w:name="_Toc200439840"/>
      <w:bookmarkStart w:id="371" w:name="_Toc201240945"/>
      <w:bookmarkStart w:id="372" w:name="_Hlk191892200"/>
      <w:r w:rsidRPr="002F2BC5">
        <w:rPr>
          <w:rFonts w:hint="cs"/>
          <w:rtl/>
        </w:rPr>
        <w:t xml:space="preserve">יוצא מן האמור כי ההרכב בפועל של הוועדה הבין-משרדית הקבועה, בהתבסס על המידע שמסרה הוועדה במהלך הביקורת הנוכחית, אינו תואם את הוראות התע"ס, והוא אינו כולל את הרשות לקידום מעמד האישה, משרד התרבות והספורט, המוסד לביטוח לאומי, משרד העלייה ומשרד הבינוי והשיכון. בה בעת קיימת נציגות קבועה לרשויות המקומיות, אך זו אינה מעוגנת בהוראות התע"ס. ההרכב בפועל אף אינו תואם את </w:t>
      </w:r>
      <w:r w:rsidRPr="002F2BC5">
        <w:rPr>
          <w:rFonts w:hint="eastAsia"/>
          <w:rtl/>
        </w:rPr>
        <w:t>החלטת</w:t>
      </w:r>
      <w:r w:rsidRPr="002F2BC5">
        <w:rPr>
          <w:rtl/>
        </w:rPr>
        <w:t xml:space="preserve"> </w:t>
      </w:r>
      <w:r w:rsidRPr="002F2BC5">
        <w:rPr>
          <w:rFonts w:hint="cs"/>
          <w:rtl/>
        </w:rPr>
        <w:t>ה</w:t>
      </w:r>
      <w:r w:rsidRPr="002F2BC5">
        <w:rPr>
          <w:rFonts w:hint="eastAsia"/>
          <w:rtl/>
        </w:rPr>
        <w:t>ממשלה</w:t>
      </w:r>
      <w:r w:rsidRPr="002F2BC5">
        <w:rPr>
          <w:rtl/>
        </w:rPr>
        <w:t xml:space="preserve"> 1249</w:t>
      </w:r>
      <w:r w:rsidRPr="002F2BC5">
        <w:rPr>
          <w:rFonts w:hint="cs"/>
          <w:rtl/>
        </w:rPr>
        <w:t>,</w:t>
      </w:r>
      <w:r w:rsidRPr="002F2BC5">
        <w:rPr>
          <w:rtl/>
        </w:rPr>
        <w:t xml:space="preserve"> והוא אינו כולל את </w:t>
      </w:r>
      <w:r w:rsidRPr="002F2BC5">
        <w:rPr>
          <w:rFonts w:hint="eastAsia"/>
          <w:rtl/>
        </w:rPr>
        <w:t>משרד</w:t>
      </w:r>
      <w:r w:rsidRPr="002F2BC5">
        <w:rPr>
          <w:rtl/>
        </w:rPr>
        <w:t xml:space="preserve"> </w:t>
      </w:r>
      <w:r w:rsidRPr="002F2BC5">
        <w:rPr>
          <w:rFonts w:hint="eastAsia"/>
          <w:rtl/>
        </w:rPr>
        <w:t>החוץ</w:t>
      </w:r>
      <w:r w:rsidRPr="002F2BC5">
        <w:rPr>
          <w:rtl/>
        </w:rPr>
        <w:t xml:space="preserve">, </w:t>
      </w:r>
      <w:r w:rsidRPr="002F2BC5">
        <w:rPr>
          <w:rFonts w:hint="eastAsia"/>
          <w:rtl/>
        </w:rPr>
        <w:t>משרד</w:t>
      </w:r>
      <w:r w:rsidRPr="002F2BC5">
        <w:rPr>
          <w:rtl/>
        </w:rPr>
        <w:t xml:space="preserve"> </w:t>
      </w:r>
      <w:r w:rsidRPr="002F2BC5">
        <w:rPr>
          <w:rFonts w:hint="eastAsia"/>
          <w:rtl/>
        </w:rPr>
        <w:t>האוצר</w:t>
      </w:r>
      <w:r w:rsidRPr="002F2BC5">
        <w:rPr>
          <w:rtl/>
        </w:rPr>
        <w:t xml:space="preserve"> </w:t>
      </w:r>
      <w:r w:rsidRPr="002F2BC5">
        <w:rPr>
          <w:rFonts w:hint="eastAsia"/>
          <w:rtl/>
        </w:rPr>
        <w:t>והמשרד</w:t>
      </w:r>
      <w:r w:rsidRPr="002F2BC5">
        <w:rPr>
          <w:rtl/>
        </w:rPr>
        <w:t xml:space="preserve"> </w:t>
      </w:r>
      <w:r w:rsidRPr="002F2BC5">
        <w:rPr>
          <w:rFonts w:hint="eastAsia"/>
          <w:rtl/>
        </w:rPr>
        <w:t>לשוויון</w:t>
      </w:r>
      <w:r w:rsidRPr="002F2BC5">
        <w:rPr>
          <w:rtl/>
        </w:rPr>
        <w:t xml:space="preserve"> </w:t>
      </w:r>
      <w:r w:rsidRPr="002F2BC5">
        <w:rPr>
          <w:rFonts w:hint="eastAsia"/>
          <w:rtl/>
        </w:rPr>
        <w:t>חברתי</w:t>
      </w:r>
      <w:r w:rsidRPr="002F2BC5">
        <w:rPr>
          <w:rtl/>
        </w:rPr>
        <w:t>.</w:t>
      </w:r>
      <w:bookmarkEnd w:id="362"/>
      <w:bookmarkEnd w:id="363"/>
      <w:bookmarkEnd w:id="364"/>
      <w:bookmarkEnd w:id="365"/>
      <w:bookmarkEnd w:id="366"/>
      <w:bookmarkEnd w:id="367"/>
      <w:bookmarkEnd w:id="368"/>
      <w:bookmarkEnd w:id="369"/>
      <w:bookmarkEnd w:id="370"/>
      <w:bookmarkEnd w:id="371"/>
    </w:p>
    <w:p w14:paraId="7A9B822B" w14:textId="77777777" w:rsidR="00817399" w:rsidRPr="002F2BC5" w:rsidRDefault="00817399" w:rsidP="00817399">
      <w:pPr>
        <w:spacing w:line="269" w:lineRule="auto"/>
        <w:rPr>
          <w:rtl/>
        </w:rPr>
      </w:pPr>
    </w:p>
    <w:p w14:paraId="3ADD9831" w14:textId="77777777" w:rsidR="00817399" w:rsidRPr="002F2BC5" w:rsidRDefault="00817399" w:rsidP="00817399">
      <w:pPr>
        <w:spacing w:line="269" w:lineRule="auto"/>
        <w:ind w:left="312"/>
        <w:rPr>
          <w:rtl/>
        </w:rPr>
      </w:pPr>
      <w:r w:rsidRPr="002F2BC5">
        <w:rPr>
          <w:rFonts w:hint="cs"/>
          <w:rtl/>
        </w:rPr>
        <w:t>משרד התרבות והספורט מסר בתשובתו מאפריל 2025 כי לפי החלטת הממשלה 1249, הוא אינו מיוצג בוועדה הבין-משרדית הקבועה וכי לא הוזמן לישיבותיה, ומשכך גם לא השתתף בהן</w:t>
      </w:r>
      <w:r w:rsidRPr="002F2BC5">
        <w:rPr>
          <w:rtl/>
        </w:rPr>
        <w:t>.</w:t>
      </w:r>
      <w:r w:rsidRPr="002F2BC5">
        <w:rPr>
          <w:rFonts w:hint="cs"/>
          <w:rtl/>
        </w:rPr>
        <w:t xml:space="preserve"> עוד מסר כי ישתתף בישיבות הוועדה הקבועה אם יוזמן אליהן ואם יחול שינוי בהרכבה</w:t>
      </w:r>
      <w:r w:rsidRPr="002F2BC5">
        <w:rPr>
          <w:rtl/>
        </w:rPr>
        <w:t>.</w:t>
      </w:r>
      <w:r w:rsidRPr="002F2BC5">
        <w:rPr>
          <w:rFonts w:hint="cs"/>
          <w:rtl/>
        </w:rPr>
        <w:t xml:space="preserve"> גם משרד החוץ מסר בתשובתו ממאי 2025 כי נציגיו אינם נמנים עם חברי הוועדה הקבועה וכי ככל הידוע לו, גם לא הוזמן לישיבותיה, אך הוא נכון להשתתף בדיוניה אם יידונו בהם נושאים שמצויים בתחום אחריותו. </w:t>
      </w:r>
    </w:p>
    <w:p w14:paraId="62247148" w14:textId="77777777" w:rsidR="00817399" w:rsidRPr="002F2BC5" w:rsidRDefault="00817399" w:rsidP="00817399">
      <w:pPr>
        <w:spacing w:line="269" w:lineRule="auto"/>
        <w:rPr>
          <w:rtl/>
        </w:rPr>
      </w:pPr>
    </w:p>
    <w:p w14:paraId="2B1ABD0F" w14:textId="77777777" w:rsidR="00817399" w:rsidRPr="002F2BC5" w:rsidRDefault="00817399" w:rsidP="00817399">
      <w:pPr>
        <w:spacing w:line="269" w:lineRule="auto"/>
        <w:ind w:left="312"/>
        <w:rPr>
          <w:rtl/>
        </w:rPr>
      </w:pPr>
      <w:r w:rsidRPr="002F2BC5">
        <w:rPr>
          <w:rFonts w:hint="cs"/>
          <w:rtl/>
        </w:rPr>
        <w:t>אגף התקציבים במשרד האוצר מסר בתשובתו מאפריל 2025 כי למיטב ידיעתו, ולכל הפחות החל בחודש נובמבר 2022, לא זומן נציג מטעמו למפגשי הוועדה הבין-משרדית. המוסד לביטוח לאומי מסר בתשובתו מאפריל 2025 כי מבדיקתו עולה שהוא לא התבקש</w:t>
      </w:r>
      <w:r w:rsidRPr="002F2BC5">
        <w:rPr>
          <w:rtl/>
        </w:rPr>
        <w:t xml:space="preserve"> למנות נציג </w:t>
      </w:r>
      <w:r w:rsidRPr="002F2BC5">
        <w:rPr>
          <w:rFonts w:hint="cs"/>
          <w:rtl/>
        </w:rPr>
        <w:t xml:space="preserve">מטעמו </w:t>
      </w:r>
      <w:r w:rsidRPr="002F2BC5">
        <w:rPr>
          <w:rtl/>
        </w:rPr>
        <w:t>לוועדה הבין</w:t>
      </w:r>
      <w:r w:rsidRPr="002F2BC5">
        <w:rPr>
          <w:rFonts w:hint="cs"/>
          <w:rtl/>
        </w:rPr>
        <w:t>-</w:t>
      </w:r>
      <w:r w:rsidRPr="002F2BC5">
        <w:rPr>
          <w:rtl/>
        </w:rPr>
        <w:t>משרדית</w:t>
      </w:r>
      <w:r w:rsidRPr="002F2BC5">
        <w:rPr>
          <w:rFonts w:hint="cs"/>
          <w:rtl/>
        </w:rPr>
        <w:t>, אך אם יקבל</w:t>
      </w:r>
      <w:r w:rsidRPr="002F2BC5">
        <w:rPr>
          <w:rtl/>
        </w:rPr>
        <w:t xml:space="preserve"> בקשה כזו</w:t>
      </w:r>
      <w:r w:rsidRPr="002F2BC5">
        <w:rPr>
          <w:rFonts w:hint="cs"/>
          <w:rtl/>
        </w:rPr>
        <w:t xml:space="preserve"> הוא יי</w:t>
      </w:r>
      <w:r w:rsidRPr="002F2BC5">
        <w:rPr>
          <w:rtl/>
        </w:rPr>
        <w:t>ענה לה בשמחה</w:t>
      </w:r>
      <w:r w:rsidRPr="002F2BC5">
        <w:rPr>
          <w:rFonts w:hint="cs"/>
          <w:rtl/>
        </w:rPr>
        <w:t>.</w:t>
      </w:r>
    </w:p>
    <w:p w14:paraId="3BD3C37D" w14:textId="77777777" w:rsidR="00817399" w:rsidRPr="002F2BC5" w:rsidRDefault="00817399" w:rsidP="00817399">
      <w:pPr>
        <w:pStyle w:val="afffffffa"/>
        <w:spacing w:line="269" w:lineRule="auto"/>
        <w:ind w:left="312"/>
        <w:rPr>
          <w:b w:val="0"/>
          <w:bCs w:val="0"/>
          <w:rtl/>
        </w:rPr>
      </w:pPr>
      <w:bookmarkStart w:id="373" w:name="_Toc198312183"/>
      <w:bookmarkStart w:id="374" w:name="_Toc198312654"/>
      <w:bookmarkStart w:id="375" w:name="_Toc200636842"/>
      <w:bookmarkStart w:id="376" w:name="_Toc200439841"/>
      <w:bookmarkStart w:id="377" w:name="_Toc201240946"/>
      <w:r w:rsidRPr="002F2BC5">
        <w:rPr>
          <w:rFonts w:hint="eastAsia"/>
          <w:b w:val="0"/>
          <w:bCs w:val="0"/>
          <w:rtl/>
        </w:rPr>
        <w:lastRenderedPageBreak/>
        <w:t>מרכז</w:t>
      </w:r>
      <w:r w:rsidRPr="002F2BC5">
        <w:rPr>
          <w:b w:val="0"/>
          <w:bCs w:val="0"/>
          <w:rtl/>
        </w:rPr>
        <w:t xml:space="preserve"> השלטון המקומי מסר בתשובתו כי </w:t>
      </w:r>
      <w:r w:rsidRPr="002F2BC5">
        <w:rPr>
          <w:rFonts w:hint="eastAsia"/>
          <w:b w:val="0"/>
          <w:bCs w:val="0"/>
          <w:rtl/>
        </w:rPr>
        <w:t>השתתפות</w:t>
      </w:r>
      <w:r w:rsidRPr="002F2BC5">
        <w:rPr>
          <w:b w:val="0"/>
          <w:bCs w:val="0"/>
          <w:rtl/>
        </w:rPr>
        <w:t xml:space="preserve"> </w:t>
      </w:r>
      <w:r w:rsidRPr="002F2BC5">
        <w:rPr>
          <w:rFonts w:hint="eastAsia"/>
          <w:b w:val="0"/>
          <w:bCs w:val="0"/>
          <w:rtl/>
        </w:rPr>
        <w:t>נציגיו</w:t>
      </w:r>
      <w:r w:rsidRPr="002F2BC5">
        <w:rPr>
          <w:b w:val="0"/>
          <w:bCs w:val="0"/>
          <w:rtl/>
        </w:rPr>
        <w:t xml:space="preserve"> בדיוני הוועדה הבין-משרדית היא חיונית והם </w:t>
      </w:r>
      <w:r w:rsidRPr="002F2BC5">
        <w:rPr>
          <w:rFonts w:hint="eastAsia"/>
          <w:b w:val="0"/>
          <w:bCs w:val="0"/>
          <w:rtl/>
        </w:rPr>
        <w:t>אף</w:t>
      </w:r>
      <w:r w:rsidRPr="002F2BC5">
        <w:rPr>
          <w:b w:val="0"/>
          <w:bCs w:val="0"/>
          <w:rtl/>
        </w:rPr>
        <w:t xml:space="preserve"> משתתפים </w:t>
      </w:r>
      <w:r w:rsidRPr="002F2BC5">
        <w:rPr>
          <w:rFonts w:hint="eastAsia"/>
          <w:b w:val="0"/>
          <w:bCs w:val="0"/>
          <w:rtl/>
        </w:rPr>
        <w:t>בדיונים</w:t>
      </w:r>
      <w:r w:rsidRPr="002F2BC5">
        <w:rPr>
          <w:b w:val="0"/>
          <w:bCs w:val="0"/>
          <w:rtl/>
        </w:rPr>
        <w:t xml:space="preserve"> הלכה למעשה</w:t>
      </w:r>
      <w:r w:rsidRPr="002F2BC5">
        <w:rPr>
          <w:rFonts w:hint="cs"/>
          <w:b w:val="0"/>
          <w:bCs w:val="0"/>
          <w:rtl/>
        </w:rPr>
        <w:t>,</w:t>
      </w:r>
      <w:r w:rsidRPr="002F2BC5">
        <w:rPr>
          <w:b w:val="0"/>
          <w:bCs w:val="0"/>
          <w:rtl/>
        </w:rPr>
        <w:t xml:space="preserve"> </w:t>
      </w:r>
      <w:r w:rsidRPr="002F2BC5">
        <w:rPr>
          <w:rFonts w:hint="eastAsia"/>
          <w:b w:val="0"/>
          <w:bCs w:val="0"/>
          <w:rtl/>
        </w:rPr>
        <w:t>אף</w:t>
      </w:r>
      <w:r w:rsidRPr="002F2BC5">
        <w:rPr>
          <w:b w:val="0"/>
          <w:bCs w:val="0"/>
          <w:rtl/>
        </w:rPr>
        <w:t xml:space="preserve"> שהדבר אינו מעוגן בהוראות </w:t>
      </w:r>
      <w:r w:rsidRPr="002F2BC5">
        <w:rPr>
          <w:rFonts w:hint="eastAsia"/>
          <w:b w:val="0"/>
          <w:bCs w:val="0"/>
          <w:rtl/>
        </w:rPr>
        <w:t>התע</w:t>
      </w:r>
      <w:r w:rsidRPr="002F2BC5">
        <w:rPr>
          <w:b w:val="0"/>
          <w:bCs w:val="0"/>
          <w:rtl/>
        </w:rPr>
        <w:t xml:space="preserve">"ס. </w:t>
      </w:r>
      <w:r w:rsidRPr="002F2BC5">
        <w:rPr>
          <w:rFonts w:hint="eastAsia"/>
          <w:b w:val="0"/>
          <w:bCs w:val="0"/>
          <w:rtl/>
        </w:rPr>
        <w:t>עוד</w:t>
      </w:r>
      <w:r w:rsidRPr="002F2BC5">
        <w:rPr>
          <w:b w:val="0"/>
          <w:bCs w:val="0"/>
          <w:rtl/>
        </w:rPr>
        <w:t xml:space="preserve"> </w:t>
      </w:r>
      <w:r w:rsidRPr="002F2BC5">
        <w:rPr>
          <w:rFonts w:hint="eastAsia"/>
          <w:b w:val="0"/>
          <w:bCs w:val="0"/>
          <w:rtl/>
        </w:rPr>
        <w:t>הוסיף</w:t>
      </w:r>
      <w:r w:rsidRPr="002F2BC5">
        <w:rPr>
          <w:b w:val="0"/>
          <w:bCs w:val="0"/>
          <w:rtl/>
        </w:rPr>
        <w:t xml:space="preserve"> </w:t>
      </w:r>
      <w:r w:rsidRPr="002F2BC5">
        <w:rPr>
          <w:rFonts w:hint="eastAsia"/>
          <w:b w:val="0"/>
          <w:bCs w:val="0"/>
          <w:rtl/>
        </w:rPr>
        <w:t>כי</w:t>
      </w:r>
      <w:r w:rsidRPr="002F2BC5">
        <w:rPr>
          <w:b w:val="0"/>
          <w:bCs w:val="0"/>
          <w:rtl/>
        </w:rPr>
        <w:t xml:space="preserve"> </w:t>
      </w:r>
      <w:r w:rsidRPr="002F2BC5">
        <w:rPr>
          <w:rFonts w:hint="eastAsia"/>
          <w:b w:val="0"/>
          <w:bCs w:val="0"/>
          <w:rtl/>
        </w:rPr>
        <w:t>הוא</w:t>
      </w:r>
      <w:r w:rsidRPr="002F2BC5">
        <w:rPr>
          <w:b w:val="0"/>
          <w:bCs w:val="0"/>
          <w:rtl/>
        </w:rPr>
        <w:t xml:space="preserve"> </w:t>
      </w:r>
      <w:r w:rsidRPr="002F2BC5">
        <w:rPr>
          <w:rFonts w:hint="eastAsia"/>
          <w:b w:val="0"/>
          <w:bCs w:val="0"/>
          <w:rtl/>
        </w:rPr>
        <w:t>תומך</w:t>
      </w:r>
      <w:r w:rsidRPr="002F2BC5">
        <w:rPr>
          <w:b w:val="0"/>
          <w:bCs w:val="0"/>
          <w:rtl/>
        </w:rPr>
        <w:t xml:space="preserve"> </w:t>
      </w:r>
      <w:r w:rsidRPr="002F2BC5">
        <w:rPr>
          <w:rFonts w:hint="eastAsia"/>
          <w:b w:val="0"/>
          <w:bCs w:val="0"/>
          <w:rtl/>
        </w:rPr>
        <w:t>בהמלצה</w:t>
      </w:r>
      <w:r w:rsidRPr="002F2BC5">
        <w:rPr>
          <w:b w:val="0"/>
          <w:bCs w:val="0"/>
          <w:rtl/>
        </w:rPr>
        <w:t xml:space="preserve"> </w:t>
      </w:r>
      <w:r w:rsidRPr="002F2BC5">
        <w:rPr>
          <w:rFonts w:hint="eastAsia"/>
          <w:b w:val="0"/>
          <w:bCs w:val="0"/>
          <w:rtl/>
        </w:rPr>
        <w:t>לקבוע</w:t>
      </w:r>
      <w:r w:rsidRPr="002F2BC5">
        <w:rPr>
          <w:b w:val="0"/>
          <w:bCs w:val="0"/>
          <w:rtl/>
        </w:rPr>
        <w:t xml:space="preserve"> </w:t>
      </w:r>
      <w:r w:rsidRPr="002F2BC5">
        <w:rPr>
          <w:rFonts w:hint="eastAsia"/>
          <w:b w:val="0"/>
          <w:bCs w:val="0"/>
          <w:rtl/>
        </w:rPr>
        <w:t>כי</w:t>
      </w:r>
      <w:r w:rsidRPr="002F2BC5">
        <w:rPr>
          <w:b w:val="0"/>
          <w:bCs w:val="0"/>
          <w:rtl/>
        </w:rPr>
        <w:t xml:space="preserve"> </w:t>
      </w:r>
      <w:r w:rsidRPr="002F2BC5">
        <w:rPr>
          <w:rFonts w:hint="eastAsia"/>
          <w:b w:val="0"/>
          <w:bCs w:val="0"/>
          <w:rtl/>
        </w:rPr>
        <w:t>נציגיו</w:t>
      </w:r>
      <w:r w:rsidRPr="002F2BC5">
        <w:rPr>
          <w:b w:val="0"/>
          <w:bCs w:val="0"/>
          <w:rtl/>
        </w:rPr>
        <w:t xml:space="preserve"> </w:t>
      </w:r>
      <w:r w:rsidRPr="002F2BC5">
        <w:rPr>
          <w:rFonts w:hint="eastAsia"/>
          <w:b w:val="0"/>
          <w:bCs w:val="0"/>
          <w:rtl/>
        </w:rPr>
        <w:t>י</w:t>
      </w:r>
      <w:r w:rsidRPr="002F2BC5">
        <w:rPr>
          <w:rFonts w:hint="cs"/>
          <w:b w:val="0"/>
          <w:bCs w:val="0"/>
          <w:rtl/>
        </w:rPr>
        <w:t>י</w:t>
      </w:r>
      <w:r w:rsidRPr="002F2BC5">
        <w:rPr>
          <w:rFonts w:hint="eastAsia"/>
          <w:b w:val="0"/>
          <w:bCs w:val="0"/>
          <w:rtl/>
        </w:rPr>
        <w:t>כללו</w:t>
      </w:r>
      <w:r w:rsidRPr="002F2BC5">
        <w:rPr>
          <w:b w:val="0"/>
          <w:bCs w:val="0"/>
          <w:rtl/>
        </w:rPr>
        <w:t xml:space="preserve"> </w:t>
      </w:r>
      <w:r w:rsidRPr="002F2BC5">
        <w:rPr>
          <w:rFonts w:hint="eastAsia"/>
          <w:b w:val="0"/>
          <w:bCs w:val="0"/>
          <w:rtl/>
        </w:rPr>
        <w:t>בהרכבה</w:t>
      </w:r>
      <w:r w:rsidRPr="002F2BC5">
        <w:rPr>
          <w:b w:val="0"/>
          <w:bCs w:val="0"/>
          <w:rtl/>
        </w:rPr>
        <w:t xml:space="preserve"> </w:t>
      </w:r>
      <w:r w:rsidRPr="002F2BC5">
        <w:rPr>
          <w:rFonts w:hint="eastAsia"/>
          <w:b w:val="0"/>
          <w:bCs w:val="0"/>
          <w:rtl/>
        </w:rPr>
        <w:t>המחייב</w:t>
      </w:r>
      <w:r w:rsidRPr="002F2BC5">
        <w:rPr>
          <w:b w:val="0"/>
          <w:bCs w:val="0"/>
          <w:rtl/>
        </w:rPr>
        <w:t xml:space="preserve"> </w:t>
      </w:r>
      <w:r w:rsidRPr="002F2BC5">
        <w:rPr>
          <w:rFonts w:hint="eastAsia"/>
          <w:b w:val="0"/>
          <w:bCs w:val="0"/>
          <w:rtl/>
        </w:rPr>
        <w:t>של</w:t>
      </w:r>
      <w:r w:rsidRPr="002F2BC5">
        <w:rPr>
          <w:b w:val="0"/>
          <w:bCs w:val="0"/>
          <w:rtl/>
        </w:rPr>
        <w:t xml:space="preserve"> </w:t>
      </w:r>
      <w:r w:rsidRPr="002F2BC5">
        <w:rPr>
          <w:rFonts w:hint="eastAsia"/>
          <w:b w:val="0"/>
          <w:bCs w:val="0"/>
          <w:rtl/>
        </w:rPr>
        <w:t>הוועדה</w:t>
      </w:r>
      <w:r w:rsidRPr="002F2BC5">
        <w:rPr>
          <w:b w:val="0"/>
          <w:bCs w:val="0"/>
          <w:rtl/>
        </w:rPr>
        <w:t>.</w:t>
      </w:r>
      <w:bookmarkEnd w:id="373"/>
      <w:bookmarkEnd w:id="374"/>
      <w:bookmarkEnd w:id="375"/>
      <w:bookmarkEnd w:id="376"/>
      <w:bookmarkEnd w:id="377"/>
    </w:p>
    <w:p w14:paraId="45FF607C" w14:textId="77777777" w:rsidR="00817399" w:rsidRPr="002F2BC5" w:rsidRDefault="00817399" w:rsidP="00817399">
      <w:pPr>
        <w:spacing w:line="269" w:lineRule="auto"/>
        <w:rPr>
          <w:rtl/>
        </w:rPr>
      </w:pPr>
    </w:p>
    <w:p w14:paraId="71255939" w14:textId="77777777" w:rsidR="00817399" w:rsidRPr="002F2BC5" w:rsidRDefault="00817399" w:rsidP="00817399">
      <w:pPr>
        <w:spacing w:line="269" w:lineRule="auto"/>
        <w:ind w:left="312"/>
        <w:rPr>
          <w:rtl/>
        </w:rPr>
      </w:pPr>
      <w:r w:rsidRPr="002F2BC5">
        <w:rPr>
          <w:rFonts w:hint="cs"/>
          <w:rtl/>
        </w:rPr>
        <w:t>הרשות לקידום מעמד האישה מסרה בתשובתה כי עוד קודם להעברתו של שטח הפעולה של הרשות לקידום מעמד האישה תחת המשרד לשוויון חברתי וקידום מעמד האישה - וביתר שאת לאחר מכן - מנכ"לית הרשות או נציג מטעמה מייצגים בד בבד את המשרד לשוויון חברתי ואת הרשות לקידום מעמד האישה בדיוניה של הוועדה הבין-משרדית הקבועה.</w:t>
      </w:r>
    </w:p>
    <w:p w14:paraId="40DCDA4A" w14:textId="77777777" w:rsidR="00817399" w:rsidRPr="002F2BC5" w:rsidRDefault="00817399" w:rsidP="00817399">
      <w:pPr>
        <w:spacing w:line="269" w:lineRule="auto"/>
        <w:rPr>
          <w:rtl/>
        </w:rPr>
      </w:pPr>
    </w:p>
    <w:p w14:paraId="73AF2903" w14:textId="77777777" w:rsidR="00817399" w:rsidRPr="002F2BC5" w:rsidRDefault="00817399" w:rsidP="00817399">
      <w:pPr>
        <w:pStyle w:val="afffffffa"/>
        <w:spacing w:line="269" w:lineRule="auto"/>
        <w:ind w:left="312"/>
        <w:rPr>
          <w:rtl/>
        </w:rPr>
      </w:pPr>
      <w:bookmarkStart w:id="378" w:name="_Toc191892677"/>
      <w:bookmarkStart w:id="379" w:name="_Toc191893061"/>
      <w:bookmarkStart w:id="380" w:name="_Toc191986940"/>
      <w:bookmarkStart w:id="381" w:name="_Toc192093051"/>
      <w:bookmarkStart w:id="382" w:name="_Toc192612759"/>
      <w:bookmarkStart w:id="383" w:name="_Toc198312184"/>
      <w:bookmarkStart w:id="384" w:name="_Toc198312655"/>
      <w:bookmarkStart w:id="385" w:name="_Toc200636843"/>
      <w:bookmarkStart w:id="386" w:name="_Toc200439842"/>
      <w:bookmarkStart w:id="387" w:name="_Toc201240947"/>
      <w:r w:rsidRPr="002F2BC5">
        <w:rPr>
          <w:rFonts w:hint="eastAsia"/>
          <w:rtl/>
        </w:rPr>
        <w:t>על</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כמי שעומד בראש המערך הלאומי להתמודדות עם תופעת האלימות במשפחה, </w:t>
      </w:r>
      <w:r w:rsidRPr="002F2BC5">
        <w:rPr>
          <w:rFonts w:hint="eastAsia"/>
          <w:rtl/>
        </w:rPr>
        <w:t>להסדיר</w:t>
      </w:r>
      <w:r w:rsidRPr="002F2BC5">
        <w:rPr>
          <w:rtl/>
        </w:rPr>
        <w:t xml:space="preserve"> </w:t>
      </w:r>
      <w:r w:rsidRPr="002F2BC5">
        <w:rPr>
          <w:rFonts w:hint="eastAsia"/>
          <w:rtl/>
        </w:rPr>
        <w:t>ולהבהיר</w:t>
      </w:r>
      <w:r w:rsidRPr="002F2BC5">
        <w:rPr>
          <w:rtl/>
        </w:rPr>
        <w:t xml:space="preserve"> - </w:t>
      </w:r>
      <w:r w:rsidRPr="002F2BC5">
        <w:rPr>
          <w:rFonts w:hint="eastAsia"/>
          <w:rtl/>
        </w:rPr>
        <w:t>בהוראה</w:t>
      </w:r>
      <w:r w:rsidRPr="002F2BC5">
        <w:rPr>
          <w:rtl/>
        </w:rPr>
        <w:t xml:space="preserve"> </w:t>
      </w:r>
      <w:r w:rsidRPr="002F2BC5">
        <w:rPr>
          <w:rFonts w:hint="eastAsia"/>
          <w:rtl/>
        </w:rPr>
        <w:t>רגולטורית</w:t>
      </w:r>
      <w:r w:rsidRPr="002F2BC5">
        <w:rPr>
          <w:rtl/>
        </w:rPr>
        <w:t xml:space="preserve"> </w:t>
      </w:r>
      <w:r w:rsidRPr="002F2BC5">
        <w:rPr>
          <w:rFonts w:hint="eastAsia"/>
          <w:rtl/>
        </w:rPr>
        <w:t>בעלת</w:t>
      </w:r>
      <w:r w:rsidRPr="002F2BC5">
        <w:rPr>
          <w:rtl/>
        </w:rPr>
        <w:t xml:space="preserve"> </w:t>
      </w:r>
      <w:r w:rsidRPr="002F2BC5">
        <w:rPr>
          <w:rFonts w:hint="eastAsia"/>
          <w:rtl/>
        </w:rPr>
        <w:t>תוקף</w:t>
      </w:r>
      <w:r w:rsidRPr="002F2BC5">
        <w:rPr>
          <w:rtl/>
        </w:rPr>
        <w:t xml:space="preserve"> </w:t>
      </w:r>
      <w:r w:rsidRPr="002F2BC5">
        <w:rPr>
          <w:rFonts w:hint="eastAsia"/>
          <w:rtl/>
        </w:rPr>
        <w:t>מחייב</w:t>
      </w:r>
      <w:r w:rsidRPr="002F2BC5">
        <w:rPr>
          <w:rtl/>
        </w:rPr>
        <w:t xml:space="preserve"> </w:t>
      </w:r>
      <w:r w:rsidRPr="002F2BC5">
        <w:rPr>
          <w:rFonts w:hint="eastAsia"/>
          <w:rtl/>
        </w:rPr>
        <w:t>כלפי</w:t>
      </w:r>
      <w:r w:rsidRPr="002F2BC5">
        <w:rPr>
          <w:rtl/>
        </w:rPr>
        <w:t xml:space="preserve"> </w:t>
      </w:r>
      <w:r w:rsidRPr="002F2BC5">
        <w:rPr>
          <w:rFonts w:hint="eastAsia"/>
          <w:rtl/>
        </w:rPr>
        <w:t>כלל</w:t>
      </w:r>
      <w:r w:rsidRPr="002F2BC5">
        <w:rPr>
          <w:rtl/>
        </w:rPr>
        <w:t xml:space="preserve"> </w:t>
      </w:r>
      <w:r w:rsidRPr="002F2BC5">
        <w:rPr>
          <w:rFonts w:hint="eastAsia"/>
          <w:rtl/>
        </w:rPr>
        <w:t>הגופים</w:t>
      </w:r>
      <w:r w:rsidRPr="002F2BC5">
        <w:rPr>
          <w:rtl/>
        </w:rPr>
        <w:t xml:space="preserve"> </w:t>
      </w:r>
      <w:r w:rsidRPr="002F2BC5">
        <w:rPr>
          <w:rFonts w:hint="eastAsia"/>
          <w:rtl/>
        </w:rPr>
        <w:t>האמורים</w:t>
      </w:r>
      <w:r w:rsidRPr="002F2BC5">
        <w:rPr>
          <w:rtl/>
        </w:rPr>
        <w:t xml:space="preserve"> </w:t>
      </w:r>
      <w:r w:rsidRPr="002F2BC5">
        <w:rPr>
          <w:rFonts w:hint="eastAsia"/>
          <w:rtl/>
        </w:rPr>
        <w:t>להימנות</w:t>
      </w:r>
      <w:r w:rsidRPr="002F2BC5">
        <w:rPr>
          <w:rtl/>
        </w:rPr>
        <w:t xml:space="preserve"> </w:t>
      </w:r>
      <w:r w:rsidRPr="002F2BC5">
        <w:rPr>
          <w:rFonts w:hint="eastAsia"/>
          <w:rtl/>
        </w:rPr>
        <w:t>על</w:t>
      </w:r>
      <w:r w:rsidRPr="002F2BC5">
        <w:rPr>
          <w:rtl/>
        </w:rPr>
        <w:t xml:space="preserve"> </w:t>
      </w:r>
      <w:r w:rsidRPr="002F2BC5">
        <w:rPr>
          <w:rFonts w:hint="eastAsia"/>
          <w:rtl/>
        </w:rPr>
        <w:t>מערך</w:t>
      </w:r>
      <w:r w:rsidRPr="002F2BC5">
        <w:rPr>
          <w:rtl/>
        </w:rPr>
        <w:t xml:space="preserve"> </w:t>
      </w:r>
      <w:r w:rsidRPr="002F2BC5">
        <w:rPr>
          <w:rFonts w:hint="eastAsia"/>
          <w:rtl/>
        </w:rPr>
        <w:t>זה</w:t>
      </w:r>
      <w:r w:rsidRPr="002F2BC5">
        <w:rPr>
          <w:rtl/>
        </w:rPr>
        <w:t xml:space="preserve"> -</w:t>
      </w:r>
      <w:r w:rsidRPr="002F2BC5">
        <w:rPr>
          <w:rFonts w:hint="cs"/>
          <w:rtl/>
        </w:rPr>
        <w:t xml:space="preserve"> את הרכבה המחייב של הוועדה הבין-משרדית הקבועה, ובהתאם לכך להקפיד על זימונם של כלל חברי הוועדה לדיוניה. בתוך כך מומלץ כי בהרכבה המחייב של הוועדה תיכלל נציגות קבועה לגופי השלטון המקומי.</w:t>
      </w:r>
      <w:bookmarkEnd w:id="378"/>
      <w:bookmarkEnd w:id="379"/>
      <w:bookmarkEnd w:id="380"/>
      <w:bookmarkEnd w:id="381"/>
      <w:bookmarkEnd w:id="382"/>
      <w:bookmarkEnd w:id="383"/>
      <w:bookmarkEnd w:id="384"/>
      <w:bookmarkEnd w:id="385"/>
      <w:bookmarkEnd w:id="386"/>
      <w:bookmarkEnd w:id="387"/>
    </w:p>
    <w:bookmarkEnd w:id="372"/>
    <w:p w14:paraId="21C55A05" w14:textId="77777777" w:rsidR="00817399" w:rsidRPr="002F2BC5" w:rsidRDefault="00817399" w:rsidP="00817399">
      <w:pPr>
        <w:spacing w:line="269" w:lineRule="auto"/>
        <w:rPr>
          <w:rtl/>
        </w:rPr>
      </w:pPr>
    </w:p>
    <w:p w14:paraId="2B1B2418" w14:textId="77777777" w:rsidR="00817399" w:rsidRPr="002F2BC5" w:rsidRDefault="00817399" w:rsidP="00817399">
      <w:pPr>
        <w:pStyle w:val="afa"/>
        <w:numPr>
          <w:ilvl w:val="0"/>
          <w:numId w:val="28"/>
        </w:numPr>
        <w:spacing w:line="269" w:lineRule="auto"/>
      </w:pPr>
      <w:bookmarkStart w:id="388" w:name="_Toc191986941"/>
      <w:r w:rsidRPr="002F2BC5">
        <w:rPr>
          <w:rStyle w:val="70"/>
          <w:rFonts w:hint="cs"/>
          <w:rtl/>
        </w:rPr>
        <w:t>תדירות התכנסותה של הוועדה הקבועה:</w:t>
      </w:r>
      <w:bookmarkEnd w:id="388"/>
      <w:r w:rsidRPr="002F2BC5">
        <w:rPr>
          <w:rFonts w:hint="cs"/>
          <w:rtl/>
        </w:rPr>
        <w:t xml:space="preserve"> </w:t>
      </w:r>
      <w:r w:rsidRPr="002F2BC5">
        <w:rPr>
          <w:rFonts w:hint="cs"/>
          <w:b/>
          <w:bCs/>
          <w:rtl/>
        </w:rPr>
        <w:t xml:space="preserve">הביקורת הנוכחית העלתה </w:t>
      </w:r>
      <w:r w:rsidRPr="002F2BC5">
        <w:rPr>
          <w:b/>
          <w:bCs/>
          <w:rtl/>
        </w:rPr>
        <w:t>כ</w:t>
      </w:r>
      <w:r w:rsidRPr="002F2BC5">
        <w:rPr>
          <w:rFonts w:hint="cs"/>
          <w:b/>
          <w:bCs/>
          <w:rtl/>
        </w:rPr>
        <w:t>י בשנת 2022 הוועדה הבין-משרדית התכנסה שש פעמים בהרכבים משתנים וחסרים</w:t>
      </w:r>
      <w:r w:rsidRPr="002F2BC5">
        <w:rPr>
          <w:rStyle w:val="af9"/>
          <w:b/>
          <w:bCs/>
          <w:rtl/>
        </w:rPr>
        <w:footnoteReference w:id="115"/>
      </w:r>
      <w:r w:rsidRPr="002F2BC5">
        <w:rPr>
          <w:rFonts w:hint="cs"/>
          <w:b/>
          <w:bCs/>
          <w:rtl/>
        </w:rPr>
        <w:t xml:space="preserve">; בשנת 2023 התכנסה הוועדה פעם אחת בלבד לשם דיון בהשפעותיה של מלחמת חרבות ברזל על תופעת האלימות במשפחה; וכך גם בשנת 2024 התכנסה הוועדה פעם אחת בלבד, בנובמבר באותה השנה. </w:t>
      </w:r>
    </w:p>
    <w:p w14:paraId="4B4481FD" w14:textId="77777777" w:rsidR="00817399" w:rsidRPr="002F2BC5" w:rsidRDefault="00817399" w:rsidP="00817399">
      <w:pPr>
        <w:spacing w:line="269" w:lineRule="auto"/>
        <w:rPr>
          <w:rtl/>
        </w:rPr>
      </w:pPr>
    </w:p>
    <w:p w14:paraId="1E3B9583" w14:textId="045CF049" w:rsidR="00817399" w:rsidRPr="002F2BC5" w:rsidRDefault="00817399" w:rsidP="00817399">
      <w:pPr>
        <w:spacing w:line="269" w:lineRule="auto"/>
        <w:ind w:left="312"/>
      </w:pPr>
      <w:r w:rsidRPr="002F2BC5">
        <w:rPr>
          <w:rFonts w:hint="cs"/>
          <w:rtl/>
        </w:rPr>
        <w:t>נתונים על תדירות התכנסות הוועדה הבין-משרדית בשנים 2022 - 2024 ומספר המשתתפים בדיוניה מקרב חבריה הקבועים מוצגים ב</w:t>
      </w:r>
      <w:r w:rsidRPr="002F2BC5">
        <w:fldChar w:fldCharType="begin"/>
      </w:r>
      <w:r w:rsidRPr="002F2BC5">
        <w:instrText xml:space="preserve"> REF _Ref186451581 \r \h  \* MERGEFORMAT </w:instrText>
      </w:r>
      <w:r w:rsidRPr="002F2BC5">
        <w:fldChar w:fldCharType="separate"/>
      </w:r>
      <w:r w:rsidR="00BB5E31">
        <w:rPr>
          <w:cs/>
        </w:rPr>
        <w:t>‎</w:t>
      </w:r>
      <w:r w:rsidR="00BB5E31">
        <w:rPr>
          <w:rtl/>
        </w:rPr>
        <w:t>לוח 4</w:t>
      </w:r>
      <w:r w:rsidRPr="002F2BC5">
        <w:fldChar w:fldCharType="end"/>
      </w:r>
      <w:r w:rsidRPr="002F2BC5">
        <w:rPr>
          <w:rFonts w:hint="cs"/>
          <w:rtl/>
        </w:rPr>
        <w:t xml:space="preserve"> שלהלן. ריכוז הנתונים על הגופים שהשתתפו בדיוני הוועדה בכל אחת מהשנים הללו מוצגים ב</w:t>
      </w:r>
      <w:r w:rsidRPr="002F2BC5">
        <w:fldChar w:fldCharType="begin"/>
      </w:r>
      <w:r w:rsidRPr="002F2BC5">
        <w:instrText xml:space="preserve"> REF _Ref186452139 \r \h  \* MERGEFORMAT </w:instrText>
      </w:r>
      <w:r w:rsidRPr="002F2BC5">
        <w:fldChar w:fldCharType="separate"/>
      </w:r>
      <w:r w:rsidR="00BB5E31">
        <w:rPr>
          <w:cs/>
        </w:rPr>
        <w:t>‎</w:t>
      </w:r>
      <w:r w:rsidR="00BB5E31">
        <w:rPr>
          <w:rtl/>
        </w:rPr>
        <w:t>לוח 5</w:t>
      </w:r>
      <w:r w:rsidRPr="002F2BC5">
        <w:fldChar w:fldCharType="end"/>
      </w:r>
      <w:r w:rsidRPr="002F2BC5">
        <w:rPr>
          <w:rFonts w:hint="cs"/>
          <w:rtl/>
        </w:rPr>
        <w:t xml:space="preserve"> שלהלן.</w:t>
      </w:r>
    </w:p>
    <w:p w14:paraId="6EE38AD1" w14:textId="77777777" w:rsidR="00817399" w:rsidRPr="002F2BC5" w:rsidRDefault="00817399" w:rsidP="00817399">
      <w:pPr>
        <w:spacing w:line="269" w:lineRule="auto"/>
        <w:rPr>
          <w:rtl/>
        </w:rPr>
      </w:pPr>
    </w:p>
    <w:p w14:paraId="2A517807" w14:textId="77777777" w:rsidR="00817399" w:rsidRPr="002F2BC5" w:rsidRDefault="00817399" w:rsidP="00817399">
      <w:pPr>
        <w:pStyle w:val="a0"/>
        <w:spacing w:line="269" w:lineRule="auto"/>
        <w:rPr>
          <w:b w:val="0"/>
          <w:bCs w:val="0"/>
        </w:rPr>
      </w:pPr>
      <w:bookmarkStart w:id="389" w:name="_Ref186451581"/>
      <w:bookmarkStart w:id="390" w:name="_Toc192674049"/>
      <w:r w:rsidRPr="002F2BC5">
        <w:rPr>
          <w:rFonts w:hint="cs"/>
          <w:b w:val="0"/>
          <w:bCs w:val="0"/>
          <w:rtl/>
        </w:rPr>
        <w:t>:</w:t>
      </w:r>
      <w:bookmarkEnd w:id="389"/>
      <w:r w:rsidRPr="002F2BC5">
        <w:rPr>
          <w:rFonts w:hint="cs"/>
          <w:b w:val="0"/>
          <w:bCs w:val="0"/>
          <w:rtl/>
        </w:rPr>
        <w:t xml:space="preserve"> </w:t>
      </w:r>
      <w:r w:rsidRPr="002F2BC5">
        <w:rPr>
          <w:rFonts w:hint="cs"/>
          <w:rtl/>
        </w:rPr>
        <w:t xml:space="preserve">תדירות התכנסותה של הוועדה הבין-משרדית </w:t>
      </w:r>
      <w:r w:rsidRPr="002F2BC5">
        <w:rPr>
          <w:rtl/>
        </w:rPr>
        <w:br/>
      </w:r>
      <w:r w:rsidRPr="002F2BC5">
        <w:rPr>
          <w:rFonts w:hint="cs"/>
          <w:rtl/>
        </w:rPr>
        <w:t>ומספר המשתתפים בדיוניה מקרב חבריה הקבועים, 2022 - 2024</w:t>
      </w:r>
      <w:bookmarkEnd w:id="390"/>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641"/>
        <w:gridCol w:w="1662"/>
        <w:gridCol w:w="1613"/>
        <w:gridCol w:w="1984"/>
      </w:tblGrid>
      <w:tr w:rsidR="00817399" w:rsidRPr="002F2BC5" w14:paraId="65E47A7B" w14:textId="77777777" w:rsidTr="00B14D2A">
        <w:trPr>
          <w:jc w:val="center"/>
        </w:trPr>
        <w:tc>
          <w:tcPr>
            <w:tcW w:w="1304" w:type="dxa"/>
            <w:tcBorders>
              <w:bottom w:val="single" w:sz="4" w:space="0" w:color="auto"/>
            </w:tcBorders>
            <w:vAlign w:val="bottom"/>
          </w:tcPr>
          <w:p w14:paraId="12766103"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שנת עבודה</w:t>
            </w:r>
          </w:p>
        </w:tc>
        <w:tc>
          <w:tcPr>
            <w:tcW w:w="1641" w:type="dxa"/>
            <w:tcBorders>
              <w:bottom w:val="single" w:sz="4" w:space="0" w:color="auto"/>
            </w:tcBorders>
            <w:vAlign w:val="bottom"/>
          </w:tcPr>
          <w:p w14:paraId="627479F8"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מספר הישיבות</w:t>
            </w:r>
          </w:p>
        </w:tc>
        <w:tc>
          <w:tcPr>
            <w:tcW w:w="1662" w:type="dxa"/>
            <w:tcBorders>
              <w:bottom w:val="single" w:sz="4" w:space="0" w:color="auto"/>
            </w:tcBorders>
            <w:vAlign w:val="bottom"/>
          </w:tcPr>
          <w:p w14:paraId="2977FCAE"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מספר המשתתפים*</w:t>
            </w:r>
          </w:p>
        </w:tc>
        <w:tc>
          <w:tcPr>
            <w:tcW w:w="1613" w:type="dxa"/>
            <w:tcBorders>
              <w:bottom w:val="single" w:sz="4" w:space="0" w:color="auto"/>
            </w:tcBorders>
            <w:vAlign w:val="bottom"/>
          </w:tcPr>
          <w:p w14:paraId="7B257407"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משתתפים מקרב החברים הקבועים**</w:t>
            </w:r>
          </w:p>
        </w:tc>
        <w:tc>
          <w:tcPr>
            <w:tcW w:w="1984" w:type="dxa"/>
            <w:tcBorders>
              <w:bottom w:val="single" w:sz="4" w:space="0" w:color="auto"/>
            </w:tcBorders>
            <w:vAlign w:val="bottom"/>
          </w:tcPr>
          <w:p w14:paraId="66E1220F"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שיעור המשתתפים</w:t>
            </w:r>
            <w:r w:rsidRPr="002F2BC5">
              <w:rPr>
                <w:rFonts w:ascii="David" w:hAnsi="David"/>
                <w:szCs w:val="20"/>
                <w:rtl/>
              </w:rPr>
              <w:br/>
              <w:t>מקרב החברים הקבועים**</w:t>
            </w:r>
          </w:p>
        </w:tc>
      </w:tr>
      <w:tr w:rsidR="00817399" w:rsidRPr="002F2BC5" w14:paraId="4208794D" w14:textId="77777777" w:rsidTr="00B14D2A">
        <w:trPr>
          <w:jc w:val="center"/>
        </w:trPr>
        <w:tc>
          <w:tcPr>
            <w:tcW w:w="1304" w:type="dxa"/>
            <w:tcBorders>
              <w:top w:val="single" w:sz="4" w:space="0" w:color="auto"/>
            </w:tcBorders>
          </w:tcPr>
          <w:p w14:paraId="093BA325"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2022</w:t>
            </w:r>
          </w:p>
        </w:tc>
        <w:tc>
          <w:tcPr>
            <w:tcW w:w="1641" w:type="dxa"/>
            <w:tcBorders>
              <w:top w:val="single" w:sz="4" w:space="0" w:color="auto"/>
            </w:tcBorders>
          </w:tcPr>
          <w:p w14:paraId="4FEE697A"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6</w:t>
            </w:r>
          </w:p>
        </w:tc>
        <w:tc>
          <w:tcPr>
            <w:tcW w:w="1662" w:type="dxa"/>
            <w:tcBorders>
              <w:top w:val="single" w:sz="4" w:space="0" w:color="auto"/>
            </w:tcBorders>
          </w:tcPr>
          <w:p w14:paraId="08515F84"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12</w:t>
            </w:r>
          </w:p>
        </w:tc>
        <w:tc>
          <w:tcPr>
            <w:tcW w:w="1613" w:type="dxa"/>
            <w:tcBorders>
              <w:top w:val="single" w:sz="4" w:space="0" w:color="auto"/>
            </w:tcBorders>
          </w:tcPr>
          <w:p w14:paraId="34C9F789"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9 מתוך 10</w:t>
            </w:r>
          </w:p>
        </w:tc>
        <w:tc>
          <w:tcPr>
            <w:tcW w:w="1984" w:type="dxa"/>
            <w:tcBorders>
              <w:top w:val="single" w:sz="4" w:space="0" w:color="auto"/>
            </w:tcBorders>
          </w:tcPr>
          <w:p w14:paraId="432A1F88"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90%</w:t>
            </w:r>
          </w:p>
        </w:tc>
      </w:tr>
      <w:tr w:rsidR="00817399" w:rsidRPr="002F2BC5" w14:paraId="712BB5DA" w14:textId="77777777" w:rsidTr="00B14D2A">
        <w:trPr>
          <w:jc w:val="center"/>
        </w:trPr>
        <w:tc>
          <w:tcPr>
            <w:tcW w:w="1304" w:type="dxa"/>
          </w:tcPr>
          <w:p w14:paraId="5A225118"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2023</w:t>
            </w:r>
          </w:p>
        </w:tc>
        <w:tc>
          <w:tcPr>
            <w:tcW w:w="1641" w:type="dxa"/>
          </w:tcPr>
          <w:p w14:paraId="718DE28D"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1</w:t>
            </w:r>
          </w:p>
        </w:tc>
        <w:tc>
          <w:tcPr>
            <w:tcW w:w="1662" w:type="dxa"/>
          </w:tcPr>
          <w:p w14:paraId="6B393D72" w14:textId="77777777" w:rsidR="00817399" w:rsidRPr="002F2BC5" w:rsidRDefault="00817399" w:rsidP="00B14D2A">
            <w:pPr>
              <w:spacing w:line="269" w:lineRule="auto"/>
              <w:jc w:val="center"/>
              <w:rPr>
                <w:rFonts w:ascii="David" w:hAnsi="David"/>
                <w:szCs w:val="20"/>
                <w:rtl/>
              </w:rPr>
            </w:pPr>
            <w:r w:rsidRPr="002F2BC5">
              <w:rPr>
                <w:rFonts w:ascii="David" w:hAnsi="David"/>
                <w:szCs w:val="20"/>
              </w:rPr>
              <w:t>10</w:t>
            </w:r>
          </w:p>
        </w:tc>
        <w:tc>
          <w:tcPr>
            <w:tcW w:w="1613" w:type="dxa"/>
          </w:tcPr>
          <w:p w14:paraId="0DF732EE" w14:textId="77777777" w:rsidR="00817399" w:rsidRPr="002F2BC5" w:rsidRDefault="00817399" w:rsidP="00B14D2A">
            <w:pPr>
              <w:spacing w:line="269" w:lineRule="auto"/>
              <w:jc w:val="center"/>
              <w:rPr>
                <w:rFonts w:ascii="David" w:hAnsi="David"/>
                <w:szCs w:val="20"/>
              </w:rPr>
            </w:pPr>
            <w:r w:rsidRPr="002F2BC5">
              <w:rPr>
                <w:rFonts w:ascii="David" w:hAnsi="David"/>
                <w:szCs w:val="20"/>
                <w:rtl/>
              </w:rPr>
              <w:t>8 מתוך 10</w:t>
            </w:r>
          </w:p>
        </w:tc>
        <w:tc>
          <w:tcPr>
            <w:tcW w:w="1984" w:type="dxa"/>
          </w:tcPr>
          <w:p w14:paraId="5F699952"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80%</w:t>
            </w:r>
          </w:p>
        </w:tc>
      </w:tr>
      <w:tr w:rsidR="00817399" w:rsidRPr="002F2BC5" w14:paraId="3363D17E" w14:textId="77777777" w:rsidTr="00B14D2A">
        <w:trPr>
          <w:jc w:val="center"/>
        </w:trPr>
        <w:tc>
          <w:tcPr>
            <w:tcW w:w="1304" w:type="dxa"/>
          </w:tcPr>
          <w:p w14:paraId="34EC6EF2"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2024</w:t>
            </w:r>
          </w:p>
        </w:tc>
        <w:tc>
          <w:tcPr>
            <w:tcW w:w="1641" w:type="dxa"/>
          </w:tcPr>
          <w:p w14:paraId="6D691267"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1</w:t>
            </w:r>
          </w:p>
        </w:tc>
        <w:tc>
          <w:tcPr>
            <w:tcW w:w="1662" w:type="dxa"/>
          </w:tcPr>
          <w:p w14:paraId="72F3E71C"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11</w:t>
            </w:r>
          </w:p>
        </w:tc>
        <w:tc>
          <w:tcPr>
            <w:tcW w:w="1613" w:type="dxa"/>
          </w:tcPr>
          <w:p w14:paraId="11F61A61"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10 מתוך 10</w:t>
            </w:r>
          </w:p>
        </w:tc>
        <w:tc>
          <w:tcPr>
            <w:tcW w:w="1984" w:type="dxa"/>
          </w:tcPr>
          <w:p w14:paraId="295EC2CC" w14:textId="77777777" w:rsidR="00817399" w:rsidRPr="002F2BC5" w:rsidRDefault="00817399" w:rsidP="00B14D2A">
            <w:pPr>
              <w:spacing w:line="269" w:lineRule="auto"/>
              <w:jc w:val="center"/>
              <w:rPr>
                <w:rFonts w:ascii="David" w:hAnsi="David"/>
                <w:szCs w:val="20"/>
                <w:rtl/>
              </w:rPr>
            </w:pPr>
            <w:r w:rsidRPr="002F2BC5">
              <w:rPr>
                <w:rFonts w:ascii="David" w:hAnsi="David"/>
                <w:szCs w:val="20"/>
                <w:rtl/>
              </w:rPr>
              <w:t>100%</w:t>
            </w:r>
          </w:p>
        </w:tc>
      </w:tr>
    </w:tbl>
    <w:p w14:paraId="1768B042" w14:textId="77777777" w:rsidR="00817399" w:rsidRPr="002F2BC5" w:rsidRDefault="00817399" w:rsidP="00817399">
      <w:pPr>
        <w:pStyle w:val="afffffff1"/>
        <w:bidi/>
        <w:spacing w:line="269" w:lineRule="auto"/>
        <w:rPr>
          <w:rtl/>
        </w:rPr>
      </w:pPr>
    </w:p>
    <w:p w14:paraId="263E9385" w14:textId="77777777" w:rsidR="00817399" w:rsidRPr="002F2BC5" w:rsidRDefault="00817399" w:rsidP="00817399">
      <w:pPr>
        <w:pStyle w:val="afffffff1"/>
        <w:bidi/>
        <w:spacing w:line="269" w:lineRule="auto"/>
      </w:pPr>
      <w:r w:rsidRPr="002F2BC5">
        <w:rPr>
          <w:rFonts w:hint="cs"/>
          <w:rtl/>
        </w:rPr>
        <w:t>על פי מידע שנאסף במהלך הביקורת הנוכחית, בעיבוד משרד מבקר המדינה.</w:t>
      </w:r>
    </w:p>
    <w:p w14:paraId="49AE09FE" w14:textId="77777777" w:rsidR="00817399" w:rsidRPr="002F2BC5" w:rsidRDefault="00817399" w:rsidP="00817399">
      <w:pPr>
        <w:pStyle w:val="afffffff1"/>
        <w:keepNext w:val="0"/>
        <w:keepLines w:val="0"/>
        <w:widowControl w:val="0"/>
        <w:bidi/>
        <w:spacing w:line="269" w:lineRule="auto"/>
        <w:rPr>
          <w:rtl/>
        </w:rPr>
      </w:pPr>
      <w:r w:rsidRPr="002F2BC5">
        <w:rPr>
          <w:rFonts w:hint="cs"/>
          <w:rtl/>
        </w:rPr>
        <w:t>* מספר המשתתפים מתייחס למספר הגופים המשתתפים, ארגונים וולונטריים נספרו פעם אחת, גם אם השתתפו בדיון נציגיהם של מספר ארגונים; בשנת 2022 שבה התקיימו שש ישיבות מוצג נתון מצטבר בהתייחס לכל הדיונים. בשנת 2023 השתתף בדיון הוועדה גם נציג משרד ראש הממשלה שאינו נמנה על חבריה הקבועים של הוועדה.</w:t>
      </w:r>
    </w:p>
    <w:p w14:paraId="34C2235A" w14:textId="77777777" w:rsidR="00817399" w:rsidRPr="002F2BC5" w:rsidRDefault="00817399" w:rsidP="00817399">
      <w:pPr>
        <w:pStyle w:val="afffffff1"/>
        <w:bidi/>
        <w:spacing w:line="269" w:lineRule="auto"/>
        <w:rPr>
          <w:rtl/>
        </w:rPr>
      </w:pPr>
      <w:r w:rsidRPr="002F2BC5">
        <w:rPr>
          <w:rFonts w:hint="cs"/>
          <w:rtl/>
        </w:rPr>
        <w:t xml:space="preserve">** המספר ושיעור המשתתפים מקרב החברים הקבועים חושב לפי </w:t>
      </w:r>
      <w:r w:rsidRPr="002F2BC5">
        <w:rPr>
          <w:rtl/>
        </w:rPr>
        <w:t>הרכב הוועדה בפועל, בהתבסס על המידע שמסרה הוועדה הבין-משרדית במהלך הביקורת הנוכחית</w:t>
      </w:r>
      <w:r w:rsidRPr="002F2BC5">
        <w:rPr>
          <w:rFonts w:hint="cs"/>
          <w:rtl/>
        </w:rPr>
        <w:t>.</w:t>
      </w:r>
    </w:p>
    <w:p w14:paraId="16D2F184" w14:textId="77777777" w:rsidR="00817399" w:rsidRPr="002F2BC5" w:rsidRDefault="00817399" w:rsidP="00817399">
      <w:pPr>
        <w:spacing w:line="269" w:lineRule="auto"/>
        <w:rPr>
          <w:rtl/>
        </w:rPr>
      </w:pPr>
    </w:p>
    <w:p w14:paraId="358802CF" w14:textId="77777777" w:rsidR="00817399" w:rsidRPr="002F2BC5" w:rsidRDefault="00817399" w:rsidP="00817399">
      <w:pPr>
        <w:pStyle w:val="a0"/>
        <w:widowControl w:val="0"/>
        <w:spacing w:line="269" w:lineRule="auto"/>
        <w:ind w:left="357" w:hanging="357"/>
        <w:rPr>
          <w:rtl/>
        </w:rPr>
      </w:pPr>
      <w:bookmarkStart w:id="391" w:name="_Ref186452139"/>
      <w:bookmarkStart w:id="392" w:name="_Toc192674050"/>
      <w:r w:rsidRPr="002F2BC5">
        <w:rPr>
          <w:rFonts w:hint="cs"/>
          <w:b w:val="0"/>
          <w:bCs w:val="0"/>
          <w:rtl/>
        </w:rPr>
        <w:lastRenderedPageBreak/>
        <w:t>:</w:t>
      </w:r>
      <w:r w:rsidRPr="002F2BC5">
        <w:rPr>
          <w:rFonts w:hint="cs"/>
          <w:rtl/>
        </w:rPr>
        <w:t xml:space="preserve"> הרכב הוועדה הקבועה במועד סיום הביקורת הנוכחית והשתתפות חברים קבועים ומוזמנים שאינם קבועים בדיוני הוועדה הקבועה, 2022 - 2024</w:t>
      </w:r>
      <w:bookmarkEnd w:id="391"/>
      <w:r w:rsidRPr="002F2BC5">
        <w:rPr>
          <w:rFonts w:hint="cs"/>
          <w:rtl/>
        </w:rPr>
        <w:t>*</w:t>
      </w:r>
      <w:bookmarkEnd w:id="392"/>
    </w:p>
    <w:p w14:paraId="3DE09F55" w14:textId="77777777" w:rsidR="00817399" w:rsidRPr="002F2BC5" w:rsidRDefault="00817399" w:rsidP="00817399">
      <w:pPr>
        <w:pStyle w:val="afffffff4"/>
        <w:bidi/>
        <w:spacing w:before="0" w:after="0" w:line="269" w:lineRule="auto"/>
        <w:rPr>
          <w:rtl/>
        </w:rPr>
      </w:pPr>
      <w:r w:rsidRPr="002F2BC5">
        <w:rPr>
          <w:noProof/>
        </w:rPr>
        <w:t xml:space="preserve"> </w:t>
      </w:r>
      <w:r w:rsidRPr="002F2BC5">
        <w:rPr>
          <w:noProof/>
        </w:rPr>
        <w:drawing>
          <wp:inline distT="0" distB="0" distL="0" distR="0" wp14:anchorId="75773367" wp14:editId="78FBFF16">
            <wp:extent cx="3060000" cy="4614677"/>
            <wp:effectExtent l="0" t="0" r="7620" b="0"/>
            <wp:docPr id="41" name="תמונה 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0000" cy="4614677"/>
                    </a:xfrm>
                    <a:prstGeom prst="rect">
                      <a:avLst/>
                    </a:prstGeom>
                  </pic:spPr>
                </pic:pic>
              </a:graphicData>
            </a:graphic>
          </wp:inline>
        </w:drawing>
      </w:r>
    </w:p>
    <w:p w14:paraId="6D4D5B70" w14:textId="77777777" w:rsidR="00817399" w:rsidRPr="002F2BC5" w:rsidRDefault="00817399" w:rsidP="00817399">
      <w:pPr>
        <w:pStyle w:val="afffffff1"/>
        <w:bidi/>
        <w:spacing w:line="269" w:lineRule="auto"/>
      </w:pPr>
      <w:r w:rsidRPr="002F2BC5">
        <w:rPr>
          <w:rFonts w:hint="cs"/>
          <w:rtl/>
        </w:rPr>
        <w:t>על פי מידע שנאסף במהלך הביקורת הנוכחית, בעיבוד משרד מבקר המדינה.</w:t>
      </w:r>
    </w:p>
    <w:p w14:paraId="4BB9D68A" w14:textId="77777777" w:rsidR="00817399" w:rsidRPr="002F2BC5" w:rsidRDefault="00817399" w:rsidP="00817399">
      <w:pPr>
        <w:pStyle w:val="afffffff1"/>
        <w:keepNext w:val="0"/>
        <w:keepLines w:val="0"/>
        <w:widowControl w:val="0"/>
        <w:bidi/>
        <w:spacing w:line="269" w:lineRule="auto"/>
        <w:rPr>
          <w:rtl/>
        </w:rPr>
      </w:pPr>
      <w:r w:rsidRPr="002F2BC5">
        <w:rPr>
          <w:rFonts w:hint="cs"/>
          <w:rtl/>
        </w:rPr>
        <w:t>* בהתייחס לשנת 2022, ההשתתפות בדיוני הוועדה מתייחסת להשתתפות באחד או יותר מהדיונים שהתקיימו בשנה זו.</w:t>
      </w:r>
    </w:p>
    <w:p w14:paraId="336859E7" w14:textId="77777777" w:rsidR="00817399" w:rsidRPr="002F2BC5" w:rsidRDefault="00817399" w:rsidP="00817399">
      <w:pPr>
        <w:spacing w:line="269" w:lineRule="auto"/>
        <w:rPr>
          <w:rtl/>
        </w:rPr>
      </w:pPr>
    </w:p>
    <w:p w14:paraId="454DD0BA" w14:textId="77777777" w:rsidR="00817399" w:rsidRPr="002F2BC5" w:rsidRDefault="00817399" w:rsidP="00817399">
      <w:pPr>
        <w:pStyle w:val="afa"/>
        <w:spacing w:line="269" w:lineRule="auto"/>
        <w:ind w:left="340"/>
        <w:rPr>
          <w:b/>
          <w:bCs/>
          <w:rtl/>
        </w:rPr>
      </w:pPr>
      <w:r w:rsidRPr="002F2BC5">
        <w:rPr>
          <w:rFonts w:hint="cs"/>
          <w:b/>
          <w:bCs/>
          <w:rtl/>
        </w:rPr>
        <w:t xml:space="preserve">הגם שמעצם טיבה אמורה הוועדה הבין-משרדית הקבועה לקיים באופן שיטתי ועקבי בקרה ומעקב אחר יישום החלטותיה ואחר הקצאה וניצול של התקציב הייעודי העומד לרשותה, היא </w:t>
      </w:r>
      <w:r w:rsidRPr="002F2BC5">
        <w:rPr>
          <w:rFonts w:hint="eastAsia"/>
          <w:b/>
          <w:bCs/>
          <w:rtl/>
        </w:rPr>
        <w:t>אינה</w:t>
      </w:r>
      <w:r w:rsidRPr="002F2BC5">
        <w:rPr>
          <w:b/>
          <w:bCs/>
          <w:rtl/>
        </w:rPr>
        <w:t xml:space="preserve"> מתכנסת באופן </w:t>
      </w:r>
      <w:r w:rsidRPr="002F2BC5">
        <w:rPr>
          <w:rFonts w:hint="eastAsia"/>
          <w:b/>
          <w:bCs/>
          <w:rtl/>
        </w:rPr>
        <w:t>תדיר</w:t>
      </w:r>
      <w:r w:rsidRPr="002F2BC5">
        <w:rPr>
          <w:rStyle w:val="af9"/>
          <w:b/>
          <w:bCs/>
          <w:rtl/>
        </w:rPr>
        <w:footnoteReference w:id="116"/>
      </w:r>
      <w:r w:rsidRPr="002F2BC5">
        <w:rPr>
          <w:b/>
          <w:bCs/>
          <w:rtl/>
        </w:rPr>
        <w:t xml:space="preserve">. </w:t>
      </w:r>
      <w:r w:rsidRPr="002F2BC5">
        <w:rPr>
          <w:rFonts w:hint="eastAsia"/>
          <w:b/>
          <w:bCs/>
          <w:rtl/>
        </w:rPr>
        <w:t>כך</w:t>
      </w:r>
      <w:r w:rsidRPr="002F2BC5">
        <w:rPr>
          <w:b/>
          <w:bCs/>
          <w:rtl/>
        </w:rPr>
        <w:t xml:space="preserve"> </w:t>
      </w:r>
      <w:r w:rsidRPr="002F2BC5">
        <w:rPr>
          <w:rFonts w:hint="eastAsia"/>
          <w:b/>
          <w:bCs/>
          <w:rtl/>
        </w:rPr>
        <w:t>הוועדה</w:t>
      </w:r>
      <w:r w:rsidRPr="002F2BC5">
        <w:rPr>
          <w:b/>
          <w:bCs/>
          <w:rtl/>
        </w:rPr>
        <w:t xml:space="preserve"> הקבועה לא התכנסה </w:t>
      </w:r>
      <w:r w:rsidRPr="002F2BC5">
        <w:rPr>
          <w:rFonts w:hint="eastAsia"/>
          <w:b/>
          <w:bCs/>
          <w:rtl/>
        </w:rPr>
        <w:t>באופן</w:t>
      </w:r>
      <w:r w:rsidRPr="002F2BC5">
        <w:rPr>
          <w:b/>
          <w:bCs/>
          <w:rtl/>
        </w:rPr>
        <w:t xml:space="preserve"> </w:t>
      </w:r>
      <w:r w:rsidRPr="002F2BC5">
        <w:rPr>
          <w:rFonts w:hint="eastAsia"/>
          <w:b/>
          <w:bCs/>
          <w:rtl/>
        </w:rPr>
        <w:t>תדיר</w:t>
      </w:r>
      <w:r w:rsidRPr="002F2BC5">
        <w:rPr>
          <w:b/>
          <w:bCs/>
          <w:rtl/>
        </w:rPr>
        <w:t xml:space="preserve"> </w:t>
      </w:r>
      <w:r w:rsidRPr="002F2BC5">
        <w:rPr>
          <w:rFonts w:hint="cs"/>
          <w:b/>
          <w:bCs/>
          <w:rtl/>
        </w:rPr>
        <w:t>גם במהלך מלחמת חרבות ברזל, שאז הדיון במדיניות הממשלתית, בתוכניות העבודה ובהקצאת התקציב ואופן ניצולו חיוניים אף ביתר שאת, לנוכח השפעותיה האפשריות של המלחמה על היקפה של תופעת האלימות במשפחה ומאפייניה</w:t>
      </w:r>
      <w:r w:rsidRPr="002F2BC5">
        <w:rPr>
          <w:rStyle w:val="af9"/>
          <w:b/>
          <w:bCs/>
          <w:rtl/>
        </w:rPr>
        <w:footnoteReference w:id="117"/>
      </w:r>
      <w:r w:rsidRPr="002F2BC5">
        <w:rPr>
          <w:rFonts w:hint="cs"/>
          <w:b/>
          <w:bCs/>
          <w:rtl/>
        </w:rPr>
        <w:t>.</w:t>
      </w:r>
    </w:p>
    <w:p w14:paraId="554D594B" w14:textId="77777777" w:rsidR="00817399" w:rsidRPr="002F2BC5" w:rsidRDefault="00817399" w:rsidP="00817399">
      <w:pPr>
        <w:spacing w:line="269" w:lineRule="auto"/>
        <w:rPr>
          <w:rtl/>
        </w:rPr>
      </w:pPr>
    </w:p>
    <w:p w14:paraId="13677767" w14:textId="77777777" w:rsidR="00817399" w:rsidRPr="002F2BC5" w:rsidRDefault="00817399" w:rsidP="00817399">
      <w:pPr>
        <w:spacing w:line="269" w:lineRule="auto"/>
        <w:ind w:left="312"/>
        <w:rPr>
          <w:rtl/>
        </w:rPr>
      </w:pPr>
      <w:r w:rsidRPr="002F2BC5">
        <w:rPr>
          <w:rFonts w:hint="cs"/>
          <w:rtl/>
        </w:rPr>
        <w:t>יתרה מזו,</w:t>
      </w:r>
      <w:r w:rsidRPr="002F2BC5">
        <w:rPr>
          <w:rtl/>
        </w:rPr>
        <w:t xml:space="preserve"> </w:t>
      </w:r>
      <w:r w:rsidRPr="002F2BC5">
        <w:rPr>
          <w:rFonts w:hint="eastAsia"/>
          <w:rtl/>
        </w:rPr>
        <w:t>בשנים</w:t>
      </w:r>
      <w:r w:rsidRPr="002F2BC5">
        <w:rPr>
          <w:rtl/>
        </w:rPr>
        <w:t xml:space="preserve"> 202</w:t>
      </w:r>
      <w:r w:rsidRPr="002F2BC5">
        <w:rPr>
          <w:rFonts w:hint="cs"/>
          <w:rtl/>
        </w:rPr>
        <w:t>2</w:t>
      </w:r>
      <w:r w:rsidRPr="002F2BC5">
        <w:rPr>
          <w:rtl/>
        </w:rPr>
        <w:t xml:space="preserve"> - 2024 </w:t>
      </w:r>
      <w:r w:rsidRPr="002F2BC5">
        <w:rPr>
          <w:rFonts w:hint="eastAsia"/>
          <w:rtl/>
        </w:rPr>
        <w:t>נציגיהם</w:t>
      </w:r>
      <w:r w:rsidRPr="002F2BC5">
        <w:rPr>
          <w:rtl/>
        </w:rPr>
        <w:t xml:space="preserve"> </w:t>
      </w:r>
      <w:r w:rsidRPr="002F2BC5">
        <w:rPr>
          <w:rFonts w:hint="eastAsia"/>
          <w:rtl/>
        </w:rPr>
        <w:t>של</w:t>
      </w:r>
      <w:r w:rsidRPr="002F2BC5">
        <w:rPr>
          <w:rtl/>
        </w:rPr>
        <w:t xml:space="preserve"> </w:t>
      </w:r>
      <w:r w:rsidRPr="002F2BC5">
        <w:rPr>
          <w:rFonts w:hint="eastAsia"/>
          <w:rtl/>
        </w:rPr>
        <w:t>שלושה</w:t>
      </w:r>
      <w:r w:rsidRPr="002F2BC5">
        <w:rPr>
          <w:rtl/>
        </w:rPr>
        <w:t xml:space="preserve"> </w:t>
      </w:r>
      <w:r w:rsidRPr="002F2BC5">
        <w:rPr>
          <w:rFonts w:hint="eastAsia"/>
          <w:rtl/>
        </w:rPr>
        <w:t>משרדי</w:t>
      </w:r>
      <w:r w:rsidRPr="002F2BC5">
        <w:rPr>
          <w:rtl/>
        </w:rPr>
        <w:t xml:space="preserve"> </w:t>
      </w:r>
      <w:r w:rsidRPr="002F2BC5">
        <w:rPr>
          <w:rFonts w:hint="eastAsia"/>
          <w:rtl/>
        </w:rPr>
        <w:t>ממשלה</w:t>
      </w:r>
      <w:r w:rsidRPr="002F2BC5">
        <w:rPr>
          <w:rFonts w:hint="cs"/>
          <w:rtl/>
        </w:rPr>
        <w:t>,</w:t>
      </w:r>
      <w:r w:rsidRPr="002F2BC5">
        <w:rPr>
          <w:rtl/>
        </w:rPr>
        <w:t xml:space="preserve"> </w:t>
      </w:r>
      <w:r w:rsidRPr="002F2BC5">
        <w:rPr>
          <w:rFonts w:hint="eastAsia"/>
          <w:rtl/>
        </w:rPr>
        <w:t>האמורים</w:t>
      </w:r>
      <w:r w:rsidRPr="002F2BC5">
        <w:rPr>
          <w:rtl/>
        </w:rPr>
        <w:t xml:space="preserve"> </w:t>
      </w:r>
      <w:r w:rsidRPr="002F2BC5">
        <w:rPr>
          <w:rFonts w:hint="eastAsia"/>
          <w:rtl/>
        </w:rPr>
        <w:t>לשמש</w:t>
      </w:r>
      <w:r w:rsidRPr="002F2BC5">
        <w:rPr>
          <w:rtl/>
        </w:rPr>
        <w:t xml:space="preserve"> </w:t>
      </w:r>
      <w:r w:rsidRPr="002F2BC5">
        <w:rPr>
          <w:rFonts w:hint="eastAsia"/>
          <w:rtl/>
        </w:rPr>
        <w:t>כחברים</w:t>
      </w:r>
      <w:r w:rsidRPr="002F2BC5">
        <w:rPr>
          <w:rtl/>
        </w:rPr>
        <w:t xml:space="preserve"> </w:t>
      </w:r>
      <w:r w:rsidRPr="002F2BC5">
        <w:rPr>
          <w:rFonts w:hint="eastAsia"/>
          <w:rtl/>
        </w:rPr>
        <w:t>קבועים</w:t>
      </w:r>
      <w:r w:rsidRPr="002F2BC5">
        <w:rPr>
          <w:rtl/>
        </w:rPr>
        <w:t xml:space="preserve"> </w:t>
      </w:r>
      <w:r w:rsidRPr="002F2BC5">
        <w:rPr>
          <w:rFonts w:hint="eastAsia"/>
          <w:rtl/>
        </w:rPr>
        <w:t>בוועדה</w:t>
      </w:r>
      <w:r w:rsidRPr="002F2BC5">
        <w:rPr>
          <w:rtl/>
        </w:rPr>
        <w:t xml:space="preserve"> </w:t>
      </w:r>
      <w:r w:rsidRPr="002F2BC5">
        <w:rPr>
          <w:rFonts w:hint="eastAsia"/>
          <w:rtl/>
        </w:rPr>
        <w:t>לפי</w:t>
      </w:r>
      <w:r w:rsidRPr="002F2BC5">
        <w:rPr>
          <w:rtl/>
        </w:rPr>
        <w:t xml:space="preserve"> </w:t>
      </w:r>
      <w:r w:rsidRPr="002F2BC5">
        <w:rPr>
          <w:rFonts w:hint="eastAsia"/>
          <w:rtl/>
        </w:rPr>
        <w:t>הוראות</w:t>
      </w:r>
      <w:r w:rsidRPr="002F2BC5">
        <w:rPr>
          <w:rtl/>
        </w:rPr>
        <w:t xml:space="preserve"> </w:t>
      </w:r>
      <w:r w:rsidRPr="002F2BC5">
        <w:rPr>
          <w:rFonts w:hint="eastAsia"/>
          <w:rtl/>
        </w:rPr>
        <w:t>התע</w:t>
      </w:r>
      <w:r w:rsidRPr="002F2BC5">
        <w:rPr>
          <w:rtl/>
        </w:rPr>
        <w:t xml:space="preserve">"ס (משרד </w:t>
      </w:r>
      <w:r w:rsidRPr="002F2BC5">
        <w:rPr>
          <w:rFonts w:hint="eastAsia"/>
          <w:rtl/>
        </w:rPr>
        <w:t>התרבות</w:t>
      </w:r>
      <w:r w:rsidRPr="002F2BC5">
        <w:rPr>
          <w:rtl/>
        </w:rPr>
        <w:t xml:space="preserve"> </w:t>
      </w:r>
      <w:r w:rsidRPr="002F2BC5">
        <w:rPr>
          <w:rFonts w:hint="eastAsia"/>
          <w:rtl/>
        </w:rPr>
        <w:t>והספורט</w:t>
      </w:r>
      <w:r w:rsidRPr="002F2BC5">
        <w:rPr>
          <w:rtl/>
        </w:rPr>
        <w:t xml:space="preserve">, </w:t>
      </w:r>
      <w:r w:rsidRPr="002F2BC5">
        <w:rPr>
          <w:rFonts w:hint="eastAsia"/>
          <w:rtl/>
        </w:rPr>
        <w:t>המוסד</w:t>
      </w:r>
      <w:r w:rsidRPr="002F2BC5">
        <w:rPr>
          <w:rtl/>
        </w:rPr>
        <w:t xml:space="preserve"> </w:t>
      </w:r>
      <w:r w:rsidRPr="002F2BC5">
        <w:rPr>
          <w:rFonts w:hint="eastAsia"/>
          <w:rtl/>
        </w:rPr>
        <w:t>לביטוח</w:t>
      </w:r>
      <w:r w:rsidRPr="002F2BC5">
        <w:rPr>
          <w:rtl/>
        </w:rPr>
        <w:t xml:space="preserve"> </w:t>
      </w:r>
      <w:r w:rsidRPr="002F2BC5">
        <w:rPr>
          <w:rFonts w:hint="eastAsia"/>
          <w:rtl/>
        </w:rPr>
        <w:t>לאומי</w:t>
      </w:r>
      <w:r w:rsidRPr="002F2BC5">
        <w:rPr>
          <w:rtl/>
        </w:rPr>
        <w:t xml:space="preserve"> </w:t>
      </w:r>
      <w:r w:rsidRPr="002F2BC5">
        <w:rPr>
          <w:rFonts w:hint="eastAsia"/>
          <w:rtl/>
        </w:rPr>
        <w:t>ומשרד</w:t>
      </w:r>
      <w:r w:rsidRPr="002F2BC5">
        <w:rPr>
          <w:rtl/>
        </w:rPr>
        <w:t xml:space="preserve"> </w:t>
      </w:r>
      <w:r w:rsidRPr="002F2BC5">
        <w:rPr>
          <w:rFonts w:hint="eastAsia"/>
          <w:rtl/>
        </w:rPr>
        <w:t>הבינוי</w:t>
      </w:r>
      <w:r w:rsidRPr="002F2BC5">
        <w:rPr>
          <w:rtl/>
        </w:rPr>
        <w:t xml:space="preserve"> </w:t>
      </w:r>
      <w:r w:rsidRPr="002F2BC5">
        <w:rPr>
          <w:rFonts w:hint="eastAsia"/>
          <w:rtl/>
        </w:rPr>
        <w:t>והשיכון</w:t>
      </w:r>
      <w:r w:rsidRPr="002F2BC5">
        <w:rPr>
          <w:rtl/>
        </w:rPr>
        <w:t>)</w:t>
      </w:r>
      <w:r w:rsidRPr="002F2BC5">
        <w:rPr>
          <w:rFonts w:hint="cs"/>
          <w:rtl/>
        </w:rPr>
        <w:t>,</w:t>
      </w:r>
      <w:r w:rsidRPr="002F2BC5">
        <w:rPr>
          <w:rtl/>
        </w:rPr>
        <w:t xml:space="preserve"> </w:t>
      </w:r>
      <w:r w:rsidRPr="002F2BC5">
        <w:rPr>
          <w:rFonts w:hint="eastAsia"/>
          <w:rtl/>
        </w:rPr>
        <w:t>לא</w:t>
      </w:r>
      <w:r w:rsidRPr="002F2BC5">
        <w:rPr>
          <w:rtl/>
        </w:rPr>
        <w:t xml:space="preserve"> </w:t>
      </w:r>
      <w:r w:rsidRPr="002F2BC5">
        <w:rPr>
          <w:rFonts w:hint="eastAsia"/>
          <w:rtl/>
        </w:rPr>
        <w:t>השתתפו</w:t>
      </w:r>
      <w:r w:rsidRPr="002F2BC5">
        <w:rPr>
          <w:rtl/>
        </w:rPr>
        <w:t xml:space="preserve"> </w:t>
      </w:r>
      <w:r w:rsidRPr="002F2BC5">
        <w:rPr>
          <w:rFonts w:hint="eastAsia"/>
          <w:rtl/>
        </w:rPr>
        <w:t>באף</w:t>
      </w:r>
      <w:r w:rsidRPr="002F2BC5">
        <w:rPr>
          <w:rtl/>
        </w:rPr>
        <w:t xml:space="preserve"> </w:t>
      </w:r>
      <w:r w:rsidRPr="002F2BC5">
        <w:rPr>
          <w:rFonts w:hint="eastAsia"/>
          <w:rtl/>
        </w:rPr>
        <w:t>אחד</w:t>
      </w:r>
      <w:r w:rsidRPr="002F2BC5">
        <w:rPr>
          <w:rtl/>
        </w:rPr>
        <w:t xml:space="preserve"> </w:t>
      </w:r>
      <w:r w:rsidRPr="002F2BC5">
        <w:rPr>
          <w:rFonts w:hint="eastAsia"/>
          <w:rtl/>
        </w:rPr>
        <w:t>מדיוני</w:t>
      </w:r>
      <w:r w:rsidRPr="002F2BC5">
        <w:rPr>
          <w:rtl/>
        </w:rPr>
        <w:t xml:space="preserve"> </w:t>
      </w:r>
      <w:r w:rsidRPr="002F2BC5">
        <w:rPr>
          <w:rFonts w:hint="eastAsia"/>
          <w:rtl/>
        </w:rPr>
        <w:t>הוועדה</w:t>
      </w:r>
      <w:r w:rsidRPr="002F2BC5">
        <w:rPr>
          <w:rtl/>
        </w:rPr>
        <w:t xml:space="preserve"> </w:t>
      </w:r>
      <w:r w:rsidRPr="002F2BC5">
        <w:rPr>
          <w:rFonts w:hint="eastAsia"/>
          <w:rtl/>
        </w:rPr>
        <w:t>הקבועה</w:t>
      </w:r>
      <w:r w:rsidRPr="002F2BC5">
        <w:rPr>
          <w:rtl/>
        </w:rPr>
        <w:t>.</w:t>
      </w:r>
      <w:r w:rsidRPr="002F2BC5">
        <w:rPr>
          <w:rFonts w:hint="cs"/>
          <w:rtl/>
        </w:rPr>
        <w:t xml:space="preserve"> כך גם נציגיהם של שלושה משרדי ממשלה האמורים לשמש כחברים קבועים בוועדה לפי החלטת הממשלה 1249 (משרד החוץ, משרד האוצר והמשרד לשוויון חברתי) לא השתתפו באף אחד מדיוניה.</w:t>
      </w:r>
    </w:p>
    <w:p w14:paraId="035C6624" w14:textId="77777777" w:rsidR="00817399" w:rsidRPr="002F2BC5" w:rsidRDefault="00817399" w:rsidP="00817399">
      <w:pPr>
        <w:spacing w:line="269" w:lineRule="auto"/>
        <w:rPr>
          <w:rtl/>
        </w:rPr>
      </w:pPr>
    </w:p>
    <w:p w14:paraId="0AC71DA4" w14:textId="77777777" w:rsidR="00817399" w:rsidRPr="002F2BC5" w:rsidRDefault="00817399" w:rsidP="00817399">
      <w:pPr>
        <w:spacing w:line="269" w:lineRule="auto"/>
        <w:ind w:left="312"/>
        <w:rPr>
          <w:rtl/>
        </w:rPr>
      </w:pPr>
      <w:r w:rsidRPr="002F2BC5">
        <w:rPr>
          <w:rFonts w:hint="cs"/>
          <w:rtl/>
        </w:rPr>
        <w:lastRenderedPageBreak/>
        <w:t>משרד הרווחה מסר בתשובתו כי למן השבעה באוקטובר הוא מיקד את פעילותו בטיפול באוכלוסיות שנפגעו בעקבות אירועי המלחמה וכי רבים ממשאביו הופנו למשימה חשובה זו, לצד המשך הטיפול באוכלוסיות המצויות באחריותו בשגרה, ובכללן נפגעי האלימות במשפחה. עוד מסר כי החל מהרבעון האחרון של שנת 2024 הוועדה הבין-משרדית החלה להתכנס באופן קבוע ובהתאם לתוכנית העבודה השנתית.</w:t>
      </w:r>
    </w:p>
    <w:p w14:paraId="13C8D6A7" w14:textId="77777777" w:rsidR="00817399" w:rsidRPr="002F2BC5" w:rsidRDefault="00817399" w:rsidP="00817399">
      <w:pPr>
        <w:spacing w:line="269" w:lineRule="auto"/>
        <w:rPr>
          <w:rtl/>
        </w:rPr>
      </w:pPr>
    </w:p>
    <w:p w14:paraId="1ADF6F61" w14:textId="77777777" w:rsidR="00817399" w:rsidRPr="002F2BC5" w:rsidRDefault="00817399" w:rsidP="00817399">
      <w:pPr>
        <w:pStyle w:val="afa"/>
        <w:spacing w:line="269" w:lineRule="auto"/>
        <w:ind w:left="340"/>
      </w:pPr>
      <w:r w:rsidRPr="002F2BC5">
        <w:rPr>
          <w:rFonts w:hint="cs"/>
          <w:b/>
          <w:bCs/>
          <w:rtl/>
        </w:rPr>
        <w:t>על משרד הרווחה להמשיך ולהקפיד על התכנסותה התדירה של הוועדה הבין-משרדית, בהרכבה המחייב, ולייצר שגרת עבודה קבועה לתיאום וליצירת סדר יום משותף, באופן שיבטיח את יכולתה למלא את תפקידיה כנדרש.</w:t>
      </w:r>
    </w:p>
    <w:p w14:paraId="08C0A440" w14:textId="77777777" w:rsidR="00817399" w:rsidRPr="002F2BC5" w:rsidRDefault="00817399" w:rsidP="00817399">
      <w:pPr>
        <w:spacing w:line="269" w:lineRule="auto"/>
        <w:rPr>
          <w:rtl/>
        </w:rPr>
      </w:pPr>
    </w:p>
    <w:p w14:paraId="6169CDB7" w14:textId="77777777" w:rsidR="00817399" w:rsidRPr="002F2BC5" w:rsidRDefault="00817399" w:rsidP="00817399">
      <w:pPr>
        <w:pStyle w:val="afa"/>
        <w:numPr>
          <w:ilvl w:val="0"/>
          <w:numId w:val="28"/>
        </w:numPr>
        <w:spacing w:line="269" w:lineRule="auto"/>
      </w:pPr>
      <w:bookmarkStart w:id="393" w:name="_Toc191986942"/>
      <w:r w:rsidRPr="002F2BC5">
        <w:rPr>
          <w:rStyle w:val="70"/>
          <w:rFonts w:hint="cs"/>
          <w:rtl/>
        </w:rPr>
        <w:t>תיעוד דיוניה של הוועדה הבין-משרדית:</w:t>
      </w:r>
      <w:bookmarkEnd w:id="393"/>
      <w:r w:rsidRPr="002F2BC5">
        <w:rPr>
          <w:rFonts w:hint="cs"/>
          <w:rtl/>
        </w:rPr>
        <w:t xml:space="preserve"> סדרי המינהל התקינים ועקרון השקיפות בפעילותו של המינהל הציבורי מחייבים את הוועדה הבין-משרדית, בפרט לנוכח היותה מורכבת מגופים רבים ("אורגן-רבים"), לרשום פרוטוקול מפורט אשר ישקף את עיקרי המידע שהובא לפניה ואת ההחלטות שהתקבלו לנוכח המידע</w:t>
      </w:r>
      <w:r w:rsidRPr="002F2BC5">
        <w:rPr>
          <w:rStyle w:val="af9"/>
          <w:rtl/>
        </w:rPr>
        <w:footnoteReference w:id="118"/>
      </w:r>
      <w:r w:rsidRPr="002F2BC5">
        <w:rPr>
          <w:rFonts w:hint="cs"/>
          <w:rtl/>
        </w:rPr>
        <w:t>.</w:t>
      </w:r>
    </w:p>
    <w:p w14:paraId="3305D49A" w14:textId="77777777" w:rsidR="00817399" w:rsidRPr="002F2BC5" w:rsidRDefault="00817399" w:rsidP="00817399">
      <w:pPr>
        <w:spacing w:line="269" w:lineRule="auto"/>
        <w:rPr>
          <w:rtl/>
        </w:rPr>
      </w:pPr>
    </w:p>
    <w:p w14:paraId="01B9D9BD" w14:textId="77777777" w:rsidR="00817399" w:rsidRPr="002F2BC5" w:rsidRDefault="00817399" w:rsidP="00817399">
      <w:pPr>
        <w:spacing w:line="269" w:lineRule="auto"/>
        <w:ind w:left="312"/>
        <w:rPr>
          <w:rtl/>
        </w:rPr>
      </w:pPr>
      <w:r w:rsidRPr="002F2BC5">
        <w:rPr>
          <w:rFonts w:hint="cs"/>
          <w:rtl/>
        </w:rPr>
        <w:t>נמצא כי</w:t>
      </w:r>
      <w:r w:rsidRPr="002F2BC5">
        <w:rPr>
          <w:rFonts w:hint="cs"/>
          <w:b/>
          <w:bCs/>
          <w:rtl/>
        </w:rPr>
        <w:t xml:space="preserve"> </w:t>
      </w:r>
      <w:r w:rsidRPr="002F2BC5">
        <w:rPr>
          <w:rFonts w:hint="cs"/>
          <w:rtl/>
        </w:rPr>
        <w:t>האופן שבו נרשמו פרוטוקולי הדיונים במליאת הוועדה הקבועה והאופן שבו תועדו החלטותיה אינם עקביים. בעוד בדיונים מסוימים נרשם פרוטוקול מפורט, המתעד את המוזמנים לדיון ואת הנוכחים בו וכן את מהלך הדיונים וההחלטות שהתקבלו, בדיונים אחרים נרשם פרוטוקול המתעד באופן חלקי בלבד את מהלך הדיון ואינו מתעד את המוזמנים אליו אלא רק את הנוכחים בו. עוד הועלה כי דיוניהן של ועדות המשנה של הוועדה הבין-משרדית הקבועה לא תועדו כלל.</w:t>
      </w:r>
    </w:p>
    <w:p w14:paraId="51E2C734" w14:textId="77777777" w:rsidR="00817399" w:rsidRPr="002F2BC5" w:rsidRDefault="00817399" w:rsidP="00817399">
      <w:pPr>
        <w:spacing w:line="269" w:lineRule="auto"/>
        <w:rPr>
          <w:rtl/>
        </w:rPr>
      </w:pPr>
    </w:p>
    <w:p w14:paraId="040101CB" w14:textId="77777777" w:rsidR="00817399" w:rsidRPr="002F2BC5" w:rsidRDefault="00817399" w:rsidP="00817399">
      <w:pPr>
        <w:spacing w:line="269" w:lineRule="auto"/>
        <w:ind w:left="312"/>
        <w:rPr>
          <w:b/>
          <w:bCs/>
          <w:rtl/>
        </w:rPr>
      </w:pPr>
      <w:r w:rsidRPr="002F2BC5">
        <w:rPr>
          <w:rFonts w:hint="cs"/>
          <w:b/>
          <w:bCs/>
          <w:rtl/>
        </w:rPr>
        <w:t xml:space="preserve">יוצא מן האמור כי דיוניה של הוועדה הקבועה - הן של מליאתה והן של ועדות המשנה שלה - מתועדים באופן חלקי בלבד שאינו אחיד או שאינם מתועדים כלל, באופן המונע בקרה פנימית או חיצונית על יישום החלטותיה. </w:t>
      </w:r>
    </w:p>
    <w:p w14:paraId="35AE8271" w14:textId="77777777" w:rsidR="00817399" w:rsidRPr="002F2BC5" w:rsidRDefault="00817399" w:rsidP="00817399">
      <w:pPr>
        <w:spacing w:line="269" w:lineRule="auto"/>
        <w:rPr>
          <w:rtl/>
        </w:rPr>
      </w:pPr>
    </w:p>
    <w:p w14:paraId="02CEFDA6" w14:textId="77777777" w:rsidR="00817399" w:rsidRPr="002F2BC5" w:rsidRDefault="00817399" w:rsidP="00817399">
      <w:pPr>
        <w:spacing w:line="269" w:lineRule="auto"/>
        <w:ind w:left="312"/>
        <w:rPr>
          <w:b/>
          <w:bCs/>
          <w:rtl/>
        </w:rPr>
      </w:pPr>
      <w:r w:rsidRPr="002F2BC5">
        <w:rPr>
          <w:rFonts w:hint="cs"/>
          <w:b/>
          <w:bCs/>
          <w:rtl/>
        </w:rPr>
        <w:t xml:space="preserve">על משרד הרווחה, העומד בראשות הוועדה הבין-משרדית הקבועה, להקפיד על סדרי המינהל התקינים של עבודת הוועדה, ובהתאם לכך על תיעוד מלא ועקבי של דיוניה ועל רישום פרוטוקולים מפורטים שלהם. נוסף על כך, </w:t>
      </w:r>
      <w:r w:rsidRPr="002F2BC5">
        <w:rPr>
          <w:rFonts w:hint="eastAsia"/>
          <w:b/>
          <w:bCs/>
          <w:rtl/>
        </w:rPr>
        <w:t>על</w:t>
      </w:r>
      <w:r w:rsidRPr="002F2BC5">
        <w:rPr>
          <w:b/>
          <w:bCs/>
          <w:rtl/>
        </w:rPr>
        <w:t xml:space="preserve"> הוועדה הבין-משרדית הקבועה לפעול </w:t>
      </w:r>
      <w:r w:rsidRPr="002F2BC5">
        <w:rPr>
          <w:rFonts w:hint="eastAsia"/>
          <w:b/>
          <w:bCs/>
          <w:rtl/>
        </w:rPr>
        <w:t>בהתאם</w:t>
      </w:r>
      <w:r w:rsidRPr="002F2BC5">
        <w:rPr>
          <w:b/>
          <w:bCs/>
          <w:rtl/>
        </w:rPr>
        <w:t xml:space="preserve"> </w:t>
      </w:r>
      <w:r w:rsidRPr="002F2BC5">
        <w:rPr>
          <w:rFonts w:hint="eastAsia"/>
          <w:b/>
          <w:bCs/>
          <w:rtl/>
        </w:rPr>
        <w:t>למדיניות</w:t>
      </w:r>
      <w:r w:rsidRPr="002F2BC5">
        <w:rPr>
          <w:b/>
          <w:bCs/>
          <w:rtl/>
        </w:rPr>
        <w:t xml:space="preserve"> </w:t>
      </w:r>
      <w:r w:rsidRPr="002F2BC5">
        <w:rPr>
          <w:rFonts w:hint="eastAsia"/>
          <w:b/>
          <w:bCs/>
          <w:rtl/>
        </w:rPr>
        <w:t>שייקבע</w:t>
      </w:r>
      <w:r w:rsidRPr="002F2BC5">
        <w:rPr>
          <w:b/>
          <w:bCs/>
          <w:rtl/>
        </w:rPr>
        <w:t xml:space="preserve"> </w:t>
      </w:r>
      <w:r w:rsidRPr="002F2BC5">
        <w:rPr>
          <w:rFonts w:hint="eastAsia"/>
          <w:b/>
          <w:bCs/>
          <w:rtl/>
        </w:rPr>
        <w:t>הגורם</w:t>
      </w:r>
      <w:r w:rsidRPr="002F2BC5">
        <w:rPr>
          <w:b/>
          <w:bCs/>
          <w:rtl/>
        </w:rPr>
        <w:t xml:space="preserve"> </w:t>
      </w:r>
      <w:r w:rsidRPr="002F2BC5">
        <w:rPr>
          <w:rFonts w:hint="eastAsia"/>
          <w:b/>
          <w:bCs/>
          <w:rtl/>
        </w:rPr>
        <w:t>המחליט</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פי</w:t>
      </w:r>
      <w:r w:rsidRPr="002F2BC5">
        <w:rPr>
          <w:b/>
          <w:bCs/>
          <w:rtl/>
        </w:rPr>
        <w:t xml:space="preserve"> </w:t>
      </w:r>
      <w:r w:rsidRPr="002F2BC5">
        <w:rPr>
          <w:rFonts w:hint="eastAsia"/>
          <w:b/>
          <w:bCs/>
          <w:rtl/>
        </w:rPr>
        <w:t>נוהל</w:t>
      </w:r>
      <w:r w:rsidRPr="002F2BC5">
        <w:rPr>
          <w:b/>
          <w:bCs/>
          <w:rtl/>
        </w:rPr>
        <w:t xml:space="preserve"> </w:t>
      </w:r>
      <w:r w:rsidRPr="002F2BC5">
        <w:rPr>
          <w:rFonts w:hint="eastAsia"/>
          <w:b/>
          <w:bCs/>
          <w:rtl/>
        </w:rPr>
        <w:t>היחידה</w:t>
      </w:r>
      <w:r w:rsidRPr="002F2BC5">
        <w:rPr>
          <w:b/>
          <w:bCs/>
          <w:rtl/>
        </w:rPr>
        <w:t xml:space="preserve"> </w:t>
      </w:r>
      <w:r w:rsidRPr="002F2BC5">
        <w:rPr>
          <w:rFonts w:hint="eastAsia"/>
          <w:b/>
          <w:bCs/>
          <w:rtl/>
        </w:rPr>
        <w:t>הממשלתית</w:t>
      </w:r>
      <w:r w:rsidRPr="002F2BC5">
        <w:rPr>
          <w:b/>
          <w:bCs/>
          <w:rtl/>
        </w:rPr>
        <w:t xml:space="preserve"> </w:t>
      </w:r>
      <w:r w:rsidRPr="002F2BC5">
        <w:rPr>
          <w:rFonts w:hint="eastAsia"/>
          <w:b/>
          <w:bCs/>
          <w:rtl/>
        </w:rPr>
        <w:t>לחופש</w:t>
      </w:r>
      <w:r w:rsidRPr="002F2BC5">
        <w:rPr>
          <w:b/>
          <w:bCs/>
          <w:rtl/>
        </w:rPr>
        <w:t xml:space="preserve"> </w:t>
      </w:r>
      <w:r w:rsidRPr="002F2BC5">
        <w:rPr>
          <w:rFonts w:hint="eastAsia"/>
          <w:b/>
          <w:bCs/>
          <w:rtl/>
        </w:rPr>
        <w:t>המידע</w:t>
      </w:r>
      <w:r w:rsidRPr="002F2BC5">
        <w:rPr>
          <w:b/>
          <w:bCs/>
          <w:rtl/>
        </w:rPr>
        <w:t xml:space="preserve"> לעניין פרסום </w:t>
      </w:r>
      <w:r w:rsidRPr="002F2BC5">
        <w:rPr>
          <w:rFonts w:hint="eastAsia"/>
          <w:b/>
          <w:bCs/>
          <w:rtl/>
        </w:rPr>
        <w:t>פרוטוקוליה</w:t>
      </w:r>
      <w:r w:rsidRPr="002F2BC5">
        <w:rPr>
          <w:b/>
          <w:bCs/>
          <w:rtl/>
        </w:rPr>
        <w:t xml:space="preserve"> </w:t>
      </w:r>
      <w:r w:rsidRPr="002F2BC5">
        <w:rPr>
          <w:rFonts w:hint="eastAsia"/>
          <w:b/>
          <w:bCs/>
          <w:rtl/>
        </w:rPr>
        <w:t>או</w:t>
      </w:r>
      <w:r w:rsidRPr="002F2BC5">
        <w:rPr>
          <w:b/>
          <w:bCs/>
          <w:rtl/>
        </w:rPr>
        <w:t xml:space="preserve"> </w:t>
      </w:r>
      <w:r w:rsidRPr="002F2BC5">
        <w:rPr>
          <w:rFonts w:hint="eastAsia"/>
          <w:b/>
          <w:bCs/>
          <w:rtl/>
        </w:rPr>
        <w:t>החלטותיה</w:t>
      </w:r>
      <w:r w:rsidRPr="002F2BC5">
        <w:rPr>
          <w:rStyle w:val="af9"/>
          <w:b/>
          <w:bCs/>
          <w:rtl/>
        </w:rPr>
        <w:footnoteReference w:id="119"/>
      </w:r>
      <w:r w:rsidRPr="002F2BC5">
        <w:rPr>
          <w:b/>
          <w:bCs/>
          <w:rtl/>
        </w:rPr>
        <w:t>.</w:t>
      </w:r>
    </w:p>
    <w:p w14:paraId="59E57F8D" w14:textId="77777777" w:rsidR="00817399" w:rsidRPr="002F2BC5" w:rsidRDefault="00817399" w:rsidP="00817399">
      <w:pPr>
        <w:spacing w:line="269" w:lineRule="auto"/>
        <w:ind w:left="312"/>
        <w:rPr>
          <w:b/>
          <w:bCs/>
          <w:rtl/>
        </w:rPr>
      </w:pPr>
    </w:p>
    <w:p w14:paraId="545B318B" w14:textId="77777777" w:rsidR="00817399" w:rsidRPr="002F2BC5" w:rsidRDefault="00817399" w:rsidP="00817399">
      <w:pPr>
        <w:pStyle w:val="50"/>
        <w:spacing w:line="269" w:lineRule="auto"/>
      </w:pPr>
      <w:bookmarkStart w:id="394" w:name="_Ref188340556"/>
      <w:bookmarkStart w:id="395" w:name="_Toc189072209"/>
      <w:bookmarkStart w:id="396" w:name="_Toc191986943"/>
      <w:bookmarkStart w:id="397" w:name="_Toc192093052"/>
      <w:bookmarkStart w:id="398" w:name="_Toc193110596"/>
      <w:bookmarkStart w:id="399" w:name="_Toc192612760"/>
      <w:bookmarkStart w:id="400" w:name="_Toc198312656"/>
      <w:bookmarkStart w:id="401" w:name="_Toc200636844"/>
      <w:bookmarkStart w:id="402" w:name="_Toc200439843"/>
      <w:bookmarkStart w:id="403" w:name="_Toc201240948"/>
      <w:r w:rsidRPr="002F2BC5">
        <w:rPr>
          <w:rFonts w:hint="cs"/>
          <w:rtl/>
        </w:rPr>
        <w:t>תחומי אחריותה ותפקידיה של הוועדה הבין-משרדית הקבועה</w:t>
      </w:r>
      <w:bookmarkEnd w:id="394"/>
      <w:bookmarkEnd w:id="395"/>
      <w:bookmarkEnd w:id="396"/>
      <w:bookmarkEnd w:id="397"/>
      <w:bookmarkEnd w:id="398"/>
      <w:bookmarkEnd w:id="399"/>
      <w:bookmarkEnd w:id="400"/>
      <w:bookmarkEnd w:id="401"/>
      <w:bookmarkEnd w:id="402"/>
      <w:bookmarkEnd w:id="403"/>
    </w:p>
    <w:p w14:paraId="498892DD" w14:textId="77777777" w:rsidR="00817399" w:rsidRPr="002F2BC5" w:rsidRDefault="00817399" w:rsidP="00817399">
      <w:pPr>
        <w:spacing w:line="269" w:lineRule="auto"/>
        <w:rPr>
          <w:rtl/>
        </w:rPr>
      </w:pPr>
    </w:p>
    <w:p w14:paraId="1776FB4F" w14:textId="77777777" w:rsidR="00817399" w:rsidRPr="002F2BC5" w:rsidRDefault="00817399" w:rsidP="00817399">
      <w:pPr>
        <w:spacing w:line="269" w:lineRule="auto"/>
        <w:rPr>
          <w:rtl/>
        </w:rPr>
      </w:pPr>
      <w:r w:rsidRPr="002F2BC5">
        <w:rPr>
          <w:rFonts w:hint="cs"/>
          <w:rtl/>
        </w:rPr>
        <w:t>לפי הוראות התע"ס, הוועדה הבין-משרדית הקבועה אחראית לקביעת תוכניות לפיתוח השירותים בתחום ההתמודדות עם תופעת האלימות במשפחה, איגום המשאבים בתחום זה ויצירת שיתופי פעולה והסדרים משרדיים ובין-שירותיים. לצורך מילוי תפקידיה מועבר לה מדי שנה תקציב ייעודי שעליה להקצות בהתאם לתוכניות שקבעה כאמור לפיתוח השירותים.</w:t>
      </w:r>
      <w:r w:rsidRPr="002F2BC5">
        <w:rPr>
          <w:rStyle w:val="70"/>
          <w:rFonts w:hint="cs"/>
          <w:rtl/>
        </w:rPr>
        <w:t xml:space="preserve"> </w:t>
      </w:r>
      <w:r w:rsidRPr="002F2BC5">
        <w:rPr>
          <w:rFonts w:hint="cs"/>
          <w:rtl/>
        </w:rPr>
        <w:t>לעומת זאת, בהחלטת הממשלה 1249 נקבע כי הוועדה הקבועה תהיה אחראית לגיבוש המדיניות הבין-משרדית ותוכנית לאומית-מערכתית למניעת תופעת האלימות במשפחה ולטיפול בה וכן לפיקוח ובקרה על יישומן,</w:t>
      </w:r>
      <w:r w:rsidRPr="002F2BC5">
        <w:rPr>
          <w:rtl/>
        </w:rPr>
        <w:t xml:space="preserve"> </w:t>
      </w:r>
      <w:r w:rsidRPr="002F2BC5">
        <w:rPr>
          <w:rFonts w:hint="cs"/>
          <w:rtl/>
        </w:rPr>
        <w:t>והיא אמורה לסיים את פעילותה עם השלמת יישום החלטותיה</w:t>
      </w:r>
      <w:r w:rsidRPr="002F2BC5">
        <w:rPr>
          <w:rStyle w:val="af9"/>
          <w:rtl/>
        </w:rPr>
        <w:footnoteReference w:id="120"/>
      </w:r>
      <w:r w:rsidRPr="002F2BC5">
        <w:rPr>
          <w:rtl/>
        </w:rPr>
        <w:t>.</w:t>
      </w:r>
    </w:p>
    <w:p w14:paraId="4A93C311" w14:textId="77777777" w:rsidR="00817399" w:rsidRPr="002F2BC5" w:rsidRDefault="00817399" w:rsidP="00817399">
      <w:pPr>
        <w:spacing w:line="269" w:lineRule="auto"/>
        <w:rPr>
          <w:rtl/>
        </w:rPr>
      </w:pPr>
    </w:p>
    <w:p w14:paraId="21AF33F3" w14:textId="77777777" w:rsidR="00817399" w:rsidRPr="002F2BC5" w:rsidRDefault="00817399" w:rsidP="00817399">
      <w:pPr>
        <w:pStyle w:val="afffffff9"/>
        <w:spacing w:line="269" w:lineRule="auto"/>
        <w:rPr>
          <w:rtl/>
        </w:rPr>
      </w:pPr>
      <w:bookmarkStart w:id="404" w:name="_Toc198312185"/>
      <w:bookmarkStart w:id="405" w:name="_Toc198312657"/>
      <w:bookmarkStart w:id="406" w:name="_Toc200636845"/>
      <w:bookmarkStart w:id="407" w:name="_Toc200439844"/>
      <w:bookmarkStart w:id="408" w:name="_Toc201240949"/>
      <w:bookmarkStart w:id="409" w:name="_Toc191986944"/>
      <w:bookmarkStart w:id="410" w:name="_Toc192093053"/>
      <w:bookmarkStart w:id="411" w:name="_Toc192612761"/>
      <w:r w:rsidRPr="002F2BC5">
        <w:rPr>
          <w:rFonts w:hint="eastAsia"/>
          <w:rtl/>
        </w:rPr>
        <w:t>נמצא</w:t>
      </w:r>
      <w:r w:rsidRPr="002F2BC5">
        <w:rPr>
          <w:rFonts w:hint="cs"/>
          <w:rtl/>
        </w:rPr>
        <w:t xml:space="preserve"> כי </w:t>
      </w:r>
      <w:bookmarkStart w:id="412" w:name="_Hlk192086827"/>
      <w:r w:rsidRPr="002F2BC5">
        <w:rPr>
          <w:rFonts w:hint="cs"/>
          <w:rtl/>
        </w:rPr>
        <w:t xml:space="preserve">הוועדה הקבועה לא קבעה תוכניות עבודה מקושרות תקציב לשנים 2023 ו-2024, ומכאן שלא דנה ביישום התוכניות הללו. היא גם אינה מאגמת באופן שוטף ושיטתי נתונים על אופן </w:t>
      </w:r>
      <w:r w:rsidRPr="002F2BC5">
        <w:rPr>
          <w:rFonts w:hint="cs"/>
          <w:rtl/>
        </w:rPr>
        <w:lastRenderedPageBreak/>
        <w:t>הקצאת התקציב הייעודי העומד לרשותה ועל אופן ניצולו</w:t>
      </w:r>
      <w:r w:rsidRPr="002F2BC5">
        <w:rPr>
          <w:rStyle w:val="af9"/>
          <w:b w:val="0"/>
          <w:bCs w:val="0"/>
          <w:rtl/>
        </w:rPr>
        <w:footnoteReference w:id="121"/>
      </w:r>
      <w:r w:rsidRPr="002F2BC5">
        <w:rPr>
          <w:rFonts w:hint="cs"/>
          <w:rtl/>
        </w:rPr>
        <w:t>. במצב דברים זה אין באפשרותה להידרש לחסמים אפשריים בניצול התקציב - דבר ההכרחי להבטחת ניצול מיטבי שלו.</w:t>
      </w:r>
      <w:bookmarkEnd w:id="404"/>
      <w:bookmarkEnd w:id="405"/>
      <w:bookmarkEnd w:id="406"/>
      <w:bookmarkEnd w:id="407"/>
      <w:bookmarkEnd w:id="408"/>
      <w:r w:rsidRPr="002F2BC5">
        <w:rPr>
          <w:rFonts w:hint="cs"/>
          <w:rtl/>
        </w:rPr>
        <w:t xml:space="preserve"> </w:t>
      </w:r>
      <w:bookmarkEnd w:id="409"/>
      <w:bookmarkEnd w:id="410"/>
      <w:bookmarkEnd w:id="411"/>
      <w:bookmarkEnd w:id="412"/>
    </w:p>
    <w:p w14:paraId="5968C3C6" w14:textId="77777777" w:rsidR="00817399" w:rsidRPr="002F2BC5" w:rsidRDefault="00817399" w:rsidP="00817399">
      <w:pPr>
        <w:spacing w:line="269" w:lineRule="auto"/>
        <w:rPr>
          <w:rtl/>
        </w:rPr>
      </w:pPr>
    </w:p>
    <w:p w14:paraId="232B5C3F" w14:textId="77777777" w:rsidR="00817399" w:rsidRPr="002F2BC5" w:rsidRDefault="00817399" w:rsidP="00817399">
      <w:pPr>
        <w:pStyle w:val="afffffff9"/>
        <w:spacing w:line="269" w:lineRule="auto"/>
        <w:rPr>
          <w:rtl/>
        </w:rPr>
      </w:pPr>
      <w:bookmarkStart w:id="413" w:name="_Toc191986945"/>
      <w:bookmarkStart w:id="414" w:name="_Toc192093054"/>
      <w:bookmarkStart w:id="415" w:name="_Toc192612762"/>
      <w:bookmarkStart w:id="416" w:name="_Toc198312186"/>
      <w:bookmarkStart w:id="417" w:name="_Toc198312658"/>
      <w:bookmarkStart w:id="418" w:name="_Toc200636846"/>
      <w:bookmarkStart w:id="419" w:name="_Toc200439845"/>
      <w:bookmarkStart w:id="420" w:name="_Toc201240950"/>
      <w:r w:rsidRPr="002F2BC5">
        <w:rPr>
          <w:rFonts w:hint="cs"/>
          <w:rtl/>
        </w:rPr>
        <w:t xml:space="preserve">על כך יש להוסיף כי אומנם הוועדה הקבועה התכנסה בנובמבר 2023, בסמוך לאחר פרוץ מלחמת חרבות ברזל, ודנה בהתאמות הנדרשות בדרכי הפעולה להתמודדות עם תופעת האלימות במשפחה על רקע השפעותיה של המלחמה על היקפה של התופעה ועל מאפייניה. בדצמבר 2024, הוועדה הקבועה התכנסה פעם נוספת, ומפרוטוקול הדיון הועלה כי היא כלל לא עסקה בדיון בהשפעותיה של המלחמה או </w:t>
      </w:r>
      <w:r w:rsidRPr="002F2BC5">
        <w:rPr>
          <w:rFonts w:hint="eastAsia"/>
          <w:rtl/>
        </w:rPr>
        <w:t>ביישום</w:t>
      </w:r>
      <w:r w:rsidRPr="002F2BC5">
        <w:rPr>
          <w:rtl/>
        </w:rPr>
        <w:t xml:space="preserve"> </w:t>
      </w:r>
      <w:r w:rsidRPr="002F2BC5">
        <w:rPr>
          <w:rFonts w:hint="eastAsia"/>
          <w:rtl/>
        </w:rPr>
        <w:t>החלטותיה</w:t>
      </w:r>
      <w:r w:rsidRPr="002F2BC5">
        <w:rPr>
          <w:rtl/>
        </w:rPr>
        <w:t xml:space="preserve"> </w:t>
      </w:r>
      <w:r w:rsidRPr="002F2BC5">
        <w:rPr>
          <w:rFonts w:hint="eastAsia"/>
          <w:rtl/>
        </w:rPr>
        <w:t>מנובמבר</w:t>
      </w:r>
      <w:r w:rsidRPr="002F2BC5">
        <w:rPr>
          <w:rtl/>
        </w:rPr>
        <w:t xml:space="preserve"> 2023.</w:t>
      </w:r>
      <w:bookmarkEnd w:id="413"/>
      <w:bookmarkEnd w:id="414"/>
      <w:bookmarkEnd w:id="415"/>
      <w:bookmarkEnd w:id="416"/>
      <w:bookmarkEnd w:id="417"/>
      <w:bookmarkEnd w:id="418"/>
      <w:bookmarkEnd w:id="419"/>
      <w:bookmarkEnd w:id="420"/>
    </w:p>
    <w:p w14:paraId="517EA425" w14:textId="77777777" w:rsidR="00817399" w:rsidRPr="002F2BC5" w:rsidRDefault="00817399" w:rsidP="00817399">
      <w:pPr>
        <w:spacing w:line="269" w:lineRule="auto"/>
        <w:rPr>
          <w:rtl/>
        </w:rPr>
      </w:pPr>
    </w:p>
    <w:p w14:paraId="026BEF52" w14:textId="77777777" w:rsidR="00817399" w:rsidRPr="002F2BC5" w:rsidRDefault="00817399" w:rsidP="00817399">
      <w:pPr>
        <w:spacing w:line="269" w:lineRule="auto"/>
        <w:rPr>
          <w:rtl/>
        </w:rPr>
      </w:pPr>
      <w:r w:rsidRPr="002F2BC5">
        <w:rPr>
          <w:rFonts w:hint="cs"/>
          <w:rtl/>
        </w:rPr>
        <w:t>משרד הרווחה מסר בתשובתו כי מאז קביעת תוכנית העבודה השנתית לפעילות הוועדה הבין-משרדית, במהלך הרבעון האחרון של שנת 2024, ננקטות פעולות</w:t>
      </w:r>
      <w:r w:rsidRPr="002F2BC5">
        <w:rPr>
          <w:rtl/>
        </w:rPr>
        <w:t xml:space="preserve"> לקידום שיתופי פעולה בין</w:t>
      </w:r>
      <w:r w:rsidRPr="002F2BC5">
        <w:rPr>
          <w:rFonts w:hint="cs"/>
          <w:rtl/>
        </w:rPr>
        <w:t>-</w:t>
      </w:r>
      <w:r w:rsidRPr="002F2BC5">
        <w:rPr>
          <w:rtl/>
        </w:rPr>
        <w:t>משרדיי</w:t>
      </w:r>
      <w:r w:rsidRPr="002F2BC5">
        <w:rPr>
          <w:rFonts w:hint="cs"/>
          <w:rtl/>
        </w:rPr>
        <w:t xml:space="preserve">ם ולהרחבה והתאמה של התוכניות הקיימות, </w:t>
      </w:r>
      <w:r w:rsidRPr="002F2BC5">
        <w:rPr>
          <w:rtl/>
        </w:rPr>
        <w:t xml:space="preserve">תוך בחינת ההקצאות התקציביות </w:t>
      </w:r>
      <w:r w:rsidRPr="002F2BC5">
        <w:rPr>
          <w:rFonts w:hint="cs"/>
          <w:rtl/>
        </w:rPr>
        <w:t>ו</w:t>
      </w:r>
      <w:r w:rsidRPr="002F2BC5">
        <w:rPr>
          <w:rtl/>
        </w:rPr>
        <w:t>אופן ניצול</w:t>
      </w:r>
      <w:r w:rsidRPr="002F2BC5">
        <w:rPr>
          <w:rFonts w:hint="cs"/>
          <w:rtl/>
        </w:rPr>
        <w:t xml:space="preserve"> התקציבים שהוקצו</w:t>
      </w:r>
      <w:r w:rsidRPr="002F2BC5">
        <w:rPr>
          <w:rtl/>
        </w:rPr>
        <w:t>.</w:t>
      </w:r>
    </w:p>
    <w:p w14:paraId="01C8C208" w14:textId="77777777" w:rsidR="00817399" w:rsidRPr="002F2BC5" w:rsidRDefault="00817399" w:rsidP="00817399">
      <w:pPr>
        <w:spacing w:line="269" w:lineRule="auto"/>
        <w:rPr>
          <w:rtl/>
        </w:rPr>
      </w:pPr>
    </w:p>
    <w:p w14:paraId="0DC86AF4" w14:textId="77777777" w:rsidR="00817399" w:rsidRPr="002F2BC5" w:rsidRDefault="00817399" w:rsidP="00817399">
      <w:pPr>
        <w:pStyle w:val="afffffffa"/>
        <w:spacing w:line="269" w:lineRule="auto"/>
        <w:rPr>
          <w:rtl/>
        </w:rPr>
      </w:pPr>
      <w:bookmarkStart w:id="421" w:name="_Toc191986946"/>
      <w:bookmarkStart w:id="422" w:name="_Toc192093055"/>
      <w:bookmarkStart w:id="423" w:name="_Toc192612763"/>
      <w:bookmarkStart w:id="424" w:name="_Toc198312187"/>
      <w:bookmarkStart w:id="425" w:name="_Toc198312659"/>
      <w:bookmarkStart w:id="426" w:name="_Toc200636847"/>
      <w:bookmarkStart w:id="427" w:name="_Toc200439846"/>
      <w:bookmarkStart w:id="428" w:name="_Toc201240951"/>
      <w:r w:rsidRPr="002F2BC5">
        <w:rPr>
          <w:rFonts w:hint="cs"/>
          <w:rtl/>
        </w:rPr>
        <w:t>על הוועדה הבין-משרדית הקבועה, בהובלת משרד הרווחה, להקפיד על קביעת תוכנית עבודה שנתית ושזו תהיה מקושרת תקציב מדי שנה בשנה, ועליה לקיים בקרה ומעקב על יישום התוכנית שקבעה ועל ההקצאה של התקציב על פיה ועל אופן ניצולו. פעולות אלו חיוניות כדי להבטיח כי הוועדה הקבועה ממלאת את תפקידיה כנדרש וכי התקציב הייעודי העומד לרשותה מנוצל באופן מיטבי לקידום ההתמודדות הממשלתית עם תופעת האלימות במשפחה בשגרה ובאף ביתר שאת בעיתות משבר וחירום.</w:t>
      </w:r>
      <w:bookmarkEnd w:id="421"/>
      <w:bookmarkEnd w:id="422"/>
      <w:bookmarkEnd w:id="423"/>
      <w:bookmarkEnd w:id="424"/>
      <w:bookmarkEnd w:id="425"/>
      <w:bookmarkEnd w:id="426"/>
      <w:bookmarkEnd w:id="427"/>
      <w:bookmarkEnd w:id="428"/>
    </w:p>
    <w:p w14:paraId="5CBBC609" w14:textId="77777777" w:rsidR="00817399" w:rsidRPr="002F2BC5" w:rsidRDefault="00817399" w:rsidP="00817399">
      <w:pPr>
        <w:spacing w:line="269" w:lineRule="auto"/>
        <w:rPr>
          <w:rtl/>
        </w:rPr>
      </w:pPr>
    </w:p>
    <w:p w14:paraId="2AA930B7" w14:textId="77777777" w:rsidR="00817399" w:rsidRPr="002F2BC5" w:rsidRDefault="00817399" w:rsidP="00817399">
      <w:pPr>
        <w:pStyle w:val="31"/>
        <w:spacing w:before="0" w:line="269" w:lineRule="auto"/>
        <w:rPr>
          <w:rtl/>
        </w:rPr>
      </w:pPr>
      <w:bookmarkStart w:id="429" w:name="_Ref177382604"/>
      <w:bookmarkStart w:id="430" w:name="_Toc189072210"/>
      <w:bookmarkStart w:id="431" w:name="_Toc191986947"/>
      <w:bookmarkStart w:id="432" w:name="_Toc191891384"/>
      <w:bookmarkStart w:id="433" w:name="_Toc192093056"/>
      <w:bookmarkStart w:id="434" w:name="_Toc193110597"/>
      <w:bookmarkStart w:id="435" w:name="_Toc192612764"/>
      <w:bookmarkStart w:id="436" w:name="_Toc192778818"/>
      <w:bookmarkStart w:id="437" w:name="_Toc198312188"/>
      <w:bookmarkStart w:id="438" w:name="_Toc198312660"/>
      <w:bookmarkStart w:id="439" w:name="_Toc200636796"/>
      <w:bookmarkStart w:id="440" w:name="_Toc200636848"/>
      <w:bookmarkStart w:id="441" w:name="_Toc200439795"/>
      <w:bookmarkStart w:id="442" w:name="_Toc200439847"/>
      <w:bookmarkStart w:id="443" w:name="_Toc201240952"/>
      <w:bookmarkStart w:id="444" w:name="_Toc192784372"/>
      <w:bookmarkStart w:id="445" w:name="_Toc201759358"/>
      <w:bookmarkStart w:id="446" w:name="_Toc203487991"/>
      <w:r w:rsidRPr="002F2BC5">
        <w:rPr>
          <w:rFonts w:hint="cs"/>
          <w:rtl/>
        </w:rPr>
        <w:t>איסוף וניהול של נתונים על התופעה ומאפייניה</w:t>
      </w:r>
      <w:bookmarkEnd w:id="177"/>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7BE9DE5" w14:textId="77777777" w:rsidR="00817399" w:rsidRPr="002F2BC5" w:rsidRDefault="00817399" w:rsidP="00817399">
      <w:pPr>
        <w:spacing w:line="269" w:lineRule="auto"/>
        <w:rPr>
          <w:rtl/>
        </w:rPr>
      </w:pPr>
    </w:p>
    <w:p w14:paraId="26BC239F" w14:textId="77777777" w:rsidR="00817399" w:rsidRPr="002F2BC5" w:rsidRDefault="00817399" w:rsidP="00817399">
      <w:pPr>
        <w:spacing w:line="269" w:lineRule="auto"/>
        <w:rPr>
          <w:rtl/>
        </w:rPr>
      </w:pPr>
      <w:r w:rsidRPr="002F2BC5">
        <w:rPr>
          <w:rFonts w:hint="cs"/>
          <w:rtl/>
        </w:rPr>
        <w:t xml:space="preserve">קביעת מדיניות לאומית וגיבוש של תוכניות פעולה, בהתייחס לתופעות חברתיות בכלל ולתופעת האלימות בין בני זוג בפרט, בחינת </w:t>
      </w:r>
      <w:r w:rsidRPr="002F2BC5">
        <w:rPr>
          <w:rtl/>
        </w:rPr>
        <w:t>מועילות</w:t>
      </w:r>
      <w:r w:rsidRPr="002F2BC5">
        <w:rPr>
          <w:rFonts w:hint="cs"/>
          <w:rtl/>
        </w:rPr>
        <w:t>ן</w:t>
      </w:r>
      <w:r w:rsidRPr="002F2BC5">
        <w:rPr>
          <w:rtl/>
        </w:rPr>
        <w:t xml:space="preserve"> </w:t>
      </w:r>
      <w:r w:rsidRPr="002F2BC5">
        <w:rPr>
          <w:rFonts w:hint="cs"/>
          <w:rtl/>
        </w:rPr>
        <w:t>של המדיניות ותוכניות הפעולה שנקבעו להתמודדות עם התופעה והערכת תרומתן לצמצומה מחייבים, בין השאר, איסוף של נתונים על התופעה וניהולם השיטתי</w:t>
      </w:r>
      <w:r w:rsidRPr="002F2BC5">
        <w:rPr>
          <w:rStyle w:val="af9"/>
          <w:rtl/>
        </w:rPr>
        <w:footnoteReference w:id="122"/>
      </w:r>
      <w:r w:rsidRPr="002F2BC5">
        <w:rPr>
          <w:rFonts w:hint="cs"/>
          <w:rtl/>
        </w:rPr>
        <w:t>. בהיעדרו של מסד נתונים לאומי עדכני ומהימן על התופעה, גופי האסדרה וגורמי הטיפול - הנדרשים לקביעת המדיניות, הקצאת המשאבים ובניית התשתית המקצועית -נאלצים להתבסס על נתונים הנוגעים לאוכלוסיית מקבלי השירות בפועל או על נתונים מינהליים הנאספים למטרות אחרות</w:t>
      </w:r>
      <w:r w:rsidRPr="002F2BC5">
        <w:rPr>
          <w:rStyle w:val="af9"/>
          <w:rtl/>
        </w:rPr>
        <w:footnoteReference w:id="123"/>
      </w:r>
      <w:r w:rsidRPr="002F2BC5">
        <w:rPr>
          <w:rFonts w:hint="cs"/>
          <w:rtl/>
        </w:rPr>
        <w:t>. נתונים אלו עלולים לשקף אומדן בחסר של היקף התופעה שאינה מדווחת - זאת במיוחד בקבוצות אוכלוסייה שבהן היקפי התופעה רחבים יותר, לנוכח מאפייניהן הייחודיים</w:t>
      </w:r>
      <w:r w:rsidRPr="002F2BC5">
        <w:rPr>
          <w:rStyle w:val="af9"/>
          <w:rtl/>
        </w:rPr>
        <w:footnoteReference w:id="124"/>
      </w:r>
      <w:r w:rsidRPr="002F2BC5">
        <w:rPr>
          <w:rFonts w:hint="cs"/>
          <w:rtl/>
        </w:rPr>
        <w:t xml:space="preserve">. </w:t>
      </w:r>
    </w:p>
    <w:p w14:paraId="1AAF64E7" w14:textId="77777777" w:rsidR="00817399" w:rsidRPr="002F2BC5" w:rsidRDefault="00817399" w:rsidP="00817399">
      <w:pPr>
        <w:keepNext/>
        <w:spacing w:line="269" w:lineRule="auto"/>
        <w:ind w:left="-567"/>
        <w:rPr>
          <w:rFonts w:ascii="David" w:hAnsi="David"/>
          <w:sz w:val="24"/>
          <w:rtl/>
        </w:rPr>
      </w:pPr>
    </w:p>
    <w:p w14:paraId="55BEB919" w14:textId="77777777" w:rsidR="00817399" w:rsidRPr="002F2BC5" w:rsidRDefault="00817399" w:rsidP="00817399">
      <w:pPr>
        <w:spacing w:line="269" w:lineRule="auto"/>
        <w:rPr>
          <w:rtl/>
        </w:rPr>
      </w:pPr>
      <w:r w:rsidRPr="002F2BC5">
        <w:rPr>
          <w:rFonts w:hint="cs"/>
          <w:rtl/>
        </w:rPr>
        <w:t>בכל הקשור לתופעת האלימות במערכת היחסים הזוגית, יש חשיבות רבה במיוחד ל</w:t>
      </w:r>
      <w:r w:rsidRPr="002F2BC5">
        <w:rPr>
          <w:rtl/>
        </w:rPr>
        <w:t>איסוף שיטתי של מידע בנוגע ל</w:t>
      </w:r>
      <w:r w:rsidRPr="002F2BC5">
        <w:rPr>
          <w:rFonts w:hint="cs"/>
          <w:rtl/>
        </w:rPr>
        <w:t xml:space="preserve">אוכלוסיות שאינן נמנות עם מקבלי השירות בפועל. </w:t>
      </w:r>
      <w:r w:rsidRPr="002F2BC5">
        <w:rPr>
          <w:rtl/>
        </w:rPr>
        <w:t xml:space="preserve">נתונים בנוגע לצורכיהן של אוכלוסיות שאינן מוכרות </w:t>
      </w:r>
      <w:r w:rsidRPr="002F2BC5">
        <w:rPr>
          <w:rFonts w:hint="cs"/>
          <w:rtl/>
        </w:rPr>
        <w:t xml:space="preserve">לגורמי הטיפול או לגורמי אכיפת החוק </w:t>
      </w:r>
      <w:r w:rsidRPr="002F2BC5">
        <w:rPr>
          <w:rtl/>
        </w:rPr>
        <w:t xml:space="preserve">נחוצים כדי </w:t>
      </w:r>
      <w:r w:rsidRPr="002F2BC5">
        <w:rPr>
          <w:rFonts w:hint="cs"/>
          <w:rtl/>
        </w:rPr>
        <w:t xml:space="preserve">שאלו יוכלו </w:t>
      </w:r>
      <w:r w:rsidRPr="002F2BC5">
        <w:rPr>
          <w:rtl/>
        </w:rPr>
        <w:t xml:space="preserve">למלא </w:t>
      </w:r>
      <w:r w:rsidRPr="002F2BC5">
        <w:rPr>
          <w:rtl/>
        </w:rPr>
        <w:lastRenderedPageBreak/>
        <w:t>את תפקיד</w:t>
      </w:r>
      <w:r w:rsidRPr="002F2BC5">
        <w:rPr>
          <w:rFonts w:hint="cs"/>
          <w:rtl/>
        </w:rPr>
        <w:t>ם</w:t>
      </w:r>
      <w:r w:rsidRPr="002F2BC5">
        <w:rPr>
          <w:rtl/>
        </w:rPr>
        <w:t xml:space="preserve"> המרכזי באיתור וביישוג </w:t>
      </w:r>
      <w:r w:rsidRPr="002F2BC5">
        <w:t>(Outreach)</w:t>
      </w:r>
      <w:r w:rsidRPr="002F2BC5">
        <w:rPr>
          <w:rtl/>
        </w:rPr>
        <w:t xml:space="preserve"> של</w:t>
      </w:r>
      <w:r w:rsidRPr="002F2BC5">
        <w:rPr>
          <w:rFonts w:hint="cs"/>
          <w:rtl/>
        </w:rPr>
        <w:t xml:space="preserve"> האוכלוסיות הללו</w:t>
      </w:r>
      <w:r w:rsidRPr="002F2BC5">
        <w:rPr>
          <w:vertAlign w:val="superscript"/>
          <w:rtl/>
        </w:rPr>
        <w:footnoteReference w:id="125"/>
      </w:r>
      <w:r w:rsidRPr="002F2BC5">
        <w:rPr>
          <w:rtl/>
        </w:rPr>
        <w:t xml:space="preserve">. זיהוי </w:t>
      </w:r>
      <w:r w:rsidRPr="002F2BC5">
        <w:rPr>
          <w:rFonts w:hint="cs"/>
          <w:rtl/>
        </w:rPr>
        <w:t>משפחות המצויות במעגל האלימות</w:t>
      </w:r>
      <w:r w:rsidRPr="002F2BC5">
        <w:rPr>
          <w:rtl/>
        </w:rPr>
        <w:t xml:space="preserve"> ואיתור</w:t>
      </w:r>
      <w:r w:rsidRPr="002F2BC5">
        <w:rPr>
          <w:rFonts w:hint="cs"/>
          <w:rtl/>
        </w:rPr>
        <w:t>ן</w:t>
      </w:r>
      <w:r w:rsidRPr="002F2BC5">
        <w:rPr>
          <w:rtl/>
        </w:rPr>
        <w:t xml:space="preserve"> בשלבים מוקדמים עשוי</w:t>
      </w:r>
      <w:r w:rsidRPr="002F2BC5">
        <w:rPr>
          <w:rFonts w:hint="cs"/>
          <w:rtl/>
        </w:rPr>
        <w:t>ים</w:t>
      </w:r>
      <w:r w:rsidRPr="002F2BC5">
        <w:rPr>
          <w:rtl/>
        </w:rPr>
        <w:t xml:space="preserve"> </w:t>
      </w:r>
      <w:r w:rsidRPr="002F2BC5">
        <w:rPr>
          <w:rFonts w:hint="cs"/>
          <w:rtl/>
        </w:rPr>
        <w:t>לקדם</w:t>
      </w:r>
      <w:r w:rsidRPr="002F2BC5">
        <w:rPr>
          <w:rtl/>
        </w:rPr>
        <w:t xml:space="preserve"> מתן טיפול ושירות נאותים יותר לאוכלוסיות אלו</w:t>
      </w:r>
      <w:r w:rsidRPr="002F2BC5">
        <w:rPr>
          <w:rFonts w:hint="cs"/>
          <w:rtl/>
        </w:rPr>
        <w:t xml:space="preserve"> ולמנוע או לצמצם את נזקי האלימות - בטווח הזמן הקצר והארוך</w:t>
      </w:r>
      <w:r w:rsidRPr="002F2BC5">
        <w:rPr>
          <w:rtl/>
        </w:rPr>
        <w:t xml:space="preserve">. </w:t>
      </w:r>
    </w:p>
    <w:p w14:paraId="10CFE35B" w14:textId="77777777" w:rsidR="00817399" w:rsidRPr="002F2BC5" w:rsidRDefault="00817399" w:rsidP="00817399">
      <w:pPr>
        <w:spacing w:line="269" w:lineRule="auto"/>
        <w:rPr>
          <w:rtl/>
        </w:rPr>
      </w:pPr>
    </w:p>
    <w:p w14:paraId="1251C36C" w14:textId="77777777" w:rsidR="00817399" w:rsidRPr="002F2BC5" w:rsidRDefault="00817399" w:rsidP="00817399">
      <w:pPr>
        <w:spacing w:line="269" w:lineRule="auto"/>
        <w:rPr>
          <w:rtl/>
        </w:rPr>
      </w:pPr>
      <w:r w:rsidRPr="002F2BC5">
        <w:rPr>
          <w:rFonts w:hint="cs"/>
          <w:rtl/>
        </w:rPr>
        <w:t xml:space="preserve">מעבר לחשיבות ולחיוניות שבאיסוף נתונים על תופעת האלימות בין בני זוג כתשתית לקביעת מדיניות וקבלת החלטות בנושא, איסוף נתונים על התופעה הכרחי גם לשם מעקב אחר יישום יעדי הפיתוח הבר-קיימה של האו"ם, ובהם מניעת תופעת האלימות כלפי נשים ונערות. </w:t>
      </w:r>
      <w:r w:rsidRPr="002F2BC5">
        <w:rPr>
          <w:rFonts w:hint="eastAsia"/>
          <w:rtl/>
        </w:rPr>
        <w:t>מדינת</w:t>
      </w:r>
      <w:r w:rsidRPr="002F2BC5">
        <w:rPr>
          <w:rFonts w:hint="cs"/>
          <w:rtl/>
        </w:rPr>
        <w:t xml:space="preserve"> ישראל אימצה יעדים אלו לצד יתר המדינות החברות באו"ם, בשנת 2015</w:t>
      </w:r>
      <w:r w:rsidRPr="002F2BC5">
        <w:rPr>
          <w:rStyle w:val="af9"/>
          <w:rtl/>
        </w:rPr>
        <w:footnoteReference w:id="126"/>
      </w:r>
      <w:r w:rsidRPr="002F2BC5">
        <w:rPr>
          <w:rFonts w:hint="cs"/>
          <w:rtl/>
        </w:rPr>
        <w:t>. כך גם אמנת איסטנבול מדגישה את חשיבות איסופם של נתונים סטטיסטיים על תופעת האלימות כלפי נשים, ובכלל זה באמצעות עריכת סקרים בכלל האוכלוסייה (</w:t>
      </w:r>
      <w:r w:rsidRPr="002F2BC5">
        <w:t>Population-Based Surveys</w:t>
      </w:r>
      <w:r w:rsidRPr="002F2BC5">
        <w:rPr>
          <w:rFonts w:hint="cs"/>
          <w:rtl/>
        </w:rPr>
        <w:t>), וקובעת כי על המדינות החתומות על האמנה לאסוף נתונים סטטיסטיים או מינהליים שיהיו זמינים לציבור</w:t>
      </w:r>
      <w:r w:rsidRPr="002F2BC5">
        <w:rPr>
          <w:rStyle w:val="af9"/>
          <w:rtl/>
        </w:rPr>
        <w:footnoteReference w:id="127"/>
      </w:r>
      <w:r w:rsidRPr="002F2BC5">
        <w:rPr>
          <w:rFonts w:hint="cs"/>
          <w:rtl/>
        </w:rPr>
        <w:t>.</w:t>
      </w:r>
    </w:p>
    <w:p w14:paraId="65C2C3E6" w14:textId="77777777" w:rsidR="00817399" w:rsidRPr="002F2BC5" w:rsidRDefault="00817399" w:rsidP="00817399">
      <w:pPr>
        <w:spacing w:line="269" w:lineRule="auto"/>
        <w:rPr>
          <w:rtl/>
        </w:rPr>
      </w:pPr>
    </w:p>
    <w:p w14:paraId="7BE23B33" w14:textId="5F13AD5D" w:rsidR="00817399" w:rsidRPr="002F2BC5" w:rsidRDefault="00817399" w:rsidP="00817399">
      <w:pPr>
        <w:spacing w:line="269" w:lineRule="auto"/>
        <w:rPr>
          <w:rtl/>
        </w:rPr>
      </w:pPr>
      <w:r w:rsidRPr="002F2BC5">
        <w:rPr>
          <w:rFonts w:hint="cs"/>
          <w:rtl/>
        </w:rPr>
        <w:t>המטרות העיקריות של איסוף נתונים וניהולם בנוגע לתופעת האלימות במשפחה מוצגות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Ref182394716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6</w:t>
      </w:r>
      <w:r w:rsidRPr="002F2BC5">
        <w:rPr>
          <w:rtl/>
        </w:rPr>
        <w:fldChar w:fldCharType="end"/>
      </w:r>
      <w:r w:rsidRPr="002F2BC5">
        <w:rPr>
          <w:rFonts w:hint="cs"/>
          <w:rtl/>
        </w:rPr>
        <w:t xml:space="preserve"> שלהלן.</w:t>
      </w:r>
    </w:p>
    <w:p w14:paraId="3105FBE7" w14:textId="77777777" w:rsidR="00817399" w:rsidRPr="002F2BC5" w:rsidRDefault="00817399" w:rsidP="00817399">
      <w:pPr>
        <w:spacing w:line="269" w:lineRule="auto"/>
        <w:rPr>
          <w:rtl/>
        </w:rPr>
      </w:pPr>
    </w:p>
    <w:p w14:paraId="4D9DA7CE" w14:textId="77777777" w:rsidR="00817399" w:rsidRPr="002F2BC5" w:rsidRDefault="00817399" w:rsidP="00817399">
      <w:pPr>
        <w:pStyle w:val="a9"/>
        <w:spacing w:line="269" w:lineRule="auto"/>
        <w:rPr>
          <w:rtl/>
        </w:rPr>
      </w:pPr>
      <w:bookmarkStart w:id="448" w:name="_Ref182394716"/>
      <w:bookmarkStart w:id="449" w:name="_Toc192672899"/>
      <w:r w:rsidRPr="002F2BC5">
        <w:rPr>
          <w:rFonts w:hint="cs"/>
          <w:rtl/>
        </w:rPr>
        <w:t xml:space="preserve">: </w:t>
      </w:r>
      <w:r w:rsidRPr="002F2BC5">
        <w:rPr>
          <w:rFonts w:hint="cs"/>
          <w:b w:val="0"/>
          <w:bCs/>
          <w:rtl/>
        </w:rPr>
        <w:t>המטרות העיקריות של איסוף הנתונים על תופעת האלימות במשפחה</w:t>
      </w:r>
      <w:bookmarkEnd w:id="448"/>
      <w:r w:rsidRPr="002F2BC5">
        <w:rPr>
          <w:rFonts w:hint="cs"/>
          <w:b w:val="0"/>
          <w:bCs/>
          <w:rtl/>
        </w:rPr>
        <w:t xml:space="preserve"> וניהולם</w:t>
      </w:r>
      <w:bookmarkEnd w:id="449"/>
    </w:p>
    <w:p w14:paraId="343B7057" w14:textId="77777777" w:rsidR="00817399" w:rsidRPr="002F2BC5" w:rsidRDefault="00817399" w:rsidP="00817399">
      <w:pPr>
        <w:pStyle w:val="afffffff4"/>
        <w:bidi/>
        <w:spacing w:before="0" w:after="0" w:line="269" w:lineRule="auto"/>
        <w:rPr>
          <w:noProof/>
          <w:rtl/>
        </w:rPr>
      </w:pPr>
      <w:r w:rsidRPr="002F2BC5">
        <w:rPr>
          <w:noProof/>
        </w:rPr>
        <w:drawing>
          <wp:inline distT="0" distB="0" distL="0" distR="0" wp14:anchorId="7675D4D1" wp14:editId="21725070">
            <wp:extent cx="5220000" cy="2902877"/>
            <wp:effectExtent l="0" t="0" r="0" b="0"/>
            <wp:docPr id="96" name="תמונה 9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000" cy="2902877"/>
                    </a:xfrm>
                    <a:prstGeom prst="rect">
                      <a:avLst/>
                    </a:prstGeom>
                    <a:noFill/>
                  </pic:spPr>
                </pic:pic>
              </a:graphicData>
            </a:graphic>
          </wp:inline>
        </w:drawing>
      </w:r>
    </w:p>
    <w:p w14:paraId="67517FA9" w14:textId="77777777" w:rsidR="00817399" w:rsidRPr="002F2BC5" w:rsidRDefault="00817399" w:rsidP="00817399">
      <w:pPr>
        <w:pStyle w:val="afffffff1"/>
        <w:bidi/>
        <w:spacing w:line="269" w:lineRule="auto"/>
      </w:pPr>
      <w:r w:rsidRPr="002F2BC5">
        <w:rPr>
          <w:rFonts w:hint="cs"/>
          <w:rtl/>
        </w:rPr>
        <w:t>על פי מידע שנאסף במהלך ביקורת המעקב, בעיבוד משרד מבקר המדינה.</w:t>
      </w:r>
    </w:p>
    <w:p w14:paraId="3C9B703A" w14:textId="77777777" w:rsidR="00817399" w:rsidRPr="002F2BC5" w:rsidRDefault="00817399" w:rsidP="00817399">
      <w:pPr>
        <w:spacing w:line="269" w:lineRule="auto"/>
        <w:rPr>
          <w:rtl/>
        </w:rPr>
      </w:pPr>
    </w:p>
    <w:p w14:paraId="322D483F" w14:textId="77777777" w:rsidR="00817399" w:rsidRPr="002F2BC5" w:rsidRDefault="00817399" w:rsidP="00817399">
      <w:pPr>
        <w:pStyle w:val="4"/>
        <w:spacing w:before="0" w:line="269" w:lineRule="auto"/>
        <w:rPr>
          <w:rtl/>
        </w:rPr>
      </w:pPr>
      <w:bookmarkStart w:id="450" w:name="_Toc189072211"/>
      <w:bookmarkStart w:id="451" w:name="_Toc191986948"/>
      <w:bookmarkStart w:id="452" w:name="_Toc192093057"/>
      <w:bookmarkStart w:id="453" w:name="_Toc193110598"/>
      <w:bookmarkStart w:id="454" w:name="_Toc192612765"/>
      <w:bookmarkStart w:id="455" w:name="_Toc198312661"/>
      <w:bookmarkStart w:id="456" w:name="_Toc200636849"/>
      <w:bookmarkStart w:id="457" w:name="_Toc200439848"/>
      <w:bookmarkStart w:id="458" w:name="_Ref201152338"/>
      <w:bookmarkStart w:id="459" w:name="_Toc201240953"/>
      <w:bookmarkStart w:id="460" w:name="_Toc203487992"/>
      <w:r w:rsidRPr="002F2BC5">
        <w:rPr>
          <w:rFonts w:hint="cs"/>
          <w:rtl/>
        </w:rPr>
        <w:lastRenderedPageBreak/>
        <w:t>אמידת היקפה של תופעת האלימות בין בני זוג</w:t>
      </w:r>
      <w:bookmarkEnd w:id="450"/>
      <w:bookmarkEnd w:id="451"/>
      <w:bookmarkEnd w:id="452"/>
      <w:bookmarkEnd w:id="453"/>
      <w:bookmarkEnd w:id="454"/>
      <w:bookmarkEnd w:id="455"/>
      <w:bookmarkEnd w:id="456"/>
      <w:bookmarkEnd w:id="457"/>
      <w:bookmarkEnd w:id="458"/>
      <w:bookmarkEnd w:id="459"/>
      <w:bookmarkEnd w:id="460"/>
    </w:p>
    <w:p w14:paraId="0E39774D" w14:textId="77777777" w:rsidR="00817399" w:rsidRPr="002F2BC5" w:rsidRDefault="00817399" w:rsidP="00817399">
      <w:pPr>
        <w:spacing w:line="269" w:lineRule="auto"/>
        <w:rPr>
          <w:rtl/>
        </w:rPr>
      </w:pPr>
    </w:p>
    <w:p w14:paraId="4DA2735A" w14:textId="77777777" w:rsidR="00817399" w:rsidRPr="002F2BC5" w:rsidRDefault="00817399" w:rsidP="00817399">
      <w:pPr>
        <w:spacing w:line="269" w:lineRule="auto"/>
        <w:rPr>
          <w:rtl/>
        </w:rPr>
      </w:pPr>
      <w:r w:rsidRPr="002F2BC5">
        <w:rPr>
          <w:rFonts w:hint="cs"/>
          <w:rtl/>
        </w:rPr>
        <w:t>סקר לאומי שנועד לאמוד את היקף תופעת האלימות כלפי נשים בישראל ולאסוף מידע על מאפייניה נערך בשנת 2001, כחלק מיישומה של תוכנית אב לאומית שיזם משרד הרווחה (</w:t>
      </w:r>
      <w:bookmarkStart w:id="461" w:name="_Hlk202089014"/>
      <w:r w:rsidRPr="002F2BC5">
        <w:rPr>
          <w:rFonts w:hint="cs"/>
          <w:rtl/>
        </w:rPr>
        <w:t>להלן - הסקר הקודם או הסקר הלאומי הקודם</w:t>
      </w:r>
      <w:bookmarkEnd w:id="461"/>
      <w:r w:rsidRPr="002F2BC5">
        <w:rPr>
          <w:rFonts w:hint="cs"/>
          <w:rtl/>
        </w:rPr>
        <w:t>). במסגרת הסקר הקודם נאספו נתונים על אלימות כלפי נשים הכרוכה בפגיעה גופנית, מינית או נפשית או באלימות כלפי רכוש. לפי ממצאי הסקר, נכון לשנת 2001, אחת מתוך שמונה נשים בישראל בגיל 20 עד 65 (כ-11% מהנשים, שהן כ-200,000) חוותה אלימות גופנית מצד בן זוגה במהלך חייה, וכ-6% מהנשים בגילים אלו חוו אלימות גופנית מצד בן זוגן בשנת 2001.</w:t>
      </w:r>
    </w:p>
    <w:p w14:paraId="6C302E3E" w14:textId="77777777" w:rsidR="00817399" w:rsidRPr="002F2BC5" w:rsidRDefault="00817399" w:rsidP="00817399">
      <w:pPr>
        <w:spacing w:line="269" w:lineRule="auto"/>
        <w:rPr>
          <w:rtl/>
        </w:rPr>
      </w:pPr>
    </w:p>
    <w:p w14:paraId="0F6AE59B" w14:textId="683A8C69" w:rsidR="00817399" w:rsidRPr="002F2BC5" w:rsidRDefault="00817399" w:rsidP="00817399">
      <w:pPr>
        <w:spacing w:line="269" w:lineRule="auto"/>
        <w:rPr>
          <w:rtl/>
        </w:rPr>
      </w:pPr>
      <w:r w:rsidRPr="002F2BC5">
        <w:rPr>
          <w:rFonts w:hint="cs"/>
          <w:rtl/>
        </w:rPr>
        <w:t>עם זאת, ממצאיו של מחקר שפרסם בשנת 2021 ארגון הבריאות העולמי, בהתבסס על נתונים וסקרים שבוצעו בשנים 2018 - 2020 ברחבי העולם, עשויים להצביע על כך שהיקף התופעה רחב אף יותר. לפי ממצאי המחקר האמור, אחת משלוש נשים בגילאי 15 עד 49 (כ-30%) חוותה אירוע אחד לפחות של אלימות פיזית או מינית מצד בן זוגה במהלך חייה, ואחת משמונה נשים (כ-13%) חוותה אירוע אחד לפחות של אלימות מצד בן זוגה במהלך שנת 2018 (לפי הנתונים שפרסם ארגון הבריאות העולמי, בישראל שיעור זה עמד באותה השנה על כ-6%). מממצאי המחקר עולה עוד כי תופעת האלימות כלפי נשים שכיחה יותר בקרב נשים שגילן 20 עד 44 וכן שכיחה יותר במדינות מתפתחות, שבהן רמת רווחתם החומרית של תושביה נמוכה והם חשופים יותר למשברים כלכליים וסביבתיים (</w:t>
      </w:r>
      <w:r w:rsidRPr="002F2BC5">
        <w:t>Least Developed Countries [LDC]</w:t>
      </w:r>
      <w:r w:rsidRPr="002F2BC5">
        <w:rPr>
          <w:rFonts w:hint="cs"/>
          <w:rtl/>
        </w:rPr>
        <w:t>)</w:t>
      </w:r>
      <w:r w:rsidRPr="002F2BC5">
        <w:rPr>
          <w:rStyle w:val="af9"/>
          <w:rtl/>
        </w:rPr>
        <w:footnoteReference w:id="128"/>
      </w:r>
      <w:r w:rsidRPr="002F2BC5">
        <w:rPr>
          <w:rFonts w:hint="cs"/>
          <w:rtl/>
        </w:rPr>
        <w:t>.</w:t>
      </w:r>
      <w:r w:rsidRPr="002F2BC5">
        <w:rPr>
          <w:rtl/>
        </w:rPr>
        <w:t xml:space="preserve"> </w:t>
      </w:r>
      <w:r w:rsidRPr="002F2BC5">
        <w:rPr>
          <w:rFonts w:hint="cs"/>
          <w:rtl/>
        </w:rPr>
        <w:t>לפי נתונים עדכניים שפרסם ה-</w:t>
      </w:r>
      <w:r w:rsidRPr="002F2BC5">
        <w:rPr>
          <w:rFonts w:hint="cs"/>
        </w:rPr>
        <w:t>OECD</w:t>
      </w:r>
      <w:r w:rsidRPr="002F2BC5">
        <w:rPr>
          <w:rFonts w:hint="cs"/>
          <w:rtl/>
        </w:rPr>
        <w:t xml:space="preserve"> לשנת 2023, בשנה זו כ-27.5% מהנשים בגילי 15 עד 49 חוו אלימות פיזית או מינית מצד בן זוגן במהלך חייהן</w:t>
      </w:r>
      <w:r w:rsidRPr="002F2BC5">
        <w:rPr>
          <w:rStyle w:val="af9"/>
          <w:rtl/>
        </w:rPr>
        <w:footnoteReference w:id="129"/>
      </w:r>
      <w:r w:rsidRPr="002F2BC5">
        <w:rPr>
          <w:rFonts w:hint="cs"/>
          <w:rtl/>
        </w:rPr>
        <w:t>. שיעור הנשים בגילאי 15 עד 49 שחוו אלימות פיזית או מינית מצד בן זוגן במהלך שנת 2018 בקרב מדינות ה-</w:t>
      </w:r>
      <w:r w:rsidRPr="002F2BC5">
        <w:rPr>
          <w:rFonts w:hint="cs"/>
        </w:rPr>
        <w:t>OECD</w:t>
      </w:r>
      <w:r w:rsidRPr="002F2BC5">
        <w:rPr>
          <w:rFonts w:hint="cs"/>
          <w:rtl/>
        </w:rPr>
        <w:t xml:space="preserve"> מוצג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Ref189742927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7</w:t>
      </w:r>
      <w:r w:rsidRPr="002F2BC5">
        <w:rPr>
          <w:rtl/>
        </w:rPr>
        <w:fldChar w:fldCharType="end"/>
      </w:r>
      <w:r w:rsidRPr="002F2BC5">
        <w:rPr>
          <w:rFonts w:hint="cs"/>
          <w:rtl/>
        </w:rPr>
        <w:t xml:space="preserve"> שלהלן.</w:t>
      </w:r>
    </w:p>
    <w:p w14:paraId="12F72023" w14:textId="77777777" w:rsidR="00817399" w:rsidRPr="002F2BC5" w:rsidRDefault="00817399" w:rsidP="00817399">
      <w:pPr>
        <w:spacing w:line="269" w:lineRule="auto"/>
        <w:rPr>
          <w:rtl/>
        </w:rPr>
      </w:pPr>
    </w:p>
    <w:p w14:paraId="2D98945D" w14:textId="77777777" w:rsidR="00817399" w:rsidRPr="002F2BC5" w:rsidRDefault="00817399" w:rsidP="00817399">
      <w:pPr>
        <w:pStyle w:val="a9"/>
        <w:spacing w:line="269" w:lineRule="auto"/>
        <w:rPr>
          <w:rtl/>
        </w:rPr>
      </w:pPr>
      <w:bookmarkStart w:id="462" w:name="_Ref189742927"/>
      <w:bookmarkStart w:id="463" w:name="_Toc192672900"/>
      <w:r w:rsidRPr="002F2BC5">
        <w:rPr>
          <w:rFonts w:hint="cs"/>
          <w:rtl/>
        </w:rPr>
        <w:lastRenderedPageBreak/>
        <w:t>:</w:t>
      </w:r>
      <w:bookmarkEnd w:id="462"/>
      <w:r w:rsidRPr="002F2BC5">
        <w:rPr>
          <w:rFonts w:hint="cs"/>
          <w:rtl/>
        </w:rPr>
        <w:t xml:space="preserve"> </w:t>
      </w:r>
      <w:r w:rsidRPr="002F2BC5">
        <w:rPr>
          <w:b w:val="0"/>
          <w:bCs/>
          <w:rtl/>
        </w:rPr>
        <w:t xml:space="preserve">שיעור הנשים בגילאי 15 עד 49 שחוו אלימות פיזית או מינית מצד בן זוגן </w:t>
      </w:r>
      <w:r w:rsidRPr="002F2BC5">
        <w:rPr>
          <w:b w:val="0"/>
          <w:bCs/>
          <w:rtl/>
        </w:rPr>
        <w:br/>
        <w:t>במהלך שנת 2018 בקרב מדינות ה-</w:t>
      </w:r>
      <w:r w:rsidRPr="002F2BC5">
        <w:t>OECD</w:t>
      </w:r>
      <w:bookmarkEnd w:id="463"/>
    </w:p>
    <w:p w14:paraId="51808FB9"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39848B91" wp14:editId="2CEAF9F7">
            <wp:extent cx="5220335" cy="4222750"/>
            <wp:effectExtent l="0" t="0" r="0" b="6350"/>
            <wp:docPr id="25" name="תמונה 2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0335" cy="4222750"/>
                    </a:xfrm>
                    <a:prstGeom prst="rect">
                      <a:avLst/>
                    </a:prstGeom>
                  </pic:spPr>
                </pic:pic>
              </a:graphicData>
            </a:graphic>
          </wp:inline>
        </w:drawing>
      </w:r>
    </w:p>
    <w:p w14:paraId="4C16812D" w14:textId="77777777" w:rsidR="00817399" w:rsidRPr="002F2BC5" w:rsidRDefault="00817399" w:rsidP="00817399">
      <w:pPr>
        <w:pStyle w:val="afffffff1"/>
        <w:bidi/>
        <w:spacing w:line="269" w:lineRule="auto"/>
        <w:rPr>
          <w:rtl/>
        </w:rPr>
      </w:pPr>
      <w:r w:rsidRPr="002F2BC5">
        <w:rPr>
          <w:rFonts w:hint="cs"/>
          <w:rtl/>
        </w:rPr>
        <w:t>על פי נתוני ארגון הבריאות העולמי, בעיבוד משרד מבקר המדינה</w:t>
      </w:r>
      <w:r w:rsidRPr="002F2BC5">
        <w:rPr>
          <w:rStyle w:val="af9"/>
          <w:rtl/>
        </w:rPr>
        <w:footnoteReference w:id="130"/>
      </w:r>
      <w:r w:rsidRPr="002F2BC5">
        <w:rPr>
          <w:rFonts w:hint="cs"/>
          <w:rtl/>
        </w:rPr>
        <w:t>.</w:t>
      </w:r>
    </w:p>
    <w:p w14:paraId="16667471" w14:textId="77777777" w:rsidR="00817399" w:rsidRPr="002F2BC5" w:rsidRDefault="00817399" w:rsidP="00817399">
      <w:pPr>
        <w:spacing w:line="269" w:lineRule="auto"/>
        <w:rPr>
          <w:rtl/>
        </w:rPr>
      </w:pPr>
    </w:p>
    <w:p w14:paraId="738DC566" w14:textId="77777777" w:rsidR="00817399" w:rsidRPr="002F2BC5" w:rsidRDefault="00817399" w:rsidP="00817399">
      <w:pPr>
        <w:spacing w:line="269" w:lineRule="auto"/>
        <w:rPr>
          <w:rtl/>
        </w:rPr>
      </w:pPr>
      <w:r w:rsidRPr="002F2BC5">
        <w:rPr>
          <w:rFonts w:hint="cs"/>
          <w:rtl/>
        </w:rPr>
        <w:t>יש לציין כי לאיסוף נתונים על אלימות שחוו נשים או גברים בתוך מערכת יחסים זוגית במהלך חייהם, כפי שנבדק בסקר הלאומי הקודם, ולא רק בתקופת זמן מוגדרת, חשיבות רבה לשם ניטור היקף התופעה על פני זמן ומיפוי השלכותיה ארוכות הטווח של התופעה. אלימות במערכת היחסים הזוגית כרוכה בין היתר בפגיעה כלכלית במשק עקב הפשיעה והשפעותיה ויש לה השלכות בין-דוריות</w:t>
      </w:r>
      <w:r w:rsidRPr="002F2BC5">
        <w:rPr>
          <w:rStyle w:val="af9"/>
          <w:rtl/>
        </w:rPr>
        <w:footnoteReference w:id="131"/>
      </w:r>
      <w:r w:rsidRPr="002F2BC5">
        <w:rPr>
          <w:rFonts w:hint="cs"/>
          <w:rtl/>
        </w:rPr>
        <w:t>. מסיבה זו המחוון שנקבע למדידת ההתקדמות בהשגת יעד הפיתוח הבר-קיימה, הנוגע לצמצום האלימות כלפי נשים מצד בני זוגן, מתייחס לכל תקופת חייהן ולא לפרק זמן מתוחם ומוגדר</w:t>
      </w:r>
      <w:r w:rsidRPr="002F2BC5">
        <w:rPr>
          <w:rStyle w:val="af9"/>
          <w:rtl/>
        </w:rPr>
        <w:footnoteReference w:id="132"/>
      </w:r>
      <w:r w:rsidRPr="002F2BC5">
        <w:rPr>
          <w:rFonts w:hint="cs"/>
          <w:rtl/>
        </w:rPr>
        <w:t>.</w:t>
      </w:r>
    </w:p>
    <w:p w14:paraId="20DADCA8" w14:textId="77777777" w:rsidR="00817399" w:rsidRPr="002F2BC5" w:rsidRDefault="00817399" w:rsidP="00817399">
      <w:pPr>
        <w:spacing w:line="269" w:lineRule="auto"/>
        <w:rPr>
          <w:rtl/>
        </w:rPr>
      </w:pPr>
    </w:p>
    <w:p w14:paraId="074FE397" w14:textId="77777777" w:rsidR="00817399" w:rsidRPr="002F2BC5" w:rsidRDefault="00817399" w:rsidP="00817399">
      <w:pPr>
        <w:spacing w:line="269" w:lineRule="auto"/>
        <w:rPr>
          <w:rtl/>
        </w:rPr>
      </w:pPr>
      <w:r w:rsidRPr="002F2BC5">
        <w:rPr>
          <w:rFonts w:hint="cs"/>
          <w:rtl/>
        </w:rPr>
        <w:t xml:space="preserve">בשנת 2016 המליצה ועדת המנכ"לים על עריכת סקר לאומי רב-שנתי ומקיף כדי ללמוד על היקף תופעת האלימות במשפחה ומאפייניה (להלן - הסקר העדכני או הסקר הלאומי העדכני). הומלץ כי בתחילה ייערך סקר ראשוני ועל בסיס ממצאיו יוחלט על תדירותם והיקפם של הסקרים הנוספים </w:t>
      </w:r>
      <w:r w:rsidRPr="002F2BC5">
        <w:rPr>
          <w:rFonts w:hint="cs"/>
          <w:rtl/>
        </w:rPr>
        <w:lastRenderedPageBreak/>
        <w:t>הנדרשים, לרבות מיקוד הסקרים בתחומים מסוימים ומוגדרים, לצורך זיהוי מגמות וביסוס תהליך למידה יעיל ומתמשך</w:t>
      </w:r>
      <w:r w:rsidRPr="002F2BC5">
        <w:rPr>
          <w:rStyle w:val="af9"/>
          <w:rtl/>
        </w:rPr>
        <w:footnoteReference w:id="133"/>
      </w:r>
      <w:r w:rsidRPr="002F2BC5">
        <w:rPr>
          <w:rFonts w:hint="cs"/>
          <w:rtl/>
        </w:rPr>
        <w:t>.</w:t>
      </w:r>
    </w:p>
    <w:p w14:paraId="1EDAC112" w14:textId="77777777" w:rsidR="00817399" w:rsidRPr="002F2BC5" w:rsidRDefault="00817399" w:rsidP="00817399">
      <w:pPr>
        <w:spacing w:line="269" w:lineRule="auto"/>
        <w:rPr>
          <w:rtl/>
        </w:rPr>
      </w:pPr>
    </w:p>
    <w:p w14:paraId="492D7F45" w14:textId="77777777" w:rsidR="00817399" w:rsidRPr="002F2BC5" w:rsidRDefault="00817399" w:rsidP="00817399">
      <w:pPr>
        <w:spacing w:line="269" w:lineRule="auto"/>
        <w:rPr>
          <w:rtl/>
        </w:rPr>
      </w:pPr>
      <w:bookmarkStart w:id="464" w:name="_Toc191986949"/>
      <w:r w:rsidRPr="002F2BC5">
        <w:rPr>
          <w:rStyle w:val="70"/>
          <w:rFonts w:hint="cs"/>
          <w:rtl/>
        </w:rPr>
        <w:t>הביקורת הקודמת:</w:t>
      </w:r>
      <w:bookmarkEnd w:id="464"/>
      <w:r w:rsidRPr="002F2BC5">
        <w:rPr>
          <w:rFonts w:hint="cs"/>
          <w:rtl/>
        </w:rPr>
        <w:t xml:space="preserve"> נמצא כי מאז תחילת המאה ה-21 לא נעשה סקר מקיף ועדכני לבחינת ממדי </w:t>
      </w:r>
      <w:r w:rsidRPr="002F2BC5">
        <w:rPr>
          <w:rtl/>
        </w:rPr>
        <w:t xml:space="preserve">תופעת האלימות כלפי נשים </w:t>
      </w:r>
      <w:r w:rsidRPr="002F2BC5">
        <w:rPr>
          <w:rFonts w:hint="cs"/>
          <w:rtl/>
        </w:rPr>
        <w:t xml:space="preserve">בישראל </w:t>
      </w:r>
      <w:r w:rsidRPr="002F2BC5">
        <w:rPr>
          <w:rtl/>
        </w:rPr>
        <w:t>ומאפייניה</w:t>
      </w:r>
      <w:r w:rsidRPr="002F2BC5">
        <w:rPr>
          <w:rFonts w:hint="cs"/>
          <w:rtl/>
        </w:rPr>
        <w:t>, בהתבסס על ההגדרה העדכנית והרחבה שעליה המליצה ועדת רוזנבאום או הגדרה אחידה אחרת. הועלה עוד כי בשנת 2019 טופלו במרכזים לטיפול ומניעת אלימות במשפחה כ-6,500 נשים, כ-6.5% ממספרן המשוער של הנשים שסבלו מאירוע אחד לפחות של אלימות גופנית מצד בן זוגן בשנת 2001 (כ-100,000), לפי ממצאיו של הסקר הלאומי הקודם</w:t>
      </w:r>
      <w:r w:rsidRPr="002F2BC5">
        <w:rPr>
          <w:rStyle w:val="af9"/>
          <w:rtl/>
        </w:rPr>
        <w:footnoteReference w:id="134"/>
      </w:r>
      <w:r w:rsidRPr="002F2BC5">
        <w:rPr>
          <w:rFonts w:hint="cs"/>
          <w:rtl/>
        </w:rPr>
        <w:t xml:space="preserve">. כך נמצא כי אין באפשרותם של הגופים המעורבים בהתמודדות עם התופעה להסתמך על מסד נתונים עדכני ומהימן בקביעת המדיניות ובקבלת ההחלטות. </w:t>
      </w:r>
    </w:p>
    <w:p w14:paraId="71784897" w14:textId="77777777" w:rsidR="00817399" w:rsidRPr="002F2BC5" w:rsidRDefault="00817399" w:rsidP="00817399">
      <w:pPr>
        <w:spacing w:line="269" w:lineRule="auto"/>
        <w:rPr>
          <w:rtl/>
        </w:rPr>
      </w:pPr>
    </w:p>
    <w:p w14:paraId="2E85B07C" w14:textId="77777777" w:rsidR="00817399" w:rsidRPr="002F2BC5" w:rsidRDefault="00817399" w:rsidP="00817399">
      <w:pPr>
        <w:spacing w:line="269" w:lineRule="auto"/>
        <w:rPr>
          <w:rtl/>
        </w:rPr>
      </w:pPr>
      <w:r w:rsidRPr="002F2BC5">
        <w:rPr>
          <w:rFonts w:hint="cs"/>
          <w:rtl/>
        </w:rPr>
        <w:t xml:space="preserve">הביקורת הקודמת העלתה </w:t>
      </w:r>
      <w:r w:rsidRPr="002F2BC5">
        <w:rPr>
          <w:rFonts w:hint="eastAsia"/>
          <w:rtl/>
        </w:rPr>
        <w:t>כי</w:t>
      </w:r>
      <w:r w:rsidRPr="002F2BC5">
        <w:rPr>
          <w:rtl/>
        </w:rPr>
        <w:t xml:space="preserve"> </w:t>
      </w:r>
      <w:r w:rsidRPr="002F2BC5">
        <w:rPr>
          <w:rFonts w:hint="cs"/>
          <w:rtl/>
        </w:rPr>
        <w:t xml:space="preserve">אומנם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פעל</w:t>
      </w:r>
      <w:r w:rsidRPr="002F2BC5">
        <w:rPr>
          <w:rtl/>
        </w:rPr>
        <w:t xml:space="preserve"> </w:t>
      </w:r>
      <w:r w:rsidRPr="002F2BC5">
        <w:rPr>
          <w:rFonts w:hint="eastAsia"/>
          <w:rtl/>
        </w:rPr>
        <w:t>להתקשר</w:t>
      </w:r>
      <w:r w:rsidRPr="002F2BC5">
        <w:rPr>
          <w:rtl/>
        </w:rPr>
        <w:t xml:space="preserve"> </w:t>
      </w:r>
      <w:r w:rsidRPr="002F2BC5">
        <w:rPr>
          <w:rFonts w:hint="eastAsia"/>
          <w:rtl/>
        </w:rPr>
        <w:t>עם</w:t>
      </w:r>
      <w:r w:rsidRPr="002F2BC5">
        <w:rPr>
          <w:rtl/>
        </w:rPr>
        <w:t xml:space="preserve"> </w:t>
      </w:r>
      <w:r w:rsidRPr="002F2BC5">
        <w:rPr>
          <w:rFonts w:hint="eastAsia"/>
          <w:rtl/>
        </w:rPr>
        <w:t>הלמ</w:t>
      </w:r>
      <w:r w:rsidRPr="002F2BC5">
        <w:rPr>
          <w:rtl/>
        </w:rPr>
        <w:t xml:space="preserve">"ס </w:t>
      </w:r>
      <w:r w:rsidRPr="002F2BC5">
        <w:rPr>
          <w:rFonts w:hint="eastAsia"/>
          <w:rtl/>
        </w:rPr>
        <w:t>לביצוע</w:t>
      </w:r>
      <w:r w:rsidRPr="002F2BC5">
        <w:rPr>
          <w:rtl/>
        </w:rPr>
        <w:t xml:space="preserve"> </w:t>
      </w:r>
      <w:r w:rsidRPr="002F2BC5">
        <w:rPr>
          <w:rFonts w:hint="eastAsia"/>
          <w:rtl/>
        </w:rPr>
        <w:t>סקר</w:t>
      </w:r>
      <w:r w:rsidRPr="002F2BC5">
        <w:rPr>
          <w:rtl/>
        </w:rPr>
        <w:t xml:space="preserve"> </w:t>
      </w:r>
      <w:r w:rsidRPr="002F2BC5">
        <w:rPr>
          <w:rFonts w:hint="eastAsia"/>
          <w:rtl/>
        </w:rPr>
        <w:t>לאומי</w:t>
      </w:r>
      <w:r w:rsidRPr="002F2BC5">
        <w:rPr>
          <w:rtl/>
        </w:rPr>
        <w:t xml:space="preserve"> </w:t>
      </w:r>
      <w:r w:rsidRPr="002F2BC5">
        <w:rPr>
          <w:rFonts w:hint="cs"/>
          <w:rtl/>
        </w:rPr>
        <w:t>עדכני לצורך איסוף</w:t>
      </w:r>
      <w:r w:rsidRPr="002F2BC5">
        <w:rPr>
          <w:rtl/>
        </w:rPr>
        <w:t xml:space="preserve"> </w:t>
      </w:r>
      <w:r w:rsidRPr="002F2BC5">
        <w:rPr>
          <w:rFonts w:hint="eastAsia"/>
          <w:rtl/>
        </w:rPr>
        <w:t>נתונים</w:t>
      </w:r>
      <w:r w:rsidRPr="002F2BC5">
        <w:rPr>
          <w:rtl/>
        </w:rPr>
        <w:t xml:space="preserve"> </w:t>
      </w:r>
      <w:r w:rsidRPr="002F2BC5">
        <w:rPr>
          <w:rFonts w:hint="cs"/>
          <w:rtl/>
        </w:rPr>
        <w:t xml:space="preserve">על </w:t>
      </w:r>
      <w:r w:rsidRPr="002F2BC5">
        <w:rPr>
          <w:rFonts w:hint="eastAsia"/>
          <w:rtl/>
        </w:rPr>
        <w:t>היקף</w:t>
      </w:r>
      <w:r w:rsidRPr="002F2BC5">
        <w:rPr>
          <w:rtl/>
        </w:rPr>
        <w:t xml:space="preserve"> </w:t>
      </w:r>
      <w:r w:rsidRPr="002F2BC5">
        <w:rPr>
          <w:rFonts w:hint="cs"/>
          <w:rtl/>
        </w:rPr>
        <w:t>תופעת האלימות במשפחה ו</w:t>
      </w:r>
      <w:r w:rsidRPr="002F2BC5">
        <w:rPr>
          <w:rFonts w:hint="eastAsia"/>
          <w:rtl/>
        </w:rPr>
        <w:t>מאפייני</w:t>
      </w:r>
      <w:r w:rsidRPr="002F2BC5">
        <w:rPr>
          <w:rFonts w:hint="cs"/>
          <w:rtl/>
        </w:rPr>
        <w:t>ה.</w:t>
      </w:r>
      <w:r w:rsidRPr="002F2BC5">
        <w:rPr>
          <w:rtl/>
        </w:rPr>
        <w:t xml:space="preserve"> </w:t>
      </w:r>
      <w:r w:rsidRPr="002F2BC5">
        <w:rPr>
          <w:rFonts w:hint="cs"/>
          <w:rtl/>
        </w:rPr>
        <w:t>אולם,</w:t>
      </w:r>
      <w:r w:rsidRPr="002F2BC5">
        <w:rPr>
          <w:rtl/>
        </w:rPr>
        <w:t xml:space="preserve"> </w:t>
      </w:r>
      <w:r w:rsidRPr="002F2BC5">
        <w:rPr>
          <w:rFonts w:hint="cs"/>
          <w:rtl/>
        </w:rPr>
        <w:t>ב</w:t>
      </w:r>
      <w:r w:rsidRPr="002F2BC5">
        <w:rPr>
          <w:rFonts w:hint="eastAsia"/>
          <w:rtl/>
        </w:rPr>
        <w:t>מועד</w:t>
      </w:r>
      <w:r w:rsidRPr="002F2BC5">
        <w:rPr>
          <w:rtl/>
        </w:rPr>
        <w:t xml:space="preserve"> </w:t>
      </w:r>
      <w:r w:rsidRPr="002F2BC5">
        <w:rPr>
          <w:rFonts w:hint="eastAsia"/>
          <w:rtl/>
        </w:rPr>
        <w:t>סיום</w:t>
      </w:r>
      <w:r w:rsidRPr="002F2BC5">
        <w:rPr>
          <w:rtl/>
        </w:rPr>
        <w:t xml:space="preserve"> </w:t>
      </w:r>
      <w:r w:rsidRPr="002F2BC5">
        <w:rPr>
          <w:rFonts w:hint="eastAsia"/>
          <w:rtl/>
        </w:rPr>
        <w:t>הביקורת</w:t>
      </w:r>
      <w:r w:rsidRPr="002F2BC5">
        <w:rPr>
          <w:rtl/>
        </w:rPr>
        <w:t xml:space="preserve">, </w:t>
      </w:r>
      <w:r w:rsidRPr="002F2BC5">
        <w:rPr>
          <w:rFonts w:hint="eastAsia"/>
          <w:rtl/>
        </w:rPr>
        <w:t>בנובמבר</w:t>
      </w:r>
      <w:r w:rsidRPr="002F2BC5">
        <w:rPr>
          <w:rtl/>
        </w:rPr>
        <w:t xml:space="preserve"> 2020, </w:t>
      </w:r>
      <w:r w:rsidRPr="002F2BC5">
        <w:rPr>
          <w:rFonts w:hint="cs"/>
          <w:rtl/>
        </w:rPr>
        <w:t>מהלך זה טרם הושלם</w:t>
      </w:r>
      <w:r w:rsidRPr="002F2BC5">
        <w:rPr>
          <w:rtl/>
        </w:rPr>
        <w:t>.</w:t>
      </w:r>
    </w:p>
    <w:p w14:paraId="59D0409D" w14:textId="77777777" w:rsidR="00817399" w:rsidRPr="002F2BC5" w:rsidRDefault="00817399" w:rsidP="00817399">
      <w:pPr>
        <w:spacing w:line="269" w:lineRule="auto"/>
        <w:rPr>
          <w:rtl/>
        </w:rPr>
      </w:pPr>
    </w:p>
    <w:p w14:paraId="254BB063" w14:textId="77777777" w:rsidR="00817399" w:rsidRPr="002F2BC5" w:rsidRDefault="00817399" w:rsidP="00817399">
      <w:pPr>
        <w:spacing w:line="269" w:lineRule="auto"/>
        <w:rPr>
          <w:rtl/>
        </w:rPr>
      </w:pPr>
      <w:r w:rsidRPr="002F2BC5">
        <w:rPr>
          <w:rFonts w:hint="cs"/>
          <w:rtl/>
        </w:rPr>
        <w:t>משרד מבקר המדינה המליץ</w:t>
      </w:r>
      <w:r w:rsidRPr="002F2BC5">
        <w:rPr>
          <w:rtl/>
        </w:rPr>
        <w:t xml:space="preserve"> </w:t>
      </w:r>
      <w:r w:rsidRPr="002F2BC5">
        <w:rPr>
          <w:rFonts w:hint="cs"/>
          <w:rtl/>
        </w:rPr>
        <w:t xml:space="preserve">בביקורת הקודמת </w:t>
      </w:r>
      <w:r w:rsidRPr="002F2BC5">
        <w:rPr>
          <w:rtl/>
        </w:rPr>
        <w:t>כי משרד הרווחה יפעל</w:t>
      </w:r>
      <w:r w:rsidRPr="002F2BC5">
        <w:rPr>
          <w:rFonts w:hint="cs"/>
          <w:rtl/>
        </w:rPr>
        <w:t xml:space="preserve"> מול הלמ"ס</w:t>
      </w:r>
      <w:r w:rsidRPr="002F2BC5">
        <w:rPr>
          <w:rtl/>
        </w:rPr>
        <w:t xml:space="preserve"> </w:t>
      </w:r>
      <w:r w:rsidRPr="002F2BC5">
        <w:rPr>
          <w:rFonts w:hint="cs"/>
          <w:rtl/>
        </w:rPr>
        <w:t>להשלמת</w:t>
      </w:r>
      <w:r w:rsidRPr="002F2BC5">
        <w:rPr>
          <w:rtl/>
        </w:rPr>
        <w:t xml:space="preserve"> הסקר הלאומי </w:t>
      </w:r>
      <w:r w:rsidRPr="002F2BC5">
        <w:rPr>
          <w:rFonts w:hint="cs"/>
          <w:rtl/>
        </w:rPr>
        <w:t>העדכני</w:t>
      </w:r>
      <w:r w:rsidRPr="002F2BC5">
        <w:rPr>
          <w:rtl/>
        </w:rPr>
        <w:t xml:space="preserve"> </w:t>
      </w:r>
      <w:r w:rsidRPr="002F2BC5">
        <w:rPr>
          <w:rFonts w:hint="eastAsia"/>
          <w:rtl/>
        </w:rPr>
        <w:t>בנושא</w:t>
      </w:r>
      <w:r w:rsidRPr="002F2BC5">
        <w:rPr>
          <w:rtl/>
        </w:rPr>
        <w:t xml:space="preserve"> </w:t>
      </w:r>
      <w:r w:rsidRPr="002F2BC5">
        <w:rPr>
          <w:rFonts w:hint="cs"/>
          <w:rtl/>
        </w:rPr>
        <w:t xml:space="preserve">תופעת </w:t>
      </w:r>
      <w:r w:rsidRPr="002F2BC5">
        <w:rPr>
          <w:rFonts w:hint="eastAsia"/>
          <w:rtl/>
        </w:rPr>
        <w:t>האלימות</w:t>
      </w:r>
      <w:r w:rsidRPr="002F2BC5">
        <w:rPr>
          <w:rtl/>
        </w:rPr>
        <w:t xml:space="preserve"> </w:t>
      </w:r>
      <w:r w:rsidRPr="002F2BC5">
        <w:rPr>
          <w:rFonts w:hint="eastAsia"/>
          <w:rtl/>
        </w:rPr>
        <w:t>במשפחה</w:t>
      </w:r>
      <w:r w:rsidRPr="002F2BC5">
        <w:rPr>
          <w:rtl/>
        </w:rPr>
        <w:t xml:space="preserve"> ויבחן </w:t>
      </w:r>
      <w:r w:rsidRPr="002F2BC5">
        <w:rPr>
          <w:rFonts w:hint="cs"/>
          <w:rtl/>
        </w:rPr>
        <w:t>את האפשרות לעשות</w:t>
      </w:r>
      <w:r w:rsidRPr="002F2BC5">
        <w:rPr>
          <w:rtl/>
        </w:rPr>
        <w:t xml:space="preserve"> סקר </w:t>
      </w:r>
      <w:r w:rsidRPr="002F2BC5">
        <w:rPr>
          <w:rFonts w:hint="eastAsia"/>
          <w:rtl/>
        </w:rPr>
        <w:t>דומה</w:t>
      </w:r>
      <w:r w:rsidRPr="002F2BC5">
        <w:rPr>
          <w:rtl/>
        </w:rPr>
        <w:t xml:space="preserve"> באופן עיתי מדי </w:t>
      </w:r>
      <w:r w:rsidRPr="002F2BC5">
        <w:rPr>
          <w:rFonts w:hint="cs"/>
          <w:rtl/>
        </w:rPr>
        <w:t>כמה</w:t>
      </w:r>
      <w:r w:rsidRPr="002F2BC5">
        <w:rPr>
          <w:rtl/>
        </w:rPr>
        <w:t xml:space="preserve"> שנים.</w:t>
      </w:r>
    </w:p>
    <w:p w14:paraId="63BA8846" w14:textId="77777777" w:rsidR="00817399" w:rsidRPr="002F2BC5" w:rsidRDefault="00817399" w:rsidP="00817399">
      <w:pPr>
        <w:spacing w:line="269" w:lineRule="auto"/>
        <w:rPr>
          <w:rtl/>
        </w:rPr>
      </w:pPr>
    </w:p>
    <w:p w14:paraId="060ADC1F" w14:textId="77777777" w:rsidR="00817399" w:rsidRPr="002F2BC5" w:rsidRDefault="00817399" w:rsidP="00817399">
      <w:pPr>
        <w:spacing w:line="269" w:lineRule="auto"/>
        <w:rPr>
          <w:rtl/>
        </w:rPr>
      </w:pPr>
      <w:bookmarkStart w:id="465" w:name="_Toc191986950"/>
      <w:r w:rsidRPr="002F2BC5">
        <w:rPr>
          <w:rStyle w:val="70"/>
          <w:rFonts w:hint="cs"/>
          <w:rtl/>
        </w:rPr>
        <w:t>ביקורת המעקב:</w:t>
      </w:r>
      <w:bookmarkEnd w:id="465"/>
      <w:r w:rsidRPr="002F2BC5">
        <w:rPr>
          <w:rStyle w:val="70"/>
          <w:rFonts w:hint="cs"/>
          <w:rtl/>
        </w:rPr>
        <w:t xml:space="preserve"> </w:t>
      </w:r>
      <w:r w:rsidRPr="002F2BC5">
        <w:rPr>
          <w:rFonts w:hint="cs"/>
          <w:rtl/>
        </w:rPr>
        <w:t xml:space="preserve">נמצא כי כחלק מהיערכותו לעריכת הסקר הלאומי העדכני, ולצורך ביסוס תשתית מקצועית לעריכתו, משרד הרווחה התקשר עם עמותה פרטית לצורך קביעת מדדים מוסכמים ומותאמים למאפייניה הייחודיים של החברה הישראלית, שעל בסיסם ייעשה הסקר העדכני. מהלך זה נעשה בהובלת העמותה הפרטית ובשיתוף הלמ"ס, חוקרים ונציגי האקדמיה וכן גופים שותפים נוספים. בחודש יולי 2024 הוגש לוועדה הבין-משרדית הקבועה דוח מסכם על ממצאי הסקר העדכני, שעסק בהיקפה של תופעת האלימות בתוך מערכת היחסים הזוגית ומאפייניה, בקרב נשים וגברים בגילי 18 - 65, בהתייחס ל-12 החודשים שקדמו לעריכת הסקר. יש לציין כי </w:t>
      </w:r>
      <w:r w:rsidRPr="002F2BC5">
        <w:rPr>
          <w:rtl/>
        </w:rPr>
        <w:t xml:space="preserve">בינואר 2024, </w:t>
      </w:r>
      <w:r w:rsidRPr="002F2BC5">
        <w:rPr>
          <w:rFonts w:hint="cs"/>
          <w:rtl/>
        </w:rPr>
        <w:t xml:space="preserve">בעקבות פרוץ מלחמת חרבות ברזל, </w:t>
      </w:r>
      <w:r w:rsidRPr="002F2BC5">
        <w:rPr>
          <w:rtl/>
        </w:rPr>
        <w:t>יז</w:t>
      </w:r>
      <w:r w:rsidRPr="002F2BC5">
        <w:rPr>
          <w:rFonts w:hint="cs"/>
          <w:rtl/>
        </w:rPr>
        <w:t>ם משרד הרווחה, כמי שמוביל את עבודתה של</w:t>
      </w:r>
      <w:r w:rsidRPr="002F2BC5">
        <w:rPr>
          <w:rtl/>
        </w:rPr>
        <w:t xml:space="preserve"> הוועדה הבין-משרדית הקבועה</w:t>
      </w:r>
      <w:r w:rsidRPr="002F2BC5">
        <w:rPr>
          <w:rFonts w:hint="cs"/>
          <w:rtl/>
        </w:rPr>
        <w:t>,</w:t>
      </w:r>
      <w:r w:rsidRPr="002F2BC5">
        <w:rPr>
          <w:rtl/>
        </w:rPr>
        <w:t xml:space="preserve"> </w:t>
      </w:r>
      <w:r w:rsidRPr="002F2BC5">
        <w:rPr>
          <w:rFonts w:hint="cs"/>
          <w:rtl/>
        </w:rPr>
        <w:t xml:space="preserve">גם </w:t>
      </w:r>
      <w:r w:rsidRPr="002F2BC5">
        <w:rPr>
          <w:rtl/>
        </w:rPr>
        <w:t>סקר בזק מקוון למדידת השפעתה של המלחמה על היקף תופעת האלימות במשפחה ועל מאפייניה</w:t>
      </w:r>
      <w:r w:rsidRPr="002F2BC5">
        <w:rPr>
          <w:rStyle w:val="af9"/>
          <w:rtl/>
        </w:rPr>
        <w:footnoteReference w:id="135"/>
      </w:r>
      <w:r w:rsidRPr="002F2BC5">
        <w:rPr>
          <w:rFonts w:hint="cs"/>
          <w:rtl/>
        </w:rPr>
        <w:t>.</w:t>
      </w:r>
    </w:p>
    <w:p w14:paraId="69AB39F2" w14:textId="77777777" w:rsidR="00817399" w:rsidRPr="002F2BC5" w:rsidRDefault="00817399" w:rsidP="00817399">
      <w:pPr>
        <w:spacing w:line="269" w:lineRule="auto"/>
        <w:rPr>
          <w:rtl/>
        </w:rPr>
      </w:pPr>
    </w:p>
    <w:p w14:paraId="68DAEAF4" w14:textId="77777777" w:rsidR="00817399" w:rsidRDefault="00817399" w:rsidP="00817399">
      <w:pPr>
        <w:spacing w:line="269" w:lineRule="auto"/>
        <w:rPr>
          <w:rtl/>
        </w:rPr>
      </w:pPr>
      <w:r w:rsidRPr="002F2BC5">
        <w:rPr>
          <w:rFonts w:hint="cs"/>
          <w:rtl/>
        </w:rPr>
        <w:t xml:space="preserve">ממצאי הסקר העדכני מצביעים על כך שאחד מכל עשרה גברים או נשים בגילי 18 - 65, היה נתון לאלימות, גופנית או לא גופנית, מצד בני זוגם ב-12 החודשים שקדמו לעריכת הסקר - כ-576,000 נשים וגברים. לצד זאת, לפי ממצאי הסקר שיעורן של הנשים שהעידו כי היו נתונות ב-12 החודשים שקדמו לעריכת הסקר לאירוע אלימות גופנית אחד לפחות מצד בן זוגן (כ-5.3%, שהן כ-142,000 נשים) היה גבוה משיעור זה בקרב הגברים (כ-3.8%, שהם כ-101,000 גברים). נוסף על כך, שיעורן של הנשים שהעידו כי ב-12 החודשים שקדמו לסקר חששו לשלומן הגופני בתדירות גבוהה או חששו לחייהן (להלן גם - אלימות חמורה) (כ-3.6%, </w:t>
      </w:r>
      <w:r w:rsidRPr="002F2BC5">
        <w:rPr>
          <w:rFonts w:hint="eastAsia"/>
          <w:rtl/>
        </w:rPr>
        <w:t>שהן</w:t>
      </w:r>
      <w:r w:rsidRPr="002F2BC5">
        <w:rPr>
          <w:rtl/>
        </w:rPr>
        <w:t xml:space="preserve"> </w:t>
      </w:r>
      <w:r w:rsidRPr="002F2BC5">
        <w:rPr>
          <w:rFonts w:hint="eastAsia"/>
          <w:rtl/>
        </w:rPr>
        <w:t>כ</w:t>
      </w:r>
      <w:r w:rsidRPr="002F2BC5">
        <w:rPr>
          <w:rtl/>
        </w:rPr>
        <w:t xml:space="preserve">-96,000 </w:t>
      </w:r>
      <w:r w:rsidRPr="002F2BC5">
        <w:rPr>
          <w:rFonts w:hint="eastAsia"/>
          <w:rtl/>
        </w:rPr>
        <w:t>נשים</w:t>
      </w:r>
      <w:r w:rsidRPr="002F2BC5">
        <w:rPr>
          <w:rFonts w:hint="cs"/>
          <w:rtl/>
        </w:rPr>
        <w:t>) היה כפול משיעור זה בקרב הגברים (כ-1.9%</w:t>
      </w:r>
      <w:r w:rsidRPr="002F2BC5">
        <w:rPr>
          <w:rtl/>
        </w:rPr>
        <w:t xml:space="preserve">, </w:t>
      </w:r>
      <w:r w:rsidRPr="002F2BC5">
        <w:rPr>
          <w:rFonts w:hint="eastAsia"/>
          <w:rtl/>
        </w:rPr>
        <w:t>שהם</w:t>
      </w:r>
      <w:r w:rsidRPr="002F2BC5">
        <w:rPr>
          <w:rtl/>
        </w:rPr>
        <w:t xml:space="preserve"> </w:t>
      </w:r>
      <w:r w:rsidRPr="002F2BC5">
        <w:rPr>
          <w:rFonts w:hint="eastAsia"/>
          <w:rtl/>
        </w:rPr>
        <w:t>כ</w:t>
      </w:r>
      <w:r w:rsidRPr="002F2BC5">
        <w:rPr>
          <w:rtl/>
        </w:rPr>
        <w:t xml:space="preserve">-50,000 </w:t>
      </w:r>
      <w:r w:rsidRPr="002F2BC5">
        <w:rPr>
          <w:rFonts w:hint="eastAsia"/>
          <w:rtl/>
        </w:rPr>
        <w:t>גברים</w:t>
      </w:r>
      <w:r w:rsidRPr="002F2BC5">
        <w:rPr>
          <w:rFonts w:hint="cs"/>
          <w:rtl/>
        </w:rPr>
        <w:t xml:space="preserve">). בקרב הנשים שהעידו שהיו נתונות לאלימות שאינה גופנית מצד בן זוגן, שיעור הנשים שהעידו שהיו נתונות גם לאלימות גופנית הייתה גבוהה במידה ניכרת משיעורם של הגברים שהעידו שהיו נתונים לאלימות שאינה גופנית מצד בת זוגם ושהעידו שהיו נתונים גם לאלימות גופנית מצידן (כ-42% וכ-26%, בהתאמה). </w:t>
      </w:r>
    </w:p>
    <w:p w14:paraId="31747E04" w14:textId="77777777" w:rsidR="00817399" w:rsidRPr="002F2BC5" w:rsidRDefault="00817399" w:rsidP="00817399">
      <w:pPr>
        <w:spacing w:line="269" w:lineRule="auto"/>
        <w:rPr>
          <w:rtl/>
        </w:rPr>
      </w:pPr>
      <w:r w:rsidRPr="002F2BC5">
        <w:rPr>
          <w:rFonts w:hint="cs"/>
          <w:rtl/>
        </w:rPr>
        <w:t>ממצאי הסקר מצביעים גם על תופעת האלימות ההדדית: כמחצית מהמשיבים שהיו נתונים לאלימות גופנית מצד בן זוגם - גברים ונשים - העידו על כך שבתגובה ישירה להתנהגות האלימה מצד בן זוגם ניסו לפגוע בו. כרבע מהמשיבים שהיו נתונים לאלימות גופנית מצד בן זוגם - גברים ונשים - העידו על כך שניסו לפגוע בבן זוגם, גם שלא בתגובה ישירה להתנהגות אלימה שלו</w:t>
      </w:r>
      <w:r w:rsidRPr="002F2BC5">
        <w:rPr>
          <w:rStyle w:val="af9"/>
          <w:rtl/>
        </w:rPr>
        <w:footnoteReference w:id="136"/>
      </w:r>
      <w:r w:rsidRPr="002F2BC5">
        <w:rPr>
          <w:rFonts w:hint="cs"/>
          <w:rtl/>
        </w:rPr>
        <w:t>.</w:t>
      </w:r>
    </w:p>
    <w:p w14:paraId="5D131E17" w14:textId="77777777" w:rsidR="00817399" w:rsidRPr="002F2BC5" w:rsidRDefault="00817399" w:rsidP="00817399">
      <w:pPr>
        <w:spacing w:line="269" w:lineRule="auto"/>
        <w:rPr>
          <w:rtl/>
        </w:rPr>
      </w:pPr>
      <w:r w:rsidRPr="002F2BC5">
        <w:rPr>
          <w:rFonts w:hint="cs"/>
          <w:rtl/>
        </w:rPr>
        <w:lastRenderedPageBreak/>
        <w:t>עוד עולה מממצאי הסקר העדכני כי קיימת שונות ניכרת בנכונותם של גברים ונשים הנתונים לאלימות מצד בן זוגם לפנות לסיוע: כ-20% בלבד מהגברים שהשיבו על הסקר והיו נתונים לאלימות גופנית מצד בנות זוגם פנו לסיוע, וזאת בהשוואה לכ-41% מהנשים שהשיבו על הסקר והיו נתונות לאלימות גופנית מצד בן זוגן</w:t>
      </w:r>
      <w:r w:rsidRPr="002F2BC5">
        <w:rPr>
          <w:rStyle w:val="af9"/>
          <w:rtl/>
        </w:rPr>
        <w:footnoteReference w:id="137"/>
      </w:r>
      <w:r w:rsidRPr="002F2BC5">
        <w:rPr>
          <w:rFonts w:hint="cs"/>
          <w:rtl/>
        </w:rPr>
        <w:t xml:space="preserve">. </w:t>
      </w:r>
      <w:r w:rsidRPr="002F2BC5">
        <w:rPr>
          <w:rFonts w:hint="eastAsia"/>
          <w:rtl/>
        </w:rPr>
        <w:t>על</w:t>
      </w:r>
      <w:r w:rsidRPr="002F2BC5">
        <w:rPr>
          <w:rtl/>
        </w:rPr>
        <w:t xml:space="preserve"> </w:t>
      </w:r>
      <w:r w:rsidRPr="002F2BC5">
        <w:rPr>
          <w:rFonts w:hint="eastAsia"/>
          <w:rtl/>
        </w:rPr>
        <w:t>הימנעותם</w:t>
      </w:r>
      <w:r w:rsidRPr="002F2BC5">
        <w:rPr>
          <w:rtl/>
        </w:rPr>
        <w:t xml:space="preserve"> של נשים וגברים מפנייה לסיוע </w:t>
      </w:r>
      <w:r w:rsidRPr="002F2BC5">
        <w:rPr>
          <w:rFonts w:hint="eastAsia"/>
          <w:rtl/>
        </w:rPr>
        <w:t>ניתן</w:t>
      </w:r>
      <w:r w:rsidRPr="002F2BC5">
        <w:rPr>
          <w:rtl/>
        </w:rPr>
        <w:t xml:space="preserve"> </w:t>
      </w:r>
      <w:r w:rsidRPr="002F2BC5">
        <w:rPr>
          <w:rFonts w:hint="eastAsia"/>
          <w:rtl/>
        </w:rPr>
        <w:t>ללמוד</w:t>
      </w:r>
      <w:r w:rsidRPr="002F2BC5">
        <w:rPr>
          <w:rtl/>
        </w:rPr>
        <w:t xml:space="preserve"> גם מתוך השוואה בין </w:t>
      </w:r>
      <w:r w:rsidRPr="002F2BC5">
        <w:rPr>
          <w:rFonts w:hint="eastAsia"/>
          <w:rtl/>
        </w:rPr>
        <w:t>ממצאי</w:t>
      </w:r>
      <w:r w:rsidRPr="002F2BC5">
        <w:rPr>
          <w:rtl/>
        </w:rPr>
        <w:t xml:space="preserve"> הסקר על היקף </w:t>
      </w:r>
      <w:r w:rsidRPr="002F2BC5">
        <w:rPr>
          <w:rFonts w:hint="cs"/>
          <w:rtl/>
        </w:rPr>
        <w:t xml:space="preserve">התופעה </w:t>
      </w:r>
      <w:r w:rsidRPr="002F2BC5">
        <w:rPr>
          <w:rFonts w:hint="eastAsia"/>
          <w:rtl/>
        </w:rPr>
        <w:t>ובין</w:t>
      </w:r>
      <w:r w:rsidRPr="002F2BC5">
        <w:rPr>
          <w:rtl/>
        </w:rPr>
        <w:t xml:space="preserve"> </w:t>
      </w:r>
      <w:r w:rsidRPr="002F2BC5">
        <w:rPr>
          <w:rFonts w:hint="cs"/>
          <w:rtl/>
        </w:rPr>
        <w:t>היקף אוכלוסיית מקבלי השירותים בתחום זה בפועל</w:t>
      </w:r>
      <w:r w:rsidRPr="002F2BC5">
        <w:rPr>
          <w:rtl/>
        </w:rPr>
        <w:t xml:space="preserve">: </w:t>
      </w:r>
      <w:r w:rsidRPr="002F2BC5">
        <w:rPr>
          <w:rFonts w:hint="eastAsia"/>
          <w:rtl/>
        </w:rPr>
        <w:t>כ</w:t>
      </w:r>
      <w:r w:rsidRPr="002F2BC5">
        <w:rPr>
          <w:rtl/>
        </w:rPr>
        <w:t xml:space="preserve">-146,000 נשים וגברים </w:t>
      </w:r>
      <w:r w:rsidRPr="002F2BC5">
        <w:rPr>
          <w:rFonts w:hint="eastAsia"/>
          <w:rtl/>
        </w:rPr>
        <w:t>בגילי</w:t>
      </w:r>
      <w:r w:rsidRPr="002F2BC5">
        <w:rPr>
          <w:rtl/>
        </w:rPr>
        <w:t xml:space="preserve"> 18 עד 65 </w:t>
      </w:r>
      <w:r w:rsidRPr="002F2BC5">
        <w:rPr>
          <w:rFonts w:hint="cs"/>
          <w:rtl/>
        </w:rPr>
        <w:t>העידו</w:t>
      </w:r>
      <w:r w:rsidRPr="002F2BC5">
        <w:rPr>
          <w:rtl/>
        </w:rPr>
        <w:t xml:space="preserve"> כי חוו אלימות </w:t>
      </w:r>
      <w:r w:rsidRPr="002F2BC5">
        <w:rPr>
          <w:rFonts w:hint="eastAsia"/>
          <w:rtl/>
        </w:rPr>
        <w:t>גופנית</w:t>
      </w:r>
      <w:r w:rsidRPr="002F2BC5">
        <w:rPr>
          <w:rtl/>
        </w:rPr>
        <w:t xml:space="preserve"> חמורה </w:t>
      </w:r>
      <w:r w:rsidRPr="002F2BC5">
        <w:rPr>
          <w:rFonts w:hint="eastAsia"/>
          <w:rtl/>
        </w:rPr>
        <w:t>מצד</w:t>
      </w:r>
      <w:r w:rsidRPr="002F2BC5">
        <w:rPr>
          <w:rtl/>
        </w:rPr>
        <w:t xml:space="preserve"> בן זוגם במהלך 12 החודשים שקדמו לסקר העדכני, </w:t>
      </w:r>
      <w:r w:rsidRPr="002F2BC5">
        <w:rPr>
          <w:rFonts w:hint="eastAsia"/>
          <w:rtl/>
        </w:rPr>
        <w:t>בעוד</w:t>
      </w:r>
      <w:r w:rsidRPr="002F2BC5">
        <w:rPr>
          <w:rtl/>
        </w:rPr>
        <w:t xml:space="preserve"> </w:t>
      </w:r>
      <w:r w:rsidRPr="002F2BC5">
        <w:rPr>
          <w:rFonts w:hint="eastAsia"/>
          <w:rtl/>
        </w:rPr>
        <w:t>שלפי</w:t>
      </w:r>
      <w:r w:rsidRPr="002F2BC5">
        <w:rPr>
          <w:rtl/>
        </w:rPr>
        <w:t xml:space="preserve"> נתוני הלמ"ס </w:t>
      </w:r>
      <w:r w:rsidRPr="002F2BC5">
        <w:rPr>
          <w:rFonts w:hint="eastAsia"/>
          <w:rtl/>
        </w:rPr>
        <w:t>בשנת</w:t>
      </w:r>
      <w:r w:rsidRPr="002F2BC5">
        <w:rPr>
          <w:rtl/>
        </w:rPr>
        <w:t xml:space="preserve"> 2023 </w:t>
      </w:r>
      <w:r w:rsidRPr="002F2BC5">
        <w:rPr>
          <w:rFonts w:hint="eastAsia"/>
          <w:rtl/>
        </w:rPr>
        <w:t>כ</w:t>
      </w:r>
      <w:r w:rsidRPr="002F2BC5">
        <w:rPr>
          <w:rtl/>
        </w:rPr>
        <w:t xml:space="preserve">-17,000 </w:t>
      </w:r>
      <w:r w:rsidRPr="002F2BC5">
        <w:rPr>
          <w:rFonts w:hint="eastAsia"/>
          <w:rtl/>
        </w:rPr>
        <w:t>נשים</w:t>
      </w:r>
      <w:r w:rsidRPr="002F2BC5">
        <w:rPr>
          <w:rtl/>
        </w:rPr>
        <w:t xml:space="preserve"> </w:t>
      </w:r>
      <w:r w:rsidRPr="002F2BC5">
        <w:rPr>
          <w:rFonts w:hint="eastAsia"/>
          <w:rtl/>
        </w:rPr>
        <w:t>וגברים</w:t>
      </w:r>
      <w:r w:rsidRPr="002F2BC5">
        <w:rPr>
          <w:rtl/>
        </w:rPr>
        <w:t xml:space="preserve"> </w:t>
      </w:r>
      <w:r w:rsidRPr="002F2BC5">
        <w:rPr>
          <w:rFonts w:hint="eastAsia"/>
          <w:rtl/>
        </w:rPr>
        <w:t>בלבד</w:t>
      </w:r>
      <w:r w:rsidRPr="002F2BC5">
        <w:rPr>
          <w:rtl/>
        </w:rPr>
        <w:t xml:space="preserve"> </w:t>
      </w:r>
      <w:r w:rsidRPr="002F2BC5">
        <w:rPr>
          <w:rFonts w:hint="eastAsia"/>
          <w:rtl/>
        </w:rPr>
        <w:t>בגילי</w:t>
      </w:r>
      <w:r w:rsidRPr="002F2BC5">
        <w:rPr>
          <w:rtl/>
        </w:rPr>
        <w:t xml:space="preserve"> 15 </w:t>
      </w:r>
      <w:r w:rsidRPr="002F2BC5">
        <w:rPr>
          <w:rFonts w:hint="eastAsia"/>
          <w:rtl/>
        </w:rPr>
        <w:t>ומעלה</w:t>
      </w:r>
      <w:r w:rsidRPr="002F2BC5">
        <w:rPr>
          <w:rtl/>
        </w:rPr>
        <w:t xml:space="preserve"> (</w:t>
      </w:r>
      <w:r w:rsidRPr="002F2BC5">
        <w:rPr>
          <w:rFonts w:hint="cs"/>
          <w:rtl/>
        </w:rPr>
        <w:t>שווה ערך ל</w:t>
      </w:r>
      <w:r w:rsidRPr="002F2BC5">
        <w:rPr>
          <w:rFonts w:hint="eastAsia"/>
          <w:rtl/>
        </w:rPr>
        <w:t>כ</w:t>
      </w:r>
      <w:r w:rsidRPr="002F2BC5">
        <w:rPr>
          <w:rtl/>
        </w:rPr>
        <w:t xml:space="preserve">-11.6%) </w:t>
      </w:r>
      <w:r w:rsidRPr="002F2BC5">
        <w:rPr>
          <w:rFonts w:hint="eastAsia"/>
          <w:rtl/>
        </w:rPr>
        <w:t>היו</w:t>
      </w:r>
      <w:r w:rsidRPr="002F2BC5">
        <w:rPr>
          <w:rtl/>
        </w:rPr>
        <w:t xml:space="preserve"> </w:t>
      </w:r>
      <w:r w:rsidRPr="002F2BC5">
        <w:rPr>
          <w:rFonts w:hint="eastAsia"/>
          <w:rtl/>
        </w:rPr>
        <w:t>רשומים</w:t>
      </w:r>
      <w:r w:rsidRPr="002F2BC5">
        <w:rPr>
          <w:rtl/>
        </w:rPr>
        <w:t xml:space="preserve"> </w:t>
      </w:r>
      <w:r w:rsidRPr="002F2BC5">
        <w:rPr>
          <w:rFonts w:hint="eastAsia"/>
          <w:rtl/>
        </w:rPr>
        <w:t>במחלקות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 xml:space="preserve"> </w:t>
      </w:r>
      <w:r w:rsidRPr="002F2BC5">
        <w:rPr>
          <w:rFonts w:hint="eastAsia"/>
          <w:rtl/>
        </w:rPr>
        <w:t>כבעלי</w:t>
      </w:r>
      <w:r w:rsidRPr="002F2BC5">
        <w:rPr>
          <w:rtl/>
        </w:rPr>
        <w:t xml:space="preserve"> </w:t>
      </w:r>
      <w:r w:rsidRPr="002F2BC5">
        <w:rPr>
          <w:rFonts w:hint="eastAsia"/>
          <w:rtl/>
        </w:rPr>
        <w:t>נזקקות</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w:t>
      </w:r>
    </w:p>
    <w:p w14:paraId="417652DD" w14:textId="77777777" w:rsidR="00817399" w:rsidRPr="002F2BC5" w:rsidRDefault="00817399" w:rsidP="00817399">
      <w:pPr>
        <w:spacing w:line="269" w:lineRule="auto"/>
        <w:rPr>
          <w:rtl/>
        </w:rPr>
      </w:pPr>
    </w:p>
    <w:p w14:paraId="7355C172" w14:textId="0CCC579B" w:rsidR="00817399" w:rsidRPr="002F2BC5" w:rsidRDefault="00817399" w:rsidP="00817399">
      <w:pPr>
        <w:spacing w:line="269" w:lineRule="auto"/>
        <w:rPr>
          <w:rtl/>
        </w:rPr>
      </w:pPr>
      <w:r w:rsidRPr="002F2BC5">
        <w:rPr>
          <w:rFonts w:hint="cs"/>
          <w:rtl/>
        </w:rPr>
        <w:t>ריכוז עיקרי הנתונים על היקף תופעת האלימות בין בני זוג לפי ממצאי הסקר הלאומי העדכני בהשוואה למספר הרשומים במחלקות לשירותים חברתיים ברשויות המקומיות כבעלי נזקקות בתחום האלימות במשפחה לפי נתוני הלמ"ס מובאים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Ref192532311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8</w:t>
      </w:r>
      <w:r w:rsidRPr="002F2BC5">
        <w:rPr>
          <w:rtl/>
        </w:rPr>
        <w:fldChar w:fldCharType="end"/>
      </w:r>
      <w:r w:rsidRPr="002F2BC5">
        <w:rPr>
          <w:rFonts w:hint="cs"/>
          <w:rtl/>
        </w:rPr>
        <w:t xml:space="preserve"> שלהלן.</w:t>
      </w:r>
    </w:p>
    <w:p w14:paraId="3BEB3876" w14:textId="77777777" w:rsidR="00817399" w:rsidRPr="002F2BC5" w:rsidRDefault="00817399" w:rsidP="00817399">
      <w:pPr>
        <w:spacing w:line="269" w:lineRule="auto"/>
        <w:rPr>
          <w:rtl/>
        </w:rPr>
      </w:pPr>
    </w:p>
    <w:p w14:paraId="49E1DF0F" w14:textId="77777777" w:rsidR="00817399" w:rsidRPr="002F2BC5" w:rsidRDefault="00817399" w:rsidP="00817399">
      <w:pPr>
        <w:pStyle w:val="a9"/>
        <w:spacing w:line="269" w:lineRule="auto"/>
        <w:rPr>
          <w:b w:val="0"/>
          <w:bCs/>
          <w:rtl/>
        </w:rPr>
      </w:pPr>
      <w:bookmarkStart w:id="466" w:name="_Ref192532311"/>
      <w:bookmarkStart w:id="467" w:name="_Toc192672901"/>
      <w:r w:rsidRPr="002F2BC5">
        <w:rPr>
          <w:rtl/>
        </w:rPr>
        <w:t>:</w:t>
      </w:r>
      <w:bookmarkEnd w:id="466"/>
      <w:r w:rsidRPr="002F2BC5">
        <w:rPr>
          <w:rtl/>
        </w:rPr>
        <w:t xml:space="preserve"> </w:t>
      </w:r>
      <w:bookmarkStart w:id="468" w:name="_Hlk192532527"/>
      <w:r w:rsidRPr="002F2BC5">
        <w:rPr>
          <w:b w:val="0"/>
          <w:bCs/>
          <w:rtl/>
        </w:rPr>
        <w:t>עיקרי הנתונים על היקף תופעת האלימות בין בני זוג לפי ממצאי הסקר הלאומי העדכני בהשוואה למספר הרשומים במחלקות לשירותים חברתיים כבעלי נזקקות בתחום האלימות במשפחה לפי נתוני הלמ"ס לשנת 2023</w:t>
      </w:r>
      <w:bookmarkEnd w:id="468"/>
      <w:r w:rsidRPr="002F2BC5">
        <w:rPr>
          <w:b w:val="0"/>
          <w:bCs/>
          <w:rtl/>
        </w:rPr>
        <w:t>*</w:t>
      </w:r>
      <w:bookmarkEnd w:id="467"/>
    </w:p>
    <w:p w14:paraId="79371445"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4D844CB9" wp14:editId="678046CC">
            <wp:extent cx="5220000" cy="2034157"/>
            <wp:effectExtent l="0" t="0" r="0" b="4445"/>
            <wp:docPr id="2052770980" name="תמונה 205277098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000" cy="2034157"/>
                    </a:xfrm>
                    <a:prstGeom prst="rect">
                      <a:avLst/>
                    </a:prstGeom>
                    <a:noFill/>
                  </pic:spPr>
                </pic:pic>
              </a:graphicData>
            </a:graphic>
          </wp:inline>
        </w:drawing>
      </w:r>
    </w:p>
    <w:p w14:paraId="51118264" w14:textId="77777777" w:rsidR="00817399" w:rsidRPr="002F2BC5" w:rsidRDefault="00817399" w:rsidP="00817399">
      <w:pPr>
        <w:pStyle w:val="afffffff1"/>
        <w:bidi/>
        <w:spacing w:line="269" w:lineRule="auto"/>
        <w:rPr>
          <w:rtl/>
        </w:rPr>
      </w:pPr>
      <w:bookmarkStart w:id="469" w:name="_Hlk192532538"/>
      <w:r w:rsidRPr="002F2BC5">
        <w:rPr>
          <w:rFonts w:hint="eastAsia"/>
          <w:rtl/>
        </w:rPr>
        <w:t>על</w:t>
      </w:r>
      <w:r w:rsidRPr="002F2BC5">
        <w:rPr>
          <w:rtl/>
        </w:rPr>
        <w:t xml:space="preserve"> </w:t>
      </w:r>
      <w:r w:rsidRPr="002F2BC5">
        <w:rPr>
          <w:rFonts w:hint="eastAsia"/>
          <w:rtl/>
        </w:rPr>
        <w:t>פי</w:t>
      </w:r>
      <w:r w:rsidRPr="002F2BC5">
        <w:rPr>
          <w:rtl/>
        </w:rPr>
        <w:t xml:space="preserve"> </w:t>
      </w:r>
      <w:r w:rsidRPr="002F2BC5">
        <w:rPr>
          <w:rFonts w:hint="eastAsia"/>
          <w:rtl/>
        </w:rPr>
        <w:t>ממצאי</w:t>
      </w:r>
      <w:r w:rsidRPr="002F2BC5">
        <w:rPr>
          <w:rtl/>
        </w:rPr>
        <w:t xml:space="preserve"> </w:t>
      </w:r>
      <w:r w:rsidRPr="002F2BC5">
        <w:rPr>
          <w:rFonts w:hint="eastAsia"/>
          <w:rtl/>
        </w:rPr>
        <w:t>הסקר</w:t>
      </w:r>
      <w:r w:rsidRPr="002F2BC5">
        <w:rPr>
          <w:rtl/>
        </w:rPr>
        <w:t xml:space="preserve"> </w:t>
      </w:r>
      <w:r w:rsidRPr="002F2BC5">
        <w:rPr>
          <w:rFonts w:hint="eastAsia"/>
          <w:rtl/>
        </w:rPr>
        <w:t>הלאומי</w:t>
      </w:r>
      <w:r w:rsidRPr="002F2BC5">
        <w:rPr>
          <w:rtl/>
        </w:rPr>
        <w:t xml:space="preserve"> </w:t>
      </w:r>
      <w:r w:rsidRPr="002F2BC5">
        <w:rPr>
          <w:rFonts w:hint="eastAsia"/>
          <w:rtl/>
        </w:rPr>
        <w:t>העדכני</w:t>
      </w:r>
      <w:r w:rsidRPr="002F2BC5">
        <w:rPr>
          <w:rtl/>
        </w:rPr>
        <w:t xml:space="preserve"> </w:t>
      </w:r>
      <w:r w:rsidRPr="002F2BC5">
        <w:rPr>
          <w:rFonts w:hint="eastAsia"/>
          <w:rtl/>
        </w:rPr>
        <w:t>ונתוני</w:t>
      </w:r>
      <w:r w:rsidRPr="002F2BC5">
        <w:rPr>
          <w:rtl/>
        </w:rPr>
        <w:t xml:space="preserve"> </w:t>
      </w:r>
      <w:r w:rsidRPr="002F2BC5">
        <w:rPr>
          <w:rFonts w:hint="eastAsia"/>
          <w:rtl/>
        </w:rPr>
        <w:t>הלמ</w:t>
      </w:r>
      <w:r w:rsidRPr="002F2BC5">
        <w:rPr>
          <w:rtl/>
        </w:rPr>
        <w:t xml:space="preserve">"ס </w:t>
      </w:r>
      <w:r w:rsidRPr="002F2BC5">
        <w:rPr>
          <w:rFonts w:hint="eastAsia"/>
          <w:rtl/>
        </w:rPr>
        <w:t>על</w:t>
      </w:r>
      <w:r w:rsidRPr="002F2BC5">
        <w:rPr>
          <w:rtl/>
        </w:rPr>
        <w:t xml:space="preserve"> </w:t>
      </w:r>
      <w:r w:rsidRPr="002F2BC5">
        <w:rPr>
          <w:rFonts w:hint="eastAsia"/>
          <w:rtl/>
        </w:rPr>
        <w:t>הרשומים</w:t>
      </w:r>
      <w:r w:rsidRPr="002F2BC5">
        <w:rPr>
          <w:rtl/>
        </w:rPr>
        <w:t xml:space="preserve"> </w:t>
      </w:r>
      <w:r w:rsidRPr="002F2BC5">
        <w:rPr>
          <w:rFonts w:hint="eastAsia"/>
          <w:rtl/>
        </w:rPr>
        <w:t>כבעלי</w:t>
      </w:r>
      <w:r w:rsidRPr="002F2BC5">
        <w:rPr>
          <w:rtl/>
        </w:rPr>
        <w:t xml:space="preserve"> </w:t>
      </w:r>
      <w:r w:rsidRPr="002F2BC5">
        <w:rPr>
          <w:rFonts w:hint="eastAsia"/>
          <w:rtl/>
        </w:rPr>
        <w:t>נזקקות</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בשנת</w:t>
      </w:r>
      <w:r w:rsidRPr="002F2BC5">
        <w:rPr>
          <w:rtl/>
        </w:rPr>
        <w:t xml:space="preserve"> 2023, </w:t>
      </w:r>
      <w:r w:rsidRPr="002F2BC5">
        <w:rPr>
          <w:rFonts w:hint="eastAsia"/>
          <w:rtl/>
        </w:rPr>
        <w:t>בעיבוד</w:t>
      </w:r>
      <w:r w:rsidRPr="002F2BC5">
        <w:rPr>
          <w:rtl/>
        </w:rPr>
        <w:t xml:space="preserve"> </w:t>
      </w:r>
      <w:r w:rsidRPr="002F2BC5">
        <w:rPr>
          <w:rFonts w:hint="eastAsia"/>
          <w:rtl/>
        </w:rPr>
        <w:t>משרד</w:t>
      </w:r>
      <w:r w:rsidRPr="002F2BC5">
        <w:rPr>
          <w:rtl/>
        </w:rPr>
        <w:t xml:space="preserve"> </w:t>
      </w:r>
      <w:r w:rsidRPr="002F2BC5">
        <w:rPr>
          <w:rFonts w:hint="eastAsia"/>
          <w:rtl/>
        </w:rPr>
        <w:t>מבקר</w:t>
      </w:r>
      <w:r w:rsidRPr="002F2BC5">
        <w:rPr>
          <w:rtl/>
        </w:rPr>
        <w:t xml:space="preserve"> </w:t>
      </w:r>
      <w:r w:rsidRPr="002F2BC5">
        <w:rPr>
          <w:rFonts w:hint="eastAsia"/>
          <w:rtl/>
        </w:rPr>
        <w:t>המדינה</w:t>
      </w:r>
      <w:r w:rsidRPr="002F2BC5">
        <w:rPr>
          <w:rtl/>
        </w:rPr>
        <w:t>.</w:t>
      </w:r>
    </w:p>
    <w:p w14:paraId="27C422C0" w14:textId="77777777" w:rsidR="00817399" w:rsidRPr="002F2BC5" w:rsidRDefault="00817399" w:rsidP="00817399">
      <w:pPr>
        <w:pStyle w:val="afffffff1"/>
        <w:bidi/>
        <w:spacing w:line="269" w:lineRule="auto"/>
        <w:rPr>
          <w:rtl/>
        </w:rPr>
      </w:pPr>
      <w:r w:rsidRPr="002F2BC5">
        <w:rPr>
          <w:rtl/>
        </w:rPr>
        <w:t xml:space="preserve">* </w:t>
      </w:r>
      <w:r w:rsidRPr="002F2BC5">
        <w:rPr>
          <w:rFonts w:hint="eastAsia"/>
          <w:rtl/>
        </w:rPr>
        <w:t>נתוני</w:t>
      </w:r>
      <w:r w:rsidRPr="002F2BC5">
        <w:rPr>
          <w:rtl/>
        </w:rPr>
        <w:t xml:space="preserve"> </w:t>
      </w:r>
      <w:r w:rsidRPr="002F2BC5">
        <w:rPr>
          <w:rFonts w:hint="eastAsia"/>
          <w:rtl/>
        </w:rPr>
        <w:t>הסקר</w:t>
      </w:r>
      <w:r w:rsidRPr="002F2BC5">
        <w:rPr>
          <w:rtl/>
        </w:rPr>
        <w:t xml:space="preserve"> </w:t>
      </w:r>
      <w:r w:rsidRPr="002F2BC5">
        <w:rPr>
          <w:rFonts w:hint="eastAsia"/>
          <w:rtl/>
        </w:rPr>
        <w:t>הלאומי</w:t>
      </w:r>
      <w:r w:rsidRPr="002F2BC5">
        <w:rPr>
          <w:rtl/>
        </w:rPr>
        <w:t xml:space="preserve"> </w:t>
      </w:r>
      <w:r w:rsidRPr="002F2BC5">
        <w:rPr>
          <w:rFonts w:hint="eastAsia"/>
          <w:rtl/>
        </w:rPr>
        <w:t>העדכני</w:t>
      </w:r>
      <w:r w:rsidRPr="002F2BC5">
        <w:rPr>
          <w:rtl/>
        </w:rPr>
        <w:t xml:space="preserve"> </w:t>
      </w:r>
      <w:r w:rsidRPr="002F2BC5">
        <w:rPr>
          <w:rFonts w:hint="eastAsia"/>
          <w:rtl/>
        </w:rPr>
        <w:t>מתייחסים</w:t>
      </w:r>
      <w:r w:rsidRPr="002F2BC5">
        <w:rPr>
          <w:rtl/>
        </w:rPr>
        <w:t xml:space="preserve"> </w:t>
      </w:r>
      <w:r w:rsidRPr="002F2BC5">
        <w:rPr>
          <w:rFonts w:hint="eastAsia"/>
          <w:rtl/>
        </w:rPr>
        <w:t>לנשים</w:t>
      </w:r>
      <w:r w:rsidRPr="002F2BC5">
        <w:rPr>
          <w:rtl/>
        </w:rPr>
        <w:t xml:space="preserve"> </w:t>
      </w:r>
      <w:r w:rsidRPr="002F2BC5">
        <w:rPr>
          <w:rFonts w:hint="eastAsia"/>
          <w:rtl/>
        </w:rPr>
        <w:t>וגברים</w:t>
      </w:r>
      <w:r w:rsidRPr="002F2BC5">
        <w:rPr>
          <w:rtl/>
        </w:rPr>
        <w:t xml:space="preserve"> </w:t>
      </w:r>
      <w:r w:rsidRPr="002F2BC5">
        <w:rPr>
          <w:rFonts w:hint="eastAsia"/>
          <w:rtl/>
        </w:rPr>
        <w:t>בגילי</w:t>
      </w:r>
      <w:r w:rsidRPr="002F2BC5">
        <w:rPr>
          <w:rtl/>
        </w:rPr>
        <w:t xml:space="preserve"> 18 </w:t>
      </w:r>
      <w:r w:rsidRPr="002F2BC5">
        <w:rPr>
          <w:rFonts w:hint="eastAsia"/>
          <w:rtl/>
        </w:rPr>
        <w:t>עד</w:t>
      </w:r>
      <w:r w:rsidRPr="002F2BC5">
        <w:rPr>
          <w:rtl/>
        </w:rPr>
        <w:t xml:space="preserve"> 65; </w:t>
      </w:r>
      <w:r w:rsidRPr="002F2BC5">
        <w:rPr>
          <w:rFonts w:hint="eastAsia"/>
          <w:rtl/>
        </w:rPr>
        <w:t>נתוני</w:t>
      </w:r>
      <w:r w:rsidRPr="002F2BC5">
        <w:rPr>
          <w:rtl/>
        </w:rPr>
        <w:t xml:space="preserve"> הלמ"ס מתייחסים לנשים וגברים בגילי 15 ומעלה שהם </w:t>
      </w:r>
      <w:r w:rsidRPr="002F2BC5">
        <w:rPr>
          <w:rFonts w:hint="eastAsia"/>
          <w:rtl/>
        </w:rPr>
        <w:t>או</w:t>
      </w:r>
      <w:r w:rsidRPr="002F2BC5">
        <w:rPr>
          <w:rtl/>
        </w:rPr>
        <w:t xml:space="preserve"> </w:t>
      </w:r>
      <w:r w:rsidRPr="002F2BC5">
        <w:rPr>
          <w:rFonts w:hint="eastAsia"/>
          <w:rtl/>
        </w:rPr>
        <w:t>בני</w:t>
      </w:r>
      <w:r w:rsidRPr="002F2BC5">
        <w:rPr>
          <w:rtl/>
        </w:rPr>
        <w:t xml:space="preserve"> </w:t>
      </w:r>
      <w:r w:rsidRPr="002F2BC5">
        <w:rPr>
          <w:rFonts w:hint="eastAsia"/>
          <w:rtl/>
        </w:rPr>
        <w:t>משפחתם</w:t>
      </w:r>
      <w:r w:rsidRPr="002F2BC5">
        <w:rPr>
          <w:rtl/>
        </w:rPr>
        <w:t xml:space="preserve"> </w:t>
      </w:r>
      <w:r w:rsidRPr="002F2BC5">
        <w:rPr>
          <w:rFonts w:hint="eastAsia"/>
          <w:rtl/>
        </w:rPr>
        <w:t>רשומים</w:t>
      </w:r>
      <w:r w:rsidRPr="002F2BC5">
        <w:rPr>
          <w:rtl/>
        </w:rPr>
        <w:t xml:space="preserve"> </w:t>
      </w:r>
      <w:r w:rsidRPr="002F2BC5">
        <w:rPr>
          <w:rFonts w:hint="eastAsia"/>
          <w:rtl/>
        </w:rPr>
        <w:t>כזקוקים</w:t>
      </w:r>
      <w:r w:rsidRPr="002F2BC5">
        <w:rPr>
          <w:rtl/>
        </w:rPr>
        <w:t xml:space="preserve"> </w:t>
      </w:r>
      <w:r w:rsidRPr="002F2BC5">
        <w:rPr>
          <w:rFonts w:hint="eastAsia"/>
          <w:rtl/>
        </w:rPr>
        <w:t>לטיפול</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w:t>
      </w:r>
    </w:p>
    <w:bookmarkEnd w:id="469"/>
    <w:p w14:paraId="2A75F339" w14:textId="77777777" w:rsidR="00817399" w:rsidRPr="002F2BC5" w:rsidRDefault="00817399" w:rsidP="00817399">
      <w:pPr>
        <w:spacing w:line="269" w:lineRule="auto"/>
        <w:rPr>
          <w:rtl/>
        </w:rPr>
      </w:pPr>
    </w:p>
    <w:p w14:paraId="0A009286" w14:textId="77777777" w:rsidR="00817399" w:rsidRPr="002F2BC5" w:rsidRDefault="00817399" w:rsidP="00817399">
      <w:pPr>
        <w:spacing w:line="269" w:lineRule="auto"/>
        <w:rPr>
          <w:rtl/>
        </w:rPr>
      </w:pPr>
      <w:r w:rsidRPr="002F2BC5">
        <w:rPr>
          <w:rFonts w:hint="eastAsia"/>
          <w:rtl/>
        </w:rPr>
        <w:t>יוצא</w:t>
      </w:r>
      <w:r w:rsidRPr="002F2BC5">
        <w:rPr>
          <w:rtl/>
        </w:rPr>
        <w:t xml:space="preserve"> מכך כי ממצאי הסקר העדכני מאששים את הנחות היסוד ב</w:t>
      </w:r>
      <w:r w:rsidRPr="002F2BC5">
        <w:rPr>
          <w:rFonts w:hint="cs"/>
          <w:rtl/>
        </w:rPr>
        <w:t>נוגע</w:t>
      </w:r>
      <w:r w:rsidRPr="002F2BC5">
        <w:rPr>
          <w:rtl/>
        </w:rPr>
        <w:t xml:space="preserve"> למאפייניה המגדריים של התופעה </w:t>
      </w:r>
      <w:r w:rsidRPr="002F2BC5">
        <w:rPr>
          <w:rFonts w:hint="cs"/>
          <w:rtl/>
        </w:rPr>
        <w:t>ולשיעורן הגבוה</w:t>
      </w:r>
      <w:r w:rsidRPr="002F2BC5">
        <w:rPr>
          <w:rtl/>
        </w:rPr>
        <w:t xml:space="preserve"> </w:t>
      </w:r>
      <w:r w:rsidRPr="002F2BC5">
        <w:rPr>
          <w:rFonts w:hint="eastAsia"/>
          <w:rtl/>
        </w:rPr>
        <w:t>יותר</w:t>
      </w:r>
      <w:r w:rsidRPr="002F2BC5">
        <w:rPr>
          <w:rtl/>
        </w:rPr>
        <w:t xml:space="preserve"> </w:t>
      </w:r>
      <w:r w:rsidRPr="002F2BC5">
        <w:rPr>
          <w:rFonts w:hint="eastAsia"/>
          <w:rtl/>
        </w:rPr>
        <w:t>של</w:t>
      </w:r>
      <w:r w:rsidRPr="002F2BC5">
        <w:rPr>
          <w:rtl/>
        </w:rPr>
        <w:t xml:space="preserve"> </w:t>
      </w:r>
      <w:r w:rsidRPr="002F2BC5">
        <w:rPr>
          <w:rFonts w:hint="eastAsia"/>
          <w:rtl/>
        </w:rPr>
        <w:t>נשים</w:t>
      </w:r>
      <w:r w:rsidRPr="002F2BC5">
        <w:rPr>
          <w:rtl/>
        </w:rPr>
        <w:t xml:space="preserve"> </w:t>
      </w:r>
      <w:r w:rsidRPr="002F2BC5">
        <w:rPr>
          <w:rFonts w:hint="cs"/>
          <w:rtl/>
        </w:rPr>
        <w:t>ש</w:t>
      </w:r>
      <w:r w:rsidRPr="002F2BC5">
        <w:rPr>
          <w:rFonts w:hint="eastAsia"/>
          <w:rtl/>
        </w:rPr>
        <w:t>נתונות</w:t>
      </w:r>
      <w:r w:rsidRPr="002F2BC5">
        <w:rPr>
          <w:rtl/>
        </w:rPr>
        <w:t xml:space="preserve"> לאלימות גופנית מצד בן זוג</w:t>
      </w:r>
      <w:r w:rsidRPr="002F2BC5">
        <w:rPr>
          <w:rFonts w:hint="eastAsia"/>
          <w:rtl/>
        </w:rPr>
        <w:t>ן</w:t>
      </w:r>
      <w:r w:rsidRPr="002F2BC5">
        <w:rPr>
          <w:rtl/>
        </w:rPr>
        <w:t>, לצד סוגי אלימות אחרים מצ</w:t>
      </w:r>
      <w:r w:rsidRPr="002F2BC5">
        <w:rPr>
          <w:rFonts w:hint="cs"/>
          <w:rtl/>
        </w:rPr>
        <w:t>י</w:t>
      </w:r>
      <w:r w:rsidRPr="002F2BC5">
        <w:rPr>
          <w:rtl/>
        </w:rPr>
        <w:t>דו</w:t>
      </w:r>
      <w:r w:rsidRPr="002F2BC5">
        <w:rPr>
          <w:rFonts w:hint="cs"/>
          <w:rtl/>
        </w:rPr>
        <w:t>, לעומת גברים.</w:t>
      </w:r>
      <w:r w:rsidRPr="002F2BC5">
        <w:rPr>
          <w:rtl/>
        </w:rPr>
        <w:t xml:space="preserve"> </w:t>
      </w:r>
      <w:r w:rsidRPr="002F2BC5">
        <w:rPr>
          <w:rFonts w:hint="cs"/>
          <w:rtl/>
        </w:rPr>
        <w:t>בה בעת</w:t>
      </w:r>
      <w:r w:rsidRPr="002F2BC5">
        <w:rPr>
          <w:rtl/>
        </w:rPr>
        <w:t xml:space="preserve"> ממצאי הסקר </w:t>
      </w:r>
      <w:r w:rsidRPr="002F2BC5">
        <w:rPr>
          <w:rFonts w:hint="cs"/>
          <w:rtl/>
        </w:rPr>
        <w:t xml:space="preserve">גם מצביעים </w:t>
      </w:r>
      <w:r w:rsidRPr="002F2BC5">
        <w:rPr>
          <w:rtl/>
        </w:rPr>
        <w:t xml:space="preserve">על מאפיינים מגדריים של </w:t>
      </w:r>
      <w:r w:rsidRPr="002F2BC5">
        <w:rPr>
          <w:rFonts w:hint="eastAsia"/>
          <w:rtl/>
        </w:rPr>
        <w:t>הדיווח</w:t>
      </w:r>
      <w:r w:rsidRPr="002F2BC5">
        <w:rPr>
          <w:rtl/>
        </w:rPr>
        <w:t xml:space="preserve"> ו</w:t>
      </w:r>
      <w:r w:rsidRPr="002F2BC5">
        <w:rPr>
          <w:rFonts w:hint="cs"/>
          <w:rtl/>
        </w:rPr>
        <w:t xml:space="preserve">של </w:t>
      </w:r>
      <w:r w:rsidRPr="002F2BC5">
        <w:rPr>
          <w:rtl/>
        </w:rPr>
        <w:t>הפנייה לסיוע במקרים של אלימות בתוך מערכת היחסית הזוגית</w:t>
      </w:r>
      <w:r w:rsidRPr="002F2BC5">
        <w:rPr>
          <w:rFonts w:hint="cs"/>
          <w:rtl/>
        </w:rPr>
        <w:t>, כך</w:t>
      </w:r>
      <w:r w:rsidRPr="002F2BC5">
        <w:rPr>
          <w:rtl/>
        </w:rPr>
        <w:t xml:space="preserve"> </w:t>
      </w:r>
      <w:r w:rsidRPr="002F2BC5">
        <w:rPr>
          <w:rFonts w:hint="cs"/>
          <w:rtl/>
        </w:rPr>
        <w:t>ש</w:t>
      </w:r>
      <w:r w:rsidRPr="002F2BC5">
        <w:rPr>
          <w:rFonts w:hint="eastAsia"/>
          <w:rtl/>
        </w:rPr>
        <w:t>שיעור</w:t>
      </w:r>
      <w:r w:rsidRPr="002F2BC5">
        <w:rPr>
          <w:rtl/>
        </w:rPr>
        <w:t xml:space="preserve"> </w:t>
      </w:r>
      <w:r w:rsidRPr="002F2BC5">
        <w:rPr>
          <w:rFonts w:hint="eastAsia"/>
          <w:rtl/>
        </w:rPr>
        <w:t>נמוך</w:t>
      </w:r>
      <w:r w:rsidRPr="002F2BC5">
        <w:rPr>
          <w:rtl/>
        </w:rPr>
        <w:t xml:space="preserve"> </w:t>
      </w:r>
      <w:r w:rsidRPr="002F2BC5">
        <w:rPr>
          <w:rFonts w:hint="eastAsia"/>
          <w:rtl/>
        </w:rPr>
        <w:t>יותר</w:t>
      </w:r>
      <w:r w:rsidRPr="002F2BC5">
        <w:rPr>
          <w:rtl/>
        </w:rPr>
        <w:t xml:space="preserve"> </w:t>
      </w:r>
      <w:r w:rsidRPr="002F2BC5">
        <w:rPr>
          <w:rFonts w:hint="eastAsia"/>
          <w:rtl/>
        </w:rPr>
        <w:t>בקרב</w:t>
      </w:r>
      <w:r w:rsidRPr="002F2BC5">
        <w:rPr>
          <w:rtl/>
        </w:rPr>
        <w:t xml:space="preserve"> </w:t>
      </w:r>
      <w:r w:rsidRPr="002F2BC5">
        <w:rPr>
          <w:rFonts w:hint="eastAsia"/>
          <w:rtl/>
        </w:rPr>
        <w:t>הגברים</w:t>
      </w:r>
      <w:r w:rsidRPr="002F2BC5">
        <w:rPr>
          <w:rtl/>
        </w:rPr>
        <w:t xml:space="preserve"> </w:t>
      </w:r>
      <w:r w:rsidRPr="002F2BC5">
        <w:rPr>
          <w:rFonts w:hint="eastAsia"/>
          <w:rtl/>
        </w:rPr>
        <w:t>שהיו</w:t>
      </w:r>
      <w:r w:rsidRPr="002F2BC5">
        <w:rPr>
          <w:rtl/>
        </w:rPr>
        <w:t xml:space="preserve"> נתו</w:t>
      </w:r>
      <w:r w:rsidRPr="002F2BC5">
        <w:rPr>
          <w:rFonts w:hint="eastAsia"/>
          <w:rtl/>
        </w:rPr>
        <w:t>נים</w:t>
      </w:r>
      <w:r w:rsidRPr="002F2BC5">
        <w:rPr>
          <w:rtl/>
        </w:rPr>
        <w:t xml:space="preserve"> לאלימות מצד בת זוג</w:t>
      </w:r>
      <w:r w:rsidRPr="002F2BC5">
        <w:rPr>
          <w:rFonts w:hint="eastAsia"/>
          <w:rtl/>
        </w:rPr>
        <w:t>ם</w:t>
      </w:r>
      <w:r w:rsidRPr="002F2BC5">
        <w:rPr>
          <w:rtl/>
        </w:rPr>
        <w:t xml:space="preserve"> </w:t>
      </w:r>
      <w:r w:rsidRPr="002F2BC5">
        <w:rPr>
          <w:rFonts w:hint="eastAsia"/>
          <w:rtl/>
        </w:rPr>
        <w:t>ידווחו</w:t>
      </w:r>
      <w:r w:rsidRPr="002F2BC5">
        <w:rPr>
          <w:rtl/>
        </w:rPr>
        <w:t xml:space="preserve"> על כך או </w:t>
      </w:r>
      <w:r w:rsidRPr="002F2BC5">
        <w:rPr>
          <w:rFonts w:hint="eastAsia"/>
          <w:rtl/>
        </w:rPr>
        <w:t>יפנו</w:t>
      </w:r>
      <w:r w:rsidRPr="002F2BC5">
        <w:rPr>
          <w:rtl/>
        </w:rPr>
        <w:t xml:space="preserve"> </w:t>
      </w:r>
      <w:r w:rsidRPr="002F2BC5">
        <w:rPr>
          <w:rFonts w:hint="eastAsia"/>
          <w:rtl/>
        </w:rPr>
        <w:t>לסיוע</w:t>
      </w:r>
      <w:r w:rsidRPr="002F2BC5">
        <w:rPr>
          <w:rFonts w:hint="cs"/>
          <w:rtl/>
        </w:rPr>
        <w:t xml:space="preserve"> לעומת הנשים. </w:t>
      </w:r>
    </w:p>
    <w:p w14:paraId="5301D6BA" w14:textId="77777777" w:rsidR="00817399" w:rsidRPr="002F2BC5" w:rsidRDefault="00817399" w:rsidP="00817399">
      <w:pPr>
        <w:spacing w:line="269" w:lineRule="auto"/>
        <w:rPr>
          <w:rtl/>
        </w:rPr>
      </w:pPr>
    </w:p>
    <w:p w14:paraId="08977251" w14:textId="77777777" w:rsidR="00817399" w:rsidRPr="002F2BC5" w:rsidRDefault="00817399" w:rsidP="00817399">
      <w:pPr>
        <w:spacing w:line="269" w:lineRule="auto"/>
        <w:rPr>
          <w:rtl/>
        </w:rPr>
      </w:pPr>
      <w:r w:rsidRPr="002F2BC5">
        <w:rPr>
          <w:rtl/>
        </w:rPr>
        <w:t xml:space="preserve">עם זאת </w:t>
      </w:r>
      <w:r w:rsidRPr="002F2BC5">
        <w:rPr>
          <w:rFonts w:hint="eastAsia"/>
          <w:rtl/>
        </w:rPr>
        <w:t>הועלה</w:t>
      </w:r>
      <w:r w:rsidRPr="002F2BC5">
        <w:rPr>
          <w:rtl/>
        </w:rPr>
        <w:t xml:space="preserve"> כי </w:t>
      </w:r>
      <w:r w:rsidRPr="002F2BC5">
        <w:rPr>
          <w:rFonts w:hint="eastAsia"/>
          <w:rtl/>
        </w:rPr>
        <w:t>במסגרת</w:t>
      </w:r>
      <w:r w:rsidRPr="002F2BC5">
        <w:rPr>
          <w:rtl/>
        </w:rPr>
        <w:t xml:space="preserve"> </w:t>
      </w:r>
      <w:r w:rsidRPr="002F2BC5">
        <w:rPr>
          <w:rFonts w:hint="eastAsia"/>
          <w:rtl/>
        </w:rPr>
        <w:t>הסקר</w:t>
      </w:r>
      <w:r w:rsidRPr="002F2BC5">
        <w:rPr>
          <w:rtl/>
        </w:rPr>
        <w:t xml:space="preserve"> </w:t>
      </w:r>
      <w:r w:rsidRPr="002F2BC5">
        <w:rPr>
          <w:rFonts w:hint="eastAsia"/>
          <w:rtl/>
        </w:rPr>
        <w:t>העדכני</w:t>
      </w:r>
      <w:r w:rsidRPr="002F2BC5">
        <w:rPr>
          <w:rtl/>
        </w:rPr>
        <w:t xml:space="preserve"> </w:t>
      </w:r>
      <w:r w:rsidRPr="002F2BC5">
        <w:rPr>
          <w:rFonts w:hint="eastAsia"/>
          <w:rtl/>
        </w:rPr>
        <w:t>נאספו</w:t>
      </w:r>
      <w:r w:rsidRPr="002F2BC5">
        <w:rPr>
          <w:rtl/>
        </w:rPr>
        <w:t xml:space="preserve"> </w:t>
      </w:r>
      <w:r w:rsidRPr="002F2BC5">
        <w:rPr>
          <w:rFonts w:hint="eastAsia"/>
          <w:rtl/>
        </w:rPr>
        <w:t>נתונים</w:t>
      </w:r>
      <w:r w:rsidRPr="002F2BC5">
        <w:rPr>
          <w:rtl/>
        </w:rPr>
        <w:t xml:space="preserve"> </w:t>
      </w:r>
      <w:r w:rsidRPr="002F2BC5">
        <w:rPr>
          <w:rFonts w:hint="eastAsia"/>
          <w:rtl/>
        </w:rPr>
        <w:t>על</w:t>
      </w:r>
      <w:r w:rsidRPr="002F2BC5">
        <w:rPr>
          <w:rtl/>
        </w:rPr>
        <w:t xml:space="preserve"> </w:t>
      </w:r>
      <w:r w:rsidRPr="002F2BC5">
        <w:rPr>
          <w:rFonts w:hint="eastAsia"/>
          <w:rtl/>
        </w:rPr>
        <w:t>היקף</w:t>
      </w:r>
      <w:r w:rsidRPr="002F2BC5">
        <w:rPr>
          <w:rtl/>
        </w:rPr>
        <w:t xml:space="preserve">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cs"/>
          <w:rtl/>
        </w:rPr>
        <w:t xml:space="preserve">רק </w:t>
      </w:r>
      <w:r w:rsidRPr="002F2BC5">
        <w:rPr>
          <w:rFonts w:hint="eastAsia"/>
          <w:rtl/>
        </w:rPr>
        <w:t>בתקופה</w:t>
      </w:r>
      <w:r w:rsidRPr="002F2BC5">
        <w:rPr>
          <w:rtl/>
        </w:rPr>
        <w:t xml:space="preserve"> </w:t>
      </w:r>
      <w:r w:rsidRPr="002F2BC5">
        <w:rPr>
          <w:rFonts w:hint="eastAsia"/>
          <w:rtl/>
        </w:rPr>
        <w:t>של</w:t>
      </w:r>
      <w:r w:rsidRPr="002F2BC5">
        <w:rPr>
          <w:rtl/>
        </w:rPr>
        <w:t xml:space="preserve"> 12 </w:t>
      </w:r>
      <w:r w:rsidRPr="002F2BC5">
        <w:rPr>
          <w:rFonts w:hint="eastAsia"/>
          <w:rtl/>
        </w:rPr>
        <w:t>החודשים</w:t>
      </w:r>
      <w:r w:rsidRPr="002F2BC5">
        <w:rPr>
          <w:rtl/>
        </w:rPr>
        <w:t xml:space="preserve"> </w:t>
      </w:r>
      <w:r w:rsidRPr="002F2BC5">
        <w:rPr>
          <w:rFonts w:hint="eastAsia"/>
          <w:rtl/>
        </w:rPr>
        <w:t>שקדמו</w:t>
      </w:r>
      <w:r w:rsidRPr="002F2BC5">
        <w:rPr>
          <w:rtl/>
        </w:rPr>
        <w:t xml:space="preserve"> </w:t>
      </w:r>
      <w:r w:rsidRPr="002F2BC5">
        <w:rPr>
          <w:rFonts w:hint="eastAsia"/>
          <w:rtl/>
        </w:rPr>
        <w:t>לעריכת</w:t>
      </w:r>
      <w:r w:rsidRPr="002F2BC5">
        <w:rPr>
          <w:rtl/>
        </w:rPr>
        <w:t xml:space="preserve"> </w:t>
      </w:r>
      <w:r w:rsidRPr="002F2BC5">
        <w:rPr>
          <w:rFonts w:hint="eastAsia"/>
          <w:rtl/>
        </w:rPr>
        <w:t>הסקר</w:t>
      </w:r>
      <w:r w:rsidRPr="002F2BC5">
        <w:rPr>
          <w:rFonts w:hint="cs"/>
          <w:rtl/>
        </w:rPr>
        <w:t>, שלא כפי שנעשה במסגרת הסקר הקודם ושלא בהתאמה למחוון שנקבע למדידת ההתקדמות בהשגת יעד הפיתוח הבר-קיימה, המתייחס לצמצום האלימות כלפי נשים מצד בני זוגן</w:t>
      </w:r>
      <w:r w:rsidRPr="002F2BC5">
        <w:rPr>
          <w:rtl/>
        </w:rPr>
        <w:t xml:space="preserve">. משכך, אין בממצאי הסקר כדי ללמד על היקף התופעה בכללותה, ובתוך כך על היקף הנשים או הגברים שהיו נתונים לאלימות מצד בן זוגם במהלך חייהם, נכון למועד עריכת הסקר. </w:t>
      </w:r>
    </w:p>
    <w:p w14:paraId="3509519D" w14:textId="77777777" w:rsidR="00817399" w:rsidRPr="002F2BC5" w:rsidRDefault="00817399" w:rsidP="00817399">
      <w:pPr>
        <w:spacing w:line="269" w:lineRule="auto"/>
        <w:rPr>
          <w:rtl/>
        </w:rPr>
      </w:pPr>
    </w:p>
    <w:p w14:paraId="418CB2C0" w14:textId="77777777" w:rsidR="00817399" w:rsidRPr="002F2BC5" w:rsidRDefault="00817399" w:rsidP="00817399">
      <w:pPr>
        <w:pStyle w:val="afffffff9"/>
        <w:spacing w:line="269" w:lineRule="auto"/>
        <w:rPr>
          <w:rtl/>
        </w:rPr>
      </w:pPr>
      <w:bookmarkStart w:id="470" w:name="_Toc192093058"/>
      <w:bookmarkStart w:id="471" w:name="_Toc191986951"/>
      <w:bookmarkStart w:id="472" w:name="_Toc192612766"/>
      <w:bookmarkStart w:id="473" w:name="_Toc198312189"/>
      <w:bookmarkStart w:id="474" w:name="_Toc198312662"/>
      <w:bookmarkStart w:id="475" w:name="_Toc200636850"/>
      <w:bookmarkStart w:id="476" w:name="_Toc200439849"/>
      <w:bookmarkStart w:id="477" w:name="_Toc201240954"/>
      <w:r w:rsidRPr="002F2BC5">
        <w:rPr>
          <w:rtl/>
        </w:rPr>
        <w:t xml:space="preserve">הביקורת הקודמת העלתה כי מאז תחילת המאה ה-21 לא נעשה סקר מקיף ועדכני לבחינת ממדי תופעת האלימות כלפי נשים בישראל ומאפייניה, בהתבסס על ההגדרה העדכנית והרחבה </w:t>
      </w:r>
      <w:r w:rsidRPr="002F2BC5">
        <w:rPr>
          <w:rtl/>
        </w:rPr>
        <w:lastRenderedPageBreak/>
        <w:t xml:space="preserve">שעליה המליצה ועדת רוזנבאום או הגדרה אחידה אחרת. </w:t>
      </w:r>
      <w:r w:rsidRPr="002F2BC5">
        <w:rPr>
          <w:rFonts w:hint="cs"/>
          <w:rtl/>
        </w:rPr>
        <w:t>בביקורת המעקב הועלה</w:t>
      </w:r>
      <w:r w:rsidRPr="002F2BC5">
        <w:rPr>
          <w:rtl/>
        </w:rPr>
        <w:t xml:space="preserve"> כי הליקוי תוקן במידה רבה. </w:t>
      </w:r>
      <w:r w:rsidRPr="002F2BC5">
        <w:rPr>
          <w:rFonts w:hint="cs"/>
          <w:rtl/>
        </w:rPr>
        <w:t xml:space="preserve">במהלך שנת 2024 נערך סקר לאומי </w:t>
      </w:r>
      <w:r w:rsidRPr="002F2BC5">
        <w:rPr>
          <w:rFonts w:hint="eastAsia"/>
          <w:rtl/>
        </w:rPr>
        <w:t>שעסק</w:t>
      </w:r>
      <w:r w:rsidRPr="002F2BC5">
        <w:rPr>
          <w:rtl/>
        </w:rPr>
        <w:t xml:space="preserve"> </w:t>
      </w:r>
      <w:r w:rsidRPr="002F2BC5">
        <w:rPr>
          <w:rFonts w:hint="eastAsia"/>
          <w:rtl/>
        </w:rPr>
        <w:t>בהיקפה</w:t>
      </w:r>
      <w:r w:rsidRPr="002F2BC5">
        <w:rPr>
          <w:rtl/>
        </w:rPr>
        <w:t xml:space="preserve"> </w:t>
      </w:r>
      <w:r w:rsidRPr="002F2BC5">
        <w:rPr>
          <w:rFonts w:hint="eastAsia"/>
          <w:rtl/>
        </w:rPr>
        <w:t>של</w:t>
      </w:r>
      <w:r w:rsidRPr="002F2BC5">
        <w:rPr>
          <w:rtl/>
        </w:rPr>
        <w:t xml:space="preserve">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eastAsia"/>
          <w:rtl/>
        </w:rPr>
        <w:t>בתוך</w:t>
      </w:r>
      <w:r w:rsidRPr="002F2BC5">
        <w:rPr>
          <w:rtl/>
        </w:rPr>
        <w:t xml:space="preserve"> </w:t>
      </w:r>
      <w:r w:rsidRPr="002F2BC5">
        <w:rPr>
          <w:rFonts w:hint="eastAsia"/>
          <w:rtl/>
        </w:rPr>
        <w:t>מערכת</w:t>
      </w:r>
      <w:r w:rsidRPr="002F2BC5">
        <w:rPr>
          <w:rtl/>
        </w:rPr>
        <w:t xml:space="preserve"> </w:t>
      </w:r>
      <w:r w:rsidRPr="002F2BC5">
        <w:rPr>
          <w:rFonts w:hint="eastAsia"/>
          <w:rtl/>
        </w:rPr>
        <w:t>היחסים</w:t>
      </w:r>
      <w:r w:rsidRPr="002F2BC5">
        <w:rPr>
          <w:rtl/>
        </w:rPr>
        <w:t xml:space="preserve"> </w:t>
      </w:r>
      <w:r w:rsidRPr="002F2BC5">
        <w:rPr>
          <w:rFonts w:hint="eastAsia"/>
          <w:rtl/>
        </w:rPr>
        <w:t>הזוגית</w:t>
      </w:r>
      <w:r w:rsidRPr="002F2BC5">
        <w:rPr>
          <w:rtl/>
        </w:rPr>
        <w:t xml:space="preserve"> </w:t>
      </w:r>
      <w:r w:rsidRPr="002F2BC5">
        <w:rPr>
          <w:rFonts w:hint="eastAsia"/>
          <w:rtl/>
        </w:rPr>
        <w:t>ומאפייניה</w:t>
      </w:r>
      <w:r w:rsidRPr="002F2BC5">
        <w:rPr>
          <w:rtl/>
        </w:rPr>
        <w:t xml:space="preserve"> </w:t>
      </w:r>
      <w:r w:rsidRPr="002F2BC5">
        <w:rPr>
          <w:rFonts w:hint="eastAsia"/>
          <w:rtl/>
        </w:rPr>
        <w:t>בהתייחס</w:t>
      </w:r>
      <w:r w:rsidRPr="002F2BC5">
        <w:rPr>
          <w:rtl/>
        </w:rPr>
        <w:t xml:space="preserve"> </w:t>
      </w:r>
      <w:r w:rsidRPr="002F2BC5">
        <w:rPr>
          <w:rFonts w:hint="eastAsia"/>
          <w:rtl/>
        </w:rPr>
        <w:t>ל</w:t>
      </w:r>
      <w:r w:rsidRPr="002F2BC5">
        <w:rPr>
          <w:rtl/>
        </w:rPr>
        <w:t xml:space="preserve">-12 </w:t>
      </w:r>
      <w:r w:rsidRPr="002F2BC5">
        <w:rPr>
          <w:rFonts w:hint="eastAsia"/>
          <w:rtl/>
        </w:rPr>
        <w:t>החודשים</w:t>
      </w:r>
      <w:r w:rsidRPr="002F2BC5">
        <w:rPr>
          <w:rtl/>
        </w:rPr>
        <w:t xml:space="preserve"> </w:t>
      </w:r>
      <w:r w:rsidRPr="002F2BC5">
        <w:rPr>
          <w:rFonts w:hint="eastAsia"/>
          <w:rtl/>
        </w:rPr>
        <w:t>שקדמו</w:t>
      </w:r>
      <w:r w:rsidRPr="002F2BC5">
        <w:rPr>
          <w:rtl/>
        </w:rPr>
        <w:t xml:space="preserve"> </w:t>
      </w:r>
      <w:r w:rsidRPr="002F2BC5">
        <w:rPr>
          <w:rFonts w:hint="eastAsia"/>
          <w:rtl/>
        </w:rPr>
        <w:t>לעריכת</w:t>
      </w:r>
      <w:r w:rsidRPr="002F2BC5">
        <w:rPr>
          <w:rtl/>
        </w:rPr>
        <w:t xml:space="preserve"> </w:t>
      </w:r>
      <w:r w:rsidRPr="002F2BC5">
        <w:rPr>
          <w:rFonts w:hint="eastAsia"/>
          <w:rtl/>
        </w:rPr>
        <w:t>הסקר</w:t>
      </w:r>
      <w:r w:rsidRPr="002F2BC5">
        <w:rPr>
          <w:rtl/>
        </w:rPr>
        <w:t>.</w:t>
      </w:r>
      <w:r w:rsidRPr="002F2BC5">
        <w:rPr>
          <w:rFonts w:hint="cs"/>
          <w:rtl/>
        </w:rPr>
        <w:t xml:space="preserve"> ממצאי הסקר העדכני מצביעים על היקפה הנרחב של תופעת האלימות בין בני זוג - </w:t>
      </w:r>
      <w:r w:rsidRPr="002F2BC5">
        <w:rPr>
          <w:rtl/>
        </w:rPr>
        <w:t xml:space="preserve">אחד מכל עשרה גברים או נשים </w:t>
      </w:r>
      <w:r w:rsidRPr="002F2BC5">
        <w:rPr>
          <w:rFonts w:hint="cs"/>
          <w:rtl/>
        </w:rPr>
        <w:t xml:space="preserve">בגילי 18 - 65 </w:t>
      </w:r>
      <w:r w:rsidRPr="002F2BC5">
        <w:rPr>
          <w:rtl/>
        </w:rPr>
        <w:t xml:space="preserve">היה נתון לאלימות, גופנית </w:t>
      </w:r>
      <w:r w:rsidRPr="002F2BC5">
        <w:rPr>
          <w:rFonts w:hint="cs"/>
          <w:rtl/>
        </w:rPr>
        <w:t>א</w:t>
      </w:r>
      <w:r w:rsidRPr="002F2BC5">
        <w:rPr>
          <w:rtl/>
        </w:rPr>
        <w:t>ו</w:t>
      </w:r>
      <w:r w:rsidRPr="002F2BC5">
        <w:rPr>
          <w:rFonts w:hint="cs"/>
          <w:rtl/>
        </w:rPr>
        <w:t xml:space="preserve"> </w:t>
      </w:r>
      <w:r w:rsidRPr="002F2BC5">
        <w:rPr>
          <w:rtl/>
        </w:rPr>
        <w:t>לא גופנית, מצד בן זוגו ב-12 החודשים שקדמו לעריכת הסקר</w:t>
      </w:r>
      <w:r w:rsidRPr="002F2BC5">
        <w:rPr>
          <w:rFonts w:hint="cs"/>
          <w:rtl/>
        </w:rPr>
        <w:t xml:space="preserve"> - כ-576,000 נשים וגברים. לצד זאת מצביע הסקר העדכני </w:t>
      </w:r>
      <w:bookmarkStart w:id="478" w:name="_Hlk192064075"/>
      <w:r w:rsidRPr="002F2BC5">
        <w:rPr>
          <w:rFonts w:hint="cs"/>
          <w:rtl/>
        </w:rPr>
        <w:t>על הסיכון המוגבר של נשים לחוות אלימות גופנית חמורה - פי שניים מאשר בקרב הגברים</w:t>
      </w:r>
      <w:bookmarkEnd w:id="478"/>
      <w:r w:rsidRPr="002F2BC5">
        <w:rPr>
          <w:rFonts w:hint="cs"/>
          <w:rtl/>
        </w:rPr>
        <w:t xml:space="preserve">. עם זאת, הועלה כי </w:t>
      </w:r>
      <w:r w:rsidRPr="002F2BC5">
        <w:rPr>
          <w:rFonts w:hint="eastAsia"/>
          <w:rtl/>
        </w:rPr>
        <w:t>במועד</w:t>
      </w:r>
      <w:r w:rsidRPr="002F2BC5">
        <w:rPr>
          <w:rFonts w:hint="cs"/>
          <w:rtl/>
        </w:rPr>
        <w:t xml:space="preserve"> סיום ביקורת המעקב, בדצמבר 2024, הוועדה הבין-משרדית טרם קיימה דיון בממצאי הסקר. היא גם טרם דנה בצורך לערוך סקרים נוספים, בתחומים שבהם יעסקו או בתדירותם, שלא על פי המלצתה של ועדת המנכ"לים, ומכאן שטרם בחנה את הצורך בהתאמות במדיניות הלאומית ובתוכניות העבודה השנתיות לנוכח ממצאי הסקר האמורים.</w:t>
      </w:r>
      <w:bookmarkEnd w:id="470"/>
      <w:bookmarkEnd w:id="471"/>
      <w:bookmarkEnd w:id="472"/>
      <w:bookmarkEnd w:id="473"/>
      <w:bookmarkEnd w:id="474"/>
      <w:bookmarkEnd w:id="475"/>
      <w:bookmarkEnd w:id="476"/>
      <w:bookmarkEnd w:id="477"/>
    </w:p>
    <w:p w14:paraId="4DB24ADD" w14:textId="77777777" w:rsidR="00817399" w:rsidRPr="002F2BC5" w:rsidRDefault="00817399" w:rsidP="00817399">
      <w:pPr>
        <w:spacing w:line="269" w:lineRule="auto"/>
        <w:rPr>
          <w:rtl/>
        </w:rPr>
      </w:pPr>
    </w:p>
    <w:p w14:paraId="4BEED554" w14:textId="77777777" w:rsidR="00817399" w:rsidRPr="002F2BC5" w:rsidRDefault="00817399" w:rsidP="00817399">
      <w:pPr>
        <w:pStyle w:val="afffffffa"/>
        <w:spacing w:line="269" w:lineRule="auto"/>
        <w:rPr>
          <w:rtl/>
        </w:rPr>
      </w:pPr>
      <w:bookmarkStart w:id="479" w:name="_Toc198312190"/>
      <w:bookmarkStart w:id="480" w:name="_Toc198312663"/>
      <w:bookmarkStart w:id="481" w:name="_Toc200636851"/>
      <w:bookmarkStart w:id="482" w:name="_Toc200439850"/>
      <w:bookmarkStart w:id="483" w:name="_Toc201240955"/>
      <w:bookmarkStart w:id="484" w:name="_Toc191986952"/>
      <w:bookmarkStart w:id="485" w:name="_Toc192093059"/>
      <w:bookmarkStart w:id="486" w:name="_Toc192612767"/>
      <w:r w:rsidRPr="002F2BC5">
        <w:rPr>
          <w:rFonts w:hint="cs"/>
          <w:rtl/>
        </w:rPr>
        <w:t>מומלץ למשרד הרווחה, העומד בראשות הוועדה הבין-משרדית הקבועה, לקיים דיון בממצאי הסקר העדכני לשם קביעת תדירות עריכתם של סקרים נוספים, כפי שהמליצה ועדת המנכ"לים. זאת כדי להבטיח שנתונים על אודות היקף התופעה ומאפייניה ימשיכו להיאסף מדי תקופה מוגדרת ויוכלו לשמש את הוועדה הקבועה כבסיס לקביעת מדיניות מתואמת ואחידה ותוכניות פעולה להתמודדות עם התופעה באופן מיטבי ומועיל. עוד מומלץ לערוך סקרים נוספים כדי לשקף תמונת מצב רחבה יותר של האלימות במערכת היחסים הזוגית במהלך טווח החיים הרחב של המשיבים לסקר, ולא רק בתקופה מסוימת שקדמה למילוי השאלון. זאת גם בהלימה למחוון לבחינת השגת יעד הפיתוח הבר-קיימה של האו"ם בנושא זה. כמו כן מומלץ לוועדה הבין-משרדית לעדכן את המדיניות הלאומית ואת תוכניות העבודה השנתיות בשים לב להיקפה של התופעה ולמאפייניה לנוכח ממצאי הסקר העדכני.</w:t>
      </w:r>
      <w:bookmarkEnd w:id="479"/>
      <w:bookmarkEnd w:id="480"/>
      <w:bookmarkEnd w:id="481"/>
      <w:bookmarkEnd w:id="482"/>
      <w:bookmarkEnd w:id="483"/>
      <w:r w:rsidRPr="002F2BC5">
        <w:rPr>
          <w:rFonts w:hint="cs"/>
          <w:rtl/>
        </w:rPr>
        <w:t xml:space="preserve"> </w:t>
      </w:r>
      <w:bookmarkEnd w:id="484"/>
      <w:bookmarkEnd w:id="485"/>
      <w:bookmarkEnd w:id="486"/>
    </w:p>
    <w:p w14:paraId="247AD793" w14:textId="77777777" w:rsidR="00817399" w:rsidRPr="002F2BC5" w:rsidRDefault="00817399" w:rsidP="00817399">
      <w:pPr>
        <w:spacing w:line="269" w:lineRule="auto"/>
        <w:rPr>
          <w:rtl/>
        </w:rPr>
      </w:pPr>
    </w:p>
    <w:p w14:paraId="17ACF700" w14:textId="77777777" w:rsidR="00817399" w:rsidRPr="002F2BC5" w:rsidRDefault="00817399" w:rsidP="00817399">
      <w:pPr>
        <w:spacing w:line="269" w:lineRule="auto"/>
        <w:rPr>
          <w:rtl/>
        </w:rPr>
      </w:pPr>
      <w:r w:rsidRPr="002F2BC5">
        <w:rPr>
          <w:rFonts w:hint="cs"/>
          <w:rtl/>
        </w:rPr>
        <w:t>משרד הרווחה מסר בתשובתו כי קיים דיונים פנים-משרדיים בממצאי הסקר וכי דיונים בנושא התקיימו גם בוועדה הבין-משרדית ובשיתוף ארגוני החברה האזרחית. לפי התשובה, הדיונים התמקדו ב</w:t>
      </w:r>
      <w:r w:rsidRPr="002F2BC5">
        <w:rPr>
          <w:rtl/>
        </w:rPr>
        <w:t>התאמת תוכניות הטיפו</w:t>
      </w:r>
      <w:r w:rsidRPr="002F2BC5">
        <w:rPr>
          <w:rFonts w:hint="cs"/>
          <w:rtl/>
        </w:rPr>
        <w:t>ל - בפרט בפעילות המרכזים הייעודיים לגברים ובעבודתה של ועדת המשנה בתחום הטיפול בגברים - וכן בק</w:t>
      </w:r>
      <w:r w:rsidRPr="002F2BC5">
        <w:rPr>
          <w:rtl/>
        </w:rPr>
        <w:t xml:space="preserve">ידום סקר שנתי </w:t>
      </w:r>
      <w:r w:rsidRPr="002F2BC5">
        <w:rPr>
          <w:rFonts w:hint="cs"/>
          <w:rtl/>
        </w:rPr>
        <w:t>שבמסגרתו ייאספו באופן אחיד נתונים ומדדים לשם בחינתם לאורך זמן. עוד מסר כי הדיונים עם הלמ"ס בעניין הסקר השנתי מצויים בעיצומם.</w:t>
      </w:r>
    </w:p>
    <w:p w14:paraId="618C713F" w14:textId="77777777" w:rsidR="00817399" w:rsidRPr="002F2BC5" w:rsidRDefault="00817399" w:rsidP="00817399">
      <w:pPr>
        <w:spacing w:line="269" w:lineRule="auto"/>
        <w:rPr>
          <w:rtl/>
        </w:rPr>
      </w:pPr>
    </w:p>
    <w:p w14:paraId="63E16B35" w14:textId="77777777" w:rsidR="00817399" w:rsidRPr="002F2BC5" w:rsidRDefault="00817399" w:rsidP="00817399">
      <w:pPr>
        <w:pStyle w:val="afffffff2"/>
        <w:spacing w:line="269" w:lineRule="auto"/>
        <w:rPr>
          <w:rtl/>
        </w:rPr>
      </w:pPr>
      <w:r w:rsidRPr="002F2BC5">
        <w:rPr>
          <w:rFonts w:hint="cs"/>
          <w:rtl/>
        </w:rPr>
        <w:t>מידת תיקון הליקוי</w:t>
      </w:r>
    </w:p>
    <w:p w14:paraId="59DAAA9E" w14:textId="77777777" w:rsidR="00817399" w:rsidRPr="002F2BC5" w:rsidRDefault="00817399" w:rsidP="00817399">
      <w:pPr>
        <w:pStyle w:val="afffffff7"/>
        <w:spacing w:before="0" w:line="269" w:lineRule="auto"/>
        <w:rPr>
          <w:rtl/>
        </w:rPr>
      </w:pPr>
      <w:bookmarkStart w:id="487" w:name="_Toc198312191"/>
      <w:bookmarkStart w:id="488" w:name="_Toc198312664"/>
      <w:bookmarkStart w:id="489" w:name="_Toc189072212"/>
      <w:r w:rsidRPr="002F2BC5">
        <w:rPr>
          <w:noProof/>
        </w:rPr>
        <w:drawing>
          <wp:inline distT="0" distB="0" distL="0" distR="0" wp14:anchorId="3F28E809" wp14:editId="1F5A78A3">
            <wp:extent cx="4324350" cy="933450"/>
            <wp:effectExtent l="0" t="0" r="0" b="0"/>
            <wp:docPr id="16"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487"/>
      <w:bookmarkEnd w:id="488"/>
    </w:p>
    <w:p w14:paraId="34D04B7C" w14:textId="77777777" w:rsidR="00817399" w:rsidRPr="002F2BC5" w:rsidRDefault="00817399" w:rsidP="00817399">
      <w:pPr>
        <w:spacing w:line="269" w:lineRule="auto"/>
        <w:rPr>
          <w:rtl/>
        </w:rPr>
      </w:pPr>
    </w:p>
    <w:p w14:paraId="35ECB6F4" w14:textId="77777777" w:rsidR="00817399" w:rsidRPr="002F2BC5" w:rsidRDefault="00817399" w:rsidP="00817399">
      <w:pPr>
        <w:bidi w:val="0"/>
        <w:spacing w:line="269" w:lineRule="auto"/>
        <w:rPr>
          <w:rFonts w:eastAsiaTheme="majorEastAsia"/>
          <w:bCs/>
          <w:szCs w:val="26"/>
          <w:rtl/>
        </w:rPr>
      </w:pPr>
      <w:bookmarkStart w:id="490" w:name="_Toc189072213"/>
      <w:bookmarkStart w:id="491" w:name="_Toc191986953"/>
      <w:bookmarkStart w:id="492" w:name="_Ref192529706"/>
      <w:bookmarkStart w:id="493" w:name="_Toc192093060"/>
      <w:bookmarkStart w:id="494" w:name="_Toc193110599"/>
      <w:bookmarkStart w:id="495" w:name="_Toc192612768"/>
      <w:bookmarkStart w:id="496" w:name="_Toc198312665"/>
      <w:bookmarkStart w:id="497" w:name="_Toc200636852"/>
      <w:bookmarkStart w:id="498" w:name="_Toc200439851"/>
      <w:bookmarkStart w:id="499" w:name="_Toc201240956"/>
      <w:bookmarkEnd w:id="489"/>
      <w:r w:rsidRPr="002F2BC5">
        <w:rPr>
          <w:rtl/>
        </w:rPr>
        <w:br w:type="page"/>
      </w:r>
    </w:p>
    <w:p w14:paraId="55337F7D" w14:textId="77777777" w:rsidR="00817399" w:rsidRPr="002F2BC5" w:rsidRDefault="00817399" w:rsidP="00817399">
      <w:pPr>
        <w:pStyle w:val="4"/>
        <w:spacing w:before="0" w:line="269" w:lineRule="auto"/>
      </w:pPr>
      <w:bookmarkStart w:id="500" w:name="_Toc203487993"/>
      <w:r w:rsidRPr="002F2BC5">
        <w:rPr>
          <w:rFonts w:hint="cs"/>
          <w:rtl/>
        </w:rPr>
        <w:lastRenderedPageBreak/>
        <w:t>העברת נתונים ומידע על נפגעי אלימות בין בני זוג ועל הפוגעים</w:t>
      </w:r>
      <w:bookmarkEnd w:id="490"/>
      <w:bookmarkEnd w:id="491"/>
      <w:bookmarkEnd w:id="492"/>
      <w:bookmarkEnd w:id="493"/>
      <w:bookmarkEnd w:id="494"/>
      <w:bookmarkEnd w:id="495"/>
      <w:bookmarkEnd w:id="496"/>
      <w:bookmarkEnd w:id="497"/>
      <w:bookmarkEnd w:id="498"/>
      <w:bookmarkEnd w:id="499"/>
      <w:bookmarkEnd w:id="500"/>
      <w:r w:rsidRPr="002F2BC5">
        <w:rPr>
          <w:rFonts w:hint="cs"/>
          <w:rtl/>
        </w:rPr>
        <w:t xml:space="preserve"> </w:t>
      </w:r>
    </w:p>
    <w:p w14:paraId="33AEB7E0" w14:textId="77777777" w:rsidR="00817399" w:rsidRPr="002F2BC5" w:rsidRDefault="00817399" w:rsidP="00817399">
      <w:pPr>
        <w:spacing w:line="269" w:lineRule="auto"/>
        <w:rPr>
          <w:rtl/>
        </w:rPr>
      </w:pPr>
    </w:p>
    <w:p w14:paraId="50D0E191" w14:textId="77777777" w:rsidR="00817399" w:rsidRPr="002F2BC5" w:rsidRDefault="00817399" w:rsidP="00817399">
      <w:pPr>
        <w:spacing w:line="269" w:lineRule="auto"/>
        <w:rPr>
          <w:rtl/>
        </w:rPr>
      </w:pPr>
      <w:r w:rsidRPr="002F2BC5">
        <w:rPr>
          <w:rFonts w:ascii="David" w:hAnsi="David" w:hint="cs"/>
          <w:sz w:val="24"/>
          <w:rtl/>
        </w:rPr>
        <w:t xml:space="preserve">ביסוס תשתית עבודה משותפת עבור כלל הגורמים האמונים על ההתמודדות עם תופעת האלימות בין בני זוג מחייבת בין השאר יצירת ממשקי עבודה קבועים ושוטפים להעברה של נתונים ומידע בין הגורמים הללו, ובכלל זה נתונים הנוגעים לענייניהם האישיים של מקבלי השירותים בתחום זה. זאת כדי </w:t>
      </w:r>
      <w:r w:rsidRPr="002F2BC5">
        <w:rPr>
          <w:rFonts w:ascii="David" w:hAnsi="David"/>
          <w:sz w:val="24"/>
          <w:rtl/>
        </w:rPr>
        <w:t xml:space="preserve">לסייע בגיבוש תמונת מצב מלאה </w:t>
      </w:r>
      <w:r w:rsidRPr="002F2BC5">
        <w:rPr>
          <w:rFonts w:ascii="David" w:hAnsi="David" w:hint="cs"/>
          <w:sz w:val="24"/>
          <w:rtl/>
        </w:rPr>
        <w:t>ש</w:t>
      </w:r>
      <w:r w:rsidRPr="002F2BC5">
        <w:rPr>
          <w:rFonts w:ascii="David" w:hAnsi="David"/>
          <w:sz w:val="24"/>
          <w:rtl/>
        </w:rPr>
        <w:t>לפיה יוחלט מהן דרכי הפעולה המומלצות, תוך שמירה על רצף טיפולי וסנכרון בין הגורמים המטפלים</w:t>
      </w:r>
      <w:r w:rsidRPr="002F2BC5">
        <w:rPr>
          <w:rFonts w:ascii="David" w:hAnsi="David"/>
          <w:sz w:val="24"/>
          <w:vertAlign w:val="superscript"/>
          <w:rtl/>
        </w:rPr>
        <w:footnoteReference w:id="138"/>
      </w:r>
      <w:r w:rsidRPr="002F2BC5">
        <w:rPr>
          <w:rFonts w:ascii="David" w:hAnsi="David"/>
          <w:sz w:val="24"/>
          <w:rtl/>
        </w:rPr>
        <w:t>.</w:t>
      </w:r>
      <w:r w:rsidRPr="002F2BC5">
        <w:rPr>
          <w:rFonts w:hint="cs"/>
          <w:rtl/>
        </w:rPr>
        <w:t xml:space="preserve"> בנסיבות מסוימות מסירת הנתונים והמידע עשויה להידרש אף לשם מניעת פגיעה ממשית ומיידית באדם שלגביו נמסר המידע</w:t>
      </w:r>
      <w:r w:rsidRPr="002F2BC5">
        <w:rPr>
          <w:rStyle w:val="af9"/>
          <w:rtl/>
        </w:rPr>
        <w:footnoteReference w:id="139"/>
      </w:r>
      <w:r w:rsidRPr="002F2BC5">
        <w:rPr>
          <w:rFonts w:hint="cs"/>
          <w:rtl/>
        </w:rPr>
        <w:t xml:space="preserve">. הדברים אמורים אף ביתר שאת </w:t>
      </w:r>
      <w:bookmarkStart w:id="501" w:name="_Hlk192424758"/>
      <w:r w:rsidRPr="002F2BC5">
        <w:rPr>
          <w:rFonts w:hint="cs"/>
          <w:rtl/>
        </w:rPr>
        <w:t>בעיתות משבר וחירום, שאז הנגישות למידע ולנתונים עדכניים עשויה להיות מורכבת יותר בשל עומס העבודה הרב, שיבושים אפשריים בתשתיות תקשורת ומחשוב וכן על רקע נסיבות של פינוי נרחב של אוכלוסייה</w:t>
      </w:r>
      <w:bookmarkEnd w:id="501"/>
      <w:r w:rsidRPr="002F2BC5">
        <w:rPr>
          <w:rFonts w:hint="cs"/>
          <w:rtl/>
        </w:rPr>
        <w:t xml:space="preserve"> כפי שהיה במלחמת חרבות ברזל</w:t>
      </w:r>
      <w:r w:rsidRPr="002F2BC5">
        <w:rPr>
          <w:rStyle w:val="af9"/>
          <w:rtl/>
        </w:rPr>
        <w:footnoteReference w:id="140"/>
      </w:r>
      <w:r w:rsidRPr="002F2BC5">
        <w:rPr>
          <w:rFonts w:hint="cs"/>
          <w:rtl/>
        </w:rPr>
        <w:t xml:space="preserve">. </w:t>
      </w:r>
    </w:p>
    <w:p w14:paraId="786A65AB" w14:textId="77777777" w:rsidR="00817399" w:rsidRPr="002F2BC5" w:rsidRDefault="00817399" w:rsidP="00817399">
      <w:pPr>
        <w:spacing w:line="269" w:lineRule="auto"/>
        <w:rPr>
          <w:rtl/>
        </w:rPr>
      </w:pPr>
    </w:p>
    <w:p w14:paraId="24CB43D7" w14:textId="77777777" w:rsidR="00817399" w:rsidRPr="002F2BC5" w:rsidRDefault="00817399" w:rsidP="00817399">
      <w:pPr>
        <w:spacing w:line="269" w:lineRule="auto"/>
        <w:rPr>
          <w:rtl/>
        </w:rPr>
      </w:pPr>
      <w:r w:rsidRPr="002F2BC5">
        <w:rPr>
          <w:rFonts w:hint="cs"/>
          <w:rtl/>
        </w:rPr>
        <w:t xml:space="preserve">סמכויותיהם של גורמי הטיפול וגורמי אכיפת החוק להעביר נתונים ומידע על נפגעי אלימות בין בני זוג ועל הפוגעים מוסדרות בהוראות כלליות בחקיקה המתירות לגורמים הללו, בנסיבות מסוימות, להעביר מידע הנוגע לענייניו הפרטיים של אדם גם ללא הסכמתו המפורשת. כך לדוגמה סעיף 8 לחוק העובדים הסוציאליים, התשנ"ו-1996, קובע כי עובד סוציאלי יהיה רשאי למסור מידע על אדם שטופל על ידו בין השאר אם </w:t>
      </w:r>
      <w:r w:rsidRPr="002F2BC5">
        <w:rPr>
          <w:rtl/>
        </w:rPr>
        <w:t>הגילוי דרוש לשם מניעת פגיעה ב</w:t>
      </w:r>
      <w:r w:rsidRPr="002F2BC5">
        <w:rPr>
          <w:rFonts w:hint="cs"/>
          <w:rtl/>
        </w:rPr>
        <w:t xml:space="preserve">אדם זה </w:t>
      </w:r>
      <w:r w:rsidRPr="002F2BC5">
        <w:rPr>
          <w:rtl/>
        </w:rPr>
        <w:t>או באדם אחר</w:t>
      </w:r>
      <w:r w:rsidRPr="002F2BC5">
        <w:rPr>
          <w:rStyle w:val="af9"/>
          <w:rtl/>
        </w:rPr>
        <w:footnoteReference w:id="141"/>
      </w:r>
      <w:r w:rsidRPr="002F2BC5">
        <w:rPr>
          <w:rFonts w:hint="cs"/>
          <w:rtl/>
        </w:rPr>
        <w:t>. גם חוק זכויות החולה, התשנ"ו-1996 (</w:t>
      </w:r>
      <w:bookmarkStart w:id="502" w:name="_Hlk202090161"/>
      <w:r w:rsidRPr="002F2BC5">
        <w:rPr>
          <w:rFonts w:hint="cs"/>
          <w:rtl/>
        </w:rPr>
        <w:t>להלן - חוק זכויות החולה</w:t>
      </w:r>
      <w:bookmarkEnd w:id="502"/>
      <w:r w:rsidRPr="002F2BC5">
        <w:rPr>
          <w:rFonts w:hint="cs"/>
          <w:rtl/>
        </w:rPr>
        <w:t>), מתיר בנסיבות מסוימות העברה של מידע רפואי בין גורמי טיפול, אם כי הוא אינו מתייחס במפורש לנסיבות שבהן מסירת המידע נדרשת לשם מניעת פגיעה באדם שהמידע הרפואי נוגע אליו או לשם מניעת פגיעה באדם אחר</w:t>
      </w:r>
      <w:r w:rsidRPr="002F2BC5">
        <w:rPr>
          <w:rStyle w:val="af9"/>
          <w:rtl/>
        </w:rPr>
        <w:footnoteReference w:id="142"/>
      </w:r>
      <w:r w:rsidRPr="002F2BC5">
        <w:rPr>
          <w:rFonts w:hint="cs"/>
          <w:rtl/>
        </w:rPr>
        <w:t xml:space="preserve">. הסדרים אחרים שנקבעו בדין מתייחסים להעברת מידע פלילי לבעלי תפקידים שהמידע דרוש להם לשם מילוי תפקידיהם, ובכלל זה לבעלי תפקידים </w:t>
      </w:r>
      <w:r w:rsidRPr="002F2BC5">
        <w:rPr>
          <w:rtl/>
        </w:rPr>
        <w:t xml:space="preserve">העוסקים בטיפול </w:t>
      </w:r>
      <w:r w:rsidRPr="002F2BC5">
        <w:rPr>
          <w:rFonts w:hint="cs"/>
          <w:rtl/>
        </w:rPr>
        <w:t>בחשודים, בנאשמים או במורשעים</w:t>
      </w:r>
      <w:r w:rsidRPr="002F2BC5">
        <w:rPr>
          <w:rStyle w:val="af9"/>
          <w:rtl/>
        </w:rPr>
        <w:footnoteReference w:id="143"/>
      </w:r>
      <w:r w:rsidRPr="002F2BC5">
        <w:rPr>
          <w:rFonts w:hint="cs"/>
          <w:rtl/>
        </w:rPr>
        <w:t xml:space="preserve">. </w:t>
      </w:r>
    </w:p>
    <w:p w14:paraId="24F6462E" w14:textId="77777777" w:rsidR="00817399" w:rsidRPr="002F2BC5" w:rsidRDefault="00817399" w:rsidP="00817399">
      <w:pPr>
        <w:spacing w:line="269" w:lineRule="auto"/>
        <w:rPr>
          <w:rtl/>
        </w:rPr>
      </w:pPr>
    </w:p>
    <w:p w14:paraId="16EF1999" w14:textId="77777777" w:rsidR="00817399" w:rsidRPr="002F2BC5" w:rsidRDefault="00817399" w:rsidP="00817399">
      <w:pPr>
        <w:spacing w:line="269" w:lineRule="auto"/>
        <w:rPr>
          <w:rtl/>
        </w:rPr>
      </w:pPr>
      <w:r w:rsidRPr="002F2BC5">
        <w:rPr>
          <w:rFonts w:hint="cs"/>
          <w:rtl/>
        </w:rPr>
        <w:t>בנסיבות אחרות, שאינן מוסדרות מפורשות בדין, העברת נתונים ומידע על אוכלוסיית מקבלי השירות בין גורמי הטיפול וגורמי אכיפת החוק כפופה למגבלות הכלליות הקבועות בדין לעניין הגנת הפרטיות ואבטחת המידע - מגבלות המתנות את העברת המידע בהסכמתו של האדם שהמידע נוגע אליו</w:t>
      </w:r>
      <w:r w:rsidRPr="002F2BC5">
        <w:rPr>
          <w:rStyle w:val="af9"/>
          <w:rtl/>
        </w:rPr>
        <w:footnoteReference w:id="144"/>
      </w:r>
      <w:r w:rsidRPr="002F2BC5">
        <w:rPr>
          <w:rFonts w:hint="cs"/>
          <w:rtl/>
        </w:rPr>
        <w:t xml:space="preserve">. </w:t>
      </w:r>
      <w:r w:rsidRPr="002F2BC5">
        <w:rPr>
          <w:rFonts w:hint="eastAsia"/>
          <w:rtl/>
        </w:rPr>
        <w:t>לנוכח</w:t>
      </w:r>
      <w:r w:rsidRPr="002F2BC5">
        <w:rPr>
          <w:rtl/>
        </w:rPr>
        <w:t xml:space="preserve"> המורכבות המשפטית שעלולה להתעורר בנסיבות שאין לגביהן </w:t>
      </w:r>
      <w:r w:rsidRPr="002F2BC5">
        <w:rPr>
          <w:rtl/>
        </w:rPr>
        <w:lastRenderedPageBreak/>
        <w:t>הסדרה מפורשת בדין</w:t>
      </w:r>
      <w:r w:rsidRPr="002F2BC5">
        <w:rPr>
          <w:rFonts w:hint="cs"/>
          <w:rtl/>
        </w:rPr>
        <w:t>,</w:t>
      </w:r>
      <w:r w:rsidRPr="002F2BC5">
        <w:rPr>
          <w:rtl/>
        </w:rPr>
        <w:t xml:space="preserve"> אך העברת המידע </w:t>
      </w:r>
      <w:r w:rsidRPr="002F2BC5">
        <w:rPr>
          <w:rFonts w:hint="eastAsia"/>
          <w:rtl/>
        </w:rPr>
        <w:t>בין</w:t>
      </w:r>
      <w:r w:rsidRPr="002F2BC5">
        <w:rPr>
          <w:rtl/>
        </w:rPr>
        <w:t xml:space="preserve"> </w:t>
      </w:r>
      <w:r w:rsidRPr="002F2BC5">
        <w:rPr>
          <w:rFonts w:hint="eastAsia"/>
          <w:rtl/>
        </w:rPr>
        <w:t>גורמים</w:t>
      </w:r>
      <w:r w:rsidRPr="002F2BC5">
        <w:rPr>
          <w:rFonts w:hint="cs"/>
          <w:rtl/>
        </w:rPr>
        <w:t xml:space="preserve"> שונים </w:t>
      </w:r>
      <w:r w:rsidRPr="002F2BC5">
        <w:rPr>
          <w:rFonts w:hint="eastAsia"/>
          <w:rtl/>
        </w:rPr>
        <w:t>חיונית</w:t>
      </w:r>
      <w:r w:rsidRPr="002F2BC5">
        <w:rPr>
          <w:rtl/>
        </w:rPr>
        <w:t xml:space="preserve"> למניעת נזק של ממש</w:t>
      </w:r>
      <w:r w:rsidRPr="002F2BC5">
        <w:rPr>
          <w:rFonts w:hint="cs"/>
          <w:rtl/>
        </w:rPr>
        <w:t xml:space="preserve"> </w:t>
      </w:r>
      <w:r w:rsidRPr="002F2BC5">
        <w:rPr>
          <w:rtl/>
        </w:rPr>
        <w:t xml:space="preserve">(להלן </w:t>
      </w:r>
      <w:r w:rsidRPr="002F2BC5">
        <w:rPr>
          <w:rFonts w:hint="eastAsia"/>
          <w:rtl/>
        </w:rPr>
        <w:t>גם</w:t>
      </w:r>
      <w:r w:rsidRPr="002F2BC5">
        <w:rPr>
          <w:rtl/>
        </w:rPr>
        <w:t xml:space="preserve"> - </w:t>
      </w:r>
      <w:r w:rsidRPr="002F2BC5">
        <w:rPr>
          <w:rFonts w:hint="eastAsia"/>
          <w:rtl/>
        </w:rPr>
        <w:t>החסמים</w:t>
      </w:r>
      <w:r w:rsidRPr="002F2BC5">
        <w:rPr>
          <w:rtl/>
        </w:rPr>
        <w:t xml:space="preserve"> </w:t>
      </w:r>
      <w:r w:rsidRPr="002F2BC5">
        <w:rPr>
          <w:rFonts w:hint="eastAsia"/>
          <w:rtl/>
        </w:rPr>
        <w:t>החוקיים</w:t>
      </w:r>
      <w:r w:rsidRPr="002F2BC5">
        <w:rPr>
          <w:rtl/>
        </w:rPr>
        <w:t xml:space="preserve"> </w:t>
      </w:r>
      <w:r w:rsidRPr="002F2BC5">
        <w:rPr>
          <w:rFonts w:hint="eastAsia"/>
          <w:rtl/>
        </w:rPr>
        <w:t>בכל</w:t>
      </w:r>
      <w:r w:rsidRPr="002F2BC5">
        <w:rPr>
          <w:rtl/>
        </w:rPr>
        <w:t xml:space="preserve"> </w:t>
      </w:r>
      <w:r w:rsidRPr="002F2BC5">
        <w:rPr>
          <w:rFonts w:hint="eastAsia"/>
          <w:rtl/>
        </w:rPr>
        <w:t>הקשור</w:t>
      </w:r>
      <w:r w:rsidRPr="002F2BC5">
        <w:rPr>
          <w:rtl/>
        </w:rPr>
        <w:t xml:space="preserve"> </w:t>
      </w:r>
      <w:r w:rsidRPr="002F2BC5">
        <w:rPr>
          <w:rFonts w:hint="eastAsia"/>
          <w:rtl/>
        </w:rPr>
        <w:t>להעברת</w:t>
      </w:r>
      <w:r w:rsidRPr="002F2BC5">
        <w:rPr>
          <w:rtl/>
        </w:rPr>
        <w:t xml:space="preserve"> </w:t>
      </w:r>
      <w:r w:rsidRPr="002F2BC5">
        <w:rPr>
          <w:rFonts w:hint="eastAsia"/>
          <w:rtl/>
        </w:rPr>
        <w:t>מידע</w:t>
      </w:r>
      <w:r w:rsidRPr="002F2BC5">
        <w:rPr>
          <w:rtl/>
        </w:rPr>
        <w:t>)</w:t>
      </w:r>
      <w:r w:rsidRPr="002F2BC5">
        <w:rPr>
          <w:rFonts w:hint="cs"/>
          <w:rtl/>
        </w:rPr>
        <w:t xml:space="preserve"> -</w:t>
      </w:r>
      <w:r w:rsidRPr="002F2BC5">
        <w:rPr>
          <w:rtl/>
        </w:rPr>
        <w:t xml:space="preserve"> </w:t>
      </w:r>
      <w:r w:rsidRPr="002F2BC5">
        <w:rPr>
          <w:rFonts w:hint="eastAsia"/>
          <w:rtl/>
        </w:rPr>
        <w:t>ועדת</w:t>
      </w:r>
      <w:r w:rsidRPr="002F2BC5">
        <w:rPr>
          <w:rtl/>
        </w:rPr>
        <w:t xml:space="preserve"> </w:t>
      </w:r>
      <w:r w:rsidRPr="002F2BC5">
        <w:rPr>
          <w:rFonts w:hint="eastAsia"/>
          <w:rtl/>
        </w:rPr>
        <w:t>בן</w:t>
      </w:r>
      <w:r w:rsidRPr="002F2BC5">
        <w:rPr>
          <w:rtl/>
        </w:rPr>
        <w:t xml:space="preserve">-שלום </w:t>
      </w:r>
      <w:r w:rsidRPr="002F2BC5">
        <w:rPr>
          <w:rFonts w:hint="eastAsia"/>
          <w:rtl/>
        </w:rPr>
        <w:t>וועדת</w:t>
      </w:r>
      <w:r w:rsidRPr="002F2BC5">
        <w:rPr>
          <w:rtl/>
        </w:rPr>
        <w:t xml:space="preserve"> </w:t>
      </w:r>
      <w:r w:rsidRPr="002F2BC5">
        <w:rPr>
          <w:rFonts w:hint="eastAsia"/>
          <w:rtl/>
        </w:rPr>
        <w:t>רוזנבאום</w:t>
      </w:r>
      <w:r w:rsidRPr="002F2BC5">
        <w:rPr>
          <w:rtl/>
        </w:rPr>
        <w:t xml:space="preserve"> </w:t>
      </w:r>
      <w:r w:rsidRPr="002F2BC5">
        <w:rPr>
          <w:rFonts w:hint="eastAsia"/>
          <w:rtl/>
        </w:rPr>
        <w:t>התייחסו</w:t>
      </w:r>
      <w:r w:rsidRPr="002F2BC5">
        <w:rPr>
          <w:rtl/>
        </w:rPr>
        <w:t xml:space="preserve"> </w:t>
      </w:r>
      <w:r w:rsidRPr="002F2BC5">
        <w:rPr>
          <w:rFonts w:hint="eastAsia"/>
          <w:rtl/>
        </w:rPr>
        <w:t>בהמלצותיהן</w:t>
      </w:r>
      <w:r w:rsidRPr="002F2BC5">
        <w:rPr>
          <w:rtl/>
        </w:rPr>
        <w:t xml:space="preserve"> </w:t>
      </w:r>
      <w:r w:rsidRPr="002F2BC5">
        <w:rPr>
          <w:rFonts w:hint="eastAsia"/>
          <w:rtl/>
        </w:rPr>
        <w:t>לצורך</w:t>
      </w:r>
      <w:r w:rsidRPr="002F2BC5">
        <w:rPr>
          <w:rFonts w:hint="cs"/>
          <w:rtl/>
        </w:rPr>
        <w:t xml:space="preserve"> בהסדרה חוקית, בדין או בהוראות רגולטוריות אחרות, לשם יצירת איזון בין הזכות לפרטיות לבין מתן מענה מקצועי מיטבי</w:t>
      </w:r>
      <w:r w:rsidRPr="002F2BC5">
        <w:rPr>
          <w:rStyle w:val="af9"/>
          <w:rtl/>
        </w:rPr>
        <w:footnoteReference w:id="145"/>
      </w:r>
      <w:r w:rsidRPr="002F2BC5">
        <w:rPr>
          <w:rFonts w:hint="cs"/>
          <w:rtl/>
        </w:rPr>
        <w:t>.</w:t>
      </w:r>
    </w:p>
    <w:p w14:paraId="6DB5AF9D" w14:textId="77777777" w:rsidR="00817399" w:rsidRPr="002F2BC5" w:rsidRDefault="00817399" w:rsidP="00817399">
      <w:pPr>
        <w:spacing w:line="269" w:lineRule="auto"/>
        <w:rPr>
          <w:rtl/>
        </w:rPr>
      </w:pPr>
    </w:p>
    <w:p w14:paraId="6E1EFA3E" w14:textId="77777777" w:rsidR="00817399" w:rsidRPr="002F2BC5" w:rsidRDefault="00817399" w:rsidP="00817399">
      <w:pPr>
        <w:spacing w:line="269" w:lineRule="auto"/>
        <w:rPr>
          <w:rtl/>
        </w:rPr>
      </w:pPr>
      <w:r w:rsidRPr="002F2BC5">
        <w:rPr>
          <w:rFonts w:hint="cs"/>
          <w:rtl/>
        </w:rPr>
        <w:t>יצוין כי עוד בשנת 1992 העיר משרד מבקר המדינה על כך שמידע מהמחלקות לשירותים חברתיים אינו עובר לתחנות המשטרה, ובכך מונע מהמשטרה ללמוד על משך הזמן של העבירה ועל גיבוש החלטתה בדבר העמדתו לדין של התוקף. ומנגד נמצא כי מידע מתחנות המשטרה אינו עובר למחלקות לשירותים חברתיים, אף שמהלך כזה היה עשוי לשפר את השירות הניתן לנפגעי האלימות במחלקות</w:t>
      </w:r>
      <w:r w:rsidRPr="002F2BC5">
        <w:rPr>
          <w:rStyle w:val="af9"/>
          <w:rtl/>
        </w:rPr>
        <w:footnoteReference w:id="146"/>
      </w:r>
      <w:r w:rsidRPr="002F2BC5">
        <w:rPr>
          <w:rFonts w:hint="cs"/>
          <w:rtl/>
        </w:rPr>
        <w:t>.</w:t>
      </w:r>
    </w:p>
    <w:p w14:paraId="3572FF0E" w14:textId="77777777" w:rsidR="00817399" w:rsidRPr="002F2BC5" w:rsidRDefault="00817399" w:rsidP="00817399">
      <w:pPr>
        <w:spacing w:line="269" w:lineRule="auto"/>
        <w:rPr>
          <w:rtl/>
        </w:rPr>
      </w:pPr>
    </w:p>
    <w:p w14:paraId="17AF9088" w14:textId="77777777" w:rsidR="00817399" w:rsidRPr="002F2BC5" w:rsidRDefault="00817399" w:rsidP="00817399">
      <w:pPr>
        <w:spacing w:line="269" w:lineRule="auto"/>
        <w:rPr>
          <w:rtl/>
        </w:rPr>
      </w:pPr>
      <w:bookmarkStart w:id="503" w:name="_Toc191986954"/>
      <w:r w:rsidRPr="002F2BC5">
        <w:rPr>
          <w:rStyle w:val="70"/>
          <w:rFonts w:hint="cs"/>
          <w:rtl/>
        </w:rPr>
        <w:t>הביקורת הקודמת:</w:t>
      </w:r>
      <w:bookmarkEnd w:id="503"/>
      <w:r w:rsidRPr="002F2BC5">
        <w:rPr>
          <w:rFonts w:hint="cs"/>
          <w:rtl/>
        </w:rPr>
        <w:t xml:space="preserve"> </w:t>
      </w:r>
      <w:bookmarkStart w:id="504" w:name="_Hlk191310460"/>
      <w:r w:rsidRPr="002F2BC5">
        <w:rPr>
          <w:rFonts w:hint="cs"/>
          <w:rtl/>
        </w:rPr>
        <w:t xml:space="preserve">נמצא </w:t>
      </w:r>
      <w:r w:rsidRPr="002F2BC5">
        <w:rPr>
          <w:rtl/>
        </w:rPr>
        <w:t xml:space="preserve">כי </w:t>
      </w:r>
      <w:r w:rsidRPr="002F2BC5">
        <w:rPr>
          <w:rFonts w:hint="eastAsia"/>
          <w:rtl/>
        </w:rPr>
        <w:t>המלצות</w:t>
      </w:r>
      <w:r w:rsidRPr="002F2BC5">
        <w:rPr>
          <w:rFonts w:hint="cs"/>
          <w:rtl/>
        </w:rPr>
        <w:t>יהן של</w:t>
      </w:r>
      <w:r w:rsidRPr="002F2BC5">
        <w:rPr>
          <w:rtl/>
        </w:rPr>
        <w:t xml:space="preserve"> </w:t>
      </w:r>
      <w:r w:rsidRPr="002F2BC5">
        <w:rPr>
          <w:rFonts w:hint="eastAsia"/>
          <w:rtl/>
        </w:rPr>
        <w:t>הוועדות</w:t>
      </w:r>
      <w:r w:rsidRPr="002F2BC5">
        <w:rPr>
          <w:rtl/>
        </w:rPr>
        <w:t xml:space="preserve"> </w:t>
      </w:r>
      <w:r w:rsidRPr="002F2BC5">
        <w:rPr>
          <w:rFonts w:hint="eastAsia"/>
          <w:rtl/>
        </w:rPr>
        <w:t>הבין</w:t>
      </w:r>
      <w:r w:rsidRPr="002F2BC5">
        <w:rPr>
          <w:rtl/>
        </w:rPr>
        <w:t>-</w:t>
      </w:r>
      <w:r w:rsidRPr="002F2BC5">
        <w:rPr>
          <w:rFonts w:hint="eastAsia"/>
          <w:rtl/>
        </w:rPr>
        <w:t>משרדיות</w:t>
      </w:r>
      <w:r w:rsidRPr="002F2BC5">
        <w:rPr>
          <w:rtl/>
        </w:rPr>
        <w:t xml:space="preserve"> </w:t>
      </w:r>
      <w:r w:rsidRPr="002F2BC5">
        <w:rPr>
          <w:rFonts w:hint="eastAsia"/>
          <w:rtl/>
        </w:rPr>
        <w:t>מ</w:t>
      </w:r>
      <w:r w:rsidRPr="002F2BC5">
        <w:rPr>
          <w:rFonts w:hint="cs"/>
          <w:rtl/>
        </w:rPr>
        <w:t xml:space="preserve">השנים </w:t>
      </w:r>
      <w:r w:rsidRPr="002F2BC5">
        <w:rPr>
          <w:rtl/>
        </w:rPr>
        <w:t xml:space="preserve">1998 </w:t>
      </w:r>
      <w:r w:rsidRPr="002F2BC5">
        <w:rPr>
          <w:rFonts w:hint="cs"/>
          <w:rtl/>
        </w:rPr>
        <w:t xml:space="preserve">(ועדת בן-שלום) </w:t>
      </w:r>
      <w:r w:rsidRPr="002F2BC5">
        <w:rPr>
          <w:rtl/>
        </w:rPr>
        <w:t xml:space="preserve">ו-2016 </w:t>
      </w:r>
      <w:r w:rsidRPr="002F2BC5">
        <w:rPr>
          <w:rFonts w:hint="cs"/>
          <w:rtl/>
        </w:rPr>
        <w:t xml:space="preserve">(ועדת רוזנבאום) בנוגע להסדרת העברת המידע </w:t>
      </w:r>
      <w:r w:rsidRPr="002F2BC5">
        <w:rPr>
          <w:rtl/>
        </w:rPr>
        <w:t xml:space="preserve">בין </w:t>
      </w:r>
      <w:r w:rsidRPr="002F2BC5">
        <w:rPr>
          <w:rFonts w:hint="cs"/>
          <w:rtl/>
        </w:rPr>
        <w:t>גורמי הטיפול לגורמי אכיפת החוק לא יושמו, וכי לא הושלמו תיקוני החקיקה הנדרשים להסדרת העברת המידע בין הגורמים הללו</w:t>
      </w:r>
      <w:r w:rsidRPr="002F2BC5">
        <w:rPr>
          <w:rtl/>
        </w:rPr>
        <w:t>.</w:t>
      </w:r>
      <w:bookmarkEnd w:id="504"/>
      <w:r w:rsidRPr="002F2BC5">
        <w:rPr>
          <w:rtl/>
        </w:rPr>
        <w:t xml:space="preserve"> </w:t>
      </w:r>
    </w:p>
    <w:p w14:paraId="45488015" w14:textId="77777777" w:rsidR="00817399" w:rsidRPr="002F2BC5" w:rsidRDefault="00817399" w:rsidP="00817399">
      <w:pPr>
        <w:spacing w:line="269" w:lineRule="auto"/>
        <w:rPr>
          <w:rtl/>
        </w:rPr>
      </w:pPr>
    </w:p>
    <w:p w14:paraId="096674D5" w14:textId="77777777" w:rsidR="00817399" w:rsidRPr="002F2BC5" w:rsidRDefault="00817399" w:rsidP="00817399">
      <w:pPr>
        <w:spacing w:line="269" w:lineRule="auto"/>
        <w:rPr>
          <w:rtl/>
        </w:rPr>
      </w:pPr>
      <w:r w:rsidRPr="002F2BC5">
        <w:rPr>
          <w:rFonts w:hint="cs"/>
          <w:rtl/>
        </w:rPr>
        <w:t>עוד הועלה בביקורת הקודמת כי משרד הרווחה לא הסדיר בהנחיות את אופן העברת המידע בין המחלקות לשירותים חברתיים ברשויות מקומיות שונות, אף שהדבר עשוי לסייע באיתור המעורבים באלימות במשפחה שהתגוררו ברשות מקומית אחת ועברו לרשות אחרת</w:t>
      </w:r>
      <w:r w:rsidRPr="002F2BC5">
        <w:rPr>
          <w:rStyle w:val="af9"/>
          <w:rtl/>
        </w:rPr>
        <w:footnoteReference w:id="147"/>
      </w:r>
      <w:r w:rsidRPr="002F2BC5">
        <w:rPr>
          <w:rFonts w:hint="cs"/>
          <w:rtl/>
        </w:rPr>
        <w:t>.</w:t>
      </w:r>
    </w:p>
    <w:p w14:paraId="3A9CC2A1" w14:textId="77777777" w:rsidR="00817399" w:rsidRPr="002F2BC5" w:rsidRDefault="00817399" w:rsidP="00817399">
      <w:pPr>
        <w:spacing w:line="269" w:lineRule="auto"/>
        <w:rPr>
          <w:rtl/>
        </w:rPr>
      </w:pPr>
    </w:p>
    <w:p w14:paraId="2AE37D9F"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למשרד המשפטים, למשרד לביטחון לאומי, למשרד הבריאות, למשרד החינוך ולמשרד הרווחה כי יפעלו במשותף להסדרה חקיקתית של העברת המידע בתחום האלימות במשפחה. </w:t>
      </w:r>
    </w:p>
    <w:p w14:paraId="7456FC26" w14:textId="77777777" w:rsidR="00817399" w:rsidRPr="002F2BC5" w:rsidRDefault="00817399" w:rsidP="00817399">
      <w:pPr>
        <w:spacing w:line="269" w:lineRule="auto"/>
        <w:rPr>
          <w:rtl/>
        </w:rPr>
      </w:pPr>
    </w:p>
    <w:p w14:paraId="48143145" w14:textId="77777777" w:rsidR="00817399" w:rsidRPr="002F2BC5" w:rsidRDefault="00817399" w:rsidP="00817399">
      <w:pPr>
        <w:spacing w:line="269" w:lineRule="auto"/>
        <w:rPr>
          <w:rtl/>
        </w:rPr>
      </w:pPr>
      <w:r w:rsidRPr="002F2BC5">
        <w:rPr>
          <w:rFonts w:hint="eastAsia"/>
          <w:rtl/>
        </w:rPr>
        <w:t>משרד</w:t>
      </w:r>
      <w:r w:rsidRPr="002F2BC5">
        <w:rPr>
          <w:rtl/>
        </w:rPr>
        <w:t xml:space="preserve"> הרווחה מסר בתשובתו </w:t>
      </w:r>
      <w:r w:rsidRPr="002F2BC5">
        <w:rPr>
          <w:rFonts w:hint="cs"/>
          <w:rtl/>
        </w:rPr>
        <w:t>לביקורת הקודמת</w:t>
      </w:r>
      <w:r w:rsidRPr="002F2BC5">
        <w:rPr>
          <w:rtl/>
        </w:rPr>
        <w:t xml:space="preserve"> </w:t>
      </w:r>
      <w:r w:rsidRPr="002F2BC5">
        <w:rPr>
          <w:rFonts w:hint="cs"/>
          <w:rtl/>
        </w:rPr>
        <w:t xml:space="preserve">מפברואר 2021 </w:t>
      </w:r>
      <w:r w:rsidRPr="002F2BC5">
        <w:rPr>
          <w:rtl/>
        </w:rPr>
        <w:t xml:space="preserve">כי </w:t>
      </w:r>
      <w:r w:rsidRPr="002F2BC5">
        <w:rPr>
          <w:rFonts w:hint="cs"/>
          <w:rtl/>
        </w:rPr>
        <w:t xml:space="preserve">נושא העברת המידע מצוי בטיפולה של תת-ועדה ייעודית הפועלת תחת </w:t>
      </w:r>
      <w:r w:rsidRPr="002F2BC5">
        <w:rPr>
          <w:rFonts w:hint="eastAsia"/>
          <w:rtl/>
        </w:rPr>
        <w:t>הוועדה</w:t>
      </w:r>
      <w:r w:rsidRPr="002F2BC5">
        <w:rPr>
          <w:rtl/>
        </w:rPr>
        <w:t xml:space="preserve"> </w:t>
      </w:r>
      <w:r w:rsidRPr="002F2BC5">
        <w:rPr>
          <w:rFonts w:hint="eastAsia"/>
          <w:rtl/>
        </w:rPr>
        <w:t>הבין</w:t>
      </w:r>
      <w:r w:rsidRPr="002F2BC5">
        <w:rPr>
          <w:rtl/>
        </w:rPr>
        <w:t>-משרדית.</w:t>
      </w:r>
      <w:r w:rsidRPr="002F2BC5">
        <w:rPr>
          <w:rFonts w:hint="cs"/>
          <w:rtl/>
        </w:rPr>
        <w:t xml:space="preserve"> </w:t>
      </w:r>
      <w:r w:rsidRPr="002F2BC5">
        <w:rPr>
          <w:rFonts w:hint="eastAsia"/>
          <w:rtl/>
        </w:rPr>
        <w:t>משרד</w:t>
      </w:r>
      <w:r w:rsidRPr="002F2BC5">
        <w:rPr>
          <w:rtl/>
        </w:rPr>
        <w:t xml:space="preserve"> </w:t>
      </w:r>
      <w:r w:rsidRPr="002F2BC5">
        <w:rPr>
          <w:rFonts w:hint="eastAsia"/>
          <w:rtl/>
        </w:rPr>
        <w:t>המשפטים</w:t>
      </w:r>
      <w:r w:rsidRPr="002F2BC5">
        <w:rPr>
          <w:rFonts w:hint="cs"/>
          <w:rtl/>
        </w:rPr>
        <w:t xml:space="preserve"> ומשרד הבריאות </w:t>
      </w:r>
      <w:r w:rsidRPr="002F2BC5">
        <w:rPr>
          <w:rFonts w:hint="eastAsia"/>
          <w:rtl/>
        </w:rPr>
        <w:t>מסר</w:t>
      </w:r>
      <w:r w:rsidRPr="002F2BC5">
        <w:rPr>
          <w:rFonts w:hint="cs"/>
          <w:rtl/>
        </w:rPr>
        <w:t>ו</w:t>
      </w:r>
      <w:r w:rsidRPr="002F2BC5">
        <w:rPr>
          <w:rtl/>
        </w:rPr>
        <w:t xml:space="preserve"> </w:t>
      </w:r>
      <w:r w:rsidRPr="002F2BC5">
        <w:rPr>
          <w:rFonts w:hint="cs"/>
          <w:rtl/>
        </w:rPr>
        <w:t xml:space="preserve">מפברואר 2021 כי החלו במהלך לתיקון </w:t>
      </w:r>
      <w:r w:rsidRPr="002F2BC5">
        <w:rPr>
          <w:rFonts w:hint="eastAsia"/>
          <w:rtl/>
        </w:rPr>
        <w:t>חוק</w:t>
      </w:r>
      <w:r w:rsidRPr="002F2BC5">
        <w:rPr>
          <w:rtl/>
        </w:rPr>
        <w:t xml:space="preserve"> </w:t>
      </w:r>
      <w:r w:rsidRPr="002F2BC5">
        <w:rPr>
          <w:rFonts w:hint="eastAsia"/>
          <w:rtl/>
        </w:rPr>
        <w:t>זכויות</w:t>
      </w:r>
      <w:r w:rsidRPr="002F2BC5">
        <w:rPr>
          <w:rtl/>
        </w:rPr>
        <w:t xml:space="preserve"> </w:t>
      </w:r>
      <w:r w:rsidRPr="002F2BC5">
        <w:rPr>
          <w:rFonts w:hint="eastAsia"/>
          <w:rtl/>
        </w:rPr>
        <w:t>החולה</w:t>
      </w:r>
      <w:r w:rsidRPr="002F2BC5">
        <w:rPr>
          <w:rFonts w:hint="cs"/>
          <w:rtl/>
        </w:rPr>
        <w:t xml:space="preserve"> אך הוא לא הושלם, ומשרד הבריאות הוסיף כי העיכוב נבע ממשבר הקורונה. אשר להעברת מידע בעניינם של קטינים שהוצא צו הגנה לגביהם, משרד החינוך מסר בתשובתו ממרץ 2021 כי הוא סבור שאין מניעה לקדם תיקון חקיקה בנושא זה אך אין זו סמכותו, ואילו משרד המשפטים מסר כי בהתאם לתוכנית הפעולה שקבעה ועדת המנכ"לים נושא זה מצוי באחריותו של משרד החינוך. </w:t>
      </w:r>
    </w:p>
    <w:p w14:paraId="49B2FA75" w14:textId="77777777" w:rsidR="00817399" w:rsidRPr="002F2BC5" w:rsidRDefault="00817399" w:rsidP="00817399">
      <w:pPr>
        <w:spacing w:line="269" w:lineRule="auto"/>
        <w:rPr>
          <w:rtl/>
        </w:rPr>
      </w:pPr>
    </w:p>
    <w:p w14:paraId="723F44E6" w14:textId="77777777" w:rsidR="00817399" w:rsidRPr="002F2BC5" w:rsidRDefault="00817399" w:rsidP="00817399">
      <w:pPr>
        <w:spacing w:line="269" w:lineRule="auto"/>
        <w:rPr>
          <w:rtl/>
        </w:rPr>
      </w:pPr>
      <w:bookmarkStart w:id="505" w:name="_Toc191986955"/>
      <w:r w:rsidRPr="002F2BC5">
        <w:rPr>
          <w:rStyle w:val="70"/>
          <w:rFonts w:hint="cs"/>
          <w:rtl/>
        </w:rPr>
        <w:t>ביקורת המעקב:</w:t>
      </w:r>
      <w:bookmarkEnd w:id="505"/>
      <w:r w:rsidRPr="002F2BC5">
        <w:rPr>
          <w:rFonts w:hint="cs"/>
          <w:rtl/>
        </w:rPr>
        <w:t xml:space="preserve"> נמצא כי בחלוף שלוש שנים ממועד סיומה של הביקורת הקודמת, טרם הושלמו הליכי החקיקה שקודמו בעבר. נוסף על כך, הליכי חקיקה אחרים שעל בחינתם המליצו הוועדות הבין-משרדיות משנת 1998 ו-2016 - לא קודמו כלל.</w:t>
      </w:r>
    </w:p>
    <w:p w14:paraId="00432910" w14:textId="77777777" w:rsidR="00817399" w:rsidRPr="002F2BC5" w:rsidRDefault="00817399" w:rsidP="00817399">
      <w:pPr>
        <w:spacing w:line="269" w:lineRule="auto"/>
        <w:rPr>
          <w:rtl/>
        </w:rPr>
      </w:pPr>
    </w:p>
    <w:p w14:paraId="2B8B07E1" w14:textId="77777777" w:rsidR="00817399" w:rsidRPr="002F2BC5" w:rsidRDefault="00817399" w:rsidP="00817399">
      <w:pPr>
        <w:pStyle w:val="afffffff9"/>
        <w:spacing w:line="269" w:lineRule="auto"/>
        <w:rPr>
          <w:rtl/>
        </w:rPr>
      </w:pPr>
      <w:bookmarkStart w:id="506" w:name="_Toc198312192"/>
      <w:bookmarkStart w:id="507" w:name="_Toc198312666"/>
      <w:bookmarkStart w:id="508" w:name="_Toc200636853"/>
      <w:bookmarkStart w:id="509" w:name="_Toc200439852"/>
      <w:bookmarkStart w:id="510" w:name="_Toc201240957"/>
      <w:bookmarkStart w:id="511" w:name="_Toc191986956"/>
      <w:bookmarkStart w:id="512" w:name="_Toc192093061"/>
      <w:bookmarkStart w:id="513" w:name="_Toc192612769"/>
      <w:r w:rsidRPr="002F2BC5">
        <w:rPr>
          <w:rFonts w:hint="eastAsia"/>
          <w:rtl/>
        </w:rPr>
        <w:t>הביקורת</w:t>
      </w:r>
      <w:r w:rsidRPr="002F2BC5">
        <w:rPr>
          <w:rtl/>
        </w:rPr>
        <w:t xml:space="preserve"> הקודמת העלתה כי </w:t>
      </w:r>
      <w:r w:rsidRPr="002F2BC5">
        <w:rPr>
          <w:rFonts w:hint="eastAsia"/>
          <w:rtl/>
        </w:rPr>
        <w:t>המלצותיהן</w:t>
      </w:r>
      <w:r w:rsidRPr="002F2BC5">
        <w:rPr>
          <w:rtl/>
        </w:rPr>
        <w:t xml:space="preserve"> </w:t>
      </w:r>
      <w:r w:rsidRPr="002F2BC5">
        <w:rPr>
          <w:rFonts w:hint="eastAsia"/>
          <w:rtl/>
        </w:rPr>
        <w:t>של</w:t>
      </w:r>
      <w:r w:rsidRPr="002F2BC5">
        <w:rPr>
          <w:rtl/>
        </w:rPr>
        <w:t xml:space="preserve"> </w:t>
      </w:r>
      <w:r w:rsidRPr="002F2BC5">
        <w:rPr>
          <w:rFonts w:hint="eastAsia"/>
          <w:rtl/>
        </w:rPr>
        <w:t>הוועדות</w:t>
      </w:r>
      <w:r w:rsidRPr="002F2BC5">
        <w:rPr>
          <w:rtl/>
        </w:rPr>
        <w:t xml:space="preserve"> </w:t>
      </w:r>
      <w:r w:rsidRPr="002F2BC5">
        <w:rPr>
          <w:rFonts w:hint="eastAsia"/>
          <w:rtl/>
        </w:rPr>
        <w:t>הבין</w:t>
      </w:r>
      <w:r w:rsidRPr="002F2BC5">
        <w:rPr>
          <w:rtl/>
        </w:rPr>
        <w:t>-</w:t>
      </w:r>
      <w:r w:rsidRPr="002F2BC5">
        <w:rPr>
          <w:rFonts w:hint="eastAsia"/>
          <w:rtl/>
        </w:rPr>
        <w:t>משרדיות</w:t>
      </w:r>
      <w:r w:rsidRPr="002F2BC5">
        <w:rPr>
          <w:rtl/>
        </w:rPr>
        <w:t xml:space="preserve"> </w:t>
      </w:r>
      <w:r w:rsidRPr="002F2BC5">
        <w:rPr>
          <w:rFonts w:hint="eastAsia"/>
          <w:rtl/>
        </w:rPr>
        <w:t>מהשנים</w:t>
      </w:r>
      <w:r w:rsidRPr="002F2BC5">
        <w:rPr>
          <w:rtl/>
        </w:rPr>
        <w:t xml:space="preserve"> 1998</w:t>
      </w:r>
      <w:r w:rsidRPr="002F2BC5">
        <w:rPr>
          <w:rFonts w:hint="cs"/>
          <w:rtl/>
        </w:rPr>
        <w:t xml:space="preserve"> (ועדת בן-שלום)</w:t>
      </w:r>
      <w:r w:rsidRPr="002F2BC5">
        <w:rPr>
          <w:rtl/>
        </w:rPr>
        <w:t xml:space="preserve"> ו-2016 </w:t>
      </w:r>
      <w:r w:rsidRPr="002F2BC5">
        <w:rPr>
          <w:rFonts w:hint="cs"/>
          <w:rtl/>
        </w:rPr>
        <w:t xml:space="preserve">(ועדת רוזנבאום) </w:t>
      </w:r>
      <w:r w:rsidRPr="002F2BC5">
        <w:rPr>
          <w:rFonts w:hint="eastAsia"/>
          <w:rtl/>
        </w:rPr>
        <w:t>בנוגע</w:t>
      </w:r>
      <w:r w:rsidRPr="002F2BC5">
        <w:rPr>
          <w:rtl/>
        </w:rPr>
        <w:t xml:space="preserve"> </w:t>
      </w:r>
      <w:bookmarkStart w:id="514" w:name="_Hlk202962259"/>
      <w:r w:rsidRPr="002F2BC5">
        <w:rPr>
          <w:rtl/>
        </w:rPr>
        <w:t xml:space="preserve">להסדרת העברת המידע בין </w:t>
      </w:r>
      <w:r w:rsidRPr="002F2BC5">
        <w:rPr>
          <w:rFonts w:hint="eastAsia"/>
          <w:rtl/>
        </w:rPr>
        <w:t>גורמי</w:t>
      </w:r>
      <w:r w:rsidRPr="002F2BC5">
        <w:rPr>
          <w:rtl/>
        </w:rPr>
        <w:t xml:space="preserve"> </w:t>
      </w:r>
      <w:r w:rsidRPr="002F2BC5">
        <w:rPr>
          <w:rFonts w:hint="eastAsia"/>
          <w:rtl/>
        </w:rPr>
        <w:t>הטיפול</w:t>
      </w:r>
      <w:r w:rsidRPr="002F2BC5">
        <w:rPr>
          <w:rtl/>
        </w:rPr>
        <w:t xml:space="preserve"> </w:t>
      </w:r>
      <w:r w:rsidRPr="002F2BC5">
        <w:rPr>
          <w:rFonts w:hint="eastAsia"/>
          <w:rtl/>
        </w:rPr>
        <w:t>לגורמי</w:t>
      </w:r>
      <w:r w:rsidRPr="002F2BC5">
        <w:rPr>
          <w:rtl/>
        </w:rPr>
        <w:t xml:space="preserve"> </w:t>
      </w:r>
      <w:r w:rsidRPr="002F2BC5">
        <w:rPr>
          <w:rFonts w:hint="eastAsia"/>
          <w:rtl/>
        </w:rPr>
        <w:t>אכיפת</w:t>
      </w:r>
      <w:r w:rsidRPr="002F2BC5">
        <w:rPr>
          <w:rtl/>
        </w:rPr>
        <w:t xml:space="preserve"> </w:t>
      </w:r>
      <w:r w:rsidRPr="002F2BC5">
        <w:rPr>
          <w:rFonts w:hint="eastAsia"/>
          <w:rtl/>
        </w:rPr>
        <w:t>החוק</w:t>
      </w:r>
      <w:r w:rsidRPr="002F2BC5">
        <w:rPr>
          <w:rtl/>
        </w:rPr>
        <w:t xml:space="preserve"> </w:t>
      </w:r>
      <w:r w:rsidRPr="002F2BC5">
        <w:rPr>
          <w:rFonts w:hint="eastAsia"/>
          <w:rtl/>
        </w:rPr>
        <w:t>לא</w:t>
      </w:r>
      <w:r w:rsidRPr="002F2BC5">
        <w:rPr>
          <w:rtl/>
        </w:rPr>
        <w:t xml:space="preserve"> </w:t>
      </w:r>
      <w:r w:rsidRPr="002F2BC5">
        <w:rPr>
          <w:rFonts w:hint="eastAsia"/>
          <w:rtl/>
        </w:rPr>
        <w:t>יושמו</w:t>
      </w:r>
      <w:r w:rsidRPr="002F2BC5">
        <w:rPr>
          <w:rtl/>
        </w:rPr>
        <w:t xml:space="preserve">, </w:t>
      </w:r>
      <w:r w:rsidRPr="002F2BC5">
        <w:rPr>
          <w:rFonts w:hint="eastAsia"/>
          <w:rtl/>
        </w:rPr>
        <w:t>וכי</w:t>
      </w:r>
      <w:r w:rsidRPr="002F2BC5">
        <w:rPr>
          <w:rtl/>
        </w:rPr>
        <w:t xml:space="preserve"> </w:t>
      </w:r>
      <w:r w:rsidRPr="002F2BC5">
        <w:rPr>
          <w:rFonts w:hint="eastAsia"/>
          <w:rtl/>
        </w:rPr>
        <w:t>לא</w:t>
      </w:r>
      <w:r w:rsidRPr="002F2BC5">
        <w:rPr>
          <w:rtl/>
        </w:rPr>
        <w:t xml:space="preserve"> </w:t>
      </w:r>
      <w:r w:rsidRPr="002F2BC5">
        <w:rPr>
          <w:rFonts w:hint="eastAsia"/>
          <w:rtl/>
        </w:rPr>
        <w:t>הושלמו</w:t>
      </w:r>
      <w:r w:rsidRPr="002F2BC5">
        <w:rPr>
          <w:rtl/>
        </w:rPr>
        <w:t xml:space="preserve"> </w:t>
      </w:r>
      <w:r w:rsidRPr="002F2BC5">
        <w:rPr>
          <w:rFonts w:hint="eastAsia"/>
          <w:rtl/>
        </w:rPr>
        <w:t>תיקוני</w:t>
      </w:r>
      <w:r w:rsidRPr="002F2BC5">
        <w:rPr>
          <w:rtl/>
        </w:rPr>
        <w:t xml:space="preserve"> </w:t>
      </w:r>
      <w:r w:rsidRPr="002F2BC5">
        <w:rPr>
          <w:rFonts w:hint="eastAsia"/>
          <w:rtl/>
        </w:rPr>
        <w:t>החקיקה</w:t>
      </w:r>
      <w:r w:rsidRPr="002F2BC5">
        <w:rPr>
          <w:rtl/>
        </w:rPr>
        <w:t xml:space="preserve"> </w:t>
      </w:r>
      <w:r w:rsidRPr="002F2BC5">
        <w:rPr>
          <w:rFonts w:hint="eastAsia"/>
          <w:rtl/>
        </w:rPr>
        <w:t>הנדרשים</w:t>
      </w:r>
      <w:r w:rsidRPr="002F2BC5">
        <w:rPr>
          <w:rtl/>
        </w:rPr>
        <w:t xml:space="preserve"> </w:t>
      </w:r>
      <w:r w:rsidRPr="002F2BC5">
        <w:rPr>
          <w:rFonts w:hint="cs"/>
          <w:rtl/>
        </w:rPr>
        <w:t xml:space="preserve">לשם </w:t>
      </w:r>
      <w:bookmarkEnd w:id="514"/>
      <w:r w:rsidRPr="002F2BC5">
        <w:rPr>
          <w:rFonts w:hint="cs"/>
          <w:rtl/>
        </w:rPr>
        <w:t>כך</w:t>
      </w:r>
      <w:r w:rsidRPr="002F2BC5">
        <w:rPr>
          <w:rtl/>
        </w:rPr>
        <w:t>.</w:t>
      </w:r>
      <w:r w:rsidRPr="002F2BC5">
        <w:rPr>
          <w:rFonts w:hint="cs"/>
          <w:rtl/>
        </w:rPr>
        <w:t xml:space="preserve"> בביקורת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לא</w:t>
      </w:r>
      <w:r w:rsidRPr="002F2BC5">
        <w:rPr>
          <w:rtl/>
        </w:rPr>
        <w:t xml:space="preserve"> </w:t>
      </w:r>
      <w:r w:rsidRPr="002F2BC5">
        <w:rPr>
          <w:rFonts w:hint="eastAsia"/>
          <w:rtl/>
        </w:rPr>
        <w:t>תוקן</w:t>
      </w:r>
      <w:r w:rsidRPr="002F2BC5">
        <w:rPr>
          <w:rFonts w:hint="cs"/>
          <w:rtl/>
        </w:rPr>
        <w:t xml:space="preserve"> וכי על אף ההסכמה הרחבה על הצורך בהסדרה חוקית של העברת המידע בין גורמי הטיפול לגורמי אכיפת החוק, הן בהוראות הדין והן בהוראות רגולטוריות אחרות, </w:t>
      </w:r>
      <w:r w:rsidRPr="002F2BC5">
        <w:rPr>
          <w:rFonts w:hint="eastAsia"/>
          <w:rtl/>
        </w:rPr>
        <w:t>החסמים</w:t>
      </w:r>
      <w:r w:rsidRPr="002F2BC5">
        <w:rPr>
          <w:rtl/>
        </w:rPr>
        <w:t xml:space="preserve"> </w:t>
      </w:r>
      <w:r w:rsidRPr="002F2BC5">
        <w:rPr>
          <w:rFonts w:hint="eastAsia"/>
          <w:rtl/>
        </w:rPr>
        <w:t>החוקיים</w:t>
      </w:r>
      <w:r w:rsidRPr="002F2BC5">
        <w:rPr>
          <w:rtl/>
        </w:rPr>
        <w:t xml:space="preserve"> </w:t>
      </w:r>
      <w:r w:rsidRPr="002F2BC5">
        <w:rPr>
          <w:rFonts w:hint="cs"/>
          <w:rtl/>
        </w:rPr>
        <w:t>בעניין זה נותרו בעינם. זאת ועוד, הביקורת הנוכחית העלתה כי לא ניתנה הדעת לחיוניות בהסדרה חוקית של העברת המידע בין גורמי הטיפול לגורמי אכיפת החוק בעיתות משבר וחירום - חיוניות שגברה במהלך מלחמת חרבות ברזל.</w:t>
      </w:r>
      <w:bookmarkEnd w:id="506"/>
      <w:bookmarkEnd w:id="507"/>
      <w:bookmarkEnd w:id="508"/>
      <w:bookmarkEnd w:id="509"/>
      <w:bookmarkEnd w:id="510"/>
      <w:r w:rsidRPr="002F2BC5">
        <w:rPr>
          <w:rFonts w:hint="cs"/>
          <w:rtl/>
        </w:rPr>
        <w:t xml:space="preserve"> </w:t>
      </w:r>
      <w:bookmarkEnd w:id="511"/>
      <w:bookmarkEnd w:id="512"/>
      <w:bookmarkEnd w:id="513"/>
    </w:p>
    <w:p w14:paraId="0FBA1E01" w14:textId="77777777" w:rsidR="00817399" w:rsidRPr="002F2BC5" w:rsidRDefault="00817399" w:rsidP="00817399">
      <w:pPr>
        <w:spacing w:line="269" w:lineRule="auto"/>
        <w:rPr>
          <w:rtl/>
        </w:rPr>
      </w:pPr>
      <w:r w:rsidRPr="002F2BC5">
        <w:rPr>
          <w:rFonts w:hint="cs"/>
          <w:rtl/>
        </w:rPr>
        <w:t xml:space="preserve">משרד הבריאות מסר בתשובתו כי קיימת הסכמה עקרונית רחבה בנוגע לצורך להסדיר את העברת המידע מגורמי הטיפול לגורמי אכיפת החוק, והוא אף </w:t>
      </w:r>
      <w:r w:rsidRPr="002F2BC5">
        <w:rPr>
          <w:rFonts w:hint="eastAsia"/>
          <w:rtl/>
        </w:rPr>
        <w:t>גיבש</w:t>
      </w:r>
      <w:r w:rsidRPr="002F2BC5">
        <w:rPr>
          <w:rtl/>
        </w:rPr>
        <w:t xml:space="preserve"> ופרסם </w:t>
      </w:r>
      <w:r w:rsidRPr="002F2BC5">
        <w:rPr>
          <w:rFonts w:hint="eastAsia"/>
          <w:rtl/>
        </w:rPr>
        <w:t>הצעה</w:t>
      </w:r>
      <w:r w:rsidRPr="002F2BC5">
        <w:rPr>
          <w:rtl/>
        </w:rPr>
        <w:t xml:space="preserve"> </w:t>
      </w:r>
      <w:r w:rsidRPr="002F2BC5">
        <w:rPr>
          <w:rFonts w:hint="eastAsia"/>
          <w:rtl/>
        </w:rPr>
        <w:t>לתיקון</w:t>
      </w:r>
      <w:r w:rsidRPr="002F2BC5">
        <w:rPr>
          <w:rtl/>
        </w:rPr>
        <w:t xml:space="preserve"> </w:t>
      </w:r>
      <w:r w:rsidRPr="002F2BC5">
        <w:rPr>
          <w:rFonts w:hint="eastAsia"/>
          <w:rtl/>
        </w:rPr>
        <w:t>חוק</w:t>
      </w:r>
      <w:r w:rsidRPr="002F2BC5">
        <w:rPr>
          <w:rtl/>
        </w:rPr>
        <w:t xml:space="preserve"> </w:t>
      </w:r>
      <w:r w:rsidRPr="002F2BC5">
        <w:rPr>
          <w:rFonts w:hint="eastAsia"/>
          <w:rtl/>
        </w:rPr>
        <w:t>זכויות</w:t>
      </w:r>
      <w:r w:rsidRPr="002F2BC5">
        <w:rPr>
          <w:rtl/>
        </w:rPr>
        <w:t xml:space="preserve"> </w:t>
      </w:r>
      <w:r w:rsidRPr="002F2BC5">
        <w:rPr>
          <w:rFonts w:hint="eastAsia"/>
          <w:rtl/>
        </w:rPr>
        <w:lastRenderedPageBreak/>
        <w:t>החולה</w:t>
      </w:r>
      <w:r w:rsidRPr="002F2BC5">
        <w:rPr>
          <w:rStyle w:val="af9"/>
          <w:rtl/>
        </w:rPr>
        <w:footnoteReference w:id="148"/>
      </w:r>
      <w:r w:rsidRPr="002F2BC5">
        <w:rPr>
          <w:rFonts w:hint="cs"/>
          <w:rtl/>
        </w:rPr>
        <w:t>, אך טרם הושגה הסכמה על מתכונתו של ההסדר, וזאת גם על רקע התניית המשך קידום הנושא בתקצוב נוסף. הוא הוסיף כי יוכל להמשיך בקידום הנושא, בכפוף למגבלות התקציב ותוכניות העבודה המאושרות וכן בכפוף להסרת החסמים התקציביים מצד שותפיו להליך. המשרד לביטחון לאומי מסר בתשובתו ממאי 2025 כי בעבר פנה למשרד הבריאות בבקשה להמשיך בקידומה של הצעת החקיקה מתוך הכרת חשיבותה. משרד המשפטים מסר בתשובתו כי יתמוך ויסייע בהמשך קידומה של הצעת החקיקה, אם משרד הבריאות יבקש זאת. משרד הבריאות מסר בתשובתו הנוספת מיולי 2025 כי בחודש שקדם לתשובתו הנוספת, הוסרו הדרישות התקציביות שהתנו את המשך קידומה של הצעת החקיקה, ונכון למועד תשובתו הנוספת הוא פועל להבאת הצעת החקיקה לאישור ועדת השרים לחקיקה, בהקדם האפשרי ובשאיפה כבר בשבועות הקרובים.</w:t>
      </w:r>
    </w:p>
    <w:p w14:paraId="721DD75D" w14:textId="77777777" w:rsidR="00817399" w:rsidRPr="002F2BC5" w:rsidRDefault="00817399" w:rsidP="00817399">
      <w:pPr>
        <w:spacing w:line="269" w:lineRule="auto"/>
        <w:rPr>
          <w:rtl/>
        </w:rPr>
      </w:pPr>
    </w:p>
    <w:p w14:paraId="7DDC042A" w14:textId="77777777" w:rsidR="00817399" w:rsidRPr="002F2BC5" w:rsidRDefault="00817399" w:rsidP="00817399">
      <w:pPr>
        <w:spacing w:line="269" w:lineRule="auto"/>
        <w:rPr>
          <w:rtl/>
        </w:rPr>
      </w:pPr>
      <w:bookmarkStart w:id="515" w:name="_Hlk198225498"/>
      <w:r w:rsidRPr="002F2BC5">
        <w:rPr>
          <w:rFonts w:hint="cs"/>
          <w:rtl/>
        </w:rPr>
        <w:t xml:space="preserve">אשר להעברת מידע בעניינם של קטינים, משרד המשפטים מסר בתשובתו כי יסייע בקידום הנושא אם הוא יקודם באופן שקבעה ועדת המנכ"לים בתוכנית הפעולה והוסיף כי על קידום תיקון החקיקה להיעשות בתיאום גם עם משרד הרווחה לנוכח ההשלכות שעשויות להיות לתיקון זה, הנוגעות גם אליו. </w:t>
      </w:r>
      <w:r w:rsidRPr="002F2BC5">
        <w:rPr>
          <w:rFonts w:hint="eastAsia"/>
          <w:rtl/>
        </w:rPr>
        <w:t>עוד</w:t>
      </w:r>
      <w:r w:rsidRPr="002F2BC5">
        <w:rPr>
          <w:rtl/>
        </w:rPr>
        <w:t xml:space="preserve"> </w:t>
      </w:r>
      <w:r w:rsidRPr="002F2BC5">
        <w:rPr>
          <w:rFonts w:hint="eastAsia"/>
          <w:rtl/>
        </w:rPr>
        <w:t>ציין</w:t>
      </w:r>
      <w:r w:rsidRPr="002F2BC5">
        <w:rPr>
          <w:rtl/>
        </w:rPr>
        <w:t xml:space="preserve"> כי לא הובאה בפניו פנייה הנוגעת לחסמים משפטיים להעברת מידע בין גורמים אחרים שאינם גורמי רווחה ובין גורמי אכיפת החוק, וכי </w:t>
      </w:r>
      <w:r w:rsidRPr="002F2BC5">
        <w:rPr>
          <w:rFonts w:hint="cs"/>
          <w:rtl/>
        </w:rPr>
        <w:t xml:space="preserve">אם </w:t>
      </w:r>
      <w:r w:rsidRPr="002F2BC5">
        <w:rPr>
          <w:rtl/>
        </w:rPr>
        <w:t xml:space="preserve">יקבל פנייה בנושא הוא יסייע ככל הניתן. </w:t>
      </w:r>
      <w:bookmarkEnd w:id="515"/>
    </w:p>
    <w:p w14:paraId="7C98C959" w14:textId="77777777" w:rsidR="00817399" w:rsidRPr="002F2BC5" w:rsidRDefault="00817399" w:rsidP="00817399">
      <w:pPr>
        <w:spacing w:line="269" w:lineRule="auto"/>
        <w:rPr>
          <w:rtl/>
        </w:rPr>
      </w:pPr>
    </w:p>
    <w:p w14:paraId="0C71528C" w14:textId="77777777" w:rsidR="00817399" w:rsidRPr="002F2BC5" w:rsidRDefault="00817399" w:rsidP="00817399">
      <w:pPr>
        <w:spacing w:line="269" w:lineRule="auto"/>
        <w:rPr>
          <w:rtl/>
        </w:rPr>
      </w:pPr>
      <w:r w:rsidRPr="002F2BC5">
        <w:rPr>
          <w:rFonts w:hint="eastAsia"/>
          <w:rtl/>
        </w:rPr>
        <w:t>שירות</w:t>
      </w:r>
      <w:r w:rsidRPr="002F2BC5">
        <w:rPr>
          <w:rtl/>
        </w:rPr>
        <w:t xml:space="preserve"> </w:t>
      </w:r>
      <w:r w:rsidRPr="002F2BC5">
        <w:rPr>
          <w:rFonts w:hint="eastAsia"/>
          <w:rtl/>
        </w:rPr>
        <w:t>בתי</w:t>
      </w:r>
      <w:r w:rsidRPr="002F2BC5">
        <w:rPr>
          <w:rtl/>
        </w:rPr>
        <w:t xml:space="preserve"> </w:t>
      </w:r>
      <w:r w:rsidRPr="002F2BC5">
        <w:rPr>
          <w:rFonts w:hint="eastAsia"/>
          <w:rtl/>
        </w:rPr>
        <w:t>הסוהר</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eastAsia"/>
          <w:rtl/>
        </w:rPr>
        <w:t>כי</w:t>
      </w:r>
      <w:r w:rsidRPr="002F2BC5">
        <w:rPr>
          <w:rtl/>
        </w:rPr>
        <w:t xml:space="preserve"> </w:t>
      </w:r>
      <w:r w:rsidRPr="002F2BC5">
        <w:rPr>
          <w:rFonts w:hint="eastAsia"/>
          <w:rtl/>
        </w:rPr>
        <w:t>הוא</w:t>
      </w:r>
      <w:r w:rsidRPr="002F2BC5">
        <w:rPr>
          <w:rtl/>
        </w:rPr>
        <w:t xml:space="preserve"> </w:t>
      </w:r>
      <w:r w:rsidRPr="002F2BC5">
        <w:rPr>
          <w:rFonts w:hint="eastAsia"/>
          <w:rtl/>
        </w:rPr>
        <w:t>רואה</w:t>
      </w:r>
      <w:r w:rsidRPr="002F2BC5">
        <w:rPr>
          <w:rtl/>
        </w:rPr>
        <w:t xml:space="preserve"> </w:t>
      </w:r>
      <w:r w:rsidRPr="002F2BC5">
        <w:rPr>
          <w:rFonts w:hint="eastAsia"/>
          <w:rtl/>
        </w:rPr>
        <w:t>צורך</w:t>
      </w:r>
      <w:r w:rsidRPr="002F2BC5">
        <w:rPr>
          <w:rtl/>
        </w:rPr>
        <w:t xml:space="preserve"> </w:t>
      </w:r>
      <w:r w:rsidRPr="002F2BC5">
        <w:rPr>
          <w:rFonts w:hint="eastAsia"/>
          <w:rtl/>
        </w:rPr>
        <w:t>חיוני</w:t>
      </w:r>
      <w:r w:rsidRPr="002F2BC5">
        <w:rPr>
          <w:rtl/>
        </w:rPr>
        <w:t xml:space="preserve"> </w:t>
      </w:r>
      <w:r w:rsidRPr="002F2BC5">
        <w:rPr>
          <w:rFonts w:hint="eastAsia"/>
          <w:rtl/>
        </w:rPr>
        <w:t>בהסדרה</w:t>
      </w:r>
      <w:r w:rsidRPr="002F2BC5">
        <w:rPr>
          <w:rtl/>
        </w:rPr>
        <w:t xml:space="preserve"> </w:t>
      </w:r>
      <w:r w:rsidRPr="002F2BC5">
        <w:rPr>
          <w:rFonts w:hint="eastAsia"/>
          <w:rtl/>
        </w:rPr>
        <w:t>חוקית</w:t>
      </w:r>
      <w:r w:rsidRPr="002F2BC5">
        <w:rPr>
          <w:rtl/>
        </w:rPr>
        <w:t xml:space="preserve"> </w:t>
      </w:r>
      <w:r w:rsidRPr="002F2BC5">
        <w:rPr>
          <w:rFonts w:hint="eastAsia"/>
          <w:rtl/>
        </w:rPr>
        <w:t>של</w:t>
      </w:r>
      <w:r w:rsidRPr="002F2BC5">
        <w:rPr>
          <w:rtl/>
        </w:rPr>
        <w:t xml:space="preserve"> </w:t>
      </w:r>
      <w:r w:rsidRPr="002F2BC5">
        <w:rPr>
          <w:rFonts w:hint="eastAsia"/>
          <w:rtl/>
        </w:rPr>
        <w:t>תהליך</w:t>
      </w:r>
      <w:r w:rsidRPr="002F2BC5">
        <w:rPr>
          <w:rtl/>
        </w:rPr>
        <w:t xml:space="preserve"> </w:t>
      </w:r>
      <w:r w:rsidRPr="002F2BC5">
        <w:rPr>
          <w:rFonts w:hint="eastAsia"/>
          <w:rtl/>
        </w:rPr>
        <w:t>העברת</w:t>
      </w:r>
      <w:r w:rsidRPr="002F2BC5">
        <w:rPr>
          <w:rtl/>
        </w:rPr>
        <w:t xml:space="preserve"> </w:t>
      </w:r>
      <w:r w:rsidRPr="002F2BC5">
        <w:rPr>
          <w:rFonts w:hint="eastAsia"/>
          <w:rtl/>
        </w:rPr>
        <w:t>המידע</w:t>
      </w:r>
      <w:r w:rsidRPr="002F2BC5">
        <w:rPr>
          <w:rtl/>
        </w:rPr>
        <w:t xml:space="preserve"> </w:t>
      </w:r>
      <w:r w:rsidRPr="002F2BC5">
        <w:rPr>
          <w:rFonts w:hint="eastAsia"/>
          <w:rtl/>
        </w:rPr>
        <w:t>בין</w:t>
      </w:r>
      <w:r w:rsidRPr="002F2BC5">
        <w:rPr>
          <w:rtl/>
        </w:rPr>
        <w:t xml:space="preserve"> </w:t>
      </w:r>
      <w:r w:rsidRPr="002F2BC5">
        <w:rPr>
          <w:rFonts w:hint="eastAsia"/>
          <w:rtl/>
        </w:rPr>
        <w:t>הגופים</w:t>
      </w:r>
      <w:r w:rsidRPr="002F2BC5">
        <w:rPr>
          <w:rtl/>
        </w:rPr>
        <w:t xml:space="preserve"> </w:t>
      </w:r>
      <w:r w:rsidRPr="002F2BC5">
        <w:rPr>
          <w:rFonts w:hint="eastAsia"/>
          <w:rtl/>
        </w:rPr>
        <w:t>השונים</w:t>
      </w:r>
      <w:r w:rsidRPr="002F2BC5">
        <w:rPr>
          <w:rtl/>
        </w:rPr>
        <w:t xml:space="preserve"> </w:t>
      </w:r>
      <w:r w:rsidRPr="002F2BC5">
        <w:rPr>
          <w:rFonts w:hint="eastAsia"/>
          <w:rtl/>
        </w:rPr>
        <w:t>בשגרה</w:t>
      </w:r>
      <w:r w:rsidRPr="002F2BC5">
        <w:rPr>
          <w:rtl/>
        </w:rPr>
        <w:t xml:space="preserve"> </w:t>
      </w:r>
      <w:r w:rsidRPr="002F2BC5">
        <w:rPr>
          <w:rFonts w:hint="eastAsia"/>
          <w:rtl/>
        </w:rPr>
        <w:t>ובחירום</w:t>
      </w:r>
      <w:r w:rsidRPr="002F2BC5">
        <w:rPr>
          <w:rtl/>
        </w:rPr>
        <w:t xml:space="preserve">. </w:t>
      </w:r>
      <w:r w:rsidRPr="002F2BC5">
        <w:rPr>
          <w:rFonts w:hint="eastAsia"/>
          <w:rtl/>
        </w:rPr>
        <w:t>עוד</w:t>
      </w:r>
      <w:r w:rsidRPr="002F2BC5">
        <w:rPr>
          <w:rtl/>
        </w:rPr>
        <w:t xml:space="preserve"> </w:t>
      </w:r>
      <w:r w:rsidRPr="002F2BC5">
        <w:rPr>
          <w:rFonts w:hint="eastAsia"/>
          <w:rtl/>
        </w:rPr>
        <w:t>מסר</w:t>
      </w:r>
      <w:r w:rsidRPr="002F2BC5">
        <w:rPr>
          <w:rtl/>
        </w:rPr>
        <w:t xml:space="preserve"> </w:t>
      </w:r>
      <w:r w:rsidRPr="002F2BC5">
        <w:rPr>
          <w:rFonts w:hint="eastAsia"/>
          <w:rtl/>
        </w:rPr>
        <w:t>כי</w:t>
      </w:r>
      <w:r w:rsidRPr="002F2BC5">
        <w:rPr>
          <w:rtl/>
        </w:rPr>
        <w:t xml:space="preserve"> </w:t>
      </w:r>
      <w:r w:rsidRPr="002F2BC5">
        <w:rPr>
          <w:rFonts w:hint="eastAsia"/>
          <w:rtl/>
        </w:rPr>
        <w:t>הוא</w:t>
      </w:r>
      <w:r w:rsidRPr="002F2BC5">
        <w:rPr>
          <w:rtl/>
        </w:rPr>
        <w:t xml:space="preserve"> </w:t>
      </w:r>
      <w:r w:rsidRPr="002F2BC5">
        <w:rPr>
          <w:rFonts w:hint="eastAsia"/>
          <w:rtl/>
        </w:rPr>
        <w:t>מצוי</w:t>
      </w:r>
      <w:r w:rsidRPr="002F2BC5">
        <w:rPr>
          <w:rtl/>
        </w:rPr>
        <w:t xml:space="preserve"> </w:t>
      </w:r>
      <w:r w:rsidRPr="002F2BC5">
        <w:rPr>
          <w:rFonts w:hint="eastAsia"/>
          <w:rtl/>
        </w:rPr>
        <w:t>בעיצומם</w:t>
      </w:r>
      <w:r w:rsidRPr="002F2BC5">
        <w:rPr>
          <w:rtl/>
        </w:rPr>
        <w:t xml:space="preserve"> </w:t>
      </w:r>
      <w:r w:rsidRPr="002F2BC5">
        <w:rPr>
          <w:rFonts w:hint="eastAsia"/>
          <w:rtl/>
        </w:rPr>
        <w:t>של</w:t>
      </w:r>
      <w:r w:rsidRPr="002F2BC5">
        <w:rPr>
          <w:rtl/>
        </w:rPr>
        <w:t xml:space="preserve"> </w:t>
      </w:r>
      <w:r w:rsidRPr="002F2BC5">
        <w:rPr>
          <w:rFonts w:hint="eastAsia"/>
          <w:rtl/>
        </w:rPr>
        <w:t>דיונים</w:t>
      </w:r>
      <w:r w:rsidRPr="002F2BC5">
        <w:rPr>
          <w:rtl/>
        </w:rPr>
        <w:t xml:space="preserve"> </w:t>
      </w:r>
      <w:r w:rsidRPr="002F2BC5">
        <w:rPr>
          <w:rFonts w:hint="eastAsia"/>
          <w:rtl/>
        </w:rPr>
        <w:t>בנושא</w:t>
      </w:r>
      <w:r w:rsidRPr="002F2BC5">
        <w:rPr>
          <w:rtl/>
        </w:rPr>
        <w:t xml:space="preserve"> </w:t>
      </w:r>
      <w:r w:rsidRPr="002F2BC5">
        <w:rPr>
          <w:rFonts w:hint="eastAsia"/>
          <w:rtl/>
        </w:rPr>
        <w:t>עם</w:t>
      </w:r>
      <w:r w:rsidRPr="002F2BC5">
        <w:rPr>
          <w:rtl/>
        </w:rPr>
        <w:t xml:space="preserve"> </w:t>
      </w:r>
      <w:r w:rsidRPr="002F2BC5">
        <w:rPr>
          <w:rFonts w:hint="eastAsia"/>
          <w:rtl/>
        </w:rPr>
        <w:t>משטרת</w:t>
      </w:r>
      <w:r w:rsidRPr="002F2BC5">
        <w:rPr>
          <w:rtl/>
        </w:rPr>
        <w:t xml:space="preserve"> </w:t>
      </w:r>
      <w:r w:rsidRPr="002F2BC5">
        <w:rPr>
          <w:rFonts w:hint="eastAsia"/>
          <w:rtl/>
        </w:rPr>
        <w:t>ישראל</w:t>
      </w:r>
      <w:r w:rsidRPr="002F2BC5">
        <w:rPr>
          <w:rtl/>
        </w:rPr>
        <w:t xml:space="preserve"> </w:t>
      </w:r>
      <w:r w:rsidRPr="002F2BC5">
        <w:rPr>
          <w:rFonts w:hint="eastAsia"/>
          <w:rtl/>
        </w:rPr>
        <w:t>ומשרד</w:t>
      </w:r>
      <w:r w:rsidRPr="002F2BC5">
        <w:rPr>
          <w:rtl/>
        </w:rPr>
        <w:t xml:space="preserve"> </w:t>
      </w:r>
      <w:r w:rsidRPr="002F2BC5">
        <w:rPr>
          <w:rFonts w:hint="eastAsia"/>
          <w:rtl/>
        </w:rPr>
        <w:t>הרווחה</w:t>
      </w:r>
      <w:r w:rsidRPr="002F2BC5">
        <w:rPr>
          <w:rtl/>
        </w:rPr>
        <w:t xml:space="preserve">, </w:t>
      </w:r>
      <w:r w:rsidRPr="002F2BC5">
        <w:rPr>
          <w:rFonts w:hint="eastAsia"/>
          <w:rtl/>
        </w:rPr>
        <w:t>אך</w:t>
      </w:r>
      <w:r w:rsidRPr="002F2BC5">
        <w:rPr>
          <w:rtl/>
        </w:rPr>
        <w:t xml:space="preserve"> </w:t>
      </w:r>
      <w:r w:rsidRPr="002F2BC5">
        <w:rPr>
          <w:rFonts w:hint="eastAsia"/>
          <w:rtl/>
        </w:rPr>
        <w:t>הוסיף</w:t>
      </w:r>
      <w:r w:rsidRPr="002F2BC5">
        <w:rPr>
          <w:rtl/>
        </w:rPr>
        <w:t xml:space="preserve"> </w:t>
      </w:r>
      <w:r w:rsidRPr="002F2BC5">
        <w:rPr>
          <w:rFonts w:hint="eastAsia"/>
          <w:rtl/>
        </w:rPr>
        <w:t>כי</w:t>
      </w:r>
      <w:r w:rsidRPr="002F2BC5">
        <w:rPr>
          <w:rtl/>
        </w:rPr>
        <w:t xml:space="preserve"> </w:t>
      </w:r>
      <w:r w:rsidRPr="002F2BC5">
        <w:rPr>
          <w:rFonts w:hint="eastAsia"/>
          <w:rtl/>
        </w:rPr>
        <w:t>קיימים</w:t>
      </w:r>
      <w:r w:rsidRPr="002F2BC5">
        <w:rPr>
          <w:rtl/>
        </w:rPr>
        <w:t xml:space="preserve"> </w:t>
      </w:r>
      <w:r w:rsidRPr="002F2BC5">
        <w:rPr>
          <w:rFonts w:hint="eastAsia"/>
          <w:rtl/>
        </w:rPr>
        <w:t>חסמים</w:t>
      </w:r>
      <w:r w:rsidRPr="002F2BC5">
        <w:rPr>
          <w:rtl/>
        </w:rPr>
        <w:t xml:space="preserve"> </w:t>
      </w:r>
      <w:r w:rsidRPr="002F2BC5">
        <w:rPr>
          <w:rFonts w:hint="eastAsia"/>
          <w:rtl/>
        </w:rPr>
        <w:t>חוקיים</w:t>
      </w:r>
      <w:r w:rsidRPr="002F2BC5">
        <w:rPr>
          <w:rtl/>
        </w:rPr>
        <w:t xml:space="preserve"> </w:t>
      </w:r>
      <w:r w:rsidRPr="002F2BC5">
        <w:rPr>
          <w:rFonts w:hint="eastAsia"/>
          <w:rtl/>
        </w:rPr>
        <w:t>להעברת</w:t>
      </w:r>
      <w:r w:rsidRPr="002F2BC5">
        <w:rPr>
          <w:rtl/>
        </w:rPr>
        <w:t xml:space="preserve"> </w:t>
      </w:r>
      <w:r w:rsidRPr="002F2BC5">
        <w:rPr>
          <w:rFonts w:hint="eastAsia"/>
          <w:rtl/>
        </w:rPr>
        <w:t>המידע</w:t>
      </w:r>
      <w:r w:rsidRPr="002F2BC5">
        <w:rPr>
          <w:rtl/>
        </w:rPr>
        <w:t xml:space="preserve"> </w:t>
      </w:r>
      <w:r w:rsidRPr="002F2BC5">
        <w:rPr>
          <w:rFonts w:hint="eastAsia"/>
          <w:rtl/>
        </w:rPr>
        <w:t>וכי</w:t>
      </w:r>
      <w:r w:rsidRPr="002F2BC5">
        <w:rPr>
          <w:rtl/>
        </w:rPr>
        <w:t xml:space="preserve"> </w:t>
      </w:r>
      <w:r w:rsidRPr="002F2BC5">
        <w:rPr>
          <w:rFonts w:hint="eastAsia"/>
          <w:rtl/>
        </w:rPr>
        <w:t>יש</w:t>
      </w:r>
      <w:r w:rsidRPr="002F2BC5">
        <w:rPr>
          <w:rtl/>
        </w:rPr>
        <w:t xml:space="preserve"> </w:t>
      </w:r>
      <w:r w:rsidRPr="002F2BC5">
        <w:rPr>
          <w:rFonts w:hint="eastAsia"/>
          <w:rtl/>
        </w:rPr>
        <w:t>צורך</w:t>
      </w:r>
      <w:r w:rsidRPr="002F2BC5">
        <w:rPr>
          <w:rtl/>
        </w:rPr>
        <w:t xml:space="preserve"> </w:t>
      </w:r>
      <w:r w:rsidRPr="002F2BC5">
        <w:rPr>
          <w:rFonts w:hint="eastAsia"/>
          <w:rtl/>
        </w:rPr>
        <w:t>בגוף</w:t>
      </w:r>
      <w:r w:rsidRPr="002F2BC5">
        <w:rPr>
          <w:rtl/>
        </w:rPr>
        <w:t xml:space="preserve"> </w:t>
      </w:r>
      <w:r w:rsidRPr="002F2BC5">
        <w:rPr>
          <w:rFonts w:hint="eastAsia"/>
          <w:rtl/>
        </w:rPr>
        <w:t>מתכלל</w:t>
      </w:r>
      <w:r w:rsidRPr="002F2BC5">
        <w:rPr>
          <w:rtl/>
        </w:rPr>
        <w:t xml:space="preserve"> </w:t>
      </w:r>
      <w:r w:rsidRPr="002F2BC5">
        <w:rPr>
          <w:rFonts w:hint="eastAsia"/>
          <w:rtl/>
        </w:rPr>
        <w:t>להסדרה</w:t>
      </w:r>
      <w:r w:rsidRPr="002F2BC5">
        <w:rPr>
          <w:rtl/>
        </w:rPr>
        <w:t xml:space="preserve"> </w:t>
      </w:r>
      <w:r w:rsidRPr="002F2BC5">
        <w:rPr>
          <w:rFonts w:hint="eastAsia"/>
          <w:rtl/>
        </w:rPr>
        <w:t>החוקית</w:t>
      </w:r>
      <w:r w:rsidRPr="002F2BC5">
        <w:rPr>
          <w:rtl/>
        </w:rPr>
        <w:t xml:space="preserve"> </w:t>
      </w:r>
      <w:r w:rsidRPr="002F2BC5">
        <w:rPr>
          <w:rFonts w:hint="eastAsia"/>
          <w:rtl/>
        </w:rPr>
        <w:t>של</w:t>
      </w:r>
      <w:r w:rsidRPr="002F2BC5">
        <w:rPr>
          <w:rtl/>
        </w:rPr>
        <w:t xml:space="preserve"> </w:t>
      </w:r>
      <w:r w:rsidRPr="002F2BC5">
        <w:rPr>
          <w:rFonts w:hint="eastAsia"/>
          <w:rtl/>
        </w:rPr>
        <w:t>התהליך</w:t>
      </w:r>
      <w:r w:rsidRPr="002F2BC5">
        <w:rPr>
          <w:rFonts w:hint="cs"/>
          <w:rtl/>
        </w:rPr>
        <w:t xml:space="preserve"> וליצירת הממשק בין הגופים. גם מרכז השלטון המקומי מסר בתשובתו כי הוא רואה חשיבות בהסרת החסמים החוקיים להעברת המידע.</w:t>
      </w:r>
    </w:p>
    <w:p w14:paraId="72787808" w14:textId="77777777" w:rsidR="00817399" w:rsidRPr="002F2BC5" w:rsidRDefault="00817399" w:rsidP="00817399">
      <w:pPr>
        <w:spacing w:line="269" w:lineRule="auto"/>
        <w:rPr>
          <w:rtl/>
        </w:rPr>
      </w:pPr>
    </w:p>
    <w:p w14:paraId="12A1CD6F" w14:textId="77777777" w:rsidR="00817399" w:rsidRPr="002F2BC5" w:rsidRDefault="00817399" w:rsidP="00817399">
      <w:pPr>
        <w:pStyle w:val="afffffffa"/>
        <w:spacing w:line="269" w:lineRule="auto"/>
        <w:rPr>
          <w:rtl/>
        </w:rPr>
      </w:pPr>
      <w:bookmarkStart w:id="516" w:name="_Toc192093062"/>
      <w:bookmarkStart w:id="517" w:name="_Toc191986957"/>
      <w:bookmarkStart w:id="518" w:name="_Toc192612770"/>
      <w:bookmarkStart w:id="519" w:name="_Toc198312193"/>
      <w:bookmarkStart w:id="520" w:name="_Toc198312667"/>
      <w:bookmarkStart w:id="521" w:name="_Toc200636854"/>
      <w:bookmarkStart w:id="522" w:name="_Toc200439853"/>
      <w:bookmarkStart w:id="523" w:name="_Toc201240958"/>
      <w:r w:rsidRPr="002F2BC5">
        <w:rPr>
          <w:rFonts w:hint="cs"/>
          <w:rtl/>
        </w:rPr>
        <w:t>על משרד המשפטים, המשרד לביטחון לאומי, משרד הבריאות ומשרד החינוך - בהובלת הוועדה הבין-משרדית הקבועה שבראשות משרד הרווחה, ובתיאום עם המחלקות לשירותים חברתיים ברשויות המקומיות, לפעול במשותף להשלמת מהלכי החקיקה והאסדרה החיוניים להסרת החסמים בדין בכל הקשור להעברת מידע בין גורמי הטיפול השונים ובינם לבין גורמי אכיפת החוק, וזאת בזמני שגרה וביתר שאת בעיתות משבר וחירום, תוך</w:t>
      </w:r>
      <w:r w:rsidRPr="002F2BC5">
        <w:rPr>
          <w:rtl/>
        </w:rPr>
        <w:t xml:space="preserve"> יצירת איזון בין הזכות לפרטיות לבין מתן מענה מקצועי מיטבי.</w:t>
      </w:r>
      <w:bookmarkEnd w:id="516"/>
      <w:bookmarkEnd w:id="517"/>
      <w:bookmarkEnd w:id="518"/>
      <w:bookmarkEnd w:id="519"/>
      <w:bookmarkEnd w:id="520"/>
      <w:bookmarkEnd w:id="521"/>
      <w:bookmarkEnd w:id="522"/>
      <w:bookmarkEnd w:id="523"/>
    </w:p>
    <w:p w14:paraId="6452DEFC" w14:textId="77777777" w:rsidR="00817399" w:rsidRPr="002F2BC5" w:rsidRDefault="00817399" w:rsidP="00817399">
      <w:pPr>
        <w:spacing w:line="269" w:lineRule="auto"/>
        <w:rPr>
          <w:rtl/>
        </w:rPr>
      </w:pPr>
    </w:p>
    <w:p w14:paraId="5A414435" w14:textId="77777777" w:rsidR="00817399" w:rsidRPr="002F2BC5" w:rsidRDefault="00817399" w:rsidP="00817399">
      <w:pPr>
        <w:pStyle w:val="afffffff2"/>
        <w:spacing w:line="269" w:lineRule="auto"/>
        <w:rPr>
          <w:rtl/>
        </w:rPr>
      </w:pPr>
      <w:r w:rsidRPr="002F2BC5">
        <w:rPr>
          <w:rFonts w:hint="cs"/>
          <w:rtl/>
        </w:rPr>
        <w:t>מידת תיקון הליקוי</w:t>
      </w:r>
    </w:p>
    <w:p w14:paraId="14E29D38" w14:textId="77777777" w:rsidR="00817399" w:rsidRPr="002F2BC5" w:rsidRDefault="00817399" w:rsidP="00817399">
      <w:pPr>
        <w:pStyle w:val="afffffff7"/>
        <w:spacing w:before="0" w:line="269" w:lineRule="auto"/>
        <w:rPr>
          <w:rtl/>
        </w:rPr>
      </w:pPr>
      <w:bookmarkStart w:id="524" w:name="_Toc198312194"/>
      <w:bookmarkStart w:id="525" w:name="_Toc198312668"/>
      <w:bookmarkStart w:id="526" w:name="_Toc189072214"/>
      <w:r w:rsidRPr="002F2BC5">
        <w:rPr>
          <w:noProof/>
          <w:rtl/>
        </w:rPr>
        <w:drawing>
          <wp:inline distT="0" distB="0" distL="0" distR="0" wp14:anchorId="6CD2D71C" wp14:editId="6F933B77">
            <wp:extent cx="4324350" cy="933450"/>
            <wp:effectExtent l="0" t="0" r="0" b="0"/>
            <wp:docPr id="17"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524"/>
      <w:bookmarkEnd w:id="525"/>
    </w:p>
    <w:bookmarkEnd w:id="526"/>
    <w:p w14:paraId="54B61967" w14:textId="77777777" w:rsidR="00817399" w:rsidRPr="002F2BC5" w:rsidRDefault="00817399" w:rsidP="00817399">
      <w:pPr>
        <w:spacing w:line="269" w:lineRule="auto"/>
        <w:rPr>
          <w:b/>
          <w:bCs/>
          <w:rtl/>
        </w:rPr>
      </w:pPr>
    </w:p>
    <w:p w14:paraId="68F956C3" w14:textId="77777777" w:rsidR="00817399" w:rsidRPr="002F2BC5" w:rsidRDefault="00817399" w:rsidP="00817399">
      <w:pPr>
        <w:bidi w:val="0"/>
        <w:spacing w:line="269" w:lineRule="auto"/>
        <w:rPr>
          <w:rFonts w:eastAsiaTheme="majorEastAsia"/>
          <w:b/>
          <w:bCs/>
          <w:szCs w:val="26"/>
          <w:rtl/>
        </w:rPr>
      </w:pPr>
      <w:bookmarkStart w:id="527" w:name="_Ref186469671"/>
      <w:bookmarkStart w:id="528" w:name="_Toc189072215"/>
      <w:bookmarkStart w:id="529" w:name="_Toc191986958"/>
      <w:bookmarkStart w:id="530" w:name="_Toc192093063"/>
      <w:bookmarkStart w:id="531" w:name="_Toc193110600"/>
      <w:bookmarkStart w:id="532" w:name="_Toc192612771"/>
      <w:bookmarkStart w:id="533" w:name="_Toc198312669"/>
      <w:bookmarkStart w:id="534" w:name="_Toc200636855"/>
      <w:bookmarkStart w:id="535" w:name="_Toc200439854"/>
      <w:bookmarkStart w:id="536" w:name="_Toc201240959"/>
      <w:r w:rsidRPr="002F2BC5">
        <w:rPr>
          <w:b/>
          <w:rtl/>
        </w:rPr>
        <w:br w:type="page"/>
      </w:r>
    </w:p>
    <w:p w14:paraId="40826895" w14:textId="77777777" w:rsidR="00817399" w:rsidRPr="002F2BC5" w:rsidRDefault="00817399" w:rsidP="00817399">
      <w:pPr>
        <w:pStyle w:val="4"/>
        <w:spacing w:before="0" w:line="269" w:lineRule="auto"/>
      </w:pPr>
      <w:bookmarkStart w:id="537" w:name="_Toc203487994"/>
      <w:r w:rsidRPr="002F2BC5">
        <w:rPr>
          <w:rFonts w:hint="eastAsia"/>
          <w:b/>
          <w:rtl/>
        </w:rPr>
        <w:lastRenderedPageBreak/>
        <w:t>ני</w:t>
      </w:r>
      <w:r w:rsidRPr="002F2BC5">
        <w:rPr>
          <w:rFonts w:hint="cs"/>
          <w:rtl/>
        </w:rPr>
        <w:t>הול ממוחשב ומרכזי של הנתונים על תופעת האלימות בין בני זוג</w:t>
      </w:r>
      <w:r w:rsidRPr="002F2BC5">
        <w:rPr>
          <w:rStyle w:val="af9"/>
        </w:rPr>
        <w:footnoteReference w:id="149"/>
      </w:r>
      <w:bookmarkEnd w:id="527"/>
      <w:bookmarkEnd w:id="528"/>
      <w:bookmarkEnd w:id="529"/>
      <w:bookmarkEnd w:id="530"/>
      <w:bookmarkEnd w:id="531"/>
      <w:bookmarkEnd w:id="532"/>
      <w:bookmarkEnd w:id="533"/>
      <w:bookmarkEnd w:id="534"/>
      <w:bookmarkEnd w:id="535"/>
      <w:bookmarkEnd w:id="536"/>
      <w:bookmarkEnd w:id="537"/>
    </w:p>
    <w:p w14:paraId="65F2EBA0" w14:textId="77777777" w:rsidR="00817399" w:rsidRPr="002F2BC5" w:rsidRDefault="00817399" w:rsidP="00817399">
      <w:pPr>
        <w:spacing w:line="269" w:lineRule="auto"/>
        <w:rPr>
          <w:rtl/>
        </w:rPr>
      </w:pPr>
    </w:p>
    <w:p w14:paraId="33464E9D" w14:textId="77777777" w:rsidR="00817399" w:rsidRPr="002F2BC5" w:rsidRDefault="00817399" w:rsidP="00817399">
      <w:pPr>
        <w:spacing w:line="269" w:lineRule="auto"/>
        <w:rPr>
          <w:rtl/>
        </w:rPr>
      </w:pPr>
      <w:r w:rsidRPr="002F2BC5">
        <w:rPr>
          <w:rFonts w:hint="cs"/>
          <w:rtl/>
        </w:rPr>
        <w:t xml:space="preserve">כאמור, נתונים על אוכלוסיית מקבלי השירותים בתחום האלימות בין בני זוג משקפים כפי הנראה אומדן בחסר של היקף התופעה בכלל האוכלוסייה. דווקא משום כך איסופם השיטתי חיוני כדי שיהיה אפשר לעשות בהם גם שימושים סטטיסטיים, כאלו שאינם חושפים את פרטיהם המזהים של מקבלי השירות, וזאת כדי להעריך את יעילותם ונגישותם של השירותים המסופקים לאלו הזקוקים להם. בתוך כך ישנה חשיבות גם להבטחת השמירה על עדכניותם של הנתונים על מקבלי השירותים לאורך זמן וכן על איגומם, ניהולם, טיובם וניתוחם באופן מדויק ויעיל. </w:t>
      </w:r>
    </w:p>
    <w:p w14:paraId="2B42AFAF" w14:textId="77777777" w:rsidR="00817399" w:rsidRPr="002F2BC5" w:rsidRDefault="00817399" w:rsidP="00817399">
      <w:pPr>
        <w:spacing w:line="269" w:lineRule="auto"/>
        <w:rPr>
          <w:rtl/>
        </w:rPr>
      </w:pPr>
    </w:p>
    <w:p w14:paraId="385A8D77" w14:textId="77777777" w:rsidR="00817399" w:rsidRPr="002F2BC5" w:rsidRDefault="00817399" w:rsidP="00817399">
      <w:pPr>
        <w:spacing w:line="269" w:lineRule="auto"/>
        <w:rPr>
          <w:rtl/>
        </w:rPr>
      </w:pPr>
      <w:r w:rsidRPr="002F2BC5">
        <w:rPr>
          <w:rFonts w:hint="cs"/>
          <w:rtl/>
        </w:rPr>
        <w:t>ברוח דברים אלה התייחסה ועדת רוזנבאום בהמלצותיה לחשיבות של איסוף וניהול נתונים סטטיסטיים על היקפה של תופעת האלימות במשפחה. בהקשר זה ציינה הוועדה כי המידע נאסף על ידי גורמי הטיפול באופן חלקי ולא מתואם. ועדת רוזנבאום המליצה אפוא על הקמת ועדה משותפת למשרדי הממשלה הנוגעים בדבר, שתפקידה לאסוף מידע ונתונים סטטיסטיים על היקף תופעת האלימות במשפחה (</w:t>
      </w:r>
      <w:bookmarkStart w:id="538" w:name="_Hlk202090554"/>
      <w:r w:rsidRPr="002F2BC5">
        <w:rPr>
          <w:rFonts w:hint="cs"/>
          <w:rtl/>
        </w:rPr>
        <w:t>להלן - הוועדה לאיסוף מידע</w:t>
      </w:r>
      <w:bookmarkEnd w:id="538"/>
      <w:r w:rsidRPr="002F2BC5">
        <w:rPr>
          <w:rFonts w:hint="cs"/>
          <w:rtl/>
        </w:rPr>
        <w:t>). כן המליצה ועדת רוזנבאום כי הנתונים שייאספו על ידי הוועדה לאיסוף מידע ישמשו "בסיס לקידום מדיניות מבוססת עובדות ונתונים ב[נ]י השוואה" ויפורסמו מדי שנה לציבור</w:t>
      </w:r>
      <w:r w:rsidRPr="002F2BC5">
        <w:rPr>
          <w:rStyle w:val="af9"/>
          <w:rtl/>
        </w:rPr>
        <w:footnoteReference w:id="150"/>
      </w:r>
      <w:r w:rsidRPr="002F2BC5">
        <w:rPr>
          <w:rFonts w:hint="cs"/>
          <w:rtl/>
        </w:rPr>
        <w:t xml:space="preserve">. </w:t>
      </w:r>
    </w:p>
    <w:p w14:paraId="04F1CD40" w14:textId="77777777" w:rsidR="00817399" w:rsidRPr="002F2BC5" w:rsidRDefault="00817399" w:rsidP="00817399">
      <w:pPr>
        <w:spacing w:line="269" w:lineRule="auto"/>
        <w:rPr>
          <w:rtl/>
        </w:rPr>
      </w:pPr>
    </w:p>
    <w:p w14:paraId="4B5BBA82" w14:textId="77777777" w:rsidR="00817399" w:rsidRPr="002F2BC5" w:rsidRDefault="00817399" w:rsidP="00817399">
      <w:pPr>
        <w:spacing w:line="269" w:lineRule="auto"/>
        <w:rPr>
          <w:rtl/>
        </w:rPr>
      </w:pPr>
      <w:r w:rsidRPr="002F2BC5">
        <w:rPr>
          <w:rFonts w:hint="cs"/>
          <w:rtl/>
        </w:rPr>
        <w:t xml:space="preserve">בהקשר זה תועלת רבה לאיסוף וניהול הנתונים שלא באופן ידני אלא באופן ממוחשב, לרבות באמצעות מערכת ממוחשבת </w:t>
      </w:r>
      <w:r w:rsidRPr="002F2BC5">
        <w:rPr>
          <w:rFonts w:hint="eastAsia"/>
          <w:rtl/>
        </w:rPr>
        <w:t>מרכזית</w:t>
      </w:r>
      <w:r w:rsidRPr="002F2BC5">
        <w:rPr>
          <w:rtl/>
        </w:rPr>
        <w:t xml:space="preserve"> כפי שהמליצה ועדת המנכ"לים</w:t>
      </w:r>
      <w:r w:rsidRPr="002F2BC5">
        <w:rPr>
          <w:rStyle w:val="af9"/>
          <w:rtl/>
        </w:rPr>
        <w:footnoteReference w:id="151"/>
      </w:r>
      <w:r w:rsidRPr="002F2BC5">
        <w:rPr>
          <w:rtl/>
        </w:rPr>
        <w:t>.</w:t>
      </w:r>
      <w:r w:rsidRPr="002F2BC5">
        <w:rPr>
          <w:rFonts w:hint="cs"/>
          <w:rtl/>
        </w:rPr>
        <w:t xml:space="preserve"> זאת כדי להבטיח אחידות ולמנוע פערים בין נתונים המנוהלים במסדי נתונים נפרדים והנאספים באמצעות גורמים שונים, לאפשר נגישות וזמינות של הנתונים לכלל הגורמים הללו, בכפוף למגבלות החקיקה, וכן כדי להגביר את רמת הדיוק והמהימנות של הנתונים כבסיס לקביעת מדיניות וקבלת החלטות מתואמות ואחידות</w:t>
      </w:r>
      <w:r w:rsidRPr="002F2BC5">
        <w:rPr>
          <w:rStyle w:val="af9"/>
          <w:rtl/>
        </w:rPr>
        <w:footnoteReference w:id="152"/>
      </w:r>
      <w:r w:rsidRPr="002F2BC5">
        <w:rPr>
          <w:rFonts w:hint="cs"/>
          <w:rtl/>
        </w:rPr>
        <w:t>. על צורך זה, שבניהול ממוחשב של הנתונים, עמדה בהמלצותיה גם ועדת בן-שלום</w:t>
      </w:r>
      <w:r w:rsidRPr="002F2BC5">
        <w:rPr>
          <w:rStyle w:val="af9"/>
          <w:rtl/>
        </w:rPr>
        <w:footnoteReference w:id="153"/>
      </w:r>
      <w:r w:rsidRPr="002F2BC5">
        <w:rPr>
          <w:rFonts w:hint="cs"/>
          <w:rtl/>
        </w:rPr>
        <w:t>. כך גם משרד מבקר המדינה שב והמליץ לאורך השנים למשרד הרווחה לפעול לאלתר להקמת מאגר נתונים ממוחשב</w:t>
      </w:r>
      <w:r w:rsidRPr="002F2BC5">
        <w:rPr>
          <w:rStyle w:val="af9"/>
          <w:rtl/>
        </w:rPr>
        <w:footnoteReference w:id="154"/>
      </w:r>
      <w:r w:rsidRPr="002F2BC5">
        <w:rPr>
          <w:rFonts w:hint="cs"/>
          <w:rtl/>
        </w:rPr>
        <w:t>.</w:t>
      </w:r>
    </w:p>
    <w:p w14:paraId="190EF827" w14:textId="77777777" w:rsidR="00817399" w:rsidRPr="002F2BC5" w:rsidRDefault="00817399" w:rsidP="00817399">
      <w:pPr>
        <w:spacing w:line="269" w:lineRule="auto"/>
        <w:rPr>
          <w:rtl/>
        </w:rPr>
      </w:pPr>
    </w:p>
    <w:p w14:paraId="6E52AB5C" w14:textId="77777777" w:rsidR="00817399" w:rsidRPr="002F2BC5" w:rsidRDefault="00817399" w:rsidP="00817399">
      <w:pPr>
        <w:spacing w:line="269" w:lineRule="auto"/>
        <w:rPr>
          <w:rtl/>
        </w:rPr>
      </w:pPr>
      <w:bookmarkStart w:id="539" w:name="_Toc191986959"/>
      <w:bookmarkStart w:id="540" w:name="_Toc61359479"/>
      <w:r w:rsidRPr="002F2BC5">
        <w:rPr>
          <w:rStyle w:val="70"/>
          <w:rFonts w:hint="cs"/>
          <w:rtl/>
        </w:rPr>
        <w:t>הביקורת הקודמת:</w:t>
      </w:r>
      <w:bookmarkEnd w:id="539"/>
      <w:r w:rsidRPr="002F2BC5">
        <w:rPr>
          <w:rFonts w:hint="cs"/>
          <w:rtl/>
        </w:rPr>
        <w:t xml:space="preserve"> נמצא כי נכון לאוגוסט 2020 לא פעלה</w:t>
      </w:r>
      <w:r w:rsidRPr="002F2BC5">
        <w:rPr>
          <w:rtl/>
        </w:rPr>
        <w:t xml:space="preserve"> </w:t>
      </w:r>
      <w:r w:rsidRPr="002F2BC5">
        <w:rPr>
          <w:rFonts w:hint="eastAsia"/>
          <w:rtl/>
        </w:rPr>
        <w:t>מערכת</w:t>
      </w:r>
      <w:r w:rsidRPr="002F2BC5">
        <w:rPr>
          <w:rtl/>
        </w:rPr>
        <w:t xml:space="preserve"> </w:t>
      </w:r>
      <w:r w:rsidRPr="002F2BC5">
        <w:rPr>
          <w:rFonts w:hint="eastAsia"/>
          <w:rtl/>
        </w:rPr>
        <w:t>ממוחשבת</w:t>
      </w:r>
      <w:r w:rsidRPr="002F2BC5">
        <w:rPr>
          <w:rtl/>
        </w:rPr>
        <w:t xml:space="preserve"> </w:t>
      </w:r>
      <w:r w:rsidRPr="002F2BC5">
        <w:rPr>
          <w:rFonts w:hint="cs"/>
          <w:rtl/>
        </w:rPr>
        <w:t xml:space="preserve">מרכזית </w:t>
      </w:r>
      <w:r w:rsidRPr="002F2BC5">
        <w:rPr>
          <w:rFonts w:hint="eastAsia"/>
          <w:rtl/>
        </w:rPr>
        <w:t>לניהול</w:t>
      </w:r>
      <w:r w:rsidRPr="002F2BC5">
        <w:rPr>
          <w:rtl/>
        </w:rPr>
        <w:t xml:space="preserve"> </w:t>
      </w:r>
      <w:r w:rsidRPr="002F2BC5">
        <w:rPr>
          <w:rFonts w:hint="cs"/>
          <w:rtl/>
        </w:rPr>
        <w:t xml:space="preserve">הנתונים על תופעת האלימות במשפחה ועל אוכלוסיית מקבלי השירות בתחום זה. </w:t>
      </w:r>
      <w:r w:rsidRPr="002F2BC5">
        <w:rPr>
          <w:rFonts w:hint="eastAsia"/>
          <w:rtl/>
        </w:rPr>
        <w:t>הנתונים</w:t>
      </w:r>
      <w:r w:rsidRPr="002F2BC5">
        <w:rPr>
          <w:rFonts w:hint="cs"/>
          <w:rtl/>
        </w:rPr>
        <w:t xml:space="preserve"> נוהלו בחלקם באופן ידני ובחלקם במערכות מחשוב נפרדות והועברו בין משרדי הממשלה, בכפוף למגבלות החוק,</w:t>
      </w:r>
      <w:r w:rsidRPr="002F2BC5">
        <w:rPr>
          <w:rtl/>
        </w:rPr>
        <w:t xml:space="preserve"> </w:t>
      </w:r>
      <w:r w:rsidRPr="002F2BC5">
        <w:rPr>
          <w:rFonts w:hint="cs"/>
          <w:rtl/>
        </w:rPr>
        <w:t xml:space="preserve">באופן ידני </w:t>
      </w:r>
      <w:r w:rsidRPr="002F2BC5">
        <w:rPr>
          <w:rFonts w:hint="eastAsia"/>
          <w:rtl/>
        </w:rPr>
        <w:t>אחת</w:t>
      </w:r>
      <w:r w:rsidRPr="002F2BC5">
        <w:rPr>
          <w:rtl/>
        </w:rPr>
        <w:t xml:space="preserve"> </w:t>
      </w:r>
      <w:r w:rsidRPr="002F2BC5">
        <w:rPr>
          <w:rFonts w:hint="eastAsia"/>
          <w:rtl/>
        </w:rPr>
        <w:t>לחודש</w:t>
      </w:r>
      <w:r w:rsidRPr="002F2BC5">
        <w:rPr>
          <w:rFonts w:hint="cs"/>
          <w:rtl/>
        </w:rPr>
        <w:t>. עוד הועלה כי נתונים על פעילות המרכזים לטיפול ומניעת אלימות במשפחה נאספים מהרשויות המקומיות על ידי משרד הרווחה באופן ידני אחת לשנה.</w:t>
      </w:r>
    </w:p>
    <w:p w14:paraId="7484D54A" w14:textId="77777777" w:rsidR="00817399" w:rsidRPr="002F2BC5" w:rsidRDefault="00817399" w:rsidP="00817399">
      <w:pPr>
        <w:spacing w:line="269" w:lineRule="auto"/>
        <w:rPr>
          <w:rtl/>
        </w:rPr>
      </w:pPr>
    </w:p>
    <w:p w14:paraId="26F7753D"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במהלך שנת 2020 החלה לפעול ועדה בין-משרדית ייעודית בנושא לשם בחינה והצעת פתרונות מעשיים, בין השאר בהתייחס ליצירת מאגר נתונים משותף לגופים הממשלתיים לצורכי מדידה מתואמת וזיהוי מגמות.</w:t>
      </w:r>
    </w:p>
    <w:p w14:paraId="7E597AA6" w14:textId="77777777" w:rsidR="00817399" w:rsidRPr="002F2BC5" w:rsidRDefault="00817399" w:rsidP="00817399">
      <w:pPr>
        <w:spacing w:line="269" w:lineRule="auto"/>
        <w:rPr>
          <w:rtl/>
        </w:rPr>
      </w:pPr>
    </w:p>
    <w:p w14:paraId="49C33C2C" w14:textId="77777777" w:rsidR="00817399" w:rsidRPr="002F2BC5" w:rsidRDefault="00817399" w:rsidP="00817399">
      <w:pPr>
        <w:spacing w:line="269" w:lineRule="auto"/>
        <w:rPr>
          <w:rtl/>
        </w:rPr>
      </w:pPr>
      <w:bookmarkStart w:id="541" w:name="_Toc191986960"/>
      <w:r w:rsidRPr="002F2BC5">
        <w:rPr>
          <w:rStyle w:val="70"/>
          <w:rFonts w:hint="cs"/>
          <w:rtl/>
        </w:rPr>
        <w:t>ביקורת המעקב:</w:t>
      </w:r>
      <w:bookmarkEnd w:id="541"/>
      <w:r w:rsidRPr="002F2BC5">
        <w:rPr>
          <w:rFonts w:hint="cs"/>
          <w:rtl/>
        </w:rPr>
        <w:t xml:space="preserve"> נמצא כי נכון לאוגוסט 2024 טרם הוקמה מערכת ממוחשבת מרכזית לניהול נתונים על תופעת האלימות במשפחה, וכי נתונים על אוכלוסיית מקבלי השירות מנוהלים באופן חלקי - מקצתם באופן ידני ומקצתם במערכות מחשוב נפרדות. משום כך גם העברת הנתונים בין הרשויות המקומיות ובין הגופים הממשלתיים המעורבים בהתמודדות עם התופעה, לרבות בין </w:t>
      </w:r>
      <w:r w:rsidRPr="002F2BC5">
        <w:rPr>
          <w:rFonts w:hint="cs"/>
          <w:rtl/>
        </w:rPr>
        <w:lastRenderedPageBreak/>
        <w:t>הגופים הממשלתיים עצמם ולעיתים אף בין יחידות מקצועיות באותו הגוף הממשלתי</w:t>
      </w:r>
      <w:r w:rsidRPr="002F2BC5">
        <w:rPr>
          <w:rStyle w:val="af9"/>
          <w:rtl/>
        </w:rPr>
        <w:footnoteReference w:id="155"/>
      </w:r>
      <w:r w:rsidRPr="002F2BC5">
        <w:rPr>
          <w:rFonts w:hint="cs"/>
          <w:rtl/>
        </w:rPr>
        <w:t>, ממשיכה להיעשות, בחלקה או במלואה, באופן ידני או שאינה נעשית כלל, על אף חיוניותו של מהלך כזה לשם שיתוף פעולה ותיאום בין כלל הגורמים הנוגעים בדבר.</w:t>
      </w:r>
    </w:p>
    <w:p w14:paraId="61E84637" w14:textId="77777777" w:rsidR="00817399" w:rsidRPr="002F2BC5" w:rsidRDefault="00817399" w:rsidP="00817399">
      <w:pPr>
        <w:spacing w:line="269" w:lineRule="auto"/>
        <w:rPr>
          <w:rtl/>
        </w:rPr>
      </w:pPr>
    </w:p>
    <w:p w14:paraId="26DA8AD7" w14:textId="77777777" w:rsidR="00817399" w:rsidRPr="002F2BC5" w:rsidRDefault="00817399" w:rsidP="00817399">
      <w:pPr>
        <w:spacing w:line="269" w:lineRule="auto"/>
        <w:rPr>
          <w:rtl/>
        </w:rPr>
      </w:pPr>
      <w:r w:rsidRPr="002F2BC5">
        <w:rPr>
          <w:rFonts w:hint="cs"/>
          <w:rtl/>
        </w:rPr>
        <w:t>לצד האמור הועלה כי במועד סיום ביקורת המעקב, בדצמבר 2024, משרד הרווחה החל בהטמעתה של מערכת ממוחשבת ייעודית לניהול תהליכי העבודה של המרכזים לטיפול ומניעת אלימות במשפחה ברשויות המקומיות, לאחר שהושלם אפיונה. מערכת זו נועדה לייצר ממשק עבודה ממוחשב וקבוע בין משרד הרווחה לרשויות המקומיות ולייתר את הצורך בהעברת הדיווחים הידניים למשרד הרווחה מדי שנה (</w:t>
      </w:r>
      <w:bookmarkStart w:id="542" w:name="_Hlk202090965"/>
      <w:r w:rsidRPr="002F2BC5">
        <w:rPr>
          <w:rFonts w:hint="cs"/>
          <w:rtl/>
        </w:rPr>
        <w:t>להלן גם - המערכת הממוחשבת</w:t>
      </w:r>
      <w:bookmarkEnd w:id="542"/>
      <w:r w:rsidRPr="002F2BC5">
        <w:rPr>
          <w:rFonts w:hint="cs"/>
          <w:rtl/>
        </w:rPr>
        <w:t xml:space="preserve">). </w:t>
      </w:r>
    </w:p>
    <w:p w14:paraId="290D324C" w14:textId="77777777" w:rsidR="00817399" w:rsidRPr="002F2BC5" w:rsidRDefault="00817399" w:rsidP="00817399">
      <w:pPr>
        <w:spacing w:line="269" w:lineRule="auto"/>
        <w:rPr>
          <w:rtl/>
        </w:rPr>
      </w:pPr>
    </w:p>
    <w:p w14:paraId="7A4F5F6E" w14:textId="77777777" w:rsidR="00817399" w:rsidRPr="002F2BC5" w:rsidRDefault="00817399" w:rsidP="00817399">
      <w:pPr>
        <w:pStyle w:val="afffffff9"/>
        <w:spacing w:line="269" w:lineRule="auto"/>
        <w:rPr>
          <w:rtl/>
        </w:rPr>
      </w:pPr>
      <w:bookmarkStart w:id="543" w:name="_Toc192093064"/>
      <w:bookmarkStart w:id="544" w:name="_Toc191986961"/>
      <w:bookmarkStart w:id="545" w:name="_Toc192612772"/>
      <w:bookmarkStart w:id="546" w:name="_Toc198312195"/>
      <w:bookmarkStart w:id="547" w:name="_Toc198312670"/>
      <w:bookmarkStart w:id="548" w:name="_Toc200636856"/>
      <w:bookmarkStart w:id="549" w:name="_Toc200439855"/>
      <w:bookmarkStart w:id="550" w:name="_Toc201240960"/>
      <w:bookmarkStart w:id="551" w:name="_Hlk192492569"/>
      <w:r w:rsidRPr="002F2BC5">
        <w:rPr>
          <w:rtl/>
        </w:rPr>
        <w:t>הביקורת הקודמת העלתה כי נכון לאוגוסט 2020</w:t>
      </w:r>
      <w:r w:rsidRPr="002F2BC5">
        <w:rPr>
          <w:rFonts w:hint="cs"/>
          <w:rtl/>
        </w:rPr>
        <w:t>,</w:t>
      </w:r>
      <w:r w:rsidRPr="002F2BC5">
        <w:rPr>
          <w:rtl/>
        </w:rPr>
        <w:t xml:space="preserve"> לא פעלה מערכת ממוחשבת מרכזית לניהול הנתונים על תופעת האלימות במשפחה ועל אוכלוסיית מקבלי השירות בתחום זה.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כי הליקוי תוקן במידה מועטה. </w:t>
      </w:r>
      <w:r w:rsidRPr="002F2BC5">
        <w:rPr>
          <w:rFonts w:hint="eastAsia"/>
          <w:rtl/>
        </w:rPr>
        <w:t>נמצא</w:t>
      </w:r>
      <w:r w:rsidRPr="002F2BC5">
        <w:rPr>
          <w:rtl/>
        </w:rPr>
        <w:t xml:space="preserve"> כי במועד </w:t>
      </w:r>
      <w:r w:rsidRPr="002F2BC5">
        <w:rPr>
          <w:rFonts w:hint="eastAsia"/>
          <w:rtl/>
        </w:rPr>
        <w:t>סיומה</w:t>
      </w:r>
      <w:r w:rsidRPr="002F2BC5">
        <w:rPr>
          <w:rtl/>
        </w:rPr>
        <w:t xml:space="preserve">, בדצמבר 2024, </w:t>
      </w:r>
      <w:r w:rsidRPr="002F2BC5">
        <w:rPr>
          <w:rFonts w:hint="eastAsia"/>
          <w:rtl/>
        </w:rPr>
        <w:t>הוועדה</w:t>
      </w:r>
      <w:r w:rsidRPr="002F2BC5">
        <w:rPr>
          <w:rtl/>
        </w:rPr>
        <w:t xml:space="preserve"> </w:t>
      </w:r>
      <w:r w:rsidRPr="002F2BC5">
        <w:rPr>
          <w:rFonts w:hint="eastAsia"/>
          <w:rtl/>
        </w:rPr>
        <w:t>הבין</w:t>
      </w:r>
      <w:r w:rsidRPr="002F2BC5">
        <w:rPr>
          <w:rtl/>
        </w:rPr>
        <w:t xml:space="preserve">-משרדית </w:t>
      </w:r>
      <w:r w:rsidRPr="002F2BC5">
        <w:rPr>
          <w:rFonts w:hint="eastAsia"/>
          <w:rtl/>
        </w:rPr>
        <w:t>הקבועה</w:t>
      </w:r>
      <w:r w:rsidRPr="002F2BC5">
        <w:rPr>
          <w:rtl/>
        </w:rPr>
        <w:t xml:space="preserve">, </w:t>
      </w:r>
      <w:r w:rsidRPr="002F2BC5">
        <w:rPr>
          <w:rFonts w:hint="eastAsia"/>
          <w:rtl/>
        </w:rPr>
        <w:t>בראשות</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טרם</w:t>
      </w:r>
      <w:r w:rsidRPr="002F2BC5">
        <w:rPr>
          <w:rtl/>
        </w:rPr>
        <w:t xml:space="preserve"> </w:t>
      </w:r>
      <w:r w:rsidRPr="002F2BC5">
        <w:rPr>
          <w:rFonts w:hint="eastAsia"/>
          <w:rtl/>
        </w:rPr>
        <w:t>השלימה</w:t>
      </w:r>
      <w:r w:rsidRPr="002F2BC5">
        <w:rPr>
          <w:rtl/>
        </w:rPr>
        <w:t xml:space="preserve"> </w:t>
      </w:r>
      <w:r w:rsidRPr="002F2BC5">
        <w:rPr>
          <w:rFonts w:hint="eastAsia"/>
          <w:rtl/>
        </w:rPr>
        <w:t>את</w:t>
      </w:r>
      <w:r w:rsidRPr="002F2BC5">
        <w:rPr>
          <w:rtl/>
        </w:rPr>
        <w:t xml:space="preserve"> </w:t>
      </w:r>
      <w:r w:rsidRPr="002F2BC5">
        <w:rPr>
          <w:rFonts w:hint="eastAsia"/>
          <w:rtl/>
        </w:rPr>
        <w:t>הקמתה</w:t>
      </w:r>
      <w:r w:rsidRPr="002F2BC5">
        <w:rPr>
          <w:rtl/>
        </w:rPr>
        <w:t xml:space="preserve"> </w:t>
      </w:r>
      <w:r w:rsidRPr="002F2BC5">
        <w:rPr>
          <w:rFonts w:hint="eastAsia"/>
          <w:rtl/>
        </w:rPr>
        <w:t>של</w:t>
      </w:r>
      <w:r w:rsidRPr="002F2BC5">
        <w:rPr>
          <w:rtl/>
        </w:rPr>
        <w:t xml:space="preserve"> מערכת ממוחשבת מרכזית כהמלצתה של ועדת המנכ"לים.</w:t>
      </w:r>
      <w:r w:rsidRPr="002F2BC5">
        <w:rPr>
          <w:rFonts w:hint="cs"/>
          <w:rtl/>
        </w:rPr>
        <w:t xml:space="preserve"> במצב דברים זה נתונים החיוניים לגיבושה של מדיניות מתואמת ולהערכתה</w:t>
      </w:r>
      <w:r w:rsidRPr="002F2BC5">
        <w:rPr>
          <w:rStyle w:val="af9"/>
          <w:b w:val="0"/>
          <w:bCs w:val="0"/>
          <w:rtl/>
        </w:rPr>
        <w:footnoteReference w:id="156"/>
      </w:r>
      <w:r w:rsidRPr="002F2BC5">
        <w:rPr>
          <w:rFonts w:hint="cs"/>
          <w:rtl/>
        </w:rPr>
        <w:t xml:space="preserve"> לאורך זמן עלולים שלא לעמוד בעת הצורך לרשות מקבלי ההחלטות</w:t>
      </w:r>
      <w:bookmarkStart w:id="552" w:name="_Hlk192494134"/>
      <w:r w:rsidRPr="002F2BC5">
        <w:rPr>
          <w:rFonts w:hint="cs"/>
          <w:rtl/>
        </w:rPr>
        <w:t>, ו</w:t>
      </w:r>
      <w:r w:rsidRPr="002F2BC5">
        <w:rPr>
          <w:rFonts w:hint="eastAsia"/>
          <w:rtl/>
        </w:rPr>
        <w:t>בכלל</w:t>
      </w:r>
      <w:r w:rsidRPr="002F2BC5">
        <w:rPr>
          <w:rtl/>
        </w:rPr>
        <w:t xml:space="preserve"> </w:t>
      </w:r>
      <w:r w:rsidRPr="002F2BC5">
        <w:rPr>
          <w:rFonts w:hint="eastAsia"/>
          <w:rtl/>
        </w:rPr>
        <w:t>זה</w:t>
      </w:r>
      <w:r w:rsidRPr="002F2BC5">
        <w:rPr>
          <w:rtl/>
        </w:rPr>
        <w:t xml:space="preserve"> </w:t>
      </w:r>
      <w:r w:rsidRPr="002F2BC5">
        <w:rPr>
          <w:rFonts w:hint="eastAsia"/>
          <w:rtl/>
        </w:rPr>
        <w:t>נתונים</w:t>
      </w:r>
      <w:r w:rsidRPr="002F2BC5">
        <w:rPr>
          <w:rtl/>
        </w:rPr>
        <w:t xml:space="preserve"> </w:t>
      </w:r>
      <w:r w:rsidRPr="002F2BC5">
        <w:rPr>
          <w:rFonts w:hint="eastAsia"/>
          <w:rtl/>
        </w:rPr>
        <w:t>על</w:t>
      </w:r>
      <w:r w:rsidRPr="002F2BC5">
        <w:rPr>
          <w:rtl/>
        </w:rPr>
        <w:t xml:space="preserve"> </w:t>
      </w:r>
      <w:r w:rsidRPr="002F2BC5">
        <w:rPr>
          <w:rFonts w:hint="eastAsia"/>
          <w:rtl/>
        </w:rPr>
        <w:t>הפער</w:t>
      </w:r>
      <w:r w:rsidRPr="002F2BC5">
        <w:rPr>
          <w:rtl/>
        </w:rPr>
        <w:t xml:space="preserve"> </w:t>
      </w:r>
      <w:r w:rsidRPr="002F2BC5">
        <w:rPr>
          <w:rFonts w:hint="eastAsia"/>
          <w:rtl/>
        </w:rPr>
        <w:t>שבין</w:t>
      </w:r>
      <w:r w:rsidRPr="002F2BC5">
        <w:rPr>
          <w:rtl/>
        </w:rPr>
        <w:t xml:space="preserve"> </w:t>
      </w:r>
      <w:r w:rsidRPr="002F2BC5">
        <w:rPr>
          <w:rFonts w:hint="eastAsia"/>
          <w:rtl/>
        </w:rPr>
        <w:t>היקף</w:t>
      </w:r>
      <w:r w:rsidRPr="002F2BC5">
        <w:rPr>
          <w:rtl/>
        </w:rPr>
        <w:t xml:space="preserve">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cs"/>
          <w:rtl/>
        </w:rPr>
        <w:t xml:space="preserve">הגופנית החמורה </w:t>
      </w:r>
      <w:r w:rsidRPr="002F2BC5">
        <w:rPr>
          <w:rFonts w:hint="eastAsia"/>
          <w:rtl/>
        </w:rPr>
        <w:t>במערכת</w:t>
      </w:r>
      <w:r w:rsidRPr="002F2BC5">
        <w:rPr>
          <w:rtl/>
        </w:rPr>
        <w:t xml:space="preserve"> </w:t>
      </w:r>
      <w:r w:rsidRPr="002F2BC5">
        <w:rPr>
          <w:rFonts w:hint="eastAsia"/>
          <w:rtl/>
        </w:rPr>
        <w:t>היחסים</w:t>
      </w:r>
      <w:r w:rsidRPr="002F2BC5">
        <w:rPr>
          <w:rtl/>
        </w:rPr>
        <w:t xml:space="preserve"> </w:t>
      </w:r>
      <w:r w:rsidRPr="002F2BC5">
        <w:rPr>
          <w:rFonts w:hint="eastAsia"/>
          <w:rtl/>
        </w:rPr>
        <w:t>הזוגית</w:t>
      </w:r>
      <w:r w:rsidRPr="002F2BC5">
        <w:rPr>
          <w:rtl/>
        </w:rPr>
        <w:t xml:space="preserve"> </w:t>
      </w:r>
      <w:r w:rsidRPr="002F2BC5">
        <w:rPr>
          <w:rFonts w:hint="eastAsia"/>
          <w:rtl/>
        </w:rPr>
        <w:t>בכלל</w:t>
      </w:r>
      <w:r w:rsidRPr="002F2BC5">
        <w:rPr>
          <w:rtl/>
        </w:rPr>
        <w:t xml:space="preserve"> </w:t>
      </w:r>
      <w:r w:rsidRPr="002F2BC5">
        <w:rPr>
          <w:rFonts w:hint="eastAsia"/>
          <w:rtl/>
        </w:rPr>
        <w:t>האוכלוסייה</w:t>
      </w:r>
      <w:r w:rsidRPr="002F2BC5">
        <w:rPr>
          <w:rtl/>
        </w:rPr>
        <w:t xml:space="preserve"> (כ-</w:t>
      </w:r>
      <w:r w:rsidRPr="002F2BC5">
        <w:rPr>
          <w:rFonts w:hint="cs"/>
          <w:rtl/>
        </w:rPr>
        <w:t>146</w:t>
      </w:r>
      <w:r w:rsidRPr="002F2BC5">
        <w:rPr>
          <w:rtl/>
        </w:rPr>
        <w:t xml:space="preserve">,000 </w:t>
      </w:r>
      <w:r w:rsidRPr="002F2BC5">
        <w:rPr>
          <w:rFonts w:hint="eastAsia"/>
          <w:rtl/>
        </w:rPr>
        <w:t>נשים</w:t>
      </w:r>
      <w:r w:rsidRPr="002F2BC5">
        <w:rPr>
          <w:rtl/>
        </w:rPr>
        <w:t xml:space="preserve"> </w:t>
      </w:r>
      <w:r w:rsidRPr="002F2BC5">
        <w:rPr>
          <w:rFonts w:hint="eastAsia"/>
          <w:rtl/>
        </w:rPr>
        <w:t>וגברים</w:t>
      </w:r>
      <w:r w:rsidRPr="002F2BC5">
        <w:rPr>
          <w:rFonts w:hint="cs"/>
          <w:rtl/>
        </w:rPr>
        <w:t xml:space="preserve"> בגילי 18 עד 65</w:t>
      </w:r>
      <w:r w:rsidRPr="002F2BC5">
        <w:rPr>
          <w:rtl/>
        </w:rPr>
        <w:t xml:space="preserve">, </w:t>
      </w:r>
      <w:r w:rsidRPr="002F2BC5">
        <w:rPr>
          <w:rFonts w:hint="eastAsia"/>
          <w:rtl/>
        </w:rPr>
        <w:t>לפי</w:t>
      </w:r>
      <w:r w:rsidRPr="002F2BC5">
        <w:rPr>
          <w:rtl/>
        </w:rPr>
        <w:t xml:space="preserve"> </w:t>
      </w:r>
      <w:r w:rsidRPr="002F2BC5">
        <w:rPr>
          <w:rFonts w:hint="eastAsia"/>
          <w:rtl/>
        </w:rPr>
        <w:t>ממצאי</w:t>
      </w:r>
      <w:r w:rsidRPr="002F2BC5">
        <w:rPr>
          <w:rtl/>
        </w:rPr>
        <w:t xml:space="preserve"> </w:t>
      </w:r>
      <w:r w:rsidRPr="002F2BC5">
        <w:rPr>
          <w:rFonts w:hint="eastAsia"/>
          <w:rtl/>
        </w:rPr>
        <w:t>הסקר</w:t>
      </w:r>
      <w:r w:rsidRPr="002F2BC5">
        <w:rPr>
          <w:rtl/>
        </w:rPr>
        <w:t xml:space="preserve"> </w:t>
      </w:r>
      <w:r w:rsidRPr="002F2BC5">
        <w:rPr>
          <w:rFonts w:hint="eastAsia"/>
          <w:rtl/>
        </w:rPr>
        <w:t>העדכני</w:t>
      </w:r>
      <w:r w:rsidRPr="002F2BC5">
        <w:rPr>
          <w:rtl/>
        </w:rPr>
        <w:t xml:space="preserve">) </w:t>
      </w:r>
      <w:r w:rsidRPr="002F2BC5">
        <w:rPr>
          <w:rFonts w:hint="eastAsia"/>
          <w:rtl/>
        </w:rPr>
        <w:t>ובין</w:t>
      </w:r>
      <w:r w:rsidRPr="002F2BC5">
        <w:rPr>
          <w:rtl/>
        </w:rPr>
        <w:t xml:space="preserve"> </w:t>
      </w:r>
      <w:r w:rsidRPr="002F2BC5">
        <w:rPr>
          <w:rFonts w:hint="eastAsia"/>
          <w:rtl/>
        </w:rPr>
        <w:t>היקפה</w:t>
      </w:r>
      <w:r w:rsidRPr="002F2BC5">
        <w:rPr>
          <w:rtl/>
        </w:rPr>
        <w:t xml:space="preserve"> </w:t>
      </w:r>
      <w:r w:rsidRPr="002F2BC5">
        <w:rPr>
          <w:rFonts w:hint="eastAsia"/>
          <w:rtl/>
        </w:rPr>
        <w:t>של</w:t>
      </w:r>
      <w:r w:rsidRPr="002F2BC5">
        <w:rPr>
          <w:rtl/>
        </w:rPr>
        <w:t xml:space="preserve"> </w:t>
      </w:r>
      <w:r w:rsidRPr="002F2BC5">
        <w:rPr>
          <w:rFonts w:hint="eastAsia"/>
          <w:rtl/>
        </w:rPr>
        <w:t>אוכלוסיית</w:t>
      </w:r>
      <w:r w:rsidRPr="002F2BC5">
        <w:rPr>
          <w:rtl/>
        </w:rPr>
        <w:t xml:space="preserve"> </w:t>
      </w:r>
      <w:r w:rsidRPr="002F2BC5">
        <w:rPr>
          <w:rFonts w:hint="eastAsia"/>
          <w:rtl/>
        </w:rPr>
        <w:t>מקבלי</w:t>
      </w:r>
      <w:r w:rsidRPr="002F2BC5">
        <w:rPr>
          <w:rtl/>
        </w:rPr>
        <w:t xml:space="preserve"> </w:t>
      </w:r>
      <w:r w:rsidRPr="002F2BC5">
        <w:rPr>
          <w:rFonts w:hint="eastAsia"/>
          <w:rtl/>
        </w:rPr>
        <w:t>השירותים</w:t>
      </w:r>
      <w:r w:rsidRPr="002F2BC5">
        <w:rPr>
          <w:rtl/>
        </w:rPr>
        <w:t xml:space="preserve"> </w:t>
      </w:r>
      <w:r w:rsidRPr="002F2BC5">
        <w:rPr>
          <w:rFonts w:hint="eastAsia"/>
          <w:rtl/>
        </w:rPr>
        <w:t>בתחום</w:t>
      </w:r>
      <w:r w:rsidRPr="002F2BC5">
        <w:rPr>
          <w:rtl/>
        </w:rPr>
        <w:t xml:space="preserve"> </w:t>
      </w:r>
      <w:r w:rsidRPr="002F2BC5">
        <w:rPr>
          <w:rFonts w:hint="eastAsia"/>
          <w:rtl/>
        </w:rPr>
        <w:t>זה</w:t>
      </w:r>
      <w:r w:rsidRPr="002F2BC5">
        <w:rPr>
          <w:rtl/>
        </w:rPr>
        <w:t xml:space="preserve"> </w:t>
      </w:r>
      <w:r w:rsidRPr="002F2BC5">
        <w:rPr>
          <w:rFonts w:hint="eastAsia"/>
          <w:rtl/>
        </w:rPr>
        <w:t>בפועל</w:t>
      </w:r>
      <w:r w:rsidRPr="002F2BC5">
        <w:rPr>
          <w:rtl/>
        </w:rPr>
        <w:t xml:space="preserve"> (</w:t>
      </w:r>
      <w:r w:rsidRPr="002F2BC5">
        <w:rPr>
          <w:rFonts w:hint="cs"/>
          <w:rtl/>
        </w:rPr>
        <w:t>כ-17,000</w:t>
      </w:r>
      <w:r w:rsidRPr="002F2BC5">
        <w:rPr>
          <w:rtl/>
        </w:rPr>
        <w:t xml:space="preserve"> </w:t>
      </w:r>
      <w:r w:rsidRPr="002F2BC5">
        <w:rPr>
          <w:rFonts w:hint="cs"/>
          <w:rtl/>
        </w:rPr>
        <w:t xml:space="preserve">נשים וגברים בלבד בגילי 15 ומעלה שהם או בני משפחתם היו </w:t>
      </w:r>
      <w:r w:rsidRPr="002F2BC5">
        <w:rPr>
          <w:rFonts w:hint="eastAsia"/>
          <w:rtl/>
        </w:rPr>
        <w:t>רשומים</w:t>
      </w:r>
      <w:r w:rsidRPr="002F2BC5">
        <w:rPr>
          <w:rtl/>
        </w:rPr>
        <w:t xml:space="preserve"> </w:t>
      </w:r>
      <w:r w:rsidRPr="002F2BC5">
        <w:rPr>
          <w:rFonts w:hint="eastAsia"/>
          <w:rtl/>
        </w:rPr>
        <w:t>כבעלי</w:t>
      </w:r>
      <w:r w:rsidRPr="002F2BC5">
        <w:rPr>
          <w:rtl/>
        </w:rPr>
        <w:t xml:space="preserve"> </w:t>
      </w:r>
      <w:r w:rsidRPr="002F2BC5">
        <w:rPr>
          <w:rFonts w:hint="eastAsia"/>
          <w:rtl/>
        </w:rPr>
        <w:t>נזקקות</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במחלקות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Fonts w:hint="cs"/>
          <w:rtl/>
        </w:rPr>
        <w:t>, אשר מהם כ-12,300 נשים וגברים מטופלים במרכזים לטיפול ומניעת אלימות במשפחה</w:t>
      </w:r>
      <w:r w:rsidRPr="002F2BC5">
        <w:rPr>
          <w:rtl/>
        </w:rPr>
        <w:t>).</w:t>
      </w:r>
      <w:r w:rsidRPr="002F2BC5">
        <w:rPr>
          <w:rFonts w:hint="cs"/>
          <w:rtl/>
        </w:rPr>
        <w:t xml:space="preserve"> </w:t>
      </w:r>
      <w:bookmarkEnd w:id="552"/>
      <w:r w:rsidRPr="002F2BC5">
        <w:rPr>
          <w:rFonts w:hint="cs"/>
          <w:rtl/>
        </w:rPr>
        <w:t>כמו כן, אי אפשר להבטיח את מהימנותם ואת עדכניותם לאורך זמן, בייחוד בכל הקשור לנתונים הנאספים באופן ידני.</w:t>
      </w:r>
      <w:bookmarkEnd w:id="543"/>
      <w:bookmarkEnd w:id="544"/>
      <w:bookmarkEnd w:id="545"/>
      <w:bookmarkEnd w:id="546"/>
      <w:bookmarkEnd w:id="547"/>
      <w:bookmarkEnd w:id="548"/>
      <w:bookmarkEnd w:id="549"/>
      <w:bookmarkEnd w:id="550"/>
    </w:p>
    <w:bookmarkEnd w:id="551"/>
    <w:p w14:paraId="520CE649" w14:textId="77777777" w:rsidR="00817399" w:rsidRPr="002F2BC5" w:rsidRDefault="00817399" w:rsidP="00817399">
      <w:pPr>
        <w:spacing w:line="269" w:lineRule="auto"/>
        <w:rPr>
          <w:rtl/>
        </w:rPr>
      </w:pPr>
    </w:p>
    <w:p w14:paraId="53EB6AF1" w14:textId="77777777" w:rsidR="00817399" w:rsidRPr="002F2BC5" w:rsidRDefault="00817399" w:rsidP="00817399">
      <w:pPr>
        <w:spacing w:line="269" w:lineRule="auto"/>
        <w:rPr>
          <w:b/>
          <w:bCs/>
          <w:rtl/>
        </w:rPr>
      </w:pPr>
      <w:r w:rsidRPr="002F2BC5">
        <w:rPr>
          <w:rFonts w:hint="eastAsia"/>
          <w:b/>
          <w:bCs/>
          <w:rtl/>
        </w:rPr>
        <w:t>יצוין</w:t>
      </w:r>
      <w:r w:rsidRPr="002F2BC5">
        <w:rPr>
          <w:b/>
          <w:bCs/>
          <w:rtl/>
        </w:rPr>
        <w:t xml:space="preserve"> </w:t>
      </w:r>
      <w:r w:rsidRPr="002F2BC5">
        <w:rPr>
          <w:rFonts w:hint="eastAsia"/>
          <w:b/>
          <w:bCs/>
          <w:rtl/>
        </w:rPr>
        <w:t>כי</w:t>
      </w:r>
      <w:r w:rsidRPr="002F2BC5">
        <w:rPr>
          <w:b/>
          <w:bCs/>
          <w:rtl/>
        </w:rPr>
        <w:t xml:space="preserve"> </w:t>
      </w:r>
      <w:r w:rsidRPr="002F2BC5">
        <w:rPr>
          <w:rFonts w:hint="eastAsia"/>
          <w:b/>
          <w:bCs/>
          <w:rtl/>
        </w:rPr>
        <w:t>במהלך</w:t>
      </w:r>
      <w:r w:rsidRPr="002F2BC5">
        <w:rPr>
          <w:b/>
          <w:bCs/>
          <w:rtl/>
        </w:rPr>
        <w:t xml:space="preserve"> </w:t>
      </w:r>
      <w:r w:rsidRPr="002F2BC5">
        <w:rPr>
          <w:rFonts w:hint="eastAsia"/>
          <w:b/>
          <w:bCs/>
          <w:rtl/>
        </w:rPr>
        <w:t>ביקורת</w:t>
      </w:r>
      <w:r w:rsidRPr="002F2BC5">
        <w:rPr>
          <w:b/>
          <w:bCs/>
          <w:rtl/>
        </w:rPr>
        <w:t xml:space="preserve"> </w:t>
      </w:r>
      <w:r w:rsidRPr="002F2BC5">
        <w:rPr>
          <w:rFonts w:hint="eastAsia"/>
          <w:b/>
          <w:bCs/>
          <w:rtl/>
        </w:rPr>
        <w:t>המעקב</w:t>
      </w:r>
      <w:r w:rsidRPr="002F2BC5">
        <w:rPr>
          <w:b/>
          <w:bCs/>
          <w:rtl/>
        </w:rPr>
        <w:t xml:space="preserve">, </w:t>
      </w:r>
      <w:r w:rsidRPr="002F2BC5">
        <w:rPr>
          <w:rFonts w:hint="eastAsia"/>
          <w:b/>
          <w:bCs/>
          <w:rtl/>
        </w:rPr>
        <w:t>בנובמבר</w:t>
      </w:r>
      <w:r w:rsidRPr="002F2BC5">
        <w:rPr>
          <w:b/>
          <w:bCs/>
          <w:rtl/>
        </w:rPr>
        <w:t xml:space="preserve"> 2024, </w:t>
      </w:r>
      <w:r w:rsidRPr="002F2BC5">
        <w:rPr>
          <w:rFonts w:hint="eastAsia"/>
          <w:b/>
          <w:bCs/>
          <w:rtl/>
        </w:rPr>
        <w:t>הרשות</w:t>
      </w:r>
      <w:r w:rsidRPr="002F2BC5">
        <w:rPr>
          <w:b/>
          <w:bCs/>
          <w:rtl/>
        </w:rPr>
        <w:t xml:space="preserve"> </w:t>
      </w:r>
      <w:r w:rsidRPr="002F2BC5">
        <w:rPr>
          <w:rFonts w:hint="eastAsia"/>
          <w:b/>
          <w:bCs/>
          <w:rtl/>
        </w:rPr>
        <w:t>לקידום</w:t>
      </w:r>
      <w:r w:rsidRPr="002F2BC5">
        <w:rPr>
          <w:b/>
          <w:bCs/>
          <w:rtl/>
        </w:rPr>
        <w:t xml:space="preserve"> </w:t>
      </w:r>
      <w:r w:rsidRPr="002F2BC5">
        <w:rPr>
          <w:rFonts w:hint="eastAsia"/>
          <w:b/>
          <w:bCs/>
          <w:rtl/>
        </w:rPr>
        <w:t>מעמד</w:t>
      </w:r>
      <w:r w:rsidRPr="002F2BC5">
        <w:rPr>
          <w:b/>
          <w:bCs/>
          <w:rtl/>
        </w:rPr>
        <w:t xml:space="preserve"> </w:t>
      </w:r>
      <w:r w:rsidRPr="002F2BC5">
        <w:rPr>
          <w:rFonts w:hint="eastAsia"/>
          <w:b/>
          <w:bCs/>
          <w:rtl/>
        </w:rPr>
        <w:t>האישה</w:t>
      </w:r>
      <w:r w:rsidRPr="002F2BC5">
        <w:rPr>
          <w:b/>
          <w:bCs/>
          <w:rtl/>
        </w:rPr>
        <w:t xml:space="preserve"> השיקה במרשתת, </w:t>
      </w:r>
      <w:r w:rsidRPr="002F2BC5">
        <w:rPr>
          <w:rFonts w:hint="eastAsia"/>
          <w:b/>
          <w:bCs/>
          <w:rtl/>
        </w:rPr>
        <w:t>בשיתוף</w:t>
      </w:r>
      <w:r w:rsidRPr="002F2BC5">
        <w:rPr>
          <w:b/>
          <w:bCs/>
          <w:rtl/>
        </w:rPr>
        <w:t xml:space="preserve"> </w:t>
      </w:r>
      <w:r w:rsidRPr="002F2BC5">
        <w:rPr>
          <w:rFonts w:hint="eastAsia"/>
          <w:b/>
          <w:bCs/>
          <w:rtl/>
        </w:rPr>
        <w:t>פעולה</w:t>
      </w:r>
      <w:r w:rsidRPr="002F2BC5">
        <w:rPr>
          <w:b/>
          <w:bCs/>
          <w:rtl/>
        </w:rPr>
        <w:t xml:space="preserve"> </w:t>
      </w:r>
      <w:r w:rsidRPr="002F2BC5">
        <w:rPr>
          <w:rFonts w:hint="eastAsia"/>
          <w:b/>
          <w:bCs/>
          <w:rtl/>
        </w:rPr>
        <w:t>מקצועי</w:t>
      </w:r>
      <w:r w:rsidRPr="002F2BC5">
        <w:rPr>
          <w:b/>
          <w:bCs/>
          <w:rtl/>
        </w:rPr>
        <w:t xml:space="preserve"> </w:t>
      </w:r>
      <w:r w:rsidRPr="002F2BC5">
        <w:rPr>
          <w:rFonts w:hint="eastAsia"/>
          <w:b/>
          <w:bCs/>
          <w:rtl/>
        </w:rPr>
        <w:t>עם</w:t>
      </w:r>
      <w:r w:rsidRPr="002F2BC5">
        <w:rPr>
          <w:b/>
          <w:bCs/>
          <w:rtl/>
        </w:rPr>
        <w:t xml:space="preserve"> </w:t>
      </w:r>
      <w:r w:rsidRPr="002F2BC5">
        <w:rPr>
          <w:rFonts w:hint="eastAsia"/>
          <w:b/>
          <w:bCs/>
          <w:rtl/>
        </w:rPr>
        <w:t>הלמ</w:t>
      </w:r>
      <w:r w:rsidRPr="002F2BC5">
        <w:rPr>
          <w:b/>
          <w:bCs/>
          <w:rtl/>
        </w:rPr>
        <w:t xml:space="preserve">"ס, כלי ממוחשב </w:t>
      </w:r>
      <w:r w:rsidRPr="002F2BC5">
        <w:rPr>
          <w:rFonts w:hint="eastAsia"/>
          <w:b/>
          <w:bCs/>
          <w:rtl/>
        </w:rPr>
        <w:t>המיועד</w:t>
      </w:r>
      <w:r w:rsidRPr="002F2BC5">
        <w:rPr>
          <w:b/>
          <w:bCs/>
          <w:rtl/>
        </w:rPr>
        <w:t xml:space="preserve"> </w:t>
      </w:r>
      <w:r w:rsidRPr="002F2BC5">
        <w:rPr>
          <w:rFonts w:hint="eastAsia"/>
          <w:b/>
          <w:bCs/>
          <w:rtl/>
        </w:rPr>
        <w:t>להנגיש</w:t>
      </w:r>
      <w:r w:rsidRPr="002F2BC5">
        <w:rPr>
          <w:b/>
          <w:bCs/>
          <w:rtl/>
        </w:rPr>
        <w:t xml:space="preserve"> </w:t>
      </w:r>
      <w:r w:rsidRPr="002F2BC5">
        <w:rPr>
          <w:rFonts w:hint="eastAsia"/>
          <w:b/>
          <w:bCs/>
          <w:rtl/>
        </w:rPr>
        <w:t>למקבלי</w:t>
      </w:r>
      <w:r w:rsidRPr="002F2BC5">
        <w:rPr>
          <w:b/>
          <w:bCs/>
          <w:rtl/>
        </w:rPr>
        <w:t xml:space="preserve"> </w:t>
      </w:r>
      <w:r w:rsidRPr="002F2BC5">
        <w:rPr>
          <w:rFonts w:hint="eastAsia"/>
          <w:b/>
          <w:bCs/>
          <w:rtl/>
        </w:rPr>
        <w:t>ההחלטות</w:t>
      </w:r>
      <w:r w:rsidRPr="002F2BC5">
        <w:rPr>
          <w:b/>
          <w:bCs/>
          <w:rtl/>
        </w:rPr>
        <w:t xml:space="preserve"> </w:t>
      </w:r>
      <w:r w:rsidRPr="002F2BC5">
        <w:rPr>
          <w:rFonts w:hint="eastAsia"/>
          <w:b/>
          <w:bCs/>
          <w:rtl/>
        </w:rPr>
        <w:t>ולציבור</w:t>
      </w:r>
      <w:r w:rsidRPr="002F2BC5">
        <w:rPr>
          <w:b/>
          <w:bCs/>
          <w:rtl/>
        </w:rPr>
        <w:t xml:space="preserve"> </w:t>
      </w:r>
      <w:r w:rsidRPr="002F2BC5">
        <w:rPr>
          <w:rFonts w:hint="eastAsia"/>
          <w:b/>
          <w:bCs/>
          <w:rtl/>
        </w:rPr>
        <w:t>בכללותו</w:t>
      </w:r>
      <w:r w:rsidRPr="002F2BC5">
        <w:rPr>
          <w:b/>
          <w:bCs/>
          <w:rtl/>
        </w:rPr>
        <w:t xml:space="preserve"> </w:t>
      </w:r>
      <w:r w:rsidRPr="002F2BC5">
        <w:rPr>
          <w:rFonts w:hint="eastAsia"/>
          <w:b/>
          <w:bCs/>
          <w:rtl/>
        </w:rPr>
        <w:t>נתונים</w:t>
      </w:r>
      <w:r w:rsidRPr="002F2BC5">
        <w:rPr>
          <w:b/>
          <w:bCs/>
          <w:rtl/>
        </w:rPr>
        <w:t xml:space="preserve"> </w:t>
      </w:r>
      <w:r w:rsidRPr="002F2BC5">
        <w:rPr>
          <w:rFonts w:hint="eastAsia"/>
          <w:b/>
          <w:bCs/>
          <w:rtl/>
        </w:rPr>
        <w:t>סטטיסטיים</w:t>
      </w:r>
      <w:r w:rsidRPr="002F2BC5">
        <w:rPr>
          <w:b/>
          <w:bCs/>
          <w:rtl/>
        </w:rPr>
        <w:t xml:space="preserve"> </w:t>
      </w:r>
      <w:r w:rsidRPr="002F2BC5">
        <w:rPr>
          <w:rFonts w:hint="eastAsia"/>
          <w:b/>
          <w:bCs/>
          <w:rtl/>
        </w:rPr>
        <w:t>זמינים</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היקף</w:t>
      </w:r>
      <w:r w:rsidRPr="002F2BC5">
        <w:rPr>
          <w:b/>
          <w:bCs/>
          <w:rtl/>
        </w:rPr>
        <w:t xml:space="preserve"> </w:t>
      </w:r>
      <w:r w:rsidRPr="002F2BC5">
        <w:rPr>
          <w:rFonts w:hint="eastAsia"/>
          <w:b/>
          <w:bCs/>
          <w:rtl/>
        </w:rPr>
        <w:t>תופעת</w:t>
      </w:r>
      <w:r w:rsidRPr="002F2BC5">
        <w:rPr>
          <w:b/>
          <w:bCs/>
          <w:rtl/>
        </w:rPr>
        <w:t xml:space="preserve"> </w:t>
      </w:r>
      <w:r w:rsidRPr="002F2BC5">
        <w:rPr>
          <w:rFonts w:hint="eastAsia"/>
          <w:b/>
          <w:bCs/>
          <w:rtl/>
        </w:rPr>
        <w:t>האלימות</w:t>
      </w:r>
      <w:r w:rsidRPr="002F2BC5">
        <w:rPr>
          <w:b/>
          <w:bCs/>
          <w:rtl/>
        </w:rPr>
        <w:t xml:space="preserve"> </w:t>
      </w:r>
      <w:r w:rsidRPr="002F2BC5">
        <w:rPr>
          <w:rFonts w:hint="eastAsia"/>
          <w:b/>
          <w:bCs/>
          <w:rtl/>
        </w:rPr>
        <w:t>כלפי</w:t>
      </w:r>
      <w:r w:rsidRPr="002F2BC5">
        <w:rPr>
          <w:b/>
          <w:bCs/>
          <w:rtl/>
        </w:rPr>
        <w:t xml:space="preserve"> </w:t>
      </w:r>
      <w:r w:rsidRPr="002F2BC5">
        <w:rPr>
          <w:rFonts w:hint="eastAsia"/>
          <w:b/>
          <w:bCs/>
          <w:rtl/>
        </w:rPr>
        <w:t>נשים</w:t>
      </w:r>
      <w:r w:rsidRPr="002F2BC5">
        <w:rPr>
          <w:b/>
          <w:bCs/>
          <w:rtl/>
        </w:rPr>
        <w:t xml:space="preserve">, </w:t>
      </w:r>
      <w:r w:rsidRPr="002F2BC5">
        <w:rPr>
          <w:rFonts w:hint="eastAsia"/>
          <w:b/>
          <w:bCs/>
          <w:rtl/>
        </w:rPr>
        <w:t>לרבות</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בתוך</w:t>
      </w:r>
      <w:r w:rsidRPr="002F2BC5">
        <w:rPr>
          <w:b/>
          <w:bCs/>
          <w:rtl/>
        </w:rPr>
        <w:t xml:space="preserve"> </w:t>
      </w:r>
      <w:r w:rsidRPr="002F2BC5">
        <w:rPr>
          <w:rFonts w:hint="eastAsia"/>
          <w:b/>
          <w:bCs/>
          <w:rtl/>
        </w:rPr>
        <w:t>מערכת</w:t>
      </w:r>
      <w:r w:rsidRPr="002F2BC5">
        <w:rPr>
          <w:b/>
          <w:bCs/>
          <w:rtl/>
        </w:rPr>
        <w:t xml:space="preserve"> </w:t>
      </w:r>
      <w:r w:rsidRPr="002F2BC5">
        <w:rPr>
          <w:rFonts w:hint="eastAsia"/>
          <w:b/>
          <w:bCs/>
          <w:rtl/>
        </w:rPr>
        <w:t>היחסים</w:t>
      </w:r>
      <w:r w:rsidRPr="002F2BC5">
        <w:rPr>
          <w:b/>
          <w:bCs/>
          <w:rtl/>
        </w:rPr>
        <w:t xml:space="preserve"> </w:t>
      </w:r>
      <w:r w:rsidRPr="002F2BC5">
        <w:rPr>
          <w:rFonts w:hint="eastAsia"/>
          <w:b/>
          <w:bCs/>
          <w:rtl/>
        </w:rPr>
        <w:t>הזוגית</w:t>
      </w:r>
      <w:r w:rsidRPr="002F2BC5">
        <w:rPr>
          <w:b/>
          <w:bCs/>
          <w:rtl/>
        </w:rPr>
        <w:t xml:space="preserve"> (להלן - </w:t>
      </w:r>
      <w:bookmarkStart w:id="553" w:name="_Hlk202091068"/>
      <w:r w:rsidRPr="002F2BC5">
        <w:rPr>
          <w:b/>
          <w:bCs/>
          <w:rtl/>
        </w:rPr>
        <w:t>מחוון האלימות המגדרית או המחוון</w:t>
      </w:r>
      <w:bookmarkEnd w:id="553"/>
      <w:r w:rsidRPr="002F2BC5">
        <w:rPr>
          <w:b/>
          <w:bCs/>
          <w:rtl/>
        </w:rPr>
        <w:t xml:space="preserve">). </w:t>
      </w:r>
      <w:r w:rsidRPr="002F2BC5">
        <w:rPr>
          <w:rFonts w:hint="eastAsia"/>
          <w:b/>
          <w:bCs/>
          <w:rtl/>
        </w:rPr>
        <w:t>במחוון</w:t>
      </w:r>
      <w:r w:rsidRPr="002F2BC5">
        <w:rPr>
          <w:b/>
          <w:bCs/>
          <w:rtl/>
        </w:rPr>
        <w:t xml:space="preserve"> מוצגים נתונים בהתייחס לשנים 2021 - 2023 </w:t>
      </w:r>
      <w:r w:rsidRPr="002F2BC5">
        <w:rPr>
          <w:rFonts w:hint="cs"/>
          <w:b/>
          <w:bCs/>
          <w:rtl/>
        </w:rPr>
        <w:t>שנאספו בשיתוף</w:t>
      </w:r>
      <w:r w:rsidRPr="002F2BC5">
        <w:rPr>
          <w:b/>
          <w:bCs/>
          <w:rtl/>
        </w:rPr>
        <w:t xml:space="preserve"> גופים ממשלתיים (משרד הרווחה, הלמ"ס, הנהלת בתי המשפט ומשטרת ישראל) ו</w:t>
      </w:r>
      <w:r w:rsidRPr="002F2BC5">
        <w:rPr>
          <w:rFonts w:hint="cs"/>
          <w:b/>
          <w:bCs/>
          <w:rtl/>
        </w:rPr>
        <w:t>ב</w:t>
      </w:r>
      <w:r w:rsidRPr="002F2BC5">
        <w:rPr>
          <w:b/>
          <w:bCs/>
          <w:rtl/>
        </w:rPr>
        <w:t>ש</w:t>
      </w:r>
      <w:r w:rsidRPr="002F2BC5">
        <w:rPr>
          <w:rFonts w:hint="cs"/>
          <w:b/>
          <w:bCs/>
          <w:rtl/>
        </w:rPr>
        <w:t>יתוף</w:t>
      </w:r>
      <w:r w:rsidRPr="002F2BC5">
        <w:rPr>
          <w:b/>
          <w:bCs/>
          <w:rtl/>
        </w:rPr>
        <w:t xml:space="preserve"> ארגוני החברה האזרחית</w:t>
      </w:r>
      <w:r w:rsidRPr="002F2BC5">
        <w:rPr>
          <w:rFonts w:hint="cs"/>
          <w:b/>
          <w:bCs/>
          <w:rtl/>
        </w:rPr>
        <w:t xml:space="preserve">. </w:t>
      </w:r>
      <w:r w:rsidRPr="002F2BC5">
        <w:rPr>
          <w:rFonts w:hint="eastAsia"/>
          <w:b/>
          <w:bCs/>
          <w:rtl/>
        </w:rPr>
        <w:t>פיתוח</w:t>
      </w:r>
      <w:r w:rsidRPr="002F2BC5">
        <w:rPr>
          <w:b/>
          <w:bCs/>
          <w:rtl/>
        </w:rPr>
        <w:t xml:space="preserve"> המחוון נועד לסייע </w:t>
      </w:r>
      <w:r w:rsidRPr="002F2BC5">
        <w:rPr>
          <w:rFonts w:hint="eastAsia"/>
          <w:b/>
          <w:bCs/>
          <w:rtl/>
        </w:rPr>
        <w:t>לאמוד</w:t>
      </w:r>
      <w:r w:rsidRPr="002F2BC5">
        <w:rPr>
          <w:b/>
          <w:bCs/>
          <w:rtl/>
        </w:rPr>
        <w:t xml:space="preserve"> </w:t>
      </w:r>
      <w:r w:rsidRPr="002F2BC5">
        <w:rPr>
          <w:rFonts w:hint="eastAsia"/>
          <w:b/>
          <w:bCs/>
          <w:rtl/>
        </w:rPr>
        <w:t>את</w:t>
      </w:r>
      <w:r w:rsidRPr="002F2BC5">
        <w:rPr>
          <w:b/>
          <w:bCs/>
          <w:rtl/>
        </w:rPr>
        <w:t xml:space="preserve"> היקף תופעת האלימות כלפי נשים ומאפייניה וכן לייצר תשתית מידע לצורך קביעת מדיניות מושכלת והקצאת משאבים מועילה להתמודדות עם התופעה בעת שגרה, </w:t>
      </w:r>
      <w:r w:rsidRPr="002F2BC5">
        <w:rPr>
          <w:rFonts w:hint="eastAsia"/>
          <w:b/>
          <w:bCs/>
          <w:rtl/>
        </w:rPr>
        <w:t>כל</w:t>
      </w:r>
      <w:r w:rsidRPr="002F2BC5">
        <w:rPr>
          <w:b/>
          <w:bCs/>
          <w:rtl/>
        </w:rPr>
        <w:t xml:space="preserve"> </w:t>
      </w:r>
      <w:r w:rsidRPr="002F2BC5">
        <w:rPr>
          <w:rFonts w:hint="eastAsia"/>
          <w:b/>
          <w:bCs/>
          <w:rtl/>
        </w:rPr>
        <w:t>שכן</w:t>
      </w:r>
      <w:r w:rsidRPr="002F2BC5">
        <w:rPr>
          <w:b/>
          <w:bCs/>
          <w:rtl/>
        </w:rPr>
        <w:t xml:space="preserve"> בעיתות משבר וחירום</w:t>
      </w:r>
      <w:r w:rsidRPr="002F2BC5">
        <w:rPr>
          <w:rStyle w:val="af9"/>
          <w:b/>
          <w:bCs/>
          <w:rtl/>
        </w:rPr>
        <w:footnoteReference w:id="157"/>
      </w:r>
      <w:r w:rsidRPr="002F2BC5">
        <w:rPr>
          <w:b/>
          <w:bCs/>
          <w:rtl/>
        </w:rPr>
        <w:t>.</w:t>
      </w:r>
    </w:p>
    <w:p w14:paraId="09727306" w14:textId="77777777" w:rsidR="00817399" w:rsidRPr="002F2BC5" w:rsidRDefault="00817399" w:rsidP="00817399">
      <w:pPr>
        <w:spacing w:line="269" w:lineRule="auto"/>
        <w:rPr>
          <w:rtl/>
        </w:rPr>
      </w:pPr>
    </w:p>
    <w:p w14:paraId="06B36DFF" w14:textId="77777777" w:rsidR="00817399" w:rsidRPr="002F2BC5" w:rsidRDefault="00817399" w:rsidP="00817399">
      <w:pPr>
        <w:spacing w:line="269" w:lineRule="auto"/>
        <w:rPr>
          <w:b/>
          <w:bCs/>
          <w:rtl/>
        </w:rPr>
      </w:pPr>
      <w:r w:rsidRPr="002F2BC5">
        <w:rPr>
          <w:rFonts w:hint="cs"/>
          <w:b/>
          <w:bCs/>
          <w:rtl/>
        </w:rPr>
        <w:t xml:space="preserve">מחוון האלימות המגדרית עשוי לתרום תרומה של ממש בהנגשת המידע הקיים על היקף תופעת האלימות המגדרית ומאפייניה. מחוון זה אף כולל הבחנה לפי מרחב הפגיעה ובכך מאפשר להציג נתונים על אלימות כלפי נשים בתוך התא המשפחתי. עם זאת, ואף כי הנתונים כוללים התייחסות </w:t>
      </w:r>
      <w:r w:rsidRPr="002F2BC5">
        <w:rPr>
          <w:rFonts w:hint="cs"/>
          <w:b/>
          <w:bCs/>
          <w:rtl/>
        </w:rPr>
        <w:lastRenderedPageBreak/>
        <w:t>הן לנשים והן לגברים, מחוון זה, מעצם טיבו, מתמקד באלימות כלפי נשים ולא בתופעת האלימות במשפחה בכללותה, ובתוך כך, אלימות במערכת היחסים הזוגית שאינה מופנית כלפי האישה. יתרה מזו, המחוון אינו מציג את נתוניהם של משרד הבריאות ושירות בתי הסוהר, כמו גם של גופים ממשלתיים ושאינם ממשלתיים אחרים, נתונים החיוניים להצגת תמונה שלמה ומקיפה של היקף תופעת האלימות המגדרית ושל מאפייניה.</w:t>
      </w:r>
    </w:p>
    <w:p w14:paraId="2C8F87AF" w14:textId="77777777" w:rsidR="00817399" w:rsidRPr="002F2BC5" w:rsidRDefault="00817399" w:rsidP="00817399">
      <w:pPr>
        <w:spacing w:line="269" w:lineRule="auto"/>
        <w:rPr>
          <w:rtl/>
        </w:rPr>
      </w:pPr>
    </w:p>
    <w:p w14:paraId="19551952" w14:textId="77777777" w:rsidR="00817399" w:rsidRPr="002F2BC5" w:rsidRDefault="00817399" w:rsidP="00817399">
      <w:pPr>
        <w:pStyle w:val="afffffffa"/>
        <w:spacing w:line="269" w:lineRule="auto"/>
        <w:rPr>
          <w:rtl/>
        </w:rPr>
      </w:pPr>
      <w:bookmarkStart w:id="554" w:name="_Toc200636857"/>
      <w:bookmarkStart w:id="555" w:name="_Toc200439856"/>
      <w:bookmarkStart w:id="556" w:name="_Toc201240961"/>
      <w:bookmarkStart w:id="557" w:name="_Toc191986962"/>
      <w:bookmarkStart w:id="558" w:name="_Toc192093065"/>
      <w:bookmarkStart w:id="559" w:name="_Toc192612773"/>
      <w:bookmarkStart w:id="560" w:name="_Toc198312196"/>
      <w:bookmarkStart w:id="561" w:name="_Toc198312671"/>
      <w:r w:rsidRPr="002F2BC5">
        <w:rPr>
          <w:rFonts w:hint="cs"/>
          <w:rtl/>
        </w:rPr>
        <w:t>מומלץ למשרד הרווחה להשלים את הטמעתה של המערכת הממוחשבת הייעודית לני</w:t>
      </w:r>
      <w:r w:rsidRPr="002F2BC5">
        <w:rPr>
          <w:rtl/>
        </w:rPr>
        <w:t>הול תהליכי העבודה של המרכזים לטיפול ומניעת אלימות במשפחה ברשויות המקומיות</w:t>
      </w:r>
      <w:r w:rsidRPr="002F2BC5">
        <w:rPr>
          <w:rFonts w:hint="cs"/>
          <w:rtl/>
        </w:rPr>
        <w:t>.</w:t>
      </w:r>
      <w:bookmarkEnd w:id="554"/>
      <w:bookmarkEnd w:id="555"/>
      <w:bookmarkEnd w:id="556"/>
      <w:r w:rsidRPr="002F2BC5">
        <w:rPr>
          <w:rFonts w:hint="cs"/>
          <w:rtl/>
        </w:rPr>
        <w:t xml:space="preserve"> </w:t>
      </w:r>
    </w:p>
    <w:p w14:paraId="70B922F9" w14:textId="77777777" w:rsidR="00817399" w:rsidRPr="002F2BC5" w:rsidRDefault="00817399" w:rsidP="00817399">
      <w:pPr>
        <w:spacing w:line="269" w:lineRule="auto"/>
        <w:rPr>
          <w:rtl/>
        </w:rPr>
      </w:pPr>
    </w:p>
    <w:p w14:paraId="097F8F8A" w14:textId="77777777" w:rsidR="00817399" w:rsidRPr="002F2BC5" w:rsidRDefault="00817399" w:rsidP="00817399">
      <w:pPr>
        <w:spacing w:line="269" w:lineRule="auto"/>
        <w:rPr>
          <w:rtl/>
        </w:rPr>
      </w:pPr>
      <w:r w:rsidRPr="002F2BC5">
        <w:rPr>
          <w:rFonts w:hint="cs"/>
          <w:rtl/>
        </w:rPr>
        <w:t>משרד הרווחה מסר בתשובתו כי הוא</w:t>
      </w:r>
      <w:r w:rsidRPr="002F2BC5">
        <w:rPr>
          <w:rtl/>
        </w:rPr>
        <w:t xml:space="preserve"> פועל להשלמת </w:t>
      </w:r>
      <w:r w:rsidRPr="002F2BC5">
        <w:rPr>
          <w:rFonts w:hint="cs"/>
          <w:rtl/>
        </w:rPr>
        <w:t>ההטמעה של</w:t>
      </w:r>
      <w:r w:rsidRPr="002F2BC5">
        <w:rPr>
          <w:rtl/>
        </w:rPr>
        <w:t xml:space="preserve"> המערכת הממוחשבת הייעודית לניהול תהליכי העבודה של המרכזים לטיפול ומניעת אלימות במשפחה ברשויות המקומיות.</w:t>
      </w:r>
    </w:p>
    <w:p w14:paraId="7DB255F4" w14:textId="77777777" w:rsidR="00817399" w:rsidRPr="002F2BC5" w:rsidRDefault="00817399" w:rsidP="00817399">
      <w:pPr>
        <w:spacing w:line="269" w:lineRule="auto"/>
        <w:rPr>
          <w:rtl/>
        </w:rPr>
      </w:pPr>
    </w:p>
    <w:p w14:paraId="3D987404" w14:textId="77777777" w:rsidR="00817399" w:rsidRPr="002F2BC5" w:rsidRDefault="00817399" w:rsidP="00817399">
      <w:pPr>
        <w:pStyle w:val="afffffffa"/>
        <w:spacing w:line="269" w:lineRule="auto"/>
        <w:rPr>
          <w:rtl/>
        </w:rPr>
      </w:pPr>
      <w:bookmarkStart w:id="562" w:name="_Toc200636858"/>
      <w:bookmarkStart w:id="563" w:name="_Toc200439857"/>
      <w:bookmarkStart w:id="564" w:name="_Toc201240962"/>
      <w:r w:rsidRPr="002F2BC5">
        <w:rPr>
          <w:rFonts w:hint="cs"/>
          <w:rtl/>
        </w:rPr>
        <w:t>משרד מבקר המדינה שב וממליץ למשרד הרווחה, העומד בראשות הוועדה הבין-משרדית הקבועה - בשיתוף המשרד לביטחון לאומי, משרד החינוך, משרד הבריאות, משטרת ישראל ושירות בתי הסוהר - לפעול להקמתה של מערכת ממוחשבת מרכזית לאיסוף ולניהול נתונים על תופעת האלימות בין בני זוג ועל אוכלוסיית מקבלי השירות בתחום זה. מן הראוי כי איסוף המידע באמצעות המערכת שתוקם ייעשה על פי מדיניות ברורה לעניין איסוף הנתונים וניהולם</w:t>
      </w:r>
      <w:r w:rsidRPr="002F2BC5">
        <w:rPr>
          <w:rStyle w:val="af9"/>
          <w:b w:val="0"/>
          <w:bCs w:val="0"/>
          <w:rtl/>
        </w:rPr>
        <w:footnoteReference w:id="158"/>
      </w:r>
      <w:r w:rsidRPr="002F2BC5">
        <w:rPr>
          <w:rFonts w:hint="cs"/>
          <w:rtl/>
        </w:rPr>
        <w:t>, בכפוף למגבלות המשפטיות בכל הקשור להעברת מידע בין הגופים הללו, ובהלימה עם ההגדרה האחידה של תופעת האלימות במשפחה שעליה המליצה ועדת רוזנבאום. כל זאת תוך מתן תשומת לב לסוגי הנתונים שייאספו באמצעותה - נתונים מינהליים ונתונים שייאספו באופן ייעודי להערכת היקף התופעה. עוד מומלץ כי נתונים מצרפיים (אגרגטיביים) שייאספו באמצעות המערכת הממוחשבת המרכזית יונגשו לציבור במרשתת, בדומה למחוון האלימות המגדרית שהשיקה הרשות לקידום מעמד האישה בשיתוף עם הלמ"ס.</w:t>
      </w:r>
      <w:bookmarkEnd w:id="557"/>
      <w:bookmarkEnd w:id="558"/>
      <w:bookmarkEnd w:id="559"/>
      <w:bookmarkEnd w:id="560"/>
      <w:bookmarkEnd w:id="561"/>
      <w:bookmarkEnd w:id="562"/>
      <w:bookmarkEnd w:id="563"/>
      <w:bookmarkEnd w:id="564"/>
    </w:p>
    <w:p w14:paraId="1CA79965" w14:textId="77777777" w:rsidR="00817399" w:rsidRPr="002F2BC5" w:rsidRDefault="00817399" w:rsidP="00817399">
      <w:pPr>
        <w:spacing w:line="269" w:lineRule="auto"/>
        <w:rPr>
          <w:rtl/>
        </w:rPr>
      </w:pPr>
    </w:p>
    <w:p w14:paraId="64B4664B" w14:textId="77777777" w:rsidR="00817399" w:rsidRPr="002F2BC5" w:rsidRDefault="00817399" w:rsidP="00817399">
      <w:pPr>
        <w:spacing w:line="269" w:lineRule="auto"/>
        <w:rPr>
          <w:rtl/>
        </w:rPr>
      </w:pPr>
      <w:r w:rsidRPr="002F2BC5">
        <w:rPr>
          <w:rFonts w:hint="cs"/>
          <w:rtl/>
        </w:rPr>
        <w:t>הלמ"ס מסרה בתשובתה מאפריל 2025 כי מתוך הכרה</w:t>
      </w:r>
      <w:r w:rsidRPr="002F2BC5">
        <w:rPr>
          <w:rtl/>
        </w:rPr>
        <w:t xml:space="preserve"> בחשיבות </w:t>
      </w:r>
      <w:r w:rsidRPr="002F2BC5">
        <w:rPr>
          <w:rFonts w:hint="cs"/>
          <w:rtl/>
        </w:rPr>
        <w:t>ניטור</w:t>
      </w:r>
      <w:r w:rsidRPr="002F2BC5">
        <w:rPr>
          <w:rtl/>
        </w:rPr>
        <w:t xml:space="preserve"> תופעת האלימות המגדרית</w:t>
      </w:r>
      <w:r w:rsidRPr="002F2BC5">
        <w:rPr>
          <w:rFonts w:hint="cs"/>
          <w:rtl/>
        </w:rPr>
        <w:t xml:space="preserve">, ובתוך כך </w:t>
      </w:r>
      <w:r w:rsidRPr="002F2BC5">
        <w:rPr>
          <w:rtl/>
        </w:rPr>
        <w:t>האלימות הזוגית</w:t>
      </w:r>
      <w:r w:rsidRPr="002F2BC5">
        <w:rPr>
          <w:rFonts w:hint="cs"/>
          <w:rtl/>
        </w:rPr>
        <w:t>, על כלל היבטיה, היא פועלת לאיסוף נתונים באמצעות סקר ביטחון אישי והרשתות החברתיות וכן מקדמת מחקרים, בין השאר על ח</w:t>
      </w:r>
      <w:r w:rsidRPr="002F2BC5">
        <w:rPr>
          <w:rtl/>
        </w:rPr>
        <w:t>ובות של נשים נשואות</w:t>
      </w:r>
      <w:r w:rsidRPr="002F2BC5">
        <w:rPr>
          <w:rFonts w:hint="cs"/>
          <w:rtl/>
        </w:rPr>
        <w:t xml:space="preserve"> כביטוי לתופעת האלימות הכלכלית. לצד זאת היא ממשיכה לפעול, </w:t>
      </w:r>
      <w:r w:rsidRPr="002F2BC5">
        <w:rPr>
          <w:rtl/>
        </w:rPr>
        <w:t>בשיתוף הרשות לקידום מעמד האישה</w:t>
      </w:r>
      <w:r w:rsidRPr="002F2BC5">
        <w:rPr>
          <w:rFonts w:hint="cs"/>
          <w:rtl/>
        </w:rPr>
        <w:t xml:space="preserve">, </w:t>
      </w:r>
      <w:r w:rsidRPr="002F2BC5">
        <w:rPr>
          <w:rtl/>
        </w:rPr>
        <w:t>להוספת מקורות מידע נוספים</w:t>
      </w:r>
      <w:r w:rsidRPr="002F2BC5">
        <w:rPr>
          <w:rFonts w:hint="cs"/>
          <w:rtl/>
        </w:rPr>
        <w:t xml:space="preserve"> למחוון האלימות המגדרית, שהוא מחוון ייחודי ברמה הבין-לאומית, כדי לסייע בקביעת המדיניות ותוכניות הפעולה ובהקצאת המשאבים להתמודדות עם התופעה. היא ציינה כי לצורך כך מתקיימות פגישות עבודה עם גורמים שונים המחזיקים בנתונים, בכלל זה נתונים אגרגטיביים, </w:t>
      </w:r>
      <w:r w:rsidRPr="002F2BC5">
        <w:rPr>
          <w:rtl/>
        </w:rPr>
        <w:t>שניתן וראוי היה להוסיפם למחוון</w:t>
      </w:r>
      <w:r w:rsidRPr="002F2BC5">
        <w:rPr>
          <w:rFonts w:hint="cs"/>
          <w:rtl/>
        </w:rPr>
        <w:t>, אך טרם עלה בידה לקבל נתונים אלה במלואם</w:t>
      </w:r>
      <w:r w:rsidRPr="002F2BC5">
        <w:rPr>
          <w:rtl/>
        </w:rPr>
        <w:t>.</w:t>
      </w:r>
      <w:r w:rsidRPr="002F2BC5">
        <w:rPr>
          <w:rFonts w:hint="cs"/>
          <w:rtl/>
        </w:rPr>
        <w:t xml:space="preserve"> עוד מסרה כי תשמח </w:t>
      </w:r>
      <w:r w:rsidRPr="002F2BC5">
        <w:rPr>
          <w:rtl/>
        </w:rPr>
        <w:t>לסייע ולתרום מניסיונה למשרד הרווחה ולוועדה הבין</w:t>
      </w:r>
      <w:r w:rsidRPr="002F2BC5">
        <w:rPr>
          <w:rFonts w:hint="cs"/>
          <w:rtl/>
        </w:rPr>
        <w:t>-</w:t>
      </w:r>
      <w:r w:rsidRPr="002F2BC5">
        <w:rPr>
          <w:rtl/>
        </w:rPr>
        <w:t xml:space="preserve">משרדית </w:t>
      </w:r>
      <w:r w:rsidRPr="002F2BC5">
        <w:rPr>
          <w:rFonts w:hint="cs"/>
          <w:rtl/>
        </w:rPr>
        <w:t>להתמודדות עם תופעת האלימות במשפחה</w:t>
      </w:r>
      <w:r w:rsidRPr="002F2BC5">
        <w:rPr>
          <w:rtl/>
        </w:rPr>
        <w:t>.</w:t>
      </w:r>
      <w:r w:rsidRPr="002F2BC5">
        <w:rPr>
          <w:rFonts w:hint="cs"/>
          <w:rtl/>
        </w:rPr>
        <w:t xml:space="preserve"> גם הרשות לקידום מעמד האישה מסרה בתשובתה כי היא פועלת בשיתוף הלמ"ס להרחבת שיתופי הפעולה לצורך איסוף והצגה של נתונים אגרגטיביים נוספים באמצעות המחוון.</w:t>
      </w:r>
    </w:p>
    <w:p w14:paraId="77C54AB2" w14:textId="77777777" w:rsidR="00817399" w:rsidRPr="002F2BC5" w:rsidRDefault="00817399" w:rsidP="00817399">
      <w:pPr>
        <w:spacing w:line="269" w:lineRule="auto"/>
        <w:rPr>
          <w:rtl/>
        </w:rPr>
      </w:pPr>
    </w:p>
    <w:p w14:paraId="66CF8DBE" w14:textId="77777777" w:rsidR="00817399" w:rsidRPr="002F2BC5" w:rsidRDefault="00817399" w:rsidP="00817399">
      <w:pPr>
        <w:spacing w:line="269" w:lineRule="auto"/>
        <w:rPr>
          <w:rtl/>
        </w:rPr>
      </w:pPr>
      <w:r w:rsidRPr="002F2BC5">
        <w:rPr>
          <w:rFonts w:hint="cs"/>
          <w:rtl/>
        </w:rPr>
        <w:t xml:space="preserve">שירות בתי הסוהר ומרכז השלטון המקומי מסרו בתשובותיהם </w:t>
      </w:r>
      <w:r w:rsidRPr="002F2BC5">
        <w:rPr>
          <w:rFonts w:hint="eastAsia"/>
          <w:rtl/>
        </w:rPr>
        <w:t>כי</w:t>
      </w:r>
      <w:r w:rsidRPr="002F2BC5">
        <w:rPr>
          <w:rFonts w:hint="cs"/>
          <w:rtl/>
        </w:rPr>
        <w:t xml:space="preserve"> הם רואים </w:t>
      </w:r>
      <w:r w:rsidRPr="002F2BC5">
        <w:rPr>
          <w:rFonts w:hint="eastAsia"/>
          <w:rtl/>
        </w:rPr>
        <w:t>חשיבות</w:t>
      </w:r>
      <w:r w:rsidRPr="002F2BC5">
        <w:rPr>
          <w:rtl/>
        </w:rPr>
        <w:t xml:space="preserve"> </w:t>
      </w:r>
      <w:r w:rsidRPr="002F2BC5">
        <w:rPr>
          <w:rFonts w:hint="eastAsia"/>
          <w:rtl/>
        </w:rPr>
        <w:t>ב</w:t>
      </w:r>
      <w:r w:rsidRPr="002F2BC5">
        <w:rPr>
          <w:rtl/>
        </w:rPr>
        <w:t xml:space="preserve">ניהול ממוחשב ומרכזי של הנתונים על תופעת האלימות בין בני זוג </w:t>
      </w:r>
      <w:r w:rsidRPr="002F2BC5">
        <w:rPr>
          <w:rFonts w:hint="cs"/>
          <w:rtl/>
        </w:rPr>
        <w:t xml:space="preserve">עבור כלל הגופים. מרכז השלטון המקומי הוסיף בהקשר זה </w:t>
      </w:r>
      <w:r w:rsidRPr="002F2BC5">
        <w:rPr>
          <w:rFonts w:hint="eastAsia"/>
          <w:rtl/>
        </w:rPr>
        <w:t>כי</w:t>
      </w:r>
      <w:r w:rsidRPr="002F2BC5">
        <w:rPr>
          <w:rtl/>
        </w:rPr>
        <w:t xml:space="preserve"> </w:t>
      </w:r>
      <w:r w:rsidRPr="002F2BC5">
        <w:rPr>
          <w:rFonts w:hint="eastAsia"/>
          <w:rtl/>
        </w:rPr>
        <w:t>יש</w:t>
      </w:r>
      <w:r w:rsidRPr="002F2BC5">
        <w:rPr>
          <w:rtl/>
        </w:rPr>
        <w:t xml:space="preserve"> </w:t>
      </w:r>
      <w:r w:rsidRPr="002F2BC5">
        <w:rPr>
          <w:rFonts w:hint="eastAsia"/>
          <w:rtl/>
        </w:rPr>
        <w:t>מקום</w:t>
      </w:r>
      <w:r w:rsidRPr="002F2BC5">
        <w:rPr>
          <w:rtl/>
        </w:rPr>
        <w:t xml:space="preserve"> </w:t>
      </w:r>
      <w:r w:rsidRPr="002F2BC5">
        <w:rPr>
          <w:rFonts w:hint="eastAsia"/>
          <w:rtl/>
        </w:rPr>
        <w:t>לאפשר</w:t>
      </w:r>
      <w:r w:rsidRPr="002F2BC5">
        <w:rPr>
          <w:rtl/>
        </w:rPr>
        <w:t xml:space="preserve"> </w:t>
      </w:r>
      <w:r w:rsidRPr="002F2BC5">
        <w:rPr>
          <w:rFonts w:hint="eastAsia"/>
          <w:rtl/>
        </w:rPr>
        <w:t>למחלקות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 xml:space="preserve"> </w:t>
      </w:r>
      <w:r w:rsidRPr="002F2BC5">
        <w:rPr>
          <w:rFonts w:hint="eastAsia"/>
          <w:rtl/>
        </w:rPr>
        <w:t>להעביר</w:t>
      </w:r>
      <w:r w:rsidRPr="002F2BC5">
        <w:rPr>
          <w:rtl/>
        </w:rPr>
        <w:t xml:space="preserve"> </w:t>
      </w:r>
      <w:r w:rsidRPr="002F2BC5">
        <w:rPr>
          <w:rFonts w:hint="eastAsia"/>
          <w:rtl/>
        </w:rPr>
        <w:t>מידע</w:t>
      </w:r>
      <w:r w:rsidRPr="002F2BC5">
        <w:rPr>
          <w:rtl/>
        </w:rPr>
        <w:t xml:space="preserve"> </w:t>
      </w:r>
      <w:r w:rsidRPr="002F2BC5">
        <w:rPr>
          <w:rFonts w:hint="eastAsia"/>
          <w:rtl/>
        </w:rPr>
        <w:t>באמצעות</w:t>
      </w:r>
      <w:r w:rsidRPr="002F2BC5">
        <w:rPr>
          <w:rtl/>
        </w:rPr>
        <w:t xml:space="preserve"> </w:t>
      </w:r>
      <w:r w:rsidRPr="002F2BC5">
        <w:rPr>
          <w:rFonts w:hint="eastAsia"/>
          <w:rtl/>
        </w:rPr>
        <w:t>מערכת</w:t>
      </w:r>
      <w:r w:rsidRPr="002F2BC5">
        <w:rPr>
          <w:rtl/>
        </w:rPr>
        <w:t xml:space="preserve"> </w:t>
      </w:r>
      <w:r w:rsidRPr="002F2BC5">
        <w:rPr>
          <w:rFonts w:hint="eastAsia"/>
          <w:rtl/>
        </w:rPr>
        <w:t>ממוחשבת</w:t>
      </w:r>
      <w:r w:rsidRPr="002F2BC5">
        <w:rPr>
          <w:rtl/>
        </w:rPr>
        <w:t xml:space="preserve"> </w:t>
      </w:r>
      <w:r w:rsidRPr="002F2BC5">
        <w:rPr>
          <w:rFonts w:hint="eastAsia"/>
          <w:rtl/>
        </w:rPr>
        <w:t>וידידותית</w:t>
      </w:r>
      <w:r w:rsidRPr="002F2BC5">
        <w:rPr>
          <w:rtl/>
        </w:rPr>
        <w:t xml:space="preserve"> </w:t>
      </w:r>
      <w:r w:rsidRPr="002F2BC5">
        <w:rPr>
          <w:rFonts w:hint="eastAsia"/>
          <w:rtl/>
        </w:rPr>
        <w:t>שאינה</w:t>
      </w:r>
      <w:r w:rsidRPr="002F2BC5">
        <w:rPr>
          <w:rtl/>
        </w:rPr>
        <w:t xml:space="preserve"> מסרבלת ומקשה על העבודה.</w:t>
      </w:r>
      <w:r w:rsidRPr="002F2BC5">
        <w:rPr>
          <w:rFonts w:hint="cs"/>
          <w:rtl/>
        </w:rPr>
        <w:t xml:space="preserve"> שירות בתי הסוהר הוסיף לעניין מחוון האלימות המגדרית כי אין באפשרותו לשלוף נתונים בהתפלגות מגדרית לצורך שילובם במחוון, שכן סעיפי האישום הם כלליים, ולא בכל מקרה ניתן ללמוד מהם כלפי מי בוצעה העבירה.</w:t>
      </w:r>
    </w:p>
    <w:p w14:paraId="437D8E43" w14:textId="77777777" w:rsidR="00817399" w:rsidRPr="002F2BC5" w:rsidRDefault="00817399" w:rsidP="00817399">
      <w:pPr>
        <w:spacing w:line="269" w:lineRule="auto"/>
        <w:rPr>
          <w:rtl/>
        </w:rPr>
      </w:pPr>
    </w:p>
    <w:p w14:paraId="42C76AD2" w14:textId="77777777" w:rsidR="00817399" w:rsidRPr="002F2BC5" w:rsidRDefault="00817399" w:rsidP="00817399">
      <w:pPr>
        <w:spacing w:line="269" w:lineRule="auto"/>
        <w:rPr>
          <w:rtl/>
        </w:rPr>
      </w:pPr>
      <w:r w:rsidRPr="002F2BC5">
        <w:rPr>
          <w:rFonts w:hint="cs"/>
          <w:rtl/>
        </w:rPr>
        <w:t>משרד הבריאות מסר בתשובתו כי פעל במהלך שנת 2024 להקמתה של מערכת בינה עסקית (</w:t>
      </w:r>
      <w:r w:rsidRPr="002F2BC5">
        <w:rPr>
          <w:rFonts w:hint="cs"/>
        </w:rPr>
        <w:t>BI</w:t>
      </w:r>
      <w:r w:rsidRPr="002F2BC5">
        <w:rPr>
          <w:rFonts w:hint="cs"/>
          <w:rtl/>
        </w:rPr>
        <w:t xml:space="preserve">) לאיסוף ולניהול של מידע ונתונים בתחום האלימות במשפחה והפגיעות המיניות. לצורך כך מיפה </w:t>
      </w:r>
      <w:r w:rsidRPr="002F2BC5">
        <w:rPr>
          <w:rFonts w:hint="cs"/>
          <w:rtl/>
        </w:rPr>
        <w:lastRenderedPageBreak/>
        <w:t>את סוג המידע שייאסף וכן את אופן האיסוף והתיעוד שלו; את הגורמים המעורבים באיסוף המידע; ואת המערכות הממוחשבות המשמשות כיום לצורך כך. לפי התשובה, הבקשה לכלול את הקמת המערכת הממוחשבת בתוכניות העבודה לשנת 2025 טרם אושרה. עוד הוסיף כי הוא רואה חשיבות בשיתוף במידע וכי קיים פגישות לקידום הנושא עם המשרד לשוויון חברתי והלמ"ס.</w:t>
      </w:r>
    </w:p>
    <w:p w14:paraId="7759C2E4" w14:textId="77777777" w:rsidR="00817399" w:rsidRPr="002F2BC5" w:rsidRDefault="00817399" w:rsidP="00817399">
      <w:pPr>
        <w:spacing w:line="269" w:lineRule="auto"/>
        <w:rPr>
          <w:rtl/>
        </w:rPr>
      </w:pPr>
    </w:p>
    <w:p w14:paraId="4996A568" w14:textId="77777777" w:rsidR="00817399" w:rsidRPr="002F2BC5" w:rsidRDefault="00817399" w:rsidP="00817399">
      <w:pPr>
        <w:spacing w:line="269" w:lineRule="auto"/>
        <w:rPr>
          <w:rtl/>
        </w:rPr>
      </w:pPr>
      <w:r w:rsidRPr="002F2BC5">
        <w:rPr>
          <w:rFonts w:hint="cs"/>
          <w:rtl/>
        </w:rPr>
        <w:t xml:space="preserve">משטרת ישראל מסרה בתשובתה כי תשמח לשתף פעולה, בכפוף למגבלות החוקיות ולעקרון הגנת הפרטיות, לכשמשרד הרווחה ישלים את הקמתה של מערכת ממוחשבת מרכזית. לצד זאת ציינה כי היא פועלת בשיתוף הלשכה המרכזית לסטטיסטיקה ליצירת מחוון המציג נתונים כלל-ארציים על תופעת האלימות במשפחה. </w:t>
      </w:r>
    </w:p>
    <w:p w14:paraId="335454EF" w14:textId="77777777" w:rsidR="00817399" w:rsidRPr="002F2BC5" w:rsidRDefault="00817399" w:rsidP="00817399">
      <w:pPr>
        <w:spacing w:line="269" w:lineRule="auto"/>
        <w:rPr>
          <w:rtl/>
        </w:rPr>
      </w:pPr>
    </w:p>
    <w:p w14:paraId="454B199C" w14:textId="77777777" w:rsidR="00817399" w:rsidRPr="002F2BC5" w:rsidRDefault="00817399" w:rsidP="00817399">
      <w:pPr>
        <w:spacing w:line="269" w:lineRule="auto"/>
        <w:rPr>
          <w:rtl/>
        </w:rPr>
      </w:pPr>
      <w:r w:rsidRPr="002F2BC5">
        <w:rPr>
          <w:rFonts w:hint="cs"/>
          <w:rtl/>
        </w:rPr>
        <w:t>המשרד לביטחון לאומי מסר בתשובתו לעניין המערכת הממוחשבת</w:t>
      </w:r>
      <w:r w:rsidRPr="002F2BC5">
        <w:rPr>
          <w:rtl/>
        </w:rPr>
        <w:t xml:space="preserve"> הייעודית לניהול תהליכי העבודה של המרכזים לטיפול ומניעת אלימות במשפחה ברשויות המקומיות</w:t>
      </w:r>
      <w:r w:rsidRPr="002F2BC5">
        <w:rPr>
          <w:rFonts w:hint="cs"/>
          <w:rtl/>
        </w:rPr>
        <w:t xml:space="preserve">, כי בכוונתו לקחת חלק בעתיד בהרחבה ובהטמעה של המערכת גם בקרב המנהלים היישוביים לביטחון קהילתי, </w:t>
      </w:r>
      <w:r w:rsidRPr="002F2BC5">
        <w:rPr>
          <w:rtl/>
        </w:rPr>
        <w:t>המועסק</w:t>
      </w:r>
      <w:r w:rsidRPr="002F2BC5">
        <w:rPr>
          <w:rFonts w:hint="cs"/>
          <w:rtl/>
        </w:rPr>
        <w:t>ים</w:t>
      </w:r>
      <w:r w:rsidRPr="002F2BC5">
        <w:rPr>
          <w:rtl/>
        </w:rPr>
        <w:t xml:space="preserve"> במימון הרשות לביטחון קהילתי</w:t>
      </w:r>
      <w:r w:rsidRPr="002F2BC5">
        <w:rPr>
          <w:rFonts w:hint="cs"/>
          <w:rtl/>
        </w:rPr>
        <w:t xml:space="preserve">. </w:t>
      </w:r>
    </w:p>
    <w:p w14:paraId="6D2245C5" w14:textId="77777777" w:rsidR="00817399" w:rsidRPr="002F2BC5" w:rsidRDefault="00817399" w:rsidP="00817399">
      <w:pPr>
        <w:spacing w:line="269" w:lineRule="auto"/>
        <w:rPr>
          <w:rtl/>
        </w:rPr>
      </w:pPr>
    </w:p>
    <w:p w14:paraId="56DB7713"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3C73EBF2" w14:textId="77777777" w:rsidR="00817399" w:rsidRPr="002F2BC5" w:rsidRDefault="00817399" w:rsidP="00817399">
      <w:pPr>
        <w:pStyle w:val="afffffff7"/>
        <w:spacing w:before="0" w:line="269" w:lineRule="auto"/>
        <w:rPr>
          <w:rtl/>
        </w:rPr>
      </w:pPr>
      <w:bookmarkStart w:id="565" w:name="_Toc198312197"/>
      <w:bookmarkStart w:id="566" w:name="_Toc198312672"/>
      <w:bookmarkStart w:id="567" w:name="_Toc189072216"/>
      <w:r w:rsidRPr="002F2BC5">
        <w:rPr>
          <w:noProof/>
        </w:rPr>
        <w:drawing>
          <wp:inline distT="0" distB="0" distL="0" distR="0" wp14:anchorId="7E5D2C74" wp14:editId="577F5174">
            <wp:extent cx="4324350" cy="933450"/>
            <wp:effectExtent l="0" t="0" r="0" b="0"/>
            <wp:docPr id="18"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565"/>
      <w:bookmarkEnd w:id="566"/>
    </w:p>
    <w:bookmarkEnd w:id="567"/>
    <w:p w14:paraId="462F66CD" w14:textId="77777777" w:rsidR="00817399" w:rsidRPr="002F2BC5" w:rsidRDefault="00817399" w:rsidP="00817399">
      <w:pPr>
        <w:spacing w:line="269" w:lineRule="auto"/>
        <w:rPr>
          <w:rtl/>
        </w:rPr>
      </w:pPr>
    </w:p>
    <w:p w14:paraId="23878FAE" w14:textId="77777777" w:rsidR="00817399" w:rsidRPr="002F2BC5" w:rsidRDefault="00817399" w:rsidP="00817399">
      <w:pPr>
        <w:pStyle w:val="31"/>
        <w:spacing w:before="0" w:line="269" w:lineRule="auto"/>
        <w:rPr>
          <w:rtl/>
        </w:rPr>
      </w:pPr>
      <w:bookmarkStart w:id="568" w:name="_Toc189072217"/>
      <w:bookmarkStart w:id="569" w:name="_Ref190791289"/>
      <w:bookmarkStart w:id="570" w:name="_Toc191986963"/>
      <w:bookmarkStart w:id="571" w:name="_Toc191891385"/>
      <w:bookmarkStart w:id="572" w:name="_Toc192093066"/>
      <w:bookmarkStart w:id="573" w:name="_Toc193110601"/>
      <w:bookmarkStart w:id="574" w:name="_Toc192612774"/>
      <w:bookmarkStart w:id="575" w:name="_Toc192778819"/>
      <w:bookmarkStart w:id="576" w:name="_Toc198312198"/>
      <w:bookmarkStart w:id="577" w:name="_Toc198312673"/>
      <w:bookmarkStart w:id="578" w:name="_Toc200636797"/>
      <w:bookmarkStart w:id="579" w:name="_Toc200636859"/>
      <w:bookmarkStart w:id="580" w:name="_Toc200439796"/>
      <w:bookmarkStart w:id="581" w:name="_Toc200439858"/>
      <w:bookmarkStart w:id="582" w:name="_Toc201240963"/>
      <w:bookmarkStart w:id="583" w:name="_Toc192784373"/>
      <w:bookmarkStart w:id="584" w:name="_Toc201759359"/>
      <w:bookmarkStart w:id="585" w:name="_Toc203487995"/>
      <w:bookmarkEnd w:id="540"/>
      <w:r w:rsidRPr="002F2BC5">
        <w:rPr>
          <w:rFonts w:hint="cs"/>
          <w:rtl/>
        </w:rPr>
        <w:t xml:space="preserve">היבטים תקציביים של ההתמודדות עם תופעת האלימות </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2F2BC5">
        <w:rPr>
          <w:rFonts w:hint="cs"/>
          <w:rtl/>
        </w:rPr>
        <w:t>בין בני זוג</w:t>
      </w:r>
      <w:bookmarkEnd w:id="585"/>
    </w:p>
    <w:p w14:paraId="229FCB72" w14:textId="77777777" w:rsidR="00817399" w:rsidRPr="002F2BC5" w:rsidRDefault="00817399" w:rsidP="00817399">
      <w:pPr>
        <w:spacing w:line="269" w:lineRule="auto"/>
        <w:rPr>
          <w:rtl/>
        </w:rPr>
      </w:pPr>
    </w:p>
    <w:p w14:paraId="674CA7F5" w14:textId="77777777" w:rsidR="00817399" w:rsidRPr="002F2BC5" w:rsidRDefault="00817399" w:rsidP="00817399">
      <w:pPr>
        <w:spacing w:line="269" w:lineRule="auto"/>
        <w:rPr>
          <w:rtl/>
        </w:rPr>
      </w:pPr>
      <w:r w:rsidRPr="002F2BC5">
        <w:rPr>
          <w:rFonts w:hint="cs"/>
          <w:rtl/>
        </w:rPr>
        <w:t>תוכנית הפעולה שקבעה ועדת המנכ"לים ליישום המלצותיה של ועדת רוזנבאום לוותה בהערכה תקציבית רב-שנתית ליישומה. עלות יישום המלצותיה של ועדת המנכ"לים הוערך על ידה בסך מצטבר של כ-750 מיליון ש"ח לתקופה של חמש שנים (2017 - 2022), ולפי המלצתה לאחר מכן יועמד לרשות הוועדה הבין-משרדית תקציב שנתי ייעודי וקבוע, המעוגן בבסיס התקציב, בסך של כ-250 מיליון ש"ח לשנה. עם זאת, החלטת הממשלה משנת 2016 שבה אומצה התוכנית באופן עקרוני, לא כללה מקורות תקציביים ליישום ההמלצות</w:t>
      </w:r>
      <w:r w:rsidRPr="002F2BC5">
        <w:rPr>
          <w:rStyle w:val="af9"/>
          <w:rtl/>
        </w:rPr>
        <w:footnoteReference w:id="159"/>
      </w:r>
      <w:r w:rsidRPr="002F2BC5">
        <w:rPr>
          <w:rFonts w:hint="cs"/>
          <w:rtl/>
        </w:rPr>
        <w:t>. המקורות התקציביים ליישום המלצות ועדת המנכ"לים הוגדרו בחלקם בחלוף שנתיים, בשנת 2019, בשתי החלטות ממשלה נפרדות</w:t>
      </w:r>
      <w:r w:rsidRPr="002F2BC5">
        <w:rPr>
          <w:rStyle w:val="af9"/>
          <w:rtl/>
        </w:rPr>
        <w:footnoteReference w:id="160"/>
      </w:r>
      <w:r w:rsidRPr="002F2BC5">
        <w:rPr>
          <w:rFonts w:hint="cs"/>
          <w:rtl/>
        </w:rPr>
        <w:t>.</w:t>
      </w:r>
    </w:p>
    <w:p w14:paraId="02D45027" w14:textId="77777777" w:rsidR="00817399" w:rsidRPr="002F2BC5" w:rsidRDefault="00817399" w:rsidP="00817399">
      <w:pPr>
        <w:spacing w:line="269" w:lineRule="auto"/>
        <w:rPr>
          <w:rtl/>
        </w:rPr>
      </w:pPr>
    </w:p>
    <w:p w14:paraId="26139C18" w14:textId="77777777" w:rsidR="00817399" w:rsidRPr="002F2BC5" w:rsidRDefault="00817399" w:rsidP="00817399">
      <w:pPr>
        <w:spacing w:line="269" w:lineRule="auto"/>
        <w:rPr>
          <w:rtl/>
        </w:rPr>
      </w:pPr>
      <w:r w:rsidRPr="002F2BC5">
        <w:rPr>
          <w:rFonts w:hint="cs"/>
          <w:rtl/>
        </w:rPr>
        <w:t>התקציב הייעודי העומד לרשות הוועדה הבין-משרדית הקבועה משמש כלי עיקרי לניהול וליישום המדיניות הממשלתית בנושא ההתמודדות עם תופעת האלימות במשפחה. ניהול התקציב הייעודי האמור, ובתוך כך אופן הקצאתו ואופן ניצולו בפועל, משמש רכיב חיוני לבחינה של מידת השגת יעדי המדיניות ושל תוצאות הפעולות שננקטו באמצעותו. משכך ישנה חשיבות שהמידע בנושא זה ינוהל באופן ממוחשב ובשקיפות כדי לאפשר מעקב ובקרה נאותים, פנימיים וחיצוניים</w:t>
      </w:r>
      <w:r w:rsidRPr="002F2BC5">
        <w:rPr>
          <w:rStyle w:val="af9"/>
          <w:rtl/>
        </w:rPr>
        <w:footnoteReference w:id="161"/>
      </w:r>
      <w:r w:rsidRPr="002F2BC5">
        <w:rPr>
          <w:rFonts w:hint="cs"/>
          <w:rtl/>
        </w:rPr>
        <w:t xml:space="preserve">. </w:t>
      </w:r>
    </w:p>
    <w:p w14:paraId="595819D7" w14:textId="77777777" w:rsidR="00817399" w:rsidRPr="002F2BC5" w:rsidRDefault="00817399" w:rsidP="00817399">
      <w:pPr>
        <w:spacing w:line="269" w:lineRule="auto"/>
        <w:rPr>
          <w:rtl/>
        </w:rPr>
      </w:pPr>
    </w:p>
    <w:p w14:paraId="23E424C6" w14:textId="77777777" w:rsidR="00817399" w:rsidRPr="002F2BC5" w:rsidRDefault="00817399" w:rsidP="00817399">
      <w:pPr>
        <w:spacing w:line="269" w:lineRule="auto"/>
        <w:rPr>
          <w:rtl/>
        </w:rPr>
      </w:pPr>
      <w:bookmarkStart w:id="586" w:name="_Toc191986964"/>
      <w:r w:rsidRPr="002F2BC5">
        <w:rPr>
          <w:rStyle w:val="70"/>
          <w:rFonts w:hint="cs"/>
          <w:rtl/>
        </w:rPr>
        <w:t>הביקורת הקודמת:</w:t>
      </w:r>
      <w:bookmarkEnd w:id="586"/>
      <w:r w:rsidRPr="002F2BC5">
        <w:rPr>
          <w:rFonts w:hint="cs"/>
          <w:rtl/>
        </w:rPr>
        <w:t xml:space="preserve"> נמצא כי בשנים 2017 - 2020 הוקצו במצטבר כ-128 מיליוני ש"ח בלבד לטובת יישום המלצותיה של ועדת המנכ"לים </w:t>
      </w:r>
      <w:r w:rsidRPr="002F2BC5">
        <w:rPr>
          <w:rtl/>
        </w:rPr>
        <w:t xml:space="preserve">(כ-43% מהעלות המוערכת ליישום </w:t>
      </w:r>
      <w:r w:rsidRPr="002F2BC5">
        <w:rPr>
          <w:rFonts w:hint="eastAsia"/>
          <w:rtl/>
        </w:rPr>
        <w:t>ההמלצות</w:t>
      </w:r>
      <w:r w:rsidRPr="002F2BC5">
        <w:rPr>
          <w:rtl/>
        </w:rPr>
        <w:t xml:space="preserve"> במהלך השנים האמורות - כ-300 מיליון ש"ח). </w:t>
      </w:r>
    </w:p>
    <w:p w14:paraId="02638757" w14:textId="77777777" w:rsidR="00817399" w:rsidRPr="002F2BC5" w:rsidRDefault="00817399" w:rsidP="00817399">
      <w:pPr>
        <w:spacing w:line="269" w:lineRule="auto"/>
        <w:rPr>
          <w:rtl/>
        </w:rPr>
      </w:pPr>
    </w:p>
    <w:p w14:paraId="3F4BCC0E" w14:textId="77777777" w:rsidR="00817399" w:rsidRPr="002F2BC5" w:rsidRDefault="00817399" w:rsidP="00817399">
      <w:pPr>
        <w:spacing w:line="269" w:lineRule="auto"/>
        <w:rPr>
          <w:rtl/>
        </w:rPr>
      </w:pPr>
      <w:r w:rsidRPr="002F2BC5">
        <w:rPr>
          <w:rFonts w:hint="cs"/>
          <w:rtl/>
        </w:rPr>
        <w:lastRenderedPageBreak/>
        <w:t>משרד מבקר המדינה המליץ בביקורת הקודמת ל</w:t>
      </w:r>
      <w:r w:rsidRPr="002F2BC5">
        <w:rPr>
          <w:rFonts w:hint="eastAsia"/>
          <w:rtl/>
        </w:rPr>
        <w:t>משרד</w:t>
      </w:r>
      <w:r w:rsidRPr="002F2BC5">
        <w:rPr>
          <w:rtl/>
        </w:rPr>
        <w:t xml:space="preserve"> </w:t>
      </w:r>
      <w:r w:rsidRPr="002F2BC5">
        <w:rPr>
          <w:rFonts w:hint="eastAsia"/>
          <w:rtl/>
        </w:rPr>
        <w:t>האוצר</w:t>
      </w:r>
      <w:r w:rsidRPr="002F2BC5">
        <w:rPr>
          <w:rtl/>
        </w:rPr>
        <w:t xml:space="preserve"> </w:t>
      </w:r>
      <w:r w:rsidRPr="002F2BC5">
        <w:rPr>
          <w:rFonts w:hint="eastAsia"/>
          <w:rtl/>
        </w:rPr>
        <w:t>ו</w:t>
      </w:r>
      <w:r w:rsidRPr="002F2BC5">
        <w:rPr>
          <w:rFonts w:hint="cs"/>
          <w:rtl/>
        </w:rPr>
        <w:t xml:space="preserve">למשרד </w:t>
      </w:r>
      <w:r w:rsidRPr="002F2BC5">
        <w:rPr>
          <w:rFonts w:hint="eastAsia"/>
          <w:rtl/>
        </w:rPr>
        <w:t>הרווחה</w:t>
      </w:r>
      <w:r w:rsidRPr="002F2BC5">
        <w:rPr>
          <w:rFonts w:hint="cs"/>
          <w:rtl/>
        </w:rPr>
        <w:t xml:space="preserve"> כי </w:t>
      </w:r>
      <w:r w:rsidRPr="002F2BC5">
        <w:rPr>
          <w:rFonts w:hint="eastAsia"/>
          <w:rtl/>
        </w:rPr>
        <w:t>יפעלו</w:t>
      </w:r>
      <w:r w:rsidRPr="002F2BC5">
        <w:rPr>
          <w:rFonts w:hint="cs"/>
          <w:rtl/>
        </w:rPr>
        <w:t xml:space="preserve"> במשותף לאיתור מקורות תקציביים נוספים </w:t>
      </w:r>
      <w:r w:rsidRPr="002F2BC5">
        <w:rPr>
          <w:rFonts w:hint="eastAsia"/>
          <w:rtl/>
        </w:rPr>
        <w:t>להוצאתה</w:t>
      </w:r>
      <w:r w:rsidRPr="002F2BC5">
        <w:rPr>
          <w:rtl/>
        </w:rPr>
        <w:t xml:space="preserve"> </w:t>
      </w:r>
      <w:r w:rsidRPr="002F2BC5">
        <w:rPr>
          <w:rFonts w:hint="eastAsia"/>
          <w:rtl/>
        </w:rPr>
        <w:t>לפועל</w:t>
      </w:r>
      <w:r w:rsidRPr="002F2BC5">
        <w:rPr>
          <w:rtl/>
        </w:rPr>
        <w:t xml:space="preserve"> של </w:t>
      </w:r>
      <w:r w:rsidRPr="002F2BC5">
        <w:rPr>
          <w:rFonts w:hint="cs"/>
          <w:rtl/>
        </w:rPr>
        <w:t>תוכנית הפעולה שקבעה ועדת המנכ"לים</w:t>
      </w:r>
      <w:r w:rsidRPr="002F2BC5">
        <w:rPr>
          <w:rtl/>
        </w:rPr>
        <w:t>.</w:t>
      </w:r>
    </w:p>
    <w:p w14:paraId="59DFF873" w14:textId="77777777" w:rsidR="00817399" w:rsidRPr="002F2BC5" w:rsidRDefault="00817399" w:rsidP="00817399">
      <w:pPr>
        <w:spacing w:line="269" w:lineRule="auto"/>
        <w:rPr>
          <w:rtl/>
        </w:rPr>
      </w:pPr>
      <w:r w:rsidRPr="002F2BC5">
        <w:rPr>
          <w:rFonts w:hint="cs"/>
          <w:rtl/>
        </w:rPr>
        <w:t>משרד האוצר מסר בתשובתו לביקורת הקודמת מפברואר 2021 כי בהחלטת הממשלה משנת 2017, שבה אומצו עיקרי המלצות ועדת המנכ"לים, לא צוינו מקורות תקציבים ליישום ההמלצות וכי החלטה זו הייתה בבחינת עמדה עקרונית לקראת החלטה אופרטיבית. הוא הוסיף כי הקצה תקציב בהתאם להחלטות ממשלה מאוחרות, על אף הקשיים התקציביים שהתעוררו בצל משבר הקורונה.</w:t>
      </w:r>
    </w:p>
    <w:p w14:paraId="004B2993" w14:textId="77777777" w:rsidR="00817399" w:rsidRPr="002F2BC5" w:rsidRDefault="00817399" w:rsidP="00817399">
      <w:pPr>
        <w:spacing w:line="269" w:lineRule="auto"/>
        <w:rPr>
          <w:rtl/>
        </w:rPr>
      </w:pPr>
    </w:p>
    <w:p w14:paraId="5E869F0D" w14:textId="351F0158" w:rsidR="00817399" w:rsidRPr="002F2BC5" w:rsidRDefault="00817399" w:rsidP="00817399">
      <w:pPr>
        <w:spacing w:line="269" w:lineRule="auto"/>
        <w:rPr>
          <w:rtl/>
        </w:rPr>
      </w:pPr>
      <w:bookmarkStart w:id="587" w:name="_Toc191986965"/>
      <w:r w:rsidRPr="002F2BC5">
        <w:rPr>
          <w:rStyle w:val="70"/>
          <w:rFonts w:hint="cs"/>
          <w:rtl/>
        </w:rPr>
        <w:t>ביקורת המעקב:</w:t>
      </w:r>
      <w:bookmarkEnd w:id="587"/>
      <w:r w:rsidRPr="002F2BC5">
        <w:rPr>
          <w:rFonts w:hint="cs"/>
          <w:rtl/>
        </w:rPr>
        <w:t xml:space="preserve"> נמצא כי בשנת 2021, לאחר סיום הביקורת הקודמת, הוקצה סכום נוסף בסך של כ-55 מיליון ש"ח לטובת יישום המלצותיה של ועדת המנכ"לים. משרד הרווחה מסר במהלך ביקורת המעקב, בדצמבר 2024, כי בשנים 2022 - 2024 הועמד לרשות הוועדה הבין-משרדית הקבועה תקציב שנתי ייעודי וקבוע בסך של כ-155 מיליון ש"ח שעוגן בבסיס התקציב. לפי המידע שמסר משרד הרווחה, בשלוש השנים 2022 - 2024 הועמד לרשות הוועדה הבין-משרדית סכום מצטבר של כ-465 מיליון ש"ח. הנתונים על התקציב הייעודי שהועמד לרשות הוועדה הבין-משרדית בשנים 2017 - 2024 מוצגים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Ref187061370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9</w:t>
      </w:r>
      <w:r w:rsidRPr="002F2BC5">
        <w:rPr>
          <w:rtl/>
        </w:rPr>
        <w:fldChar w:fldCharType="end"/>
      </w:r>
      <w:r w:rsidRPr="002F2BC5">
        <w:rPr>
          <w:rFonts w:hint="cs"/>
          <w:rtl/>
        </w:rPr>
        <w:t xml:space="preserve"> שלהלן.</w:t>
      </w:r>
    </w:p>
    <w:p w14:paraId="6D90ADD5" w14:textId="77777777" w:rsidR="00817399" w:rsidRPr="002F2BC5" w:rsidRDefault="00817399" w:rsidP="00817399">
      <w:pPr>
        <w:spacing w:line="269" w:lineRule="auto"/>
        <w:rPr>
          <w:rtl/>
        </w:rPr>
      </w:pPr>
    </w:p>
    <w:p w14:paraId="6269B31F" w14:textId="77777777" w:rsidR="00817399" w:rsidRPr="002F2BC5" w:rsidRDefault="00817399" w:rsidP="00817399">
      <w:pPr>
        <w:pStyle w:val="a9"/>
        <w:spacing w:line="269" w:lineRule="auto"/>
        <w:rPr>
          <w:rtl/>
        </w:rPr>
      </w:pPr>
      <w:bookmarkStart w:id="588" w:name="_Ref187061370"/>
      <w:bookmarkStart w:id="589" w:name="_Toc192672902"/>
      <w:r w:rsidRPr="002F2BC5">
        <w:rPr>
          <w:rFonts w:hint="cs"/>
          <w:rtl/>
        </w:rPr>
        <w:t>:</w:t>
      </w:r>
      <w:bookmarkEnd w:id="588"/>
      <w:r w:rsidRPr="002F2BC5">
        <w:rPr>
          <w:rFonts w:hint="cs"/>
          <w:rtl/>
        </w:rPr>
        <w:t xml:space="preserve"> </w:t>
      </w:r>
      <w:r w:rsidRPr="002F2BC5">
        <w:rPr>
          <w:rFonts w:hint="cs"/>
          <w:b w:val="0"/>
          <w:bCs/>
          <w:rtl/>
        </w:rPr>
        <w:t>התקציב הייעודי שהועמד לרשות הוועדה הבין-משרדית,</w:t>
      </w:r>
      <w:r w:rsidRPr="002F2BC5">
        <w:rPr>
          <w:b w:val="0"/>
          <w:bCs/>
          <w:rtl/>
        </w:rPr>
        <w:br/>
      </w:r>
      <w:r w:rsidRPr="002F2BC5">
        <w:rPr>
          <w:rFonts w:hint="cs"/>
          <w:b w:val="0"/>
          <w:bCs/>
          <w:rtl/>
        </w:rPr>
        <w:t>2017 - 2024 (במיליוני ש"ח)</w:t>
      </w:r>
      <w:bookmarkEnd w:id="589"/>
    </w:p>
    <w:p w14:paraId="0C099816"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4A64BDF6" wp14:editId="15D852A6">
            <wp:extent cx="5220335" cy="4387850"/>
            <wp:effectExtent l="0" t="0" r="0" b="0"/>
            <wp:docPr id="45" name="תמונה 4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0335" cy="4387850"/>
                    </a:xfrm>
                    <a:prstGeom prst="rect">
                      <a:avLst/>
                    </a:prstGeom>
                  </pic:spPr>
                </pic:pic>
              </a:graphicData>
            </a:graphic>
          </wp:inline>
        </w:drawing>
      </w:r>
    </w:p>
    <w:p w14:paraId="671C4614" w14:textId="77777777" w:rsidR="00817399" w:rsidRPr="002F2BC5" w:rsidRDefault="00817399" w:rsidP="00817399">
      <w:pPr>
        <w:pStyle w:val="afffffff1"/>
        <w:bidi/>
        <w:spacing w:line="269" w:lineRule="auto"/>
        <w:rPr>
          <w:rtl/>
        </w:rPr>
      </w:pPr>
      <w:r w:rsidRPr="002F2BC5">
        <w:rPr>
          <w:rFonts w:hint="cs"/>
          <w:rtl/>
        </w:rPr>
        <w:t>על פי נתוני אגף התקציבים במשרד האוצר לשנים 2017 - 2020 ועל פי נתוני משרד הרווחה לשנים 2021 - 2024, בעיבוד משרד מבקר המדינה.</w:t>
      </w:r>
    </w:p>
    <w:p w14:paraId="42B94F0C" w14:textId="77777777" w:rsidR="00817399" w:rsidRPr="002F2BC5" w:rsidRDefault="00817399" w:rsidP="00817399">
      <w:pPr>
        <w:spacing w:line="269" w:lineRule="auto"/>
        <w:rPr>
          <w:rtl/>
        </w:rPr>
      </w:pPr>
    </w:p>
    <w:p w14:paraId="5A1A5AC5" w14:textId="77777777" w:rsidR="00817399" w:rsidRPr="002F2BC5" w:rsidRDefault="00817399" w:rsidP="00817399">
      <w:pPr>
        <w:pStyle w:val="afffffff9"/>
        <w:spacing w:line="269" w:lineRule="auto"/>
        <w:rPr>
          <w:rtl/>
        </w:rPr>
      </w:pPr>
      <w:bookmarkStart w:id="590" w:name="_Toc192093067"/>
      <w:bookmarkStart w:id="591" w:name="_Toc191986966"/>
      <w:bookmarkStart w:id="592" w:name="_Toc192612775"/>
      <w:bookmarkStart w:id="593" w:name="_Toc198312199"/>
      <w:bookmarkStart w:id="594" w:name="_Toc198312674"/>
      <w:bookmarkStart w:id="595" w:name="_Toc200636860"/>
      <w:bookmarkStart w:id="596" w:name="_Toc200439859"/>
      <w:bookmarkStart w:id="597" w:name="_Toc201240964"/>
      <w:r w:rsidRPr="002F2BC5">
        <w:rPr>
          <w:rFonts w:hint="eastAsia"/>
          <w:rtl/>
        </w:rPr>
        <w:t>בביקורת</w:t>
      </w:r>
      <w:r w:rsidRPr="002F2BC5">
        <w:rPr>
          <w:rtl/>
        </w:rPr>
        <w:t xml:space="preserve"> </w:t>
      </w:r>
      <w:r w:rsidRPr="002F2BC5">
        <w:rPr>
          <w:rFonts w:hint="eastAsia"/>
          <w:rtl/>
        </w:rPr>
        <w:t>הקודמת</w:t>
      </w:r>
      <w:r w:rsidRPr="002F2BC5">
        <w:rPr>
          <w:rtl/>
        </w:rPr>
        <w:t xml:space="preserve"> </w:t>
      </w:r>
      <w:r w:rsidRPr="002F2BC5">
        <w:rPr>
          <w:rFonts w:hint="cs"/>
          <w:rtl/>
        </w:rPr>
        <w:t>הועלה</w:t>
      </w:r>
      <w:r w:rsidRPr="002F2BC5">
        <w:rPr>
          <w:rtl/>
        </w:rPr>
        <w:t xml:space="preserve"> כי בשנים 2017 - 2020 הוקצו במצטבר כ-128 מיליוני ש"ח בלבד לטובת יישום המלצותיה של ועדת המנכ"לים</w:t>
      </w:r>
      <w:r w:rsidRPr="002F2BC5">
        <w:rPr>
          <w:rFonts w:hint="cs"/>
          <w:rtl/>
        </w:rPr>
        <w:t xml:space="preserve"> (כ-43% מהעלות המוערכת ליישום ההמלצות במהלך השנים האמורות - כ-300 מיליון ש"ח). בביקורת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חלקית</w:t>
      </w:r>
      <w:r w:rsidRPr="002F2BC5">
        <w:rPr>
          <w:rtl/>
        </w:rPr>
        <w:t xml:space="preserve">. </w:t>
      </w:r>
      <w:r w:rsidRPr="002F2BC5">
        <w:rPr>
          <w:rFonts w:hint="cs"/>
          <w:rtl/>
        </w:rPr>
        <w:t xml:space="preserve">נמצא כי נכון למועד סיומה, בדצמבר 2024, סך התקציב הייעודי המצטבר שהועמד </w:t>
      </w:r>
      <w:r w:rsidRPr="002F2BC5">
        <w:rPr>
          <w:rFonts w:hint="cs"/>
          <w:rtl/>
        </w:rPr>
        <w:lastRenderedPageBreak/>
        <w:t>לרשות הוועדה הבין-משרדית הקבועה החל משנת 2017, משניתנו לראשונה המלצותיה של ועדת המנכ"לים, עמד על כ-700 מיליון ש"ח, וכ-75% ממנו הועבר לאחר הביקורת הקודמת (כ-520 מתוך כ-700 מיליון ש"ח). עם זאת, התקציב השנתי הייעודי והקבוע שעוגן בבסיס התקציב עמד על כ-60% בלבד מהתקציב השנתי שעליו המליצה ועדת המנכ"לים (155 מתוך 250 מיליון ש"ח). יצוין כי במהלך מלחמת חרבות ברזל לא הועמד לרשות הוועדה הבין-משרדית תקציב ייעודי נוסף לטובת התאמת המענים בתחום האלימות במשפחה על רקע השפעותיה של המלחמה</w:t>
      </w:r>
      <w:r w:rsidRPr="002F2BC5">
        <w:rPr>
          <w:rStyle w:val="af9"/>
          <w:rtl/>
        </w:rPr>
        <w:footnoteReference w:id="162"/>
      </w:r>
      <w:r w:rsidRPr="002F2BC5">
        <w:rPr>
          <w:rFonts w:hint="cs"/>
          <w:rtl/>
        </w:rPr>
        <w:t>.</w:t>
      </w:r>
      <w:bookmarkEnd w:id="590"/>
      <w:bookmarkEnd w:id="591"/>
      <w:bookmarkEnd w:id="592"/>
      <w:bookmarkEnd w:id="593"/>
      <w:bookmarkEnd w:id="594"/>
      <w:bookmarkEnd w:id="595"/>
      <w:bookmarkEnd w:id="596"/>
      <w:bookmarkEnd w:id="597"/>
      <w:r w:rsidRPr="002F2BC5">
        <w:rPr>
          <w:rFonts w:hint="cs"/>
          <w:rtl/>
        </w:rPr>
        <w:t xml:space="preserve"> </w:t>
      </w:r>
    </w:p>
    <w:p w14:paraId="4019287C" w14:textId="77777777" w:rsidR="00817399" w:rsidRPr="002F2BC5" w:rsidRDefault="00817399" w:rsidP="00817399">
      <w:pPr>
        <w:spacing w:line="269" w:lineRule="auto"/>
        <w:rPr>
          <w:rtl/>
        </w:rPr>
      </w:pPr>
    </w:p>
    <w:p w14:paraId="2032EC9F" w14:textId="77777777" w:rsidR="00817399" w:rsidRPr="002F2BC5" w:rsidRDefault="00817399" w:rsidP="00817399">
      <w:pPr>
        <w:spacing w:line="269" w:lineRule="auto"/>
        <w:rPr>
          <w:rtl/>
        </w:rPr>
      </w:pPr>
      <w:r w:rsidRPr="002F2BC5">
        <w:rPr>
          <w:rFonts w:hint="cs"/>
          <w:rtl/>
        </w:rPr>
        <w:t>אגף התקציבים במשרד האוצר מסר בתשובתו כי תקצוב פעילות הוועדה הבין-משרדית נעשה בכפוף לסדרי העדיפויות של הממשלה ולמגבלות התקציב.</w:t>
      </w:r>
    </w:p>
    <w:p w14:paraId="5CAC65DA" w14:textId="77777777" w:rsidR="00817399" w:rsidRPr="002F2BC5" w:rsidRDefault="00817399" w:rsidP="00817399">
      <w:pPr>
        <w:spacing w:line="269" w:lineRule="auto"/>
        <w:rPr>
          <w:rtl/>
        </w:rPr>
      </w:pPr>
    </w:p>
    <w:p w14:paraId="5CCC5115"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254F7A42" w14:textId="77777777" w:rsidR="00817399" w:rsidRPr="002F2BC5" w:rsidRDefault="00817399" w:rsidP="00817399">
      <w:pPr>
        <w:pStyle w:val="afffffff7"/>
        <w:spacing w:before="0" w:line="269" w:lineRule="auto"/>
        <w:rPr>
          <w:noProof/>
          <w:rtl/>
        </w:rPr>
      </w:pPr>
      <w:bookmarkStart w:id="598" w:name="_Toc198312200"/>
      <w:bookmarkStart w:id="599" w:name="_Toc198312675"/>
      <w:bookmarkStart w:id="600" w:name="_Toc189072218"/>
      <w:r w:rsidRPr="002F2BC5">
        <w:rPr>
          <w:noProof/>
          <w:sz w:val="24"/>
        </w:rPr>
        <w:drawing>
          <wp:inline distT="0" distB="0" distL="0" distR="0" wp14:anchorId="26E75A56" wp14:editId="14815948">
            <wp:extent cx="4324350" cy="933450"/>
            <wp:effectExtent l="0" t="0" r="0" b="0"/>
            <wp:docPr id="2052770981" name="תמונה 205277098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1056"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598"/>
      <w:bookmarkEnd w:id="599"/>
    </w:p>
    <w:bookmarkEnd w:id="600"/>
    <w:p w14:paraId="7511F177" w14:textId="77777777" w:rsidR="00817399" w:rsidRPr="002F2BC5" w:rsidRDefault="00817399" w:rsidP="00817399">
      <w:pPr>
        <w:spacing w:line="269" w:lineRule="auto"/>
        <w:rPr>
          <w:rtl/>
        </w:rPr>
      </w:pPr>
    </w:p>
    <w:p w14:paraId="4C696AF9" w14:textId="77777777" w:rsidR="00817399" w:rsidRPr="002F2BC5" w:rsidRDefault="00817399" w:rsidP="00817399">
      <w:pPr>
        <w:pStyle w:val="afffffff9"/>
        <w:spacing w:line="269" w:lineRule="auto"/>
        <w:rPr>
          <w:rtl/>
        </w:rPr>
      </w:pPr>
      <w:bookmarkStart w:id="601" w:name="_Toc191986968"/>
      <w:bookmarkStart w:id="602" w:name="_Toc192093069"/>
      <w:bookmarkStart w:id="603" w:name="_Toc192612777"/>
      <w:bookmarkStart w:id="604" w:name="_Toc198312201"/>
      <w:bookmarkStart w:id="605" w:name="_Toc198312676"/>
      <w:bookmarkStart w:id="606" w:name="_Toc200636861"/>
      <w:bookmarkStart w:id="607" w:name="_Toc200439860"/>
      <w:bookmarkStart w:id="608" w:name="_Toc201240965"/>
      <w:r w:rsidRPr="002F2BC5">
        <w:rPr>
          <w:rFonts w:hint="cs"/>
          <w:rtl/>
        </w:rPr>
        <w:t>במסגרת הביקורת הנוכחית נבדק גם אופן ניהול התקציב הייעודי העומד לרשות הוועדה הבין-משרדית הקבועה, נושא שלא נבדק בביקורת הקודמת. הועלה כי התקציב הייעודי האמור אינו מנוהל במסגרת תקנה תקציבית נפרדת ("צבועה")</w:t>
      </w:r>
      <w:r w:rsidRPr="002F2BC5">
        <w:rPr>
          <w:rStyle w:val="af9"/>
          <w:b w:val="0"/>
          <w:bCs w:val="0"/>
          <w:rtl/>
        </w:rPr>
        <w:footnoteReference w:id="163"/>
      </w:r>
      <w:r w:rsidRPr="002F2BC5">
        <w:rPr>
          <w:rFonts w:hint="cs"/>
          <w:rtl/>
        </w:rPr>
        <w:t xml:space="preserve"> או מרכז קרנות ייעודי וגם אינו משויך ל"משימת-על"</w:t>
      </w:r>
      <w:r w:rsidRPr="002F2BC5">
        <w:rPr>
          <w:rStyle w:val="af9"/>
          <w:b w:val="0"/>
          <w:bCs w:val="0"/>
          <w:rtl/>
        </w:rPr>
        <w:footnoteReference w:id="164"/>
      </w:r>
      <w:r w:rsidRPr="002F2BC5">
        <w:rPr>
          <w:rFonts w:hint="cs"/>
          <w:rtl/>
        </w:rPr>
        <w:t xml:space="preserve">. משכך, קיים קושי של ממש לנהל מעקב ובקרה פנימיים או חיצוניים אחר אופן הקצאת התקציב לגופים ממשלתיים אחרים, לרשויות המקומיות או לגופים אחרים, ומכאן שקיים קושי לעקוב באופן סדור ושיטתי אחר ניצול התקציב בידי הגופים הללו. על כך יש להוסיף כי התקציב מנוהל במקביל הן במערכות ממוחשבות של משרד הרווחה והן באמצעות קובצי </w:t>
      </w:r>
      <w:r w:rsidRPr="002F2BC5">
        <w:t>Excel</w:t>
      </w:r>
      <w:r w:rsidRPr="002F2BC5">
        <w:rPr>
          <w:rFonts w:hint="cs"/>
          <w:rtl/>
        </w:rPr>
        <w:t>.</w:t>
      </w:r>
      <w:bookmarkEnd w:id="601"/>
      <w:bookmarkEnd w:id="602"/>
      <w:bookmarkEnd w:id="603"/>
      <w:bookmarkEnd w:id="604"/>
      <w:bookmarkEnd w:id="605"/>
      <w:bookmarkEnd w:id="606"/>
      <w:bookmarkEnd w:id="607"/>
      <w:bookmarkEnd w:id="608"/>
    </w:p>
    <w:p w14:paraId="0339BF55" w14:textId="77777777" w:rsidR="00817399" w:rsidRPr="002F2BC5" w:rsidRDefault="00817399" w:rsidP="00817399">
      <w:pPr>
        <w:spacing w:line="269" w:lineRule="auto"/>
        <w:rPr>
          <w:rtl/>
        </w:rPr>
      </w:pPr>
    </w:p>
    <w:p w14:paraId="596DD06E" w14:textId="77777777" w:rsidR="00817399" w:rsidRPr="002F2BC5" w:rsidRDefault="00817399" w:rsidP="00817399">
      <w:pPr>
        <w:spacing w:line="269" w:lineRule="auto"/>
        <w:rPr>
          <w:b/>
          <w:bCs/>
          <w:rtl/>
        </w:rPr>
      </w:pPr>
      <w:r w:rsidRPr="002F2BC5">
        <w:rPr>
          <w:rFonts w:hint="eastAsia"/>
          <w:b/>
          <w:bCs/>
          <w:rtl/>
        </w:rPr>
        <w:t>במועד</w:t>
      </w:r>
      <w:r w:rsidRPr="002F2BC5">
        <w:rPr>
          <w:b/>
          <w:bCs/>
          <w:rtl/>
        </w:rPr>
        <w:t xml:space="preserve"> סיום ביקורת המעקב, בדצמבר 2024, </w:t>
      </w:r>
      <w:r w:rsidRPr="002F2BC5">
        <w:rPr>
          <w:rFonts w:hint="eastAsia"/>
          <w:b/>
          <w:bCs/>
          <w:rtl/>
        </w:rPr>
        <w:t>לנוכח</w:t>
      </w:r>
      <w:r w:rsidRPr="002F2BC5">
        <w:rPr>
          <w:b/>
          <w:bCs/>
          <w:rtl/>
        </w:rPr>
        <w:t xml:space="preserve"> הקשיים האמורים בניהול המעקב והבקרה הפנימיים על ההקצאה והניצול </w:t>
      </w:r>
      <w:r w:rsidRPr="002F2BC5">
        <w:rPr>
          <w:rFonts w:hint="eastAsia"/>
          <w:b/>
          <w:bCs/>
          <w:rtl/>
        </w:rPr>
        <w:t>בפועל</w:t>
      </w:r>
      <w:r w:rsidRPr="002F2BC5">
        <w:rPr>
          <w:b/>
          <w:bCs/>
          <w:rtl/>
        </w:rPr>
        <w:t xml:space="preserve"> </w:t>
      </w:r>
      <w:r w:rsidRPr="002F2BC5">
        <w:rPr>
          <w:rFonts w:hint="eastAsia"/>
          <w:b/>
          <w:bCs/>
          <w:rtl/>
        </w:rPr>
        <w:t>של</w:t>
      </w:r>
      <w:r w:rsidRPr="002F2BC5">
        <w:rPr>
          <w:b/>
          <w:bCs/>
          <w:rtl/>
        </w:rPr>
        <w:t xml:space="preserve"> התקציב הייעודי, </w:t>
      </w:r>
      <w:r w:rsidRPr="002F2BC5">
        <w:rPr>
          <w:rFonts w:hint="eastAsia"/>
          <w:b/>
          <w:bCs/>
          <w:rtl/>
        </w:rPr>
        <w:t>משרד</w:t>
      </w:r>
      <w:r w:rsidRPr="002F2BC5">
        <w:rPr>
          <w:b/>
          <w:bCs/>
          <w:rtl/>
        </w:rPr>
        <w:t xml:space="preserve"> </w:t>
      </w:r>
      <w:r w:rsidRPr="002F2BC5">
        <w:rPr>
          <w:rFonts w:hint="eastAsia"/>
          <w:b/>
          <w:bCs/>
          <w:rtl/>
        </w:rPr>
        <w:t>הרווחה</w:t>
      </w:r>
      <w:r w:rsidRPr="002F2BC5">
        <w:rPr>
          <w:b/>
          <w:bCs/>
          <w:rtl/>
        </w:rPr>
        <w:t xml:space="preserve"> </w:t>
      </w:r>
      <w:r w:rsidRPr="002F2BC5">
        <w:rPr>
          <w:rFonts w:hint="eastAsia"/>
          <w:b/>
          <w:bCs/>
          <w:rtl/>
        </w:rPr>
        <w:t>העביר</w:t>
      </w:r>
      <w:r w:rsidRPr="002F2BC5">
        <w:rPr>
          <w:b/>
          <w:bCs/>
          <w:rtl/>
        </w:rPr>
        <w:t xml:space="preserve"> את הנתונים התקציביים </w:t>
      </w:r>
      <w:r w:rsidRPr="002F2BC5">
        <w:rPr>
          <w:rFonts w:hint="eastAsia"/>
          <w:b/>
          <w:bCs/>
          <w:rtl/>
        </w:rPr>
        <w:t>שנאספו</w:t>
      </w:r>
      <w:r w:rsidRPr="002F2BC5">
        <w:rPr>
          <w:b/>
          <w:bCs/>
          <w:rtl/>
        </w:rPr>
        <w:t xml:space="preserve"> על ידו באופן ידני </w:t>
      </w:r>
      <w:r w:rsidRPr="002F2BC5">
        <w:rPr>
          <w:rFonts w:hint="eastAsia"/>
          <w:b/>
          <w:bCs/>
          <w:rtl/>
        </w:rPr>
        <w:t>על</w:t>
      </w:r>
      <w:r w:rsidRPr="002F2BC5">
        <w:rPr>
          <w:b/>
          <w:bCs/>
          <w:rtl/>
        </w:rPr>
        <w:t xml:space="preserve"> </w:t>
      </w:r>
      <w:r w:rsidRPr="002F2BC5">
        <w:rPr>
          <w:rFonts w:hint="eastAsia"/>
          <w:b/>
          <w:bCs/>
          <w:rtl/>
        </w:rPr>
        <w:t>ההקצאה</w:t>
      </w:r>
      <w:r w:rsidRPr="002F2BC5">
        <w:rPr>
          <w:b/>
          <w:bCs/>
          <w:rtl/>
        </w:rPr>
        <w:t xml:space="preserve"> </w:t>
      </w:r>
      <w:r w:rsidRPr="002F2BC5">
        <w:rPr>
          <w:rFonts w:hint="eastAsia"/>
          <w:b/>
          <w:bCs/>
          <w:rtl/>
        </w:rPr>
        <w:t>והניצול</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התקציב</w:t>
      </w:r>
      <w:r w:rsidRPr="002F2BC5">
        <w:rPr>
          <w:b/>
          <w:bCs/>
          <w:rtl/>
        </w:rPr>
        <w:t xml:space="preserve"> </w:t>
      </w:r>
      <w:r w:rsidRPr="002F2BC5">
        <w:rPr>
          <w:rFonts w:hint="eastAsia"/>
          <w:b/>
          <w:bCs/>
          <w:rtl/>
        </w:rPr>
        <w:t>הייעודי</w:t>
      </w:r>
      <w:r w:rsidRPr="002F2BC5">
        <w:rPr>
          <w:b/>
          <w:bCs/>
          <w:rtl/>
        </w:rPr>
        <w:t xml:space="preserve"> בהתייחס </w:t>
      </w:r>
      <w:r w:rsidRPr="002F2BC5">
        <w:rPr>
          <w:rFonts w:hint="eastAsia"/>
          <w:b/>
          <w:bCs/>
          <w:rtl/>
        </w:rPr>
        <w:t>לשנת</w:t>
      </w:r>
      <w:r w:rsidRPr="002F2BC5">
        <w:rPr>
          <w:b/>
          <w:bCs/>
          <w:rtl/>
        </w:rPr>
        <w:t xml:space="preserve"> 2023 </w:t>
      </w:r>
      <w:r w:rsidRPr="002F2BC5">
        <w:rPr>
          <w:rFonts w:hint="eastAsia"/>
          <w:b/>
          <w:bCs/>
          <w:rtl/>
        </w:rPr>
        <w:t>בלבד</w:t>
      </w:r>
      <w:r w:rsidRPr="002F2BC5">
        <w:rPr>
          <w:b/>
          <w:bCs/>
          <w:rtl/>
        </w:rPr>
        <w:t xml:space="preserve"> ולא עלה בידיו להעביר את הנתונים הללו בהתייחס </w:t>
      </w:r>
      <w:r w:rsidRPr="002F2BC5">
        <w:rPr>
          <w:rFonts w:hint="eastAsia"/>
          <w:b/>
          <w:bCs/>
          <w:rtl/>
        </w:rPr>
        <w:t>לשנת</w:t>
      </w:r>
      <w:r w:rsidRPr="002F2BC5">
        <w:rPr>
          <w:b/>
          <w:bCs/>
          <w:rtl/>
        </w:rPr>
        <w:t xml:space="preserve"> 2022 </w:t>
      </w:r>
      <w:r w:rsidRPr="002F2BC5">
        <w:rPr>
          <w:rFonts w:hint="eastAsia"/>
          <w:b/>
          <w:bCs/>
          <w:rtl/>
        </w:rPr>
        <w:t>או</w:t>
      </w:r>
      <w:r w:rsidRPr="002F2BC5">
        <w:rPr>
          <w:b/>
          <w:bCs/>
          <w:rtl/>
        </w:rPr>
        <w:t xml:space="preserve"> לשנת 2024, וממילא לא עלה בידיו להעביר </w:t>
      </w:r>
      <w:r w:rsidRPr="002F2BC5">
        <w:rPr>
          <w:rFonts w:hint="eastAsia"/>
          <w:b/>
          <w:bCs/>
          <w:rtl/>
        </w:rPr>
        <w:t>בהתייחס</w:t>
      </w:r>
      <w:r w:rsidRPr="002F2BC5">
        <w:rPr>
          <w:b/>
          <w:bCs/>
          <w:rtl/>
        </w:rPr>
        <w:t xml:space="preserve"> לשנים אלו </w:t>
      </w:r>
      <w:r w:rsidRPr="002F2BC5">
        <w:rPr>
          <w:rFonts w:hint="eastAsia"/>
          <w:b/>
          <w:bCs/>
          <w:rtl/>
        </w:rPr>
        <w:t>את</w:t>
      </w:r>
      <w:r w:rsidRPr="002F2BC5">
        <w:rPr>
          <w:b/>
          <w:bCs/>
          <w:rtl/>
        </w:rPr>
        <w:t xml:space="preserve"> </w:t>
      </w:r>
      <w:r w:rsidRPr="002F2BC5">
        <w:rPr>
          <w:rFonts w:hint="eastAsia"/>
          <w:b/>
          <w:bCs/>
          <w:rtl/>
        </w:rPr>
        <w:t>הנתונים</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אופן</w:t>
      </w:r>
      <w:r w:rsidRPr="002F2BC5">
        <w:rPr>
          <w:b/>
          <w:bCs/>
          <w:rtl/>
        </w:rPr>
        <w:t xml:space="preserve"> </w:t>
      </w:r>
      <w:r w:rsidRPr="002F2BC5">
        <w:rPr>
          <w:rFonts w:hint="eastAsia"/>
          <w:b/>
          <w:bCs/>
          <w:rtl/>
        </w:rPr>
        <w:t>ניצול</w:t>
      </w:r>
      <w:r w:rsidRPr="002F2BC5">
        <w:rPr>
          <w:b/>
          <w:bCs/>
          <w:rtl/>
        </w:rPr>
        <w:t xml:space="preserve"> </w:t>
      </w:r>
      <w:r w:rsidRPr="002F2BC5">
        <w:rPr>
          <w:rFonts w:hint="eastAsia"/>
          <w:b/>
          <w:bCs/>
          <w:rtl/>
        </w:rPr>
        <w:t>התקציב</w:t>
      </w:r>
      <w:r w:rsidRPr="002F2BC5">
        <w:rPr>
          <w:b/>
          <w:bCs/>
          <w:rtl/>
        </w:rPr>
        <w:t xml:space="preserve"> </w:t>
      </w:r>
      <w:r w:rsidRPr="002F2BC5">
        <w:rPr>
          <w:rFonts w:hint="eastAsia"/>
          <w:b/>
          <w:bCs/>
          <w:rtl/>
        </w:rPr>
        <w:t>בפועל</w:t>
      </w:r>
      <w:r w:rsidRPr="002F2BC5">
        <w:rPr>
          <w:b/>
          <w:bCs/>
          <w:rtl/>
        </w:rPr>
        <w:t xml:space="preserve">. </w:t>
      </w:r>
    </w:p>
    <w:p w14:paraId="64E200C6" w14:textId="77777777" w:rsidR="00817399" w:rsidRPr="002F2BC5" w:rsidRDefault="00817399" w:rsidP="00817399">
      <w:pPr>
        <w:spacing w:line="269" w:lineRule="auto"/>
        <w:rPr>
          <w:rtl/>
        </w:rPr>
      </w:pPr>
    </w:p>
    <w:p w14:paraId="4D44A397" w14:textId="77777777" w:rsidR="00817399" w:rsidRPr="002F2BC5" w:rsidRDefault="00817399" w:rsidP="00817399">
      <w:pPr>
        <w:spacing w:line="269" w:lineRule="auto"/>
        <w:rPr>
          <w:b/>
          <w:bCs/>
          <w:rtl/>
        </w:rPr>
      </w:pPr>
      <w:r w:rsidRPr="002F2BC5">
        <w:rPr>
          <w:rFonts w:hint="eastAsia"/>
          <w:b/>
          <w:bCs/>
          <w:rtl/>
        </w:rPr>
        <w:t>לצד</w:t>
      </w:r>
      <w:r w:rsidRPr="002F2BC5">
        <w:rPr>
          <w:b/>
          <w:bCs/>
          <w:rtl/>
        </w:rPr>
        <w:t xml:space="preserve"> זאת </w:t>
      </w:r>
      <w:r w:rsidRPr="002F2BC5">
        <w:rPr>
          <w:rFonts w:hint="eastAsia"/>
          <w:b/>
          <w:bCs/>
          <w:rtl/>
        </w:rPr>
        <w:t>מסתמן</w:t>
      </w:r>
      <w:r w:rsidRPr="002F2BC5">
        <w:rPr>
          <w:b/>
          <w:bCs/>
          <w:rtl/>
        </w:rPr>
        <w:t xml:space="preserve"> כי חלקו הארי של התקציב </w:t>
      </w:r>
      <w:r w:rsidRPr="002F2BC5">
        <w:rPr>
          <w:rFonts w:hint="eastAsia"/>
          <w:b/>
          <w:bCs/>
          <w:rtl/>
        </w:rPr>
        <w:t>הייעודי</w:t>
      </w:r>
      <w:r w:rsidRPr="002F2BC5">
        <w:rPr>
          <w:b/>
          <w:bCs/>
          <w:rtl/>
        </w:rPr>
        <w:t xml:space="preserve"> </w:t>
      </w:r>
      <w:r w:rsidRPr="002F2BC5">
        <w:rPr>
          <w:rFonts w:hint="eastAsia"/>
          <w:b/>
          <w:bCs/>
          <w:rtl/>
        </w:rPr>
        <w:t>בשנת</w:t>
      </w:r>
      <w:r w:rsidRPr="002F2BC5">
        <w:rPr>
          <w:b/>
          <w:bCs/>
          <w:rtl/>
        </w:rPr>
        <w:t xml:space="preserve"> 2023 </w:t>
      </w:r>
      <w:r w:rsidRPr="002F2BC5">
        <w:rPr>
          <w:rFonts w:hint="eastAsia"/>
          <w:b/>
          <w:bCs/>
          <w:rtl/>
        </w:rPr>
        <w:t>שימש</w:t>
      </w:r>
      <w:r w:rsidRPr="002F2BC5">
        <w:rPr>
          <w:b/>
          <w:bCs/>
          <w:rtl/>
        </w:rPr>
        <w:t xml:space="preserve"> </w:t>
      </w:r>
      <w:r w:rsidRPr="002F2BC5">
        <w:rPr>
          <w:rFonts w:hint="eastAsia"/>
          <w:b/>
          <w:bCs/>
          <w:rtl/>
        </w:rPr>
        <w:t>לתגבור</w:t>
      </w:r>
      <w:r w:rsidRPr="002F2BC5">
        <w:rPr>
          <w:b/>
          <w:bCs/>
          <w:rtl/>
        </w:rPr>
        <w:t xml:space="preserve"> </w:t>
      </w:r>
      <w:r w:rsidRPr="002F2BC5">
        <w:rPr>
          <w:rFonts w:hint="eastAsia"/>
          <w:b/>
          <w:bCs/>
          <w:rtl/>
        </w:rPr>
        <w:t>שירותים</w:t>
      </w:r>
      <w:r w:rsidRPr="002F2BC5">
        <w:rPr>
          <w:b/>
          <w:bCs/>
          <w:rtl/>
        </w:rPr>
        <w:t xml:space="preserve"> </w:t>
      </w:r>
      <w:r w:rsidRPr="002F2BC5">
        <w:rPr>
          <w:rFonts w:hint="eastAsia"/>
          <w:b/>
          <w:bCs/>
          <w:rtl/>
        </w:rPr>
        <w:t>שבאחריות</w:t>
      </w:r>
      <w:r w:rsidRPr="002F2BC5">
        <w:rPr>
          <w:b/>
          <w:bCs/>
          <w:rtl/>
        </w:rPr>
        <w:t xml:space="preserve"> </w:t>
      </w:r>
      <w:r w:rsidRPr="002F2BC5">
        <w:rPr>
          <w:rFonts w:hint="eastAsia"/>
          <w:b/>
          <w:bCs/>
          <w:rtl/>
        </w:rPr>
        <w:t>משרד</w:t>
      </w:r>
      <w:r w:rsidRPr="002F2BC5">
        <w:rPr>
          <w:b/>
          <w:bCs/>
          <w:rtl/>
        </w:rPr>
        <w:t xml:space="preserve"> </w:t>
      </w:r>
      <w:r w:rsidRPr="002F2BC5">
        <w:rPr>
          <w:rFonts w:hint="eastAsia"/>
          <w:b/>
          <w:bCs/>
          <w:rtl/>
        </w:rPr>
        <w:t>הרווחה</w:t>
      </w:r>
      <w:r w:rsidRPr="002F2BC5">
        <w:rPr>
          <w:b/>
          <w:bCs/>
          <w:rtl/>
        </w:rPr>
        <w:t xml:space="preserve"> לספק, </w:t>
      </w:r>
      <w:r w:rsidRPr="002F2BC5">
        <w:rPr>
          <w:rFonts w:hint="eastAsia"/>
          <w:b/>
          <w:bCs/>
          <w:rtl/>
        </w:rPr>
        <w:t>וכך</w:t>
      </w:r>
      <w:r w:rsidRPr="002F2BC5">
        <w:rPr>
          <w:b/>
          <w:bCs/>
          <w:rtl/>
        </w:rPr>
        <w:t xml:space="preserve"> </w:t>
      </w:r>
      <w:r w:rsidRPr="002F2BC5">
        <w:rPr>
          <w:rFonts w:hint="eastAsia"/>
          <w:b/>
          <w:bCs/>
          <w:rtl/>
        </w:rPr>
        <w:t>לדוגמה</w:t>
      </w:r>
      <w:r w:rsidRPr="002F2BC5">
        <w:rPr>
          <w:b/>
          <w:bCs/>
          <w:rtl/>
        </w:rPr>
        <w:t xml:space="preserve"> </w:t>
      </w:r>
      <w:r w:rsidRPr="002F2BC5">
        <w:rPr>
          <w:rFonts w:hint="eastAsia"/>
          <w:b/>
          <w:bCs/>
          <w:rtl/>
        </w:rPr>
        <w:t>בשנת</w:t>
      </w:r>
      <w:r w:rsidRPr="002F2BC5">
        <w:rPr>
          <w:b/>
          <w:bCs/>
          <w:rtl/>
        </w:rPr>
        <w:t xml:space="preserve"> 2023, </w:t>
      </w:r>
      <w:r w:rsidRPr="002F2BC5">
        <w:rPr>
          <w:rFonts w:hint="eastAsia"/>
          <w:b/>
          <w:bCs/>
          <w:rtl/>
        </w:rPr>
        <w:t>כ</w:t>
      </w:r>
      <w:r w:rsidRPr="002F2BC5">
        <w:rPr>
          <w:b/>
          <w:bCs/>
          <w:rtl/>
        </w:rPr>
        <w:t xml:space="preserve">-5% </w:t>
      </w:r>
      <w:r w:rsidRPr="002F2BC5">
        <w:rPr>
          <w:rFonts w:hint="eastAsia"/>
          <w:b/>
          <w:bCs/>
          <w:rtl/>
        </w:rPr>
        <w:t>בלבד</w:t>
      </w:r>
      <w:r w:rsidRPr="002F2BC5">
        <w:rPr>
          <w:b/>
          <w:bCs/>
          <w:rtl/>
        </w:rPr>
        <w:t xml:space="preserve"> </w:t>
      </w:r>
      <w:r w:rsidRPr="002F2BC5">
        <w:rPr>
          <w:rFonts w:hint="eastAsia"/>
          <w:b/>
          <w:bCs/>
          <w:rtl/>
        </w:rPr>
        <w:t>מהתקציב</w:t>
      </w:r>
      <w:r w:rsidRPr="002F2BC5">
        <w:rPr>
          <w:b/>
          <w:bCs/>
          <w:rtl/>
        </w:rPr>
        <w:t xml:space="preserve"> </w:t>
      </w:r>
      <w:r w:rsidRPr="002F2BC5">
        <w:rPr>
          <w:rFonts w:hint="eastAsia"/>
          <w:b/>
          <w:bCs/>
          <w:rtl/>
        </w:rPr>
        <w:t>הייעודי</w:t>
      </w:r>
      <w:r w:rsidRPr="002F2BC5">
        <w:rPr>
          <w:b/>
          <w:bCs/>
          <w:rtl/>
        </w:rPr>
        <w:t xml:space="preserve"> </w:t>
      </w:r>
      <w:r w:rsidRPr="002F2BC5">
        <w:rPr>
          <w:rFonts w:hint="eastAsia"/>
          <w:b/>
          <w:bCs/>
          <w:rtl/>
        </w:rPr>
        <w:t>הועבר</w:t>
      </w:r>
      <w:r w:rsidRPr="002F2BC5">
        <w:rPr>
          <w:b/>
          <w:bCs/>
          <w:rtl/>
        </w:rPr>
        <w:t xml:space="preserve"> </w:t>
      </w:r>
      <w:r w:rsidRPr="002F2BC5">
        <w:rPr>
          <w:rFonts w:hint="eastAsia"/>
          <w:b/>
          <w:bCs/>
          <w:rtl/>
        </w:rPr>
        <w:t>למשרד</w:t>
      </w:r>
      <w:r w:rsidRPr="002F2BC5">
        <w:rPr>
          <w:b/>
          <w:bCs/>
          <w:rtl/>
        </w:rPr>
        <w:t xml:space="preserve"> </w:t>
      </w:r>
      <w:r w:rsidRPr="002F2BC5">
        <w:rPr>
          <w:rFonts w:hint="eastAsia"/>
          <w:b/>
          <w:bCs/>
          <w:rtl/>
        </w:rPr>
        <w:t>החינוך</w:t>
      </w:r>
      <w:r w:rsidRPr="002F2BC5">
        <w:rPr>
          <w:b/>
          <w:bCs/>
          <w:rtl/>
        </w:rPr>
        <w:t xml:space="preserve">, </w:t>
      </w:r>
      <w:r w:rsidRPr="002F2BC5">
        <w:rPr>
          <w:rFonts w:hint="eastAsia"/>
          <w:b/>
          <w:bCs/>
          <w:rtl/>
        </w:rPr>
        <w:t>למשרד</w:t>
      </w:r>
      <w:r w:rsidRPr="002F2BC5">
        <w:rPr>
          <w:b/>
          <w:bCs/>
          <w:rtl/>
        </w:rPr>
        <w:t xml:space="preserve"> </w:t>
      </w:r>
      <w:r w:rsidRPr="002F2BC5">
        <w:rPr>
          <w:rFonts w:hint="eastAsia"/>
          <w:b/>
          <w:bCs/>
          <w:rtl/>
        </w:rPr>
        <w:t>הבריאות</w:t>
      </w:r>
      <w:r w:rsidRPr="002F2BC5">
        <w:rPr>
          <w:b/>
          <w:bCs/>
          <w:rtl/>
        </w:rPr>
        <w:t xml:space="preserve"> </w:t>
      </w:r>
      <w:r w:rsidRPr="002F2BC5">
        <w:rPr>
          <w:rFonts w:hint="eastAsia"/>
          <w:b/>
          <w:bCs/>
          <w:rtl/>
        </w:rPr>
        <w:t>ולשירות</w:t>
      </w:r>
      <w:r w:rsidRPr="002F2BC5">
        <w:rPr>
          <w:b/>
          <w:bCs/>
          <w:rtl/>
        </w:rPr>
        <w:t xml:space="preserve"> </w:t>
      </w:r>
      <w:r w:rsidRPr="002F2BC5">
        <w:rPr>
          <w:rFonts w:hint="eastAsia"/>
          <w:b/>
          <w:bCs/>
          <w:rtl/>
        </w:rPr>
        <w:t>בתי</w:t>
      </w:r>
      <w:r w:rsidRPr="002F2BC5">
        <w:rPr>
          <w:b/>
          <w:bCs/>
          <w:rtl/>
        </w:rPr>
        <w:t xml:space="preserve"> </w:t>
      </w:r>
      <w:r w:rsidRPr="002F2BC5">
        <w:rPr>
          <w:rFonts w:hint="eastAsia"/>
          <w:b/>
          <w:bCs/>
          <w:rtl/>
        </w:rPr>
        <w:t>הסוהר</w:t>
      </w:r>
      <w:r w:rsidRPr="002F2BC5">
        <w:rPr>
          <w:b/>
          <w:bCs/>
          <w:rtl/>
        </w:rPr>
        <w:t xml:space="preserve"> (כ-8.6 </w:t>
      </w:r>
      <w:r w:rsidRPr="002F2BC5">
        <w:rPr>
          <w:rFonts w:hint="eastAsia"/>
          <w:b/>
          <w:bCs/>
          <w:rtl/>
        </w:rPr>
        <w:t>מיליון</w:t>
      </w:r>
      <w:r w:rsidRPr="002F2BC5">
        <w:rPr>
          <w:b/>
          <w:bCs/>
          <w:rtl/>
        </w:rPr>
        <w:t xml:space="preserve"> </w:t>
      </w:r>
      <w:r w:rsidRPr="002F2BC5">
        <w:rPr>
          <w:rFonts w:hint="eastAsia"/>
          <w:b/>
          <w:bCs/>
          <w:rtl/>
        </w:rPr>
        <w:t>ש</w:t>
      </w:r>
      <w:r w:rsidRPr="002F2BC5">
        <w:rPr>
          <w:b/>
          <w:bCs/>
          <w:rtl/>
        </w:rPr>
        <w:t xml:space="preserve">"ח </w:t>
      </w:r>
      <w:r w:rsidRPr="002F2BC5">
        <w:rPr>
          <w:rFonts w:hint="eastAsia"/>
          <w:b/>
          <w:bCs/>
          <w:rtl/>
        </w:rPr>
        <w:t>מתוך</w:t>
      </w:r>
      <w:r w:rsidRPr="002F2BC5">
        <w:rPr>
          <w:b/>
          <w:bCs/>
          <w:rtl/>
        </w:rPr>
        <w:t xml:space="preserve"> 155 מיליון ש"ח)</w:t>
      </w:r>
      <w:r w:rsidRPr="002F2BC5">
        <w:rPr>
          <w:rStyle w:val="af9"/>
          <w:b/>
          <w:bCs/>
          <w:rtl/>
        </w:rPr>
        <w:footnoteReference w:id="165"/>
      </w:r>
      <w:r w:rsidRPr="002F2BC5">
        <w:rPr>
          <w:b/>
          <w:bCs/>
          <w:rtl/>
        </w:rPr>
        <w:t xml:space="preserve">. </w:t>
      </w:r>
      <w:r w:rsidRPr="002F2BC5">
        <w:rPr>
          <w:rFonts w:hint="eastAsia"/>
          <w:b/>
          <w:bCs/>
          <w:rtl/>
        </w:rPr>
        <w:t>יש</w:t>
      </w:r>
      <w:r w:rsidRPr="002F2BC5">
        <w:rPr>
          <w:b/>
          <w:bCs/>
          <w:rtl/>
        </w:rPr>
        <w:t xml:space="preserve"> לציין כי </w:t>
      </w:r>
      <w:r w:rsidRPr="002F2BC5">
        <w:rPr>
          <w:rFonts w:hint="eastAsia"/>
          <w:b/>
          <w:bCs/>
          <w:rtl/>
        </w:rPr>
        <w:t>לפי</w:t>
      </w:r>
      <w:r w:rsidRPr="002F2BC5">
        <w:rPr>
          <w:b/>
          <w:bCs/>
          <w:rtl/>
        </w:rPr>
        <w:t xml:space="preserve"> הנתונים שהעביר משרד הרווחה לשנת 2023 ושנאספו על ידו באופן </w:t>
      </w:r>
      <w:r w:rsidRPr="002F2BC5">
        <w:rPr>
          <w:rFonts w:hint="eastAsia"/>
          <w:b/>
          <w:bCs/>
          <w:rtl/>
        </w:rPr>
        <w:t>ידני</w:t>
      </w:r>
      <w:r w:rsidRPr="002F2BC5">
        <w:rPr>
          <w:b/>
          <w:bCs/>
          <w:rtl/>
        </w:rPr>
        <w:t xml:space="preserve">, </w:t>
      </w:r>
      <w:r w:rsidRPr="002F2BC5">
        <w:rPr>
          <w:rFonts w:hint="eastAsia"/>
          <w:b/>
          <w:bCs/>
          <w:rtl/>
        </w:rPr>
        <w:t>שיעור</w:t>
      </w:r>
      <w:r w:rsidRPr="002F2BC5">
        <w:rPr>
          <w:b/>
          <w:bCs/>
          <w:rtl/>
        </w:rPr>
        <w:t xml:space="preserve"> </w:t>
      </w:r>
      <w:r w:rsidRPr="002F2BC5">
        <w:rPr>
          <w:rFonts w:hint="eastAsia"/>
          <w:b/>
          <w:bCs/>
          <w:rtl/>
        </w:rPr>
        <w:t>ניצול</w:t>
      </w:r>
      <w:r w:rsidRPr="002F2BC5">
        <w:rPr>
          <w:b/>
          <w:bCs/>
          <w:rtl/>
        </w:rPr>
        <w:t xml:space="preserve"> </w:t>
      </w:r>
      <w:r w:rsidRPr="002F2BC5">
        <w:rPr>
          <w:rFonts w:hint="eastAsia"/>
          <w:b/>
          <w:bCs/>
          <w:rtl/>
        </w:rPr>
        <w:t>התקציב</w:t>
      </w:r>
      <w:r w:rsidRPr="002F2BC5">
        <w:rPr>
          <w:b/>
          <w:bCs/>
          <w:rtl/>
        </w:rPr>
        <w:t xml:space="preserve"> </w:t>
      </w:r>
      <w:r w:rsidRPr="002F2BC5">
        <w:rPr>
          <w:rFonts w:hint="eastAsia"/>
          <w:b/>
          <w:bCs/>
          <w:rtl/>
        </w:rPr>
        <w:t>בשנה</w:t>
      </w:r>
      <w:r w:rsidRPr="002F2BC5">
        <w:rPr>
          <w:b/>
          <w:bCs/>
          <w:rtl/>
        </w:rPr>
        <w:t xml:space="preserve"> </w:t>
      </w:r>
      <w:r w:rsidRPr="002F2BC5">
        <w:rPr>
          <w:rFonts w:hint="eastAsia"/>
          <w:b/>
          <w:bCs/>
          <w:rtl/>
        </w:rPr>
        <w:t>זו</w:t>
      </w:r>
      <w:r w:rsidRPr="002F2BC5">
        <w:rPr>
          <w:b/>
          <w:bCs/>
          <w:rtl/>
        </w:rPr>
        <w:t xml:space="preserve"> עמד על כ-76% בלבד (</w:t>
      </w:r>
      <w:r w:rsidRPr="002F2BC5">
        <w:rPr>
          <w:rFonts w:hint="eastAsia"/>
          <w:b/>
          <w:bCs/>
          <w:rtl/>
        </w:rPr>
        <w:t>כ</w:t>
      </w:r>
      <w:r w:rsidRPr="002F2BC5">
        <w:rPr>
          <w:b/>
          <w:bCs/>
          <w:rtl/>
        </w:rPr>
        <w:t xml:space="preserve">-117 </w:t>
      </w:r>
      <w:r w:rsidRPr="002F2BC5">
        <w:rPr>
          <w:rFonts w:hint="eastAsia"/>
          <w:b/>
          <w:bCs/>
          <w:rtl/>
        </w:rPr>
        <w:t>מיליון</w:t>
      </w:r>
      <w:r w:rsidRPr="002F2BC5">
        <w:rPr>
          <w:b/>
          <w:bCs/>
          <w:rtl/>
        </w:rPr>
        <w:t xml:space="preserve"> </w:t>
      </w:r>
      <w:r w:rsidRPr="002F2BC5">
        <w:rPr>
          <w:rFonts w:hint="eastAsia"/>
          <w:b/>
          <w:bCs/>
          <w:rtl/>
        </w:rPr>
        <w:t>ש</w:t>
      </w:r>
      <w:r w:rsidRPr="002F2BC5">
        <w:rPr>
          <w:b/>
          <w:bCs/>
          <w:rtl/>
        </w:rPr>
        <w:t xml:space="preserve">"ח </w:t>
      </w:r>
      <w:r w:rsidRPr="002F2BC5">
        <w:rPr>
          <w:rFonts w:hint="eastAsia"/>
          <w:b/>
          <w:bCs/>
          <w:rtl/>
        </w:rPr>
        <w:t>מתוך</w:t>
      </w:r>
      <w:r w:rsidRPr="002F2BC5">
        <w:rPr>
          <w:b/>
          <w:bCs/>
          <w:rtl/>
        </w:rPr>
        <w:t xml:space="preserve"> </w:t>
      </w:r>
      <w:r w:rsidRPr="002F2BC5">
        <w:rPr>
          <w:rFonts w:hint="eastAsia"/>
          <w:b/>
          <w:bCs/>
          <w:rtl/>
        </w:rPr>
        <w:t>כ</w:t>
      </w:r>
      <w:r w:rsidRPr="002F2BC5">
        <w:rPr>
          <w:b/>
          <w:bCs/>
          <w:rtl/>
        </w:rPr>
        <w:t xml:space="preserve">-155 </w:t>
      </w:r>
      <w:r w:rsidRPr="002F2BC5">
        <w:rPr>
          <w:rFonts w:hint="eastAsia"/>
          <w:b/>
          <w:bCs/>
          <w:rtl/>
        </w:rPr>
        <w:t>מיליון</w:t>
      </w:r>
      <w:r w:rsidRPr="002F2BC5">
        <w:rPr>
          <w:b/>
          <w:bCs/>
          <w:rtl/>
        </w:rPr>
        <w:t xml:space="preserve"> </w:t>
      </w:r>
      <w:r w:rsidRPr="002F2BC5">
        <w:rPr>
          <w:rFonts w:hint="eastAsia"/>
          <w:b/>
          <w:bCs/>
          <w:rtl/>
        </w:rPr>
        <w:t>ש</w:t>
      </w:r>
      <w:r w:rsidRPr="002F2BC5">
        <w:rPr>
          <w:b/>
          <w:bCs/>
          <w:rtl/>
        </w:rPr>
        <w:t>"ח).</w:t>
      </w:r>
    </w:p>
    <w:p w14:paraId="5D44B4C4" w14:textId="77777777" w:rsidR="00817399" w:rsidRPr="002F2BC5" w:rsidRDefault="00817399" w:rsidP="00817399">
      <w:pPr>
        <w:spacing w:line="269" w:lineRule="auto"/>
        <w:rPr>
          <w:rtl/>
        </w:rPr>
      </w:pPr>
    </w:p>
    <w:p w14:paraId="2FD7A609" w14:textId="77777777" w:rsidR="00817399" w:rsidRPr="002F2BC5" w:rsidRDefault="00817399" w:rsidP="00817399">
      <w:pPr>
        <w:pStyle w:val="afffffffa"/>
        <w:spacing w:line="269" w:lineRule="auto"/>
        <w:rPr>
          <w:rtl/>
        </w:rPr>
      </w:pPr>
      <w:bookmarkStart w:id="609" w:name="_Toc191986969"/>
      <w:bookmarkStart w:id="610" w:name="_Toc192093070"/>
      <w:bookmarkStart w:id="611" w:name="_Toc192612778"/>
      <w:bookmarkStart w:id="612" w:name="_Toc198312202"/>
      <w:bookmarkStart w:id="613" w:name="_Toc198312677"/>
      <w:bookmarkStart w:id="614" w:name="_Toc200636862"/>
      <w:bookmarkStart w:id="615" w:name="_Toc200439861"/>
      <w:bookmarkStart w:id="616" w:name="_Toc201240966"/>
      <w:bookmarkStart w:id="617" w:name="_Hlk187131678"/>
      <w:r w:rsidRPr="002F2BC5">
        <w:rPr>
          <w:rFonts w:hint="cs"/>
          <w:rtl/>
        </w:rPr>
        <w:lastRenderedPageBreak/>
        <w:t xml:space="preserve">מומלץ למשרד הרווחה, העומד בראשות הוועדה הבין-משרדית הקבועה, לפעול בשיתוף משרד האוצר לבחינת הדרך המתאימה והיעילה ביותר לניהול התקציב הייעודי העומד לרשות הוועדה, לרבות בתקנה תקציבית נפרדת, </w:t>
      </w:r>
      <w:r w:rsidRPr="002F2BC5">
        <w:rPr>
          <w:rtl/>
        </w:rPr>
        <w:t xml:space="preserve">מרכז קרנות ייעודי </w:t>
      </w:r>
      <w:r w:rsidRPr="002F2BC5">
        <w:rPr>
          <w:rFonts w:hint="cs"/>
          <w:rtl/>
        </w:rPr>
        <w:t>או באמצעות</w:t>
      </w:r>
      <w:r w:rsidRPr="002F2BC5">
        <w:rPr>
          <w:rtl/>
        </w:rPr>
        <w:t xml:space="preserve"> </w:t>
      </w:r>
      <w:r w:rsidRPr="002F2BC5">
        <w:rPr>
          <w:rFonts w:hint="cs"/>
          <w:rtl/>
        </w:rPr>
        <w:t>"</w:t>
      </w:r>
      <w:r w:rsidRPr="002F2BC5">
        <w:rPr>
          <w:rtl/>
        </w:rPr>
        <w:t>משימת</w:t>
      </w:r>
      <w:r w:rsidRPr="002F2BC5">
        <w:rPr>
          <w:rFonts w:hint="cs"/>
          <w:rtl/>
        </w:rPr>
        <w:t xml:space="preserve"> </w:t>
      </w:r>
      <w:r w:rsidRPr="002F2BC5">
        <w:rPr>
          <w:rtl/>
        </w:rPr>
        <w:t>על</w:t>
      </w:r>
      <w:r w:rsidRPr="002F2BC5">
        <w:rPr>
          <w:rFonts w:hint="cs"/>
          <w:rtl/>
        </w:rPr>
        <w:t>"</w:t>
      </w:r>
      <w:bookmarkStart w:id="618" w:name="_Ref188895718"/>
      <w:r w:rsidRPr="002F2BC5">
        <w:rPr>
          <w:rStyle w:val="af9"/>
          <w:b w:val="0"/>
          <w:bCs w:val="0"/>
          <w:rtl/>
        </w:rPr>
        <w:footnoteReference w:id="166"/>
      </w:r>
      <w:bookmarkEnd w:id="618"/>
      <w:r w:rsidRPr="002F2BC5">
        <w:rPr>
          <w:rFonts w:hint="cs"/>
          <w:rtl/>
        </w:rPr>
        <w:t>. זאת באופן שיאפשר לקיים באופן מיטבי ומועיל מעקב ובקרה, פנימיים וחיצוניים, אחר הקצאת התקציב וניצולו ברמת פירוט גבוהה ככל האפשר, תוך הגברת השקיפות בהתנהלות הוועדה הקבועה ובהקצאת התקציב הייעודי העומד לרשותה וניצולו בהתאם לתוכניות העבודה מקושרות התקציב שייקבעו לצורך כך</w:t>
      </w:r>
      <w:r w:rsidRPr="002F2BC5">
        <w:rPr>
          <w:rStyle w:val="af9"/>
          <w:b w:val="0"/>
          <w:bCs w:val="0"/>
          <w:rtl/>
        </w:rPr>
        <w:footnoteReference w:id="167"/>
      </w:r>
      <w:r w:rsidRPr="002F2BC5">
        <w:rPr>
          <w:rFonts w:hint="cs"/>
          <w:rtl/>
        </w:rPr>
        <w:t>. כדי לאפשר ניהול שיטתי ואחוד של הנתונים ומעקב שוטף אחר ההקצאה והניצול של התקציב הייעודי, שנעשים כיום בחלקם באופן ידני, וכדי למנוע אי דיוקים או פערים בנתונים מומלץ כי ניהול הנתונים ייעשה באמצעות מערכת ממוחשבת ייעודית.</w:t>
      </w:r>
      <w:bookmarkEnd w:id="609"/>
      <w:bookmarkEnd w:id="610"/>
      <w:bookmarkEnd w:id="611"/>
      <w:bookmarkEnd w:id="612"/>
      <w:bookmarkEnd w:id="613"/>
      <w:bookmarkEnd w:id="614"/>
      <w:bookmarkEnd w:id="615"/>
      <w:bookmarkEnd w:id="616"/>
    </w:p>
    <w:p w14:paraId="7F097125" w14:textId="77777777" w:rsidR="00817399" w:rsidRPr="002F2BC5" w:rsidRDefault="00817399" w:rsidP="00817399">
      <w:pPr>
        <w:spacing w:line="269" w:lineRule="auto"/>
        <w:rPr>
          <w:rtl/>
        </w:rPr>
      </w:pPr>
    </w:p>
    <w:p w14:paraId="28469C64" w14:textId="77777777" w:rsidR="00817399" w:rsidRPr="002F2BC5" w:rsidRDefault="00817399" w:rsidP="00817399">
      <w:pPr>
        <w:spacing w:line="269" w:lineRule="auto"/>
        <w:rPr>
          <w:rtl/>
        </w:rPr>
      </w:pPr>
      <w:r w:rsidRPr="002F2BC5">
        <w:rPr>
          <w:rFonts w:hint="cs"/>
          <w:rtl/>
        </w:rPr>
        <w:t>משרד הרווחה מסר בתשובתו כי שעה שהמדיניות היא להפחית את מספר התקנות התקציביות הוא פועל, בעקבות הביקורת, לפתיחת מרכז קרנות ייעודי לניהול התקציב העומד לרשות הוועדה הבין-משרדית, ובד בבד בוצעו שיפורים במנגנוני הבקרה הפנימיים במשרד ונכתבו נוהלי עבודה חדשים. עוד מסר כי בכוונתו לבחון את האפשרות לנהל את תקציב הוועדה באמצעות "משימת על", ואם כלי זה יימצא מתאים הוא ישמח לעשות בו שימוש. לצד האמור ציין, בהתייחס להעברת נתוני התקציב לשנת 2024, כי דיווחים על אודות התוכניות אינם מועברים אלא לאחר סיומה של שנת התקציב, וכי הוא מצוי בימים אלה בשלבים האחרונים של איסוף הנתונים התקציביים בהתייחס לשנת תקציב זו. משרד הרווחה הוסיף כי הוא מצוי בשלבי אפיון מקצועי של מערכת המותאמת לצורכי הוועדה הבין-משרדית לצורך ביצוע מעקב דיגיטלי.</w:t>
      </w:r>
    </w:p>
    <w:p w14:paraId="37EA7D39" w14:textId="77777777" w:rsidR="00817399" w:rsidRPr="002F2BC5" w:rsidRDefault="00817399" w:rsidP="00817399">
      <w:pPr>
        <w:spacing w:line="269" w:lineRule="auto"/>
        <w:rPr>
          <w:rtl/>
        </w:rPr>
      </w:pPr>
    </w:p>
    <w:p w14:paraId="39D2C5D4" w14:textId="77777777" w:rsidR="00817399" w:rsidRPr="002F2BC5" w:rsidRDefault="00817399" w:rsidP="00817399">
      <w:pPr>
        <w:spacing w:line="269" w:lineRule="auto"/>
        <w:rPr>
          <w:rtl/>
        </w:rPr>
      </w:pPr>
      <w:r w:rsidRPr="002F2BC5">
        <w:rPr>
          <w:rFonts w:hint="cs"/>
          <w:rtl/>
        </w:rPr>
        <w:t>אגף התקציבים במשרד האוצר מסר בתשובתו כי הוא פועל בשיתוף פעולה עם משרד הרווחה בכל נושא שמשרד הרווחה מעלה כצורך או קושי, וכי יפעל כך גם בנושאים שהעלתה הביקורת, הנוגעים בין היתר לאופן ניהול התקציב הייעודי והמעקב אחריו, אם מעורבתו תידרש.</w:t>
      </w:r>
    </w:p>
    <w:p w14:paraId="65FC32DA" w14:textId="77777777" w:rsidR="00817399" w:rsidRPr="002F2BC5" w:rsidRDefault="00817399" w:rsidP="00817399">
      <w:pPr>
        <w:spacing w:line="269" w:lineRule="auto"/>
        <w:rPr>
          <w:rtl/>
        </w:rPr>
      </w:pPr>
    </w:p>
    <w:p w14:paraId="1737B10F" w14:textId="77777777" w:rsidR="00817399" w:rsidRPr="002F2BC5" w:rsidRDefault="00817399" w:rsidP="00817399">
      <w:pPr>
        <w:spacing w:line="269" w:lineRule="auto"/>
        <w:rPr>
          <w:rtl/>
        </w:rPr>
      </w:pPr>
      <w:r w:rsidRPr="002F2BC5">
        <w:rPr>
          <w:rFonts w:hint="cs"/>
          <w:rtl/>
        </w:rPr>
        <w:t xml:space="preserve">המשרד לביטחון לאומי מסר בתשובתו כי הוא תומך מאוד בהמלצה לנהל את התקציב הייעודי העומד לרשות הוועדה הבין-משרדית הקבועה בתקנה תקציבית נפרדת. בהקשר זה ציין כי בישיבותיה של הוועדה הקבועה הוא מרבה להעלות לדיון את נושא ניצול התקציב הייעודי העומד לרשותה, וזאת בזמן שהוא והגופים הפועלים תחתיו מממנים מתקציבם את עיקר המענים בתחום האלימות במשפחה שבאחריותם. </w:t>
      </w:r>
    </w:p>
    <w:p w14:paraId="4E905A73" w14:textId="77777777" w:rsidR="00817399" w:rsidRPr="002F2BC5" w:rsidRDefault="00817399" w:rsidP="00817399">
      <w:pPr>
        <w:spacing w:line="269" w:lineRule="auto"/>
        <w:rPr>
          <w:rtl/>
        </w:rPr>
      </w:pPr>
      <w:bookmarkStart w:id="619" w:name="_Toc189072219"/>
      <w:bookmarkStart w:id="620" w:name="_Toc56511366"/>
      <w:bookmarkStart w:id="621" w:name="_Toc61359480"/>
      <w:bookmarkEnd w:id="617"/>
    </w:p>
    <w:p w14:paraId="12EACAFE" w14:textId="77777777" w:rsidR="00817399" w:rsidRPr="002F2BC5" w:rsidRDefault="00817399" w:rsidP="00817399">
      <w:pPr>
        <w:pStyle w:val="31"/>
        <w:spacing w:before="0" w:line="269" w:lineRule="auto"/>
        <w:rPr>
          <w:rtl/>
        </w:rPr>
      </w:pPr>
      <w:bookmarkStart w:id="622" w:name="_Toc191986970"/>
      <w:bookmarkStart w:id="623" w:name="_Toc191891386"/>
      <w:bookmarkStart w:id="624" w:name="_Toc192093071"/>
      <w:bookmarkStart w:id="625" w:name="_Toc193110602"/>
      <w:bookmarkStart w:id="626" w:name="_Toc192612779"/>
      <w:bookmarkStart w:id="627" w:name="_Toc192778820"/>
      <w:bookmarkStart w:id="628" w:name="_Toc198312203"/>
      <w:bookmarkStart w:id="629" w:name="_Toc198312678"/>
      <w:bookmarkStart w:id="630" w:name="_Toc200636798"/>
      <w:bookmarkStart w:id="631" w:name="_Toc200636863"/>
      <w:bookmarkStart w:id="632" w:name="_Toc200439797"/>
      <w:bookmarkStart w:id="633" w:name="_Toc200439862"/>
      <w:bookmarkStart w:id="634" w:name="_Toc201240967"/>
      <w:bookmarkStart w:id="635" w:name="_Toc192784374"/>
      <w:bookmarkStart w:id="636" w:name="_Toc201759360"/>
      <w:bookmarkStart w:id="637" w:name="_Toc203487996"/>
      <w:r w:rsidRPr="002F2BC5">
        <w:rPr>
          <w:rFonts w:hint="cs"/>
          <w:rtl/>
        </w:rPr>
        <w:t>מנגנוני ה</w:t>
      </w:r>
      <w:r w:rsidRPr="002F2BC5">
        <w:rPr>
          <w:rtl/>
        </w:rPr>
        <w:t>פיקוח ו</w:t>
      </w:r>
      <w:r w:rsidRPr="002F2BC5">
        <w:rPr>
          <w:rFonts w:hint="cs"/>
          <w:rtl/>
        </w:rPr>
        <w:t>ה</w:t>
      </w:r>
      <w:r w:rsidRPr="002F2BC5">
        <w:rPr>
          <w:rtl/>
        </w:rPr>
        <w:t>בקרה</w:t>
      </w:r>
      <w:r w:rsidRPr="002F2BC5">
        <w:rPr>
          <w:rFonts w:hint="cs"/>
          <w:rtl/>
        </w:rPr>
        <w:t xml:space="preserve"> על דרכי ההתמודדות עם תופעת האלימות </w:t>
      </w:r>
      <w:bookmarkEnd w:id="619"/>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2F2BC5">
        <w:rPr>
          <w:rFonts w:hint="cs"/>
          <w:rtl/>
        </w:rPr>
        <w:t>בין בני זוג</w:t>
      </w:r>
      <w:bookmarkEnd w:id="637"/>
    </w:p>
    <w:p w14:paraId="547A2440" w14:textId="77777777" w:rsidR="00817399" w:rsidRPr="002F2BC5" w:rsidRDefault="00817399" w:rsidP="00817399">
      <w:pPr>
        <w:spacing w:line="269" w:lineRule="auto"/>
        <w:rPr>
          <w:rtl/>
        </w:rPr>
      </w:pPr>
    </w:p>
    <w:p w14:paraId="6CCD8B02" w14:textId="620645BC" w:rsidR="00817399" w:rsidRPr="002F2BC5" w:rsidRDefault="00817399" w:rsidP="00817399">
      <w:pPr>
        <w:spacing w:line="269" w:lineRule="auto"/>
        <w:rPr>
          <w:rtl/>
        </w:rPr>
      </w:pPr>
      <w:r w:rsidRPr="002F2BC5">
        <w:rPr>
          <w:rFonts w:eastAsia="Times New Roman" w:hint="eastAsia"/>
          <w:sz w:val="24"/>
          <w:rtl/>
        </w:rPr>
        <w:t>פיקוח</w:t>
      </w:r>
      <w:r w:rsidRPr="002F2BC5">
        <w:rPr>
          <w:rFonts w:eastAsia="Times New Roman"/>
          <w:sz w:val="24"/>
          <w:rtl/>
        </w:rPr>
        <w:t xml:space="preserve"> </w:t>
      </w:r>
      <w:r w:rsidRPr="002F2BC5">
        <w:rPr>
          <w:rFonts w:eastAsia="Times New Roman" w:hint="cs"/>
          <w:sz w:val="24"/>
          <w:rtl/>
        </w:rPr>
        <w:t xml:space="preserve">ובקרה </w:t>
      </w:r>
      <w:r w:rsidRPr="002F2BC5">
        <w:rPr>
          <w:rFonts w:eastAsia="Times New Roman" w:hint="eastAsia"/>
          <w:sz w:val="24"/>
          <w:rtl/>
        </w:rPr>
        <w:t>סדיר</w:t>
      </w:r>
      <w:r w:rsidRPr="002F2BC5">
        <w:rPr>
          <w:rFonts w:eastAsia="Times New Roman" w:hint="cs"/>
          <w:sz w:val="24"/>
          <w:rtl/>
        </w:rPr>
        <w:t>ים</w:t>
      </w:r>
      <w:r w:rsidRPr="002F2BC5">
        <w:rPr>
          <w:rFonts w:eastAsia="Times New Roman"/>
          <w:sz w:val="24"/>
          <w:rtl/>
        </w:rPr>
        <w:t xml:space="preserve"> </w:t>
      </w:r>
      <w:r w:rsidRPr="002F2BC5">
        <w:rPr>
          <w:rFonts w:eastAsia="Times New Roman" w:hint="cs"/>
          <w:sz w:val="24"/>
          <w:rtl/>
        </w:rPr>
        <w:t>בידי משרד הרווחה - כמו גם בידי יתר הגופים האמונים על ההתמודדות עם תופעת האלימות במשפחה - ב</w:t>
      </w:r>
      <w:r w:rsidRPr="002F2BC5">
        <w:rPr>
          <w:rFonts w:eastAsia="Times New Roman" w:hint="eastAsia"/>
          <w:sz w:val="24"/>
          <w:rtl/>
        </w:rPr>
        <w:t>כלל</w:t>
      </w:r>
      <w:r w:rsidRPr="002F2BC5">
        <w:rPr>
          <w:rFonts w:eastAsia="Times New Roman"/>
          <w:sz w:val="24"/>
          <w:rtl/>
        </w:rPr>
        <w:t xml:space="preserve"> </w:t>
      </w:r>
      <w:r w:rsidRPr="002F2BC5">
        <w:rPr>
          <w:rFonts w:eastAsia="Times New Roman" w:hint="cs"/>
          <w:sz w:val="24"/>
          <w:rtl/>
        </w:rPr>
        <w:t>ההיבטים הנוגעים לשירותים הניתנים על ידם</w:t>
      </w:r>
      <w:r w:rsidRPr="002F2BC5">
        <w:rPr>
          <w:rFonts w:eastAsia="Times New Roman"/>
          <w:sz w:val="24"/>
          <w:rtl/>
        </w:rPr>
        <w:t xml:space="preserve"> </w:t>
      </w:r>
      <w:r w:rsidRPr="002F2BC5">
        <w:rPr>
          <w:rFonts w:eastAsia="Times New Roman" w:hint="eastAsia"/>
          <w:sz w:val="24"/>
          <w:rtl/>
        </w:rPr>
        <w:t>יש</w:t>
      </w:r>
      <w:r w:rsidRPr="002F2BC5">
        <w:rPr>
          <w:rFonts w:eastAsia="Times New Roman"/>
          <w:sz w:val="24"/>
          <w:rtl/>
        </w:rPr>
        <w:t xml:space="preserve"> ב</w:t>
      </w:r>
      <w:r w:rsidRPr="002F2BC5">
        <w:rPr>
          <w:rFonts w:eastAsia="Times New Roman" w:hint="cs"/>
          <w:sz w:val="24"/>
          <w:rtl/>
        </w:rPr>
        <w:t>הם</w:t>
      </w:r>
      <w:r w:rsidRPr="002F2BC5">
        <w:rPr>
          <w:rFonts w:eastAsia="Times New Roman"/>
          <w:sz w:val="24"/>
          <w:rtl/>
        </w:rPr>
        <w:t xml:space="preserve"> כדי </w:t>
      </w:r>
      <w:r w:rsidRPr="002F2BC5">
        <w:rPr>
          <w:rFonts w:eastAsia="Times New Roman" w:hint="eastAsia"/>
          <w:sz w:val="24"/>
          <w:rtl/>
        </w:rPr>
        <w:t>לתרום</w:t>
      </w:r>
      <w:r w:rsidRPr="002F2BC5">
        <w:rPr>
          <w:rFonts w:eastAsia="Times New Roman"/>
          <w:sz w:val="24"/>
          <w:rtl/>
        </w:rPr>
        <w:t xml:space="preserve"> להבטחת </w:t>
      </w:r>
      <w:r w:rsidRPr="002F2BC5">
        <w:rPr>
          <w:rFonts w:eastAsia="Times New Roman" w:hint="eastAsia"/>
          <w:sz w:val="24"/>
          <w:rtl/>
        </w:rPr>
        <w:t>הרמה</w:t>
      </w:r>
      <w:r w:rsidRPr="002F2BC5">
        <w:rPr>
          <w:rFonts w:eastAsia="Times New Roman"/>
          <w:sz w:val="24"/>
          <w:rtl/>
        </w:rPr>
        <w:t xml:space="preserve"> </w:t>
      </w:r>
      <w:r w:rsidRPr="002F2BC5">
        <w:rPr>
          <w:rFonts w:eastAsia="Times New Roman" w:hint="eastAsia"/>
          <w:sz w:val="24"/>
          <w:rtl/>
        </w:rPr>
        <w:t>המיטבית</w:t>
      </w:r>
      <w:r w:rsidRPr="002F2BC5">
        <w:rPr>
          <w:rFonts w:eastAsia="Times New Roman"/>
          <w:sz w:val="24"/>
          <w:rtl/>
        </w:rPr>
        <w:t xml:space="preserve"> </w:t>
      </w:r>
      <w:r w:rsidRPr="002F2BC5">
        <w:rPr>
          <w:rFonts w:eastAsia="Times New Roman" w:hint="eastAsia"/>
          <w:sz w:val="24"/>
          <w:rtl/>
        </w:rPr>
        <w:t>של</w:t>
      </w:r>
      <w:r w:rsidRPr="002F2BC5">
        <w:rPr>
          <w:rFonts w:eastAsia="Times New Roman"/>
          <w:sz w:val="24"/>
          <w:rtl/>
        </w:rPr>
        <w:t xml:space="preserve"> </w:t>
      </w:r>
      <w:r w:rsidRPr="002F2BC5">
        <w:rPr>
          <w:rFonts w:eastAsia="Times New Roman" w:hint="eastAsia"/>
          <w:sz w:val="24"/>
          <w:rtl/>
        </w:rPr>
        <w:t>השירותים</w:t>
      </w:r>
      <w:r w:rsidRPr="002F2BC5">
        <w:rPr>
          <w:rFonts w:eastAsia="Times New Roman" w:hint="cs"/>
          <w:sz w:val="24"/>
          <w:rtl/>
        </w:rPr>
        <w:t xml:space="preserve"> הללו</w:t>
      </w:r>
      <w:r w:rsidRPr="002F2BC5">
        <w:rPr>
          <w:rtl/>
        </w:rPr>
        <w:t xml:space="preserve"> </w:t>
      </w:r>
      <w:r w:rsidRPr="002F2BC5">
        <w:rPr>
          <w:rFonts w:hint="cs"/>
          <w:rtl/>
        </w:rPr>
        <w:t xml:space="preserve">וכן להתאמתם של השירותים </w:t>
      </w:r>
      <w:r w:rsidRPr="002F2BC5">
        <w:rPr>
          <w:rtl/>
        </w:rPr>
        <w:t>לצורכיהם</w:t>
      </w:r>
      <w:r w:rsidRPr="002F2BC5">
        <w:rPr>
          <w:rFonts w:hint="cs"/>
          <w:rtl/>
        </w:rPr>
        <w:t xml:space="preserve"> של מקבלי השירות</w:t>
      </w:r>
      <w:r w:rsidRPr="002F2BC5">
        <w:rPr>
          <w:rtl/>
        </w:rPr>
        <w:t>, תוך שמירה על שלומם, כבודם ורווחתם</w:t>
      </w:r>
      <w:r w:rsidRPr="002F2BC5">
        <w:rPr>
          <w:rFonts w:eastAsia="Times New Roman" w:hint="cs"/>
          <w:sz w:val="24"/>
          <w:rtl/>
        </w:rPr>
        <w:t>.</w:t>
      </w:r>
      <w:r w:rsidRPr="002F2BC5">
        <w:rPr>
          <w:rFonts w:hint="cs"/>
          <w:rtl/>
        </w:rPr>
        <w:t xml:space="preserve"> עם זאת, קיומם של מנגנוני פיקוח ובקרה אינם יכולים כשלעצמם להבטיח את רמתם המיטבית של השירותים. לצורך כך עליהם להתבסס על מתודולוגיה סדורה בנוגע להפעלתם ולכלול מדידה של תשומות, תפוקות ותוצאות בהלימה עם התקנים המקצועיים שהוגדרו לעניין איכות השירותים המסופקים</w:t>
      </w:r>
      <w:bookmarkStart w:id="638" w:name="_Ref186956479"/>
      <w:r w:rsidRPr="002F2BC5">
        <w:rPr>
          <w:rStyle w:val="af9"/>
          <w:rtl/>
        </w:rPr>
        <w:footnoteReference w:id="168"/>
      </w:r>
      <w:bookmarkEnd w:id="638"/>
      <w:r w:rsidRPr="002F2BC5">
        <w:rPr>
          <w:rFonts w:hint="cs"/>
          <w:rtl/>
        </w:rPr>
        <w:t xml:space="preserve">; נדרש להפעילם </w:t>
      </w:r>
      <w:r w:rsidRPr="002F2BC5">
        <w:rPr>
          <w:rFonts w:hint="cs"/>
          <w:rtl/>
        </w:rPr>
        <w:lastRenderedPageBreak/>
        <w:t>באופן שיטתי, בתדירות מספקת, על פי תוכנית עבודה סדורה ולתעדם באופן סדיר; עליהם לכלול שימוש בכלי אכיפה, במקרים שתימצא חריגה מהתקנים המקצועיים; וכן נדרש להקצות משאבים הולמים לטובת הפעלתם ולצורך ניהול נתוני הפיקוח וניטורם ומעקב אחר תיקון הליקויים</w:t>
      </w:r>
      <w:r w:rsidRPr="002F2BC5">
        <w:rPr>
          <w:rStyle w:val="af9"/>
          <w:rtl/>
        </w:rPr>
        <w:footnoteReference w:id="169"/>
      </w:r>
      <w:r w:rsidRPr="002F2BC5">
        <w:rPr>
          <w:rFonts w:hint="cs"/>
          <w:rtl/>
        </w:rPr>
        <w:t>. על כך יש להוסיף כי הואיל והמשאבים הכלכליים העומדים לטובת אספקת השירותים, מוגבלים - גוברת חשיבות הפעלתם של מנגנוני פיקוח ובקרה לשם הבטחת יעילותם ומועילותם של השירותים בהשגת מטרותיהם</w:t>
      </w:r>
      <w:r w:rsidRPr="002F2BC5">
        <w:rPr>
          <w:rStyle w:val="af9"/>
          <w:rtl/>
        </w:rPr>
        <w:footnoteReference w:id="170"/>
      </w:r>
      <w:r w:rsidRPr="002F2BC5">
        <w:rPr>
          <w:rFonts w:hint="cs"/>
          <w:rtl/>
        </w:rPr>
        <w:t>. הרכיבים העיקריים החיוניים להפעלתם של מנגנוני פיקוח ובקרה מוצגים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Ref183083597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10</w:t>
      </w:r>
      <w:r w:rsidRPr="002F2BC5">
        <w:rPr>
          <w:rtl/>
        </w:rPr>
        <w:fldChar w:fldCharType="end"/>
      </w:r>
      <w:r w:rsidRPr="002F2BC5">
        <w:rPr>
          <w:rFonts w:hint="cs"/>
          <w:rtl/>
        </w:rPr>
        <w:t xml:space="preserve"> שלהלן.</w:t>
      </w:r>
    </w:p>
    <w:p w14:paraId="245AAAD0" w14:textId="77777777" w:rsidR="00817399" w:rsidRPr="002F2BC5" w:rsidRDefault="00817399" w:rsidP="00817399">
      <w:pPr>
        <w:spacing w:line="269" w:lineRule="auto"/>
        <w:rPr>
          <w:rtl/>
        </w:rPr>
      </w:pPr>
    </w:p>
    <w:p w14:paraId="4557B45F" w14:textId="77777777" w:rsidR="00817399" w:rsidRPr="002F2BC5" w:rsidRDefault="00817399" w:rsidP="00817399">
      <w:pPr>
        <w:pStyle w:val="a9"/>
        <w:spacing w:line="269" w:lineRule="auto"/>
        <w:rPr>
          <w:rtl/>
        </w:rPr>
      </w:pPr>
      <w:bookmarkStart w:id="641" w:name="_Ref183083597"/>
      <w:bookmarkStart w:id="642" w:name="_Toc192672903"/>
      <w:r w:rsidRPr="002F2BC5">
        <w:rPr>
          <w:rFonts w:hint="cs"/>
          <w:rtl/>
        </w:rPr>
        <w:t xml:space="preserve">: </w:t>
      </w:r>
      <w:r w:rsidRPr="002F2BC5">
        <w:rPr>
          <w:rFonts w:hint="cs"/>
          <w:b w:val="0"/>
          <w:bCs/>
          <w:rtl/>
        </w:rPr>
        <w:t>הרכיבים העיקריים החיוניים להפעלתם של מנגנוני פיקוח ובקרה</w:t>
      </w:r>
      <w:bookmarkEnd w:id="641"/>
      <w:bookmarkEnd w:id="642"/>
    </w:p>
    <w:p w14:paraId="50AF6CF0"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414ACFEF" wp14:editId="6E17E72D">
            <wp:extent cx="5220000" cy="2202579"/>
            <wp:effectExtent l="0" t="0" r="0" b="7620"/>
            <wp:docPr id="98" name="תמונה 9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000" cy="2202579"/>
                    </a:xfrm>
                    <a:prstGeom prst="rect">
                      <a:avLst/>
                    </a:prstGeom>
                    <a:noFill/>
                  </pic:spPr>
                </pic:pic>
              </a:graphicData>
            </a:graphic>
          </wp:inline>
        </w:drawing>
      </w:r>
    </w:p>
    <w:p w14:paraId="74F31783" w14:textId="77777777" w:rsidR="00817399" w:rsidRPr="002F2BC5" w:rsidRDefault="00817399" w:rsidP="00817399">
      <w:pPr>
        <w:pStyle w:val="afffffff1"/>
        <w:bidi/>
        <w:spacing w:line="269" w:lineRule="auto"/>
        <w:rPr>
          <w:rtl/>
        </w:rPr>
      </w:pPr>
      <w:r w:rsidRPr="002F2BC5">
        <w:rPr>
          <w:rFonts w:hint="cs"/>
          <w:rtl/>
        </w:rPr>
        <w:t>על פי מידע שנאסף במהלך ביקורת המעקב, בעיבוד משרד מבקר המדינה.</w:t>
      </w:r>
    </w:p>
    <w:p w14:paraId="2CDA051C" w14:textId="77777777" w:rsidR="00817399" w:rsidRPr="002F2BC5" w:rsidRDefault="00817399" w:rsidP="00817399">
      <w:pPr>
        <w:spacing w:line="269" w:lineRule="auto"/>
        <w:rPr>
          <w:rtl/>
        </w:rPr>
      </w:pPr>
    </w:p>
    <w:p w14:paraId="4302DB36" w14:textId="77777777" w:rsidR="00817399" w:rsidRPr="002F2BC5" w:rsidRDefault="00817399" w:rsidP="00817399">
      <w:pPr>
        <w:spacing w:line="269" w:lineRule="auto"/>
        <w:rPr>
          <w:rtl/>
        </w:rPr>
      </w:pPr>
      <w:r w:rsidRPr="002F2BC5">
        <w:rPr>
          <w:rFonts w:hint="cs"/>
          <w:rtl/>
        </w:rPr>
        <w:t>האחריות לקביעת התקנים המקצועיים לאספקתם של שירותים בתחום האלימות במשפחה, להגדרת מנגנוני הפיקוח והבקרה עליהם ולהפעלתם נתונה לכמה משרדי ממשלה, כתלות בזהות הגורם המממן את אספקת השירותים ובמומחיותו המקצועית. הביקורת הקודמת התמקדה בפיקוח שמפעיל משרד הרווחה באמצעות מחוזותיו על המרכזים לטיפול ומניעת אלימות במשפחה, המופעלים ברובם המוחלט על ידי הרשויות המקומיות, וכן על המקלטים ודירות המעבר לנשים נפגעות אלימות. נוסף על כך נבדקו היבטים הנוגעים למדידת איכותם ומועילותם של השירותים הניתנים במסגרות הללו ושל התוכניות שמפעיל משרד הרווחה בשיתוף משרד החינוך (תוכנית "חברות וזוגיות"), משרד העלייה (תוכנית "גשרים") והמשרד לביטחון לאומי והרשות לביטחון קהילתי (תוכנית עו"ס משטרה). להלן יפורטו ממצאי ביקורת המעקב בנושאים אלו.</w:t>
      </w:r>
    </w:p>
    <w:p w14:paraId="5FA090DD" w14:textId="77777777" w:rsidR="00817399" w:rsidRPr="002F2BC5" w:rsidRDefault="00817399" w:rsidP="00817399">
      <w:pPr>
        <w:spacing w:line="269" w:lineRule="auto"/>
      </w:pPr>
    </w:p>
    <w:p w14:paraId="2DE25DDB" w14:textId="77777777" w:rsidR="00817399" w:rsidRPr="002F2BC5" w:rsidRDefault="00817399" w:rsidP="00817399">
      <w:pPr>
        <w:pStyle w:val="4"/>
        <w:spacing w:before="0" w:line="269" w:lineRule="auto"/>
      </w:pPr>
      <w:bookmarkStart w:id="643" w:name="_Toc189072220"/>
      <w:bookmarkStart w:id="644" w:name="_Toc191986971"/>
      <w:bookmarkStart w:id="645" w:name="_Toc191891387"/>
      <w:bookmarkStart w:id="646" w:name="_Toc192093072"/>
      <w:bookmarkStart w:id="647" w:name="_Toc193110603"/>
      <w:bookmarkStart w:id="648" w:name="_Toc192612780"/>
      <w:bookmarkStart w:id="649" w:name="_Toc192778821"/>
      <w:bookmarkStart w:id="650" w:name="_Toc198312204"/>
      <w:bookmarkStart w:id="651" w:name="_Toc198312679"/>
      <w:bookmarkStart w:id="652" w:name="_Toc200636799"/>
      <w:bookmarkStart w:id="653" w:name="_Toc200636864"/>
      <w:bookmarkStart w:id="654" w:name="_Toc200439798"/>
      <w:bookmarkStart w:id="655" w:name="_Toc200439863"/>
      <w:bookmarkStart w:id="656" w:name="_Toc201240968"/>
      <w:bookmarkStart w:id="657" w:name="_Toc192784375"/>
      <w:bookmarkStart w:id="658" w:name="_Toc201759361"/>
      <w:bookmarkStart w:id="659" w:name="_Toc203487997"/>
      <w:r w:rsidRPr="002F2BC5">
        <w:rPr>
          <w:rFonts w:hint="cs"/>
          <w:rtl/>
        </w:rPr>
        <w:t>תדירות ביקורי הפיקוח, מרכיבי הפיקוח ותיעודם הממוחשב</w:t>
      </w:r>
      <w:r w:rsidRPr="002F2BC5">
        <w:rPr>
          <w:rStyle w:val="af9"/>
        </w:rPr>
        <w:footnoteReference w:id="171"/>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60375FCA" w14:textId="77777777" w:rsidR="00817399" w:rsidRPr="002F2BC5" w:rsidRDefault="00817399" w:rsidP="00817399">
      <w:pPr>
        <w:spacing w:line="269" w:lineRule="auto"/>
        <w:rPr>
          <w:rtl/>
        </w:rPr>
      </w:pPr>
    </w:p>
    <w:p w14:paraId="4762C24A" w14:textId="77777777" w:rsidR="00817399" w:rsidRPr="002F2BC5" w:rsidRDefault="00817399" w:rsidP="00817399">
      <w:pPr>
        <w:spacing w:line="269" w:lineRule="auto"/>
        <w:rPr>
          <w:rtl/>
        </w:rPr>
      </w:pPr>
      <w:r w:rsidRPr="002F2BC5">
        <w:rPr>
          <w:rtl/>
        </w:rPr>
        <w:t xml:space="preserve">משרד הרווחה החל בשנת 2018 בתהליך לקביעת </w:t>
      </w:r>
      <w:r w:rsidRPr="002F2BC5">
        <w:rPr>
          <w:rFonts w:hint="cs"/>
          <w:rtl/>
        </w:rPr>
        <w:t>תקנים מקצועיים</w:t>
      </w:r>
      <w:r w:rsidRPr="002F2BC5">
        <w:rPr>
          <w:rtl/>
        </w:rPr>
        <w:t xml:space="preserve"> ל</w:t>
      </w:r>
      <w:r w:rsidRPr="002F2BC5">
        <w:rPr>
          <w:rFonts w:hint="cs"/>
          <w:rtl/>
        </w:rPr>
        <w:t xml:space="preserve">אספקה של </w:t>
      </w:r>
      <w:r w:rsidRPr="002F2BC5">
        <w:rPr>
          <w:rtl/>
        </w:rPr>
        <w:t xml:space="preserve">שירותי הרווחה ולפיקוח עליהם. </w:t>
      </w:r>
      <w:r w:rsidRPr="002F2BC5">
        <w:rPr>
          <w:rFonts w:hint="cs"/>
          <w:rtl/>
        </w:rPr>
        <w:t xml:space="preserve">כחלק מכך קבע בנוהל </w:t>
      </w:r>
      <w:r w:rsidRPr="002F2BC5">
        <w:rPr>
          <w:rtl/>
        </w:rPr>
        <w:t xml:space="preserve">את </w:t>
      </w:r>
      <w:r w:rsidRPr="002F2BC5">
        <w:rPr>
          <w:rFonts w:hint="cs"/>
          <w:rtl/>
        </w:rPr>
        <w:t>העקרונות לעבודתו של המפקח המחוזי ואת מרכיבי עבודתו (</w:t>
      </w:r>
      <w:bookmarkStart w:id="660" w:name="_Hlk202092991"/>
      <w:r w:rsidRPr="002F2BC5">
        <w:rPr>
          <w:rFonts w:hint="cs"/>
          <w:rtl/>
        </w:rPr>
        <w:t>להלן - נוהל תפקיד המפקח המחוזי</w:t>
      </w:r>
      <w:bookmarkEnd w:id="660"/>
      <w:r w:rsidRPr="002F2BC5">
        <w:rPr>
          <w:rFonts w:hint="cs"/>
          <w:rtl/>
        </w:rPr>
        <w:t>). זאת</w:t>
      </w:r>
      <w:r w:rsidRPr="002F2BC5">
        <w:rPr>
          <w:rtl/>
        </w:rPr>
        <w:t xml:space="preserve"> באופן שיאפשר </w:t>
      </w:r>
      <w:r w:rsidRPr="002F2BC5">
        <w:rPr>
          <w:rFonts w:hint="cs"/>
          <w:rtl/>
        </w:rPr>
        <w:t>קביעת</w:t>
      </w:r>
      <w:r w:rsidRPr="002F2BC5">
        <w:rPr>
          <w:rtl/>
        </w:rPr>
        <w:t xml:space="preserve"> תוכנית עבודה ברורה</w:t>
      </w:r>
      <w:r w:rsidRPr="002F2BC5">
        <w:rPr>
          <w:rFonts w:hint="cs"/>
          <w:rtl/>
        </w:rPr>
        <w:t xml:space="preserve"> לפיקוח</w:t>
      </w:r>
      <w:r w:rsidRPr="002F2BC5">
        <w:rPr>
          <w:rtl/>
        </w:rPr>
        <w:t>, תוך תעדוף מידת האינטנסיביות שבעבודת הפיקוח ב</w:t>
      </w:r>
      <w:r w:rsidRPr="002F2BC5">
        <w:rPr>
          <w:rFonts w:hint="cs"/>
          <w:rtl/>
        </w:rPr>
        <w:t>סוגי ה</w:t>
      </w:r>
      <w:r w:rsidRPr="002F2BC5">
        <w:rPr>
          <w:rtl/>
        </w:rPr>
        <w:t xml:space="preserve">מסגרות </w:t>
      </w:r>
      <w:r w:rsidRPr="002F2BC5">
        <w:rPr>
          <w:rFonts w:hint="cs"/>
          <w:rtl/>
        </w:rPr>
        <w:t xml:space="preserve">ושירותי הרווחה </w:t>
      </w:r>
      <w:r w:rsidRPr="002F2BC5">
        <w:rPr>
          <w:rtl/>
        </w:rPr>
        <w:t>השונ</w:t>
      </w:r>
      <w:r w:rsidRPr="002F2BC5">
        <w:rPr>
          <w:rFonts w:hint="cs"/>
          <w:rtl/>
        </w:rPr>
        <w:t xml:space="preserve">ים (להלן - </w:t>
      </w:r>
      <w:r w:rsidRPr="002F2BC5">
        <w:rPr>
          <w:rtl/>
        </w:rPr>
        <w:t xml:space="preserve">תמהיל </w:t>
      </w:r>
      <w:r w:rsidRPr="002F2BC5">
        <w:rPr>
          <w:rFonts w:hint="cs"/>
          <w:rtl/>
        </w:rPr>
        <w:t>ה</w:t>
      </w:r>
      <w:r w:rsidRPr="002F2BC5">
        <w:rPr>
          <w:rtl/>
        </w:rPr>
        <w:t>עיסוקי</w:t>
      </w:r>
      <w:r w:rsidRPr="002F2BC5">
        <w:rPr>
          <w:rFonts w:hint="cs"/>
          <w:rtl/>
        </w:rPr>
        <w:t>ם)</w:t>
      </w:r>
      <w:r w:rsidRPr="002F2BC5">
        <w:rPr>
          <w:rStyle w:val="af9"/>
          <w:rtl/>
        </w:rPr>
        <w:footnoteReference w:id="172"/>
      </w:r>
      <w:r w:rsidRPr="002F2BC5">
        <w:rPr>
          <w:rFonts w:hint="cs"/>
          <w:rtl/>
        </w:rPr>
        <w:t xml:space="preserve">. לפי תמהיל העיסוקים שקבע משרד הרווחה, הפיקוח </w:t>
      </w:r>
      <w:r w:rsidRPr="002F2BC5">
        <w:rPr>
          <w:rFonts w:hint="cs"/>
          <w:rtl/>
        </w:rPr>
        <w:lastRenderedPageBreak/>
        <w:t>במרכזים, במקלטים ובדירות המעבר ייעשה בעצימות גבוהה, ובהתאם לכך נדרש המפקח המחוזי לקיים ביקורי פיקוח בכל מסגרת כזו ארבע פעמים בשנה</w:t>
      </w:r>
      <w:r w:rsidRPr="002F2BC5">
        <w:rPr>
          <w:rStyle w:val="af9"/>
          <w:rtl/>
        </w:rPr>
        <w:footnoteReference w:id="173"/>
      </w:r>
      <w:r w:rsidRPr="002F2BC5">
        <w:rPr>
          <w:rFonts w:hint="cs"/>
          <w:rtl/>
        </w:rPr>
        <w:t>.</w:t>
      </w:r>
    </w:p>
    <w:p w14:paraId="32C47F07" w14:textId="77777777" w:rsidR="00817399" w:rsidRPr="002F2BC5" w:rsidRDefault="00817399" w:rsidP="00817399">
      <w:pPr>
        <w:spacing w:line="269" w:lineRule="auto"/>
        <w:rPr>
          <w:rtl/>
        </w:rPr>
      </w:pPr>
    </w:p>
    <w:p w14:paraId="374A09D5" w14:textId="77777777" w:rsidR="00817399" w:rsidRPr="002F2BC5" w:rsidRDefault="00817399" w:rsidP="00817399">
      <w:pPr>
        <w:spacing w:line="269" w:lineRule="auto"/>
        <w:rPr>
          <w:rtl/>
        </w:rPr>
      </w:pPr>
      <w:r w:rsidRPr="002F2BC5">
        <w:rPr>
          <w:rFonts w:hint="cs"/>
          <w:rtl/>
        </w:rPr>
        <w:t>נוהל תפקיד המפקח המחוזי קובע בין השאר גם את האופן שבו על המפקח המחוזי לתעד את פעולותיו אל מול הגורם המפוקח. לפי הנוהל, על המפקח לתעד במערכת ממוחשבת מרכזית (</w:t>
      </w:r>
      <w:bookmarkStart w:id="661" w:name="_Hlk202093075"/>
      <w:r w:rsidRPr="002F2BC5">
        <w:rPr>
          <w:rFonts w:hint="cs"/>
          <w:rtl/>
        </w:rPr>
        <w:t>להלן - מערכת הפיקוח או מערכת הפיקוח המרכזית</w:t>
      </w:r>
      <w:bookmarkEnd w:id="661"/>
      <w:r w:rsidRPr="002F2BC5">
        <w:rPr>
          <w:rFonts w:hint="cs"/>
          <w:rtl/>
        </w:rPr>
        <w:t>) את הפערים והחוזקות שנמצאו ואת משך הזמן הנדרש לתיקון הפערים. נוסף על כך, על המפקח המחוזי לקיים מעקב אחר תיקון הליקויים שהועלו על ידו או על ידי גורמי פיקוח אחרים, תוך היעזרות בכלי אכיפה מתאימים</w:t>
      </w:r>
      <w:r w:rsidRPr="002F2BC5">
        <w:rPr>
          <w:rStyle w:val="af9"/>
          <w:rtl/>
        </w:rPr>
        <w:footnoteReference w:id="174"/>
      </w:r>
      <w:r w:rsidRPr="002F2BC5">
        <w:rPr>
          <w:rFonts w:hint="cs"/>
          <w:rtl/>
        </w:rPr>
        <w:t xml:space="preserve">. </w:t>
      </w:r>
    </w:p>
    <w:p w14:paraId="2E680580" w14:textId="77777777" w:rsidR="00817399" w:rsidRPr="002F2BC5" w:rsidRDefault="00817399" w:rsidP="00817399">
      <w:pPr>
        <w:spacing w:line="269" w:lineRule="auto"/>
        <w:rPr>
          <w:rtl/>
        </w:rPr>
      </w:pPr>
    </w:p>
    <w:p w14:paraId="67A7C029" w14:textId="77777777" w:rsidR="00817399" w:rsidRPr="002F2BC5" w:rsidRDefault="00817399" w:rsidP="00817399">
      <w:pPr>
        <w:spacing w:line="269" w:lineRule="auto"/>
        <w:rPr>
          <w:rtl/>
        </w:rPr>
      </w:pPr>
      <w:r w:rsidRPr="002F2BC5">
        <w:rPr>
          <w:rFonts w:hint="cs"/>
          <w:rtl/>
        </w:rPr>
        <w:t>לצורך הפיקוח על מסגרות בקהילה פיתח משרד הרווחה בשנת 2018 כלי בקרה ממוחשב וגנרי (</w:t>
      </w:r>
      <w:bookmarkStart w:id="662" w:name="_Hlk202093149"/>
      <w:r w:rsidRPr="002F2BC5">
        <w:rPr>
          <w:rFonts w:hint="cs"/>
          <w:rtl/>
        </w:rPr>
        <w:t>להלן - כלי הבקרה הממוחשב</w:t>
      </w:r>
      <w:bookmarkEnd w:id="662"/>
      <w:r w:rsidRPr="002F2BC5">
        <w:rPr>
          <w:rFonts w:hint="cs"/>
          <w:rtl/>
        </w:rPr>
        <w:t>). הכלי נועד לשמש את המפקחים המחוזיים בבקרה על מגוון תחומי הפעילות במסגרות בקהילה, ובהם תחומי הרישוי, הבטיחות וכוח האדם.</w:t>
      </w:r>
    </w:p>
    <w:p w14:paraId="2983DBBC" w14:textId="77777777" w:rsidR="00817399" w:rsidRPr="002F2BC5" w:rsidRDefault="00817399" w:rsidP="00817399">
      <w:pPr>
        <w:spacing w:line="269" w:lineRule="auto"/>
        <w:rPr>
          <w:rtl/>
        </w:rPr>
      </w:pPr>
    </w:p>
    <w:p w14:paraId="429171EB" w14:textId="77777777" w:rsidR="00817399" w:rsidRPr="002F2BC5" w:rsidRDefault="00817399" w:rsidP="00817399">
      <w:pPr>
        <w:spacing w:line="269" w:lineRule="auto"/>
        <w:rPr>
          <w:rtl/>
        </w:rPr>
      </w:pPr>
      <w:r w:rsidRPr="002F2BC5">
        <w:rPr>
          <w:rFonts w:hint="cs"/>
          <w:rtl/>
        </w:rPr>
        <w:t>יש לציין כי קיימת חשיבות לכך שבהליך איסוף המידע במסגרת פעולות הפיקוח והערכת איכות השירות הניתן יהיו מעורבים מקבלי השירות עצמם כ</w:t>
      </w:r>
      <w:r w:rsidRPr="002F2BC5">
        <w:rPr>
          <w:rtl/>
        </w:rPr>
        <w:t xml:space="preserve">מי שחווים את השירות, על מכלול </w:t>
      </w:r>
      <w:r w:rsidRPr="002F2BC5">
        <w:rPr>
          <w:rFonts w:hint="eastAsia"/>
          <w:rtl/>
        </w:rPr>
        <w:t>רכיבי</w:t>
      </w:r>
      <w:r w:rsidRPr="002F2BC5">
        <w:rPr>
          <w:rtl/>
        </w:rPr>
        <w:t xml:space="preserve">ו, ויודעים על המתרחש </w:t>
      </w:r>
      <w:r w:rsidRPr="002F2BC5">
        <w:rPr>
          <w:rFonts w:hint="eastAsia"/>
          <w:rtl/>
        </w:rPr>
        <w:t>בפועל</w:t>
      </w:r>
      <w:r w:rsidRPr="002F2BC5">
        <w:rPr>
          <w:rtl/>
        </w:rPr>
        <w:t xml:space="preserve">, גם כאשר </w:t>
      </w:r>
      <w:r w:rsidRPr="002F2BC5">
        <w:rPr>
          <w:rFonts w:hint="eastAsia"/>
          <w:rtl/>
        </w:rPr>
        <w:t>גורמי</w:t>
      </w:r>
      <w:r w:rsidRPr="002F2BC5">
        <w:rPr>
          <w:rtl/>
        </w:rPr>
        <w:t xml:space="preserve"> הפיקוח אינם נוכחים </w:t>
      </w:r>
      <w:r w:rsidRPr="002F2BC5">
        <w:rPr>
          <w:rFonts w:hint="eastAsia"/>
          <w:rtl/>
        </w:rPr>
        <w:t>בעת</w:t>
      </w:r>
      <w:r w:rsidRPr="002F2BC5">
        <w:rPr>
          <w:rtl/>
        </w:rPr>
        <w:t xml:space="preserve"> </w:t>
      </w:r>
      <w:r w:rsidRPr="002F2BC5">
        <w:rPr>
          <w:rFonts w:hint="eastAsia"/>
          <w:rtl/>
        </w:rPr>
        <w:t>מתן</w:t>
      </w:r>
      <w:r w:rsidRPr="002F2BC5">
        <w:rPr>
          <w:rtl/>
        </w:rPr>
        <w:t xml:space="preserve"> </w:t>
      </w:r>
      <w:r w:rsidRPr="002F2BC5">
        <w:rPr>
          <w:rFonts w:hint="eastAsia"/>
          <w:rtl/>
        </w:rPr>
        <w:t>השירות</w:t>
      </w:r>
      <w:bookmarkStart w:id="663" w:name="_Ref189073822"/>
      <w:r w:rsidRPr="002F2BC5">
        <w:rPr>
          <w:vertAlign w:val="superscript"/>
          <w:rtl/>
        </w:rPr>
        <w:footnoteReference w:id="175"/>
      </w:r>
      <w:bookmarkEnd w:id="663"/>
      <w:r w:rsidRPr="002F2BC5">
        <w:rPr>
          <w:rtl/>
        </w:rPr>
        <w:t xml:space="preserve">. </w:t>
      </w:r>
      <w:r w:rsidRPr="002F2BC5">
        <w:rPr>
          <w:rFonts w:hint="cs"/>
          <w:rtl/>
        </w:rPr>
        <w:t>מעורבותם של מקבלי השירות באיסוף המידע עשויה לתרום לא רק למהימנות המידע שנאסף באמצעותם, אלא גם להעצמתם של מקבלי השירות עצמם וכן להתאמת השירות שניתן לצורכיהם</w:t>
      </w:r>
      <w:bookmarkStart w:id="664" w:name="_Ref189073806"/>
      <w:r w:rsidRPr="002F2BC5">
        <w:rPr>
          <w:rStyle w:val="af9"/>
          <w:rtl/>
        </w:rPr>
        <w:footnoteReference w:id="176"/>
      </w:r>
      <w:bookmarkEnd w:id="664"/>
      <w:r w:rsidRPr="002F2BC5">
        <w:rPr>
          <w:rFonts w:hint="cs"/>
          <w:rtl/>
        </w:rPr>
        <w:t>. איסוף מידע כאמור יכול להיעשות בין השאר באמצעות סקר שביעות רצון</w:t>
      </w:r>
      <w:r w:rsidRPr="002F2BC5">
        <w:rPr>
          <w:rtl/>
        </w:rPr>
        <w:t xml:space="preserve"> </w:t>
      </w:r>
      <w:r w:rsidRPr="002F2BC5">
        <w:rPr>
          <w:rFonts w:hint="cs"/>
          <w:rtl/>
        </w:rPr>
        <w:t>בקרב מקבלי השירות</w:t>
      </w:r>
      <w:r w:rsidRPr="002F2BC5">
        <w:rPr>
          <w:rtl/>
        </w:rPr>
        <w:t xml:space="preserve">, לעיתים תוך הכוונה לנושאים ספציפיים, </w:t>
      </w:r>
      <w:r w:rsidRPr="002F2BC5">
        <w:rPr>
          <w:rFonts w:hint="cs"/>
          <w:rtl/>
        </w:rPr>
        <w:t xml:space="preserve">שכן אז המידע נאסף </w:t>
      </w:r>
      <w:r w:rsidRPr="002F2BC5">
        <w:rPr>
          <w:rFonts w:hint="eastAsia"/>
          <w:rtl/>
        </w:rPr>
        <w:t>מ</w:t>
      </w:r>
      <w:r w:rsidRPr="002F2BC5">
        <w:rPr>
          <w:rtl/>
        </w:rPr>
        <w:t xml:space="preserve">ציבור גדול של מקבלי שירות בעלות </w:t>
      </w:r>
      <w:r w:rsidRPr="002F2BC5">
        <w:rPr>
          <w:rFonts w:hint="eastAsia"/>
          <w:rtl/>
        </w:rPr>
        <w:t>נמוכה</w:t>
      </w:r>
      <w:r w:rsidRPr="002F2BC5">
        <w:rPr>
          <w:rtl/>
        </w:rPr>
        <w:t xml:space="preserve"> </w:t>
      </w:r>
      <w:r w:rsidRPr="002F2BC5">
        <w:rPr>
          <w:rFonts w:hint="eastAsia"/>
          <w:rtl/>
        </w:rPr>
        <w:t>יחסית</w:t>
      </w:r>
      <w:r w:rsidRPr="002F2BC5">
        <w:rPr>
          <w:rtl/>
        </w:rPr>
        <w:t xml:space="preserve">. </w:t>
      </w:r>
      <w:r w:rsidRPr="002F2BC5">
        <w:rPr>
          <w:rFonts w:hint="cs"/>
          <w:rtl/>
        </w:rPr>
        <w:t xml:space="preserve">כך גם </w:t>
      </w:r>
      <w:r w:rsidRPr="002F2BC5">
        <w:rPr>
          <w:rtl/>
        </w:rPr>
        <w:t>ככל שה</w:t>
      </w:r>
      <w:r w:rsidRPr="002F2BC5">
        <w:rPr>
          <w:rFonts w:hint="cs"/>
          <w:rtl/>
        </w:rPr>
        <w:t>סקר</w:t>
      </w:r>
      <w:r w:rsidRPr="002F2BC5">
        <w:rPr>
          <w:rtl/>
        </w:rPr>
        <w:t xml:space="preserve"> מובְנ</w:t>
      </w:r>
      <w:r w:rsidRPr="002F2BC5">
        <w:rPr>
          <w:rFonts w:hint="cs"/>
          <w:rtl/>
        </w:rPr>
        <w:t>ה</w:t>
      </w:r>
      <w:r w:rsidRPr="002F2BC5">
        <w:rPr>
          <w:rtl/>
        </w:rPr>
        <w:t xml:space="preserve"> יותר, </w:t>
      </w:r>
      <w:r w:rsidRPr="002F2BC5">
        <w:rPr>
          <w:rFonts w:hint="cs"/>
          <w:rtl/>
        </w:rPr>
        <w:t>כך</w:t>
      </w:r>
      <w:r w:rsidRPr="002F2BC5">
        <w:rPr>
          <w:rtl/>
        </w:rPr>
        <w:t xml:space="preserve"> </w:t>
      </w:r>
      <w:r w:rsidRPr="002F2BC5">
        <w:rPr>
          <w:rFonts w:hint="cs"/>
          <w:rtl/>
        </w:rPr>
        <w:t xml:space="preserve">הוא </w:t>
      </w:r>
      <w:r w:rsidRPr="002F2BC5">
        <w:rPr>
          <w:rFonts w:hint="eastAsia"/>
          <w:rtl/>
        </w:rPr>
        <w:t>עשו</w:t>
      </w:r>
      <w:r w:rsidRPr="002F2BC5">
        <w:rPr>
          <w:rFonts w:hint="cs"/>
          <w:rtl/>
        </w:rPr>
        <w:t>י</w:t>
      </w:r>
      <w:r w:rsidRPr="002F2BC5">
        <w:rPr>
          <w:rtl/>
        </w:rPr>
        <w:t xml:space="preserve"> </w:t>
      </w:r>
      <w:r w:rsidRPr="002F2BC5">
        <w:rPr>
          <w:rFonts w:hint="eastAsia"/>
          <w:rtl/>
        </w:rPr>
        <w:t>גם</w:t>
      </w:r>
      <w:r w:rsidRPr="002F2BC5">
        <w:rPr>
          <w:rtl/>
        </w:rPr>
        <w:t xml:space="preserve"> </w:t>
      </w:r>
      <w:r w:rsidRPr="002F2BC5">
        <w:rPr>
          <w:rFonts w:hint="eastAsia"/>
          <w:rtl/>
        </w:rPr>
        <w:t>לאפשר</w:t>
      </w:r>
      <w:r w:rsidRPr="002F2BC5">
        <w:rPr>
          <w:rtl/>
        </w:rPr>
        <w:t xml:space="preserve"> לזהות שינויים לאורך זמן בכל הנוגע להחמרה או לשיפור באיכות השירותים</w:t>
      </w:r>
      <w:r w:rsidRPr="002F2BC5">
        <w:rPr>
          <w:vertAlign w:val="superscript"/>
          <w:rtl/>
        </w:rPr>
        <w:footnoteReference w:id="177"/>
      </w:r>
      <w:r w:rsidRPr="002F2BC5">
        <w:rPr>
          <w:rtl/>
        </w:rPr>
        <w:t xml:space="preserve">. </w:t>
      </w:r>
    </w:p>
    <w:p w14:paraId="60CC2E2B" w14:textId="77777777" w:rsidR="00817399" w:rsidRPr="002F2BC5" w:rsidRDefault="00817399" w:rsidP="00817399">
      <w:pPr>
        <w:spacing w:line="269" w:lineRule="auto"/>
        <w:rPr>
          <w:rtl/>
        </w:rPr>
      </w:pPr>
    </w:p>
    <w:p w14:paraId="141413BF" w14:textId="77777777" w:rsidR="00817399" w:rsidRPr="002F2BC5" w:rsidRDefault="00817399" w:rsidP="00817399">
      <w:pPr>
        <w:spacing w:line="269" w:lineRule="auto"/>
        <w:rPr>
          <w:rtl/>
        </w:rPr>
      </w:pPr>
      <w:bookmarkStart w:id="665" w:name="_Toc191986972"/>
      <w:r w:rsidRPr="002F2BC5">
        <w:rPr>
          <w:rStyle w:val="70"/>
          <w:rFonts w:hint="cs"/>
          <w:rtl/>
        </w:rPr>
        <w:t>הביקורת הקודמת:</w:t>
      </w:r>
      <w:bookmarkEnd w:id="665"/>
      <w:r w:rsidRPr="002F2BC5">
        <w:rPr>
          <w:rFonts w:hint="cs"/>
          <w:rtl/>
        </w:rPr>
        <w:t xml:space="preserve"> נמצא כי </w:t>
      </w:r>
      <w:bookmarkStart w:id="666" w:name="_Hlk191314680"/>
      <w:r w:rsidRPr="002F2BC5">
        <w:rPr>
          <w:rFonts w:hint="cs"/>
          <w:rtl/>
        </w:rPr>
        <w:t>משרד הרווחה טרם השלים את המהלך להטמעת</w:t>
      </w:r>
      <w:r w:rsidRPr="002F2BC5">
        <w:rPr>
          <w:rtl/>
        </w:rPr>
        <w:t xml:space="preserve"> תמהיל עיסוקי המפקח </w:t>
      </w:r>
      <w:r w:rsidRPr="002F2BC5">
        <w:rPr>
          <w:rFonts w:hint="cs"/>
          <w:rtl/>
        </w:rPr>
        <w:t>המחוזי</w:t>
      </w:r>
      <w:r w:rsidRPr="002F2BC5">
        <w:rPr>
          <w:rtl/>
        </w:rPr>
        <w:t>.</w:t>
      </w:r>
      <w:r w:rsidRPr="002F2BC5">
        <w:rPr>
          <w:rFonts w:hint="cs"/>
          <w:rtl/>
        </w:rPr>
        <w:t xml:space="preserve"> הועלה עוד כי פעולות הפיקוח על המרכזים, המקלטים ודירות המעבר לא תועדו באופן עקבי, </w:t>
      </w:r>
      <w:r w:rsidRPr="002F2BC5">
        <w:rPr>
          <w:rtl/>
        </w:rPr>
        <w:t>לא התבססו על מתודולוגיה סדורה</w:t>
      </w:r>
      <w:r w:rsidRPr="002F2BC5">
        <w:rPr>
          <w:rFonts w:hint="cs"/>
          <w:rtl/>
        </w:rPr>
        <w:t xml:space="preserve"> ואחידה </w:t>
      </w:r>
      <w:r w:rsidRPr="002F2BC5">
        <w:rPr>
          <w:rtl/>
        </w:rPr>
        <w:t>ולא בוצע במסגרתם מעקב אחר תיקון ליקויים</w:t>
      </w:r>
      <w:bookmarkEnd w:id="666"/>
      <w:r w:rsidRPr="002F2BC5">
        <w:rPr>
          <w:rtl/>
        </w:rPr>
        <w:t xml:space="preserve">. </w:t>
      </w:r>
      <w:r w:rsidRPr="002F2BC5">
        <w:rPr>
          <w:rFonts w:hint="cs"/>
          <w:rtl/>
        </w:rPr>
        <w:t>אשר לתוכניות שמפעיל משרד הרווחה בשיתוף משרדי ממשלה אחרים נמצא כי אומנם משרד הרווחה</w:t>
      </w:r>
      <w:r w:rsidRPr="002F2BC5">
        <w:rPr>
          <w:rtl/>
        </w:rPr>
        <w:t xml:space="preserve"> אסף נתונים </w:t>
      </w:r>
      <w:r w:rsidRPr="002F2BC5">
        <w:rPr>
          <w:rFonts w:hint="cs"/>
          <w:rtl/>
        </w:rPr>
        <w:t>ע</w:t>
      </w:r>
      <w:r w:rsidRPr="002F2BC5">
        <w:rPr>
          <w:rtl/>
        </w:rPr>
        <w:t>ל התוכני</w:t>
      </w:r>
      <w:r w:rsidRPr="002F2BC5">
        <w:rPr>
          <w:rFonts w:hint="cs"/>
          <w:rtl/>
        </w:rPr>
        <w:t>ו</w:t>
      </w:r>
      <w:r w:rsidRPr="002F2BC5">
        <w:rPr>
          <w:rtl/>
        </w:rPr>
        <w:t>ת בשנים 2018 ו-2019</w:t>
      </w:r>
      <w:r w:rsidRPr="002F2BC5">
        <w:rPr>
          <w:rFonts w:hint="cs"/>
          <w:rtl/>
        </w:rPr>
        <w:t>,</w:t>
      </w:r>
      <w:r w:rsidRPr="002F2BC5">
        <w:rPr>
          <w:rtl/>
        </w:rPr>
        <w:t xml:space="preserve"> אך </w:t>
      </w:r>
      <w:r w:rsidRPr="002F2BC5">
        <w:rPr>
          <w:rFonts w:hint="cs"/>
          <w:rtl/>
        </w:rPr>
        <w:t xml:space="preserve">לא היו בידיו </w:t>
      </w:r>
      <w:r w:rsidRPr="002F2BC5">
        <w:rPr>
          <w:rtl/>
        </w:rPr>
        <w:t xml:space="preserve">דוחות </w:t>
      </w:r>
      <w:r w:rsidRPr="002F2BC5">
        <w:rPr>
          <w:rFonts w:hint="cs"/>
          <w:rtl/>
        </w:rPr>
        <w:t>ה</w:t>
      </w:r>
      <w:r w:rsidRPr="002F2BC5">
        <w:rPr>
          <w:rtl/>
        </w:rPr>
        <w:t>פיקוח</w:t>
      </w:r>
      <w:r w:rsidRPr="002F2BC5">
        <w:rPr>
          <w:rFonts w:hint="cs"/>
          <w:rtl/>
        </w:rPr>
        <w:t xml:space="preserve"> עליהן</w:t>
      </w:r>
      <w:r w:rsidRPr="002F2BC5">
        <w:rPr>
          <w:rtl/>
        </w:rPr>
        <w:t>.</w:t>
      </w:r>
      <w:r w:rsidRPr="002F2BC5">
        <w:rPr>
          <w:rFonts w:hint="cs"/>
          <w:rtl/>
        </w:rPr>
        <w:t xml:space="preserve"> כמחצית מהרשויות המקומיות שנבדקו (7</w:t>
      </w:r>
      <w:r w:rsidRPr="002F2BC5">
        <w:rPr>
          <w:rtl/>
        </w:rPr>
        <w:t xml:space="preserve"> מתוך 15</w:t>
      </w:r>
      <w:r w:rsidRPr="002F2BC5">
        <w:rPr>
          <w:rFonts w:hint="cs"/>
          <w:rtl/>
        </w:rPr>
        <w:t>)</w:t>
      </w:r>
      <w:r w:rsidRPr="002F2BC5">
        <w:rPr>
          <w:rtl/>
        </w:rPr>
        <w:t xml:space="preserve"> </w:t>
      </w:r>
      <w:r w:rsidRPr="002F2BC5">
        <w:rPr>
          <w:rFonts w:hint="cs"/>
          <w:rtl/>
        </w:rPr>
        <w:t>מסרו במהלך הביקורת</w:t>
      </w:r>
      <w:r w:rsidRPr="002F2BC5">
        <w:rPr>
          <w:rtl/>
        </w:rPr>
        <w:t xml:space="preserve"> </w:t>
      </w:r>
      <w:r w:rsidRPr="002F2BC5">
        <w:rPr>
          <w:rFonts w:hint="cs"/>
          <w:rtl/>
        </w:rPr>
        <w:t xml:space="preserve">הקודמת </w:t>
      </w:r>
      <w:r w:rsidRPr="002F2BC5">
        <w:rPr>
          <w:rtl/>
        </w:rPr>
        <w:t xml:space="preserve">כי כלל לא מתבצע פיקוח בעניין פעילותן בתחום האלימות בין בני זוג. </w:t>
      </w:r>
    </w:p>
    <w:p w14:paraId="61463DFB" w14:textId="77777777" w:rsidR="00817399" w:rsidRPr="002F2BC5" w:rsidRDefault="00817399" w:rsidP="00817399">
      <w:pPr>
        <w:spacing w:line="269" w:lineRule="auto"/>
        <w:rPr>
          <w:rtl/>
        </w:rPr>
      </w:pPr>
    </w:p>
    <w:p w14:paraId="5EC4BDD8" w14:textId="77777777" w:rsidR="00817399" w:rsidRPr="002F2BC5" w:rsidRDefault="00817399" w:rsidP="00817399">
      <w:pPr>
        <w:spacing w:line="269" w:lineRule="auto"/>
        <w:rPr>
          <w:rtl/>
        </w:rPr>
      </w:pPr>
      <w:r w:rsidRPr="002F2BC5">
        <w:rPr>
          <w:rFonts w:hint="cs"/>
          <w:rtl/>
        </w:rPr>
        <w:t xml:space="preserve">בדיקה של </w:t>
      </w:r>
      <w:r w:rsidRPr="002F2BC5">
        <w:rPr>
          <w:rtl/>
        </w:rPr>
        <w:t>דוחות הפיקוח על המרכזים</w:t>
      </w:r>
      <w:r w:rsidRPr="002F2BC5">
        <w:rPr>
          <w:rFonts w:hint="cs"/>
          <w:rtl/>
        </w:rPr>
        <w:t>,</w:t>
      </w:r>
      <w:r w:rsidRPr="002F2BC5">
        <w:rPr>
          <w:rtl/>
        </w:rPr>
        <w:t xml:space="preserve"> המקלטים </w:t>
      </w:r>
      <w:r w:rsidRPr="002F2BC5">
        <w:rPr>
          <w:rFonts w:hint="cs"/>
          <w:rtl/>
        </w:rPr>
        <w:t>ו</w:t>
      </w:r>
      <w:r w:rsidRPr="002F2BC5">
        <w:rPr>
          <w:rtl/>
        </w:rPr>
        <w:t xml:space="preserve">דירות המעבר </w:t>
      </w:r>
      <w:r w:rsidRPr="002F2BC5">
        <w:rPr>
          <w:rFonts w:hint="cs"/>
          <w:rtl/>
        </w:rPr>
        <w:t>העלתה עוד כי פעולות הפיקוח על המסגרות הללו לא התייחסו לאיכות הטיפול הניתן בהם. עוד הועלה כי מאז שנת 2001 לא ערך משרד הרווחה מחקר מקיף בנושא שביעות הרצון מהשירותים הניתנים בתחום האלימות במשפחה, על אף החשיבות שעשויה להיות להערכת איכות השירותים הניתנים בתחום זה.</w:t>
      </w:r>
    </w:p>
    <w:p w14:paraId="3CB3E461" w14:textId="77777777" w:rsidR="00817399" w:rsidRPr="002F2BC5" w:rsidRDefault="00817399" w:rsidP="00817399">
      <w:pPr>
        <w:spacing w:line="269" w:lineRule="auto"/>
        <w:rPr>
          <w:rtl/>
        </w:rPr>
      </w:pPr>
    </w:p>
    <w:p w14:paraId="5C4D4011"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w:t>
      </w:r>
      <w:r w:rsidRPr="002F2BC5">
        <w:rPr>
          <w:rtl/>
        </w:rPr>
        <w:t>למשרד הרווחה לפעול להשל</w:t>
      </w:r>
      <w:r w:rsidRPr="002F2BC5">
        <w:rPr>
          <w:rFonts w:hint="cs"/>
          <w:rtl/>
        </w:rPr>
        <w:t>מת</w:t>
      </w:r>
      <w:r w:rsidRPr="002F2BC5">
        <w:rPr>
          <w:rtl/>
        </w:rPr>
        <w:t xml:space="preserve"> </w:t>
      </w:r>
      <w:r w:rsidRPr="002F2BC5">
        <w:rPr>
          <w:rFonts w:hint="cs"/>
          <w:rtl/>
        </w:rPr>
        <w:t xml:space="preserve">ההטמעה של העקרונות לעבודתו של המפקח המחוזי ושל תמהיל עיסוקיו, לרבות השימוש בכלי הבקרה הממוחשב. כמו כן המליץ לאגם ולשמור את דוחות הפיקוח על התוכניות שמשרד הרווחה מפעיל </w:t>
      </w:r>
      <w:r w:rsidRPr="002F2BC5">
        <w:rPr>
          <w:rFonts w:hint="cs"/>
          <w:rtl/>
        </w:rPr>
        <w:lastRenderedPageBreak/>
        <w:t>במשותף עם משרדי הממשלה האחרים ושעליו מוטלת האחריות לפקח עליהן</w:t>
      </w:r>
      <w:r w:rsidRPr="002F2BC5">
        <w:rPr>
          <w:rtl/>
        </w:rPr>
        <w:t>.</w:t>
      </w:r>
      <w:r w:rsidRPr="002F2BC5">
        <w:rPr>
          <w:rFonts w:hint="cs"/>
          <w:rtl/>
        </w:rPr>
        <w:t xml:space="preserve"> כן המליץ ל</w:t>
      </w:r>
      <w:r w:rsidRPr="002F2BC5">
        <w:rPr>
          <w:rtl/>
        </w:rPr>
        <w:t>משרד הרווחה</w:t>
      </w:r>
      <w:r w:rsidRPr="002F2BC5">
        <w:rPr>
          <w:rFonts w:hint="cs"/>
          <w:rtl/>
        </w:rPr>
        <w:t xml:space="preserve">, משרד החינוך והמשרד לביטחון לאומי לפעול לקידום </w:t>
      </w:r>
      <w:r w:rsidRPr="002F2BC5">
        <w:rPr>
          <w:rtl/>
        </w:rPr>
        <w:t xml:space="preserve">מעקב ופיקוח </w:t>
      </w:r>
      <w:r w:rsidRPr="002F2BC5">
        <w:rPr>
          <w:rFonts w:hint="cs"/>
          <w:rtl/>
        </w:rPr>
        <w:t>על התוכניות שבהפעלתם המשותפת</w:t>
      </w:r>
      <w:r w:rsidRPr="002F2BC5">
        <w:rPr>
          <w:rtl/>
        </w:rPr>
        <w:t xml:space="preserve">. </w:t>
      </w:r>
    </w:p>
    <w:p w14:paraId="1A9FBC6C" w14:textId="77777777" w:rsidR="00817399" w:rsidRPr="002F2BC5" w:rsidRDefault="00817399" w:rsidP="00817399">
      <w:pPr>
        <w:spacing w:line="269" w:lineRule="auto"/>
        <w:rPr>
          <w:rtl/>
        </w:rPr>
      </w:pPr>
    </w:p>
    <w:p w14:paraId="7D0C3274" w14:textId="77777777" w:rsidR="00817399" w:rsidRPr="002F2BC5" w:rsidRDefault="00817399" w:rsidP="00817399">
      <w:pPr>
        <w:spacing w:line="269" w:lineRule="auto"/>
        <w:rPr>
          <w:rtl/>
        </w:rPr>
      </w:pPr>
      <w:r w:rsidRPr="002F2BC5">
        <w:rPr>
          <w:rFonts w:hint="eastAsia"/>
          <w:rtl/>
        </w:rPr>
        <w:t>משרד</w:t>
      </w:r>
      <w:r w:rsidRPr="002F2BC5">
        <w:rPr>
          <w:rtl/>
        </w:rPr>
        <w:t xml:space="preserve"> הרווחה מסר בתשובתו </w:t>
      </w:r>
      <w:r w:rsidRPr="002F2BC5">
        <w:rPr>
          <w:rFonts w:hint="cs"/>
          <w:rtl/>
        </w:rPr>
        <w:t>לביקורת הקודמת מפברואר 2021</w:t>
      </w:r>
      <w:r w:rsidRPr="002F2BC5">
        <w:rPr>
          <w:rtl/>
        </w:rPr>
        <w:t xml:space="preserve"> </w:t>
      </w:r>
      <w:r w:rsidRPr="002F2BC5">
        <w:rPr>
          <w:rFonts w:hint="cs"/>
          <w:rtl/>
        </w:rPr>
        <w:t xml:space="preserve">כי הליך הטמעת תפיסת הפיקוח התעכב בשל </w:t>
      </w:r>
      <w:r w:rsidRPr="002F2BC5">
        <w:rPr>
          <w:rFonts w:hint="eastAsia"/>
          <w:rtl/>
        </w:rPr>
        <w:t>מגפת</w:t>
      </w:r>
      <w:r w:rsidRPr="002F2BC5">
        <w:rPr>
          <w:rtl/>
        </w:rPr>
        <w:t xml:space="preserve"> </w:t>
      </w:r>
      <w:r w:rsidRPr="002F2BC5">
        <w:rPr>
          <w:rFonts w:hint="eastAsia"/>
          <w:rtl/>
        </w:rPr>
        <w:t>הקורונה</w:t>
      </w:r>
      <w:r w:rsidRPr="002F2BC5">
        <w:rPr>
          <w:rFonts w:hint="cs"/>
          <w:rtl/>
        </w:rPr>
        <w:t>, והוסיף כי גובשו הנחיות פיקוח מותאמות למאפייני תקופת משבר הקורונה. אשר לתוכניות שהוא מפעיל במשותף עם משרדי ממשלה אחרים, משרד הרווחה מסר כי התוכניות מופעלות במרכזים, ולכן מערכת הפיקוח נוגעת גם להן.</w:t>
      </w:r>
    </w:p>
    <w:p w14:paraId="57F88752" w14:textId="77777777" w:rsidR="00817399" w:rsidRPr="002F2BC5" w:rsidRDefault="00817399" w:rsidP="00817399">
      <w:pPr>
        <w:spacing w:line="269" w:lineRule="auto"/>
        <w:rPr>
          <w:rtl/>
        </w:rPr>
      </w:pPr>
    </w:p>
    <w:p w14:paraId="746C464D" w14:textId="280FCDF5" w:rsidR="00817399" w:rsidRPr="002F2BC5" w:rsidRDefault="00817399" w:rsidP="00817399">
      <w:pPr>
        <w:spacing w:line="269" w:lineRule="auto"/>
        <w:rPr>
          <w:rtl/>
        </w:rPr>
      </w:pPr>
      <w:bookmarkStart w:id="667" w:name="_Toc191986973"/>
      <w:r w:rsidRPr="002F2BC5">
        <w:rPr>
          <w:rStyle w:val="70"/>
          <w:rFonts w:hint="cs"/>
          <w:rtl/>
        </w:rPr>
        <w:t>ביקורת המעקב:</w:t>
      </w:r>
      <w:bookmarkEnd w:id="667"/>
      <w:r w:rsidRPr="002F2BC5">
        <w:rPr>
          <w:rFonts w:hint="cs"/>
          <w:rtl/>
        </w:rPr>
        <w:t xml:space="preserve"> ניתוח הנתונים מתוך מערכת הפיקוח המרכזית על </w:t>
      </w:r>
      <w:r w:rsidRPr="002F2BC5">
        <w:rPr>
          <w:rFonts w:hint="eastAsia"/>
          <w:rtl/>
        </w:rPr>
        <w:t>תיעוד</w:t>
      </w:r>
      <w:r w:rsidRPr="002F2BC5">
        <w:rPr>
          <w:rFonts w:hint="cs"/>
          <w:rtl/>
        </w:rPr>
        <w:t xml:space="preserve"> ביקורי הפיקוח שהתקיימו במרכזים לטיפול ומניעת אלימות במשפחה שהיו פעילים בשנים 2021 - 2024 העלה כי עקרונות העבודה של המפקח המחוזי ותמהיל העיסוקים שלו לא הוטמעו במלואם בעבודתם של המפקחים המחוזיים. כך, בין השאר, הועלה כי </w:t>
      </w:r>
      <w:r w:rsidRPr="002F2BC5">
        <w:rPr>
          <w:rFonts w:hint="eastAsia"/>
          <w:rtl/>
        </w:rPr>
        <w:t>לפי</w:t>
      </w:r>
      <w:r w:rsidRPr="002F2BC5">
        <w:rPr>
          <w:rtl/>
        </w:rPr>
        <w:t xml:space="preserve"> </w:t>
      </w:r>
      <w:r w:rsidRPr="002F2BC5">
        <w:rPr>
          <w:rFonts w:hint="eastAsia"/>
          <w:rtl/>
        </w:rPr>
        <w:t>התיעוד</w:t>
      </w:r>
      <w:r w:rsidRPr="002F2BC5">
        <w:rPr>
          <w:rtl/>
        </w:rPr>
        <w:t xml:space="preserve"> </w:t>
      </w:r>
      <w:r w:rsidRPr="002F2BC5">
        <w:rPr>
          <w:rFonts w:hint="eastAsia"/>
          <w:rtl/>
        </w:rPr>
        <w:t>המופיע</w:t>
      </w:r>
      <w:r w:rsidRPr="002F2BC5">
        <w:rPr>
          <w:rtl/>
        </w:rPr>
        <w:t xml:space="preserve"> </w:t>
      </w:r>
      <w:r w:rsidRPr="002F2BC5">
        <w:rPr>
          <w:rFonts w:hint="eastAsia"/>
          <w:rtl/>
        </w:rPr>
        <w:t>במערכת</w:t>
      </w:r>
      <w:r w:rsidRPr="002F2BC5">
        <w:rPr>
          <w:rtl/>
        </w:rPr>
        <w:t xml:space="preserve"> </w:t>
      </w:r>
      <w:r w:rsidRPr="002F2BC5">
        <w:rPr>
          <w:rFonts w:hint="eastAsia"/>
          <w:rtl/>
        </w:rPr>
        <w:t>הפיקוח</w:t>
      </w:r>
      <w:r w:rsidRPr="002F2BC5">
        <w:rPr>
          <w:rFonts w:hint="cs"/>
          <w:rtl/>
        </w:rPr>
        <w:t xml:space="preserve">, בחלק מהמרכזים לא התקיימו כלל ביקורי פיקוח בשנים הללו, או שהתקיימו בהם ביקורי פיקוח בתדירות נמוכה מכפי שנקבע בתמהיל העיסוקים, מהלך העשוי להצביע על כך שהפיקוח אינו נעשה על פי תוכנית עבודה סדורה ושיטתית. הנתונים </w:t>
      </w:r>
      <w:r w:rsidRPr="002F2BC5">
        <w:rPr>
          <w:rFonts w:hint="eastAsia"/>
          <w:rtl/>
        </w:rPr>
        <w:t>על</w:t>
      </w:r>
      <w:r w:rsidRPr="002F2BC5">
        <w:rPr>
          <w:rtl/>
        </w:rPr>
        <w:t xml:space="preserve"> </w:t>
      </w:r>
      <w:r w:rsidRPr="002F2BC5">
        <w:rPr>
          <w:rFonts w:hint="eastAsia"/>
          <w:rtl/>
        </w:rPr>
        <w:t>המספר</w:t>
      </w:r>
      <w:r w:rsidRPr="002F2BC5">
        <w:rPr>
          <w:rtl/>
        </w:rPr>
        <w:t xml:space="preserve"> </w:t>
      </w:r>
      <w:r w:rsidRPr="002F2BC5">
        <w:rPr>
          <w:rFonts w:hint="eastAsia"/>
          <w:rtl/>
        </w:rPr>
        <w:t>ושיעור</w:t>
      </w:r>
      <w:r w:rsidRPr="002F2BC5">
        <w:rPr>
          <w:rtl/>
        </w:rPr>
        <w:t xml:space="preserve"> </w:t>
      </w:r>
      <w:r w:rsidRPr="002F2BC5">
        <w:rPr>
          <w:rFonts w:hint="cs"/>
          <w:rtl/>
        </w:rPr>
        <w:t xml:space="preserve">המרכזים לטיפול ומניעת אלימות במשפחה, שהיו פעילים </w:t>
      </w:r>
      <w:r w:rsidRPr="002F2BC5">
        <w:rPr>
          <w:rFonts w:hint="eastAsia"/>
          <w:rtl/>
        </w:rPr>
        <w:t>ותועד</w:t>
      </w:r>
      <w:r w:rsidRPr="002F2BC5">
        <w:rPr>
          <w:rtl/>
        </w:rPr>
        <w:t xml:space="preserve"> במערכת הפיקוח כי התקיימו </w:t>
      </w:r>
      <w:r w:rsidRPr="002F2BC5">
        <w:rPr>
          <w:rFonts w:hint="cs"/>
          <w:rtl/>
        </w:rPr>
        <w:t>בהם ביקורי פיקוח (אחד לפחות) בשנים 2021 - 2024, מוצגים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Ref183020886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11</w:t>
      </w:r>
      <w:r w:rsidRPr="002F2BC5">
        <w:rPr>
          <w:rtl/>
        </w:rPr>
        <w:fldChar w:fldCharType="end"/>
      </w:r>
      <w:r w:rsidRPr="002F2BC5">
        <w:rPr>
          <w:rFonts w:hint="cs"/>
          <w:rtl/>
        </w:rPr>
        <w:t xml:space="preserve"> שלהלן.</w:t>
      </w:r>
    </w:p>
    <w:p w14:paraId="78D1FF4A" w14:textId="77777777" w:rsidR="00817399" w:rsidRPr="002F2BC5" w:rsidRDefault="00817399" w:rsidP="00817399">
      <w:pPr>
        <w:spacing w:line="269" w:lineRule="auto"/>
        <w:rPr>
          <w:rtl/>
        </w:rPr>
      </w:pPr>
    </w:p>
    <w:p w14:paraId="2B3BBBE3" w14:textId="77777777" w:rsidR="00817399" w:rsidRPr="002F2BC5" w:rsidRDefault="00817399" w:rsidP="00817399">
      <w:pPr>
        <w:pStyle w:val="a9"/>
        <w:spacing w:line="269" w:lineRule="auto"/>
        <w:rPr>
          <w:rtl/>
        </w:rPr>
      </w:pPr>
      <w:bookmarkStart w:id="668" w:name="_Ref183020886"/>
      <w:bookmarkStart w:id="669" w:name="_Toc192672904"/>
      <w:r w:rsidRPr="002F2BC5">
        <w:rPr>
          <w:rFonts w:hint="cs"/>
          <w:rtl/>
        </w:rPr>
        <w:t xml:space="preserve">: </w:t>
      </w:r>
      <w:r w:rsidRPr="002F2BC5">
        <w:rPr>
          <w:rFonts w:hint="cs"/>
          <w:b w:val="0"/>
          <w:bCs/>
          <w:rtl/>
        </w:rPr>
        <w:t xml:space="preserve">מספרם ושיעורם של המרכזים לטיפול ומניעת אלימות במשפחה שהיו פעילים </w:t>
      </w:r>
      <w:r w:rsidRPr="002F2BC5">
        <w:rPr>
          <w:rFonts w:hint="eastAsia"/>
          <w:b w:val="0"/>
          <w:bCs/>
          <w:rtl/>
        </w:rPr>
        <w:t>ותועד</w:t>
      </w:r>
      <w:r w:rsidRPr="002F2BC5">
        <w:rPr>
          <w:b w:val="0"/>
          <w:bCs/>
          <w:rtl/>
        </w:rPr>
        <w:t xml:space="preserve"> </w:t>
      </w:r>
      <w:r w:rsidRPr="002F2BC5">
        <w:rPr>
          <w:rFonts w:hint="eastAsia"/>
          <w:b w:val="0"/>
          <w:bCs/>
          <w:rtl/>
        </w:rPr>
        <w:t>כי</w:t>
      </w:r>
      <w:r w:rsidRPr="002F2BC5">
        <w:rPr>
          <w:b w:val="0"/>
          <w:bCs/>
          <w:rtl/>
        </w:rPr>
        <w:t xml:space="preserve"> </w:t>
      </w:r>
      <w:r w:rsidRPr="002F2BC5">
        <w:rPr>
          <w:rFonts w:hint="eastAsia"/>
          <w:b w:val="0"/>
          <w:bCs/>
          <w:rtl/>
        </w:rPr>
        <w:t>התקיימו</w:t>
      </w:r>
      <w:r w:rsidRPr="002F2BC5">
        <w:rPr>
          <w:rFonts w:hint="cs"/>
          <w:b w:val="0"/>
          <w:bCs/>
          <w:rtl/>
        </w:rPr>
        <w:t xml:space="preserve"> בהם ביקורי פיקוח (אחד לפחות), </w:t>
      </w:r>
      <w:bookmarkEnd w:id="668"/>
      <w:r w:rsidRPr="002F2BC5">
        <w:rPr>
          <w:rFonts w:hint="cs"/>
          <w:b w:val="0"/>
          <w:bCs/>
          <w:rtl/>
        </w:rPr>
        <w:t>2021 - 2024</w:t>
      </w:r>
      <w:bookmarkStart w:id="670" w:name="_Ref188360293"/>
      <w:r w:rsidRPr="002F2BC5">
        <w:rPr>
          <w:rStyle w:val="af9"/>
          <w:b w:val="0"/>
          <w:bCs/>
          <w:rtl/>
        </w:rPr>
        <w:footnoteReference w:id="178"/>
      </w:r>
      <w:bookmarkEnd w:id="669"/>
      <w:bookmarkEnd w:id="670"/>
    </w:p>
    <w:p w14:paraId="2DA3ACA3"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260CA402" wp14:editId="4DFCA18A">
            <wp:extent cx="4320000" cy="1434597"/>
            <wp:effectExtent l="0" t="0" r="4445" b="0"/>
            <wp:docPr id="2052770991" name="תמונה 205277099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40"/>
                    <a:stretch>
                      <a:fillRect/>
                    </a:stretch>
                  </pic:blipFill>
                  <pic:spPr>
                    <a:xfrm>
                      <a:off x="0" y="0"/>
                      <a:ext cx="4320000" cy="1434597"/>
                    </a:xfrm>
                    <a:prstGeom prst="rect">
                      <a:avLst/>
                    </a:prstGeom>
                  </pic:spPr>
                </pic:pic>
              </a:graphicData>
            </a:graphic>
          </wp:inline>
        </w:drawing>
      </w:r>
    </w:p>
    <w:p w14:paraId="7B22B364" w14:textId="77777777" w:rsidR="00817399" w:rsidRPr="002F2BC5" w:rsidRDefault="00817399" w:rsidP="00817399">
      <w:pPr>
        <w:pStyle w:val="afffffff1"/>
        <w:bidi/>
        <w:spacing w:line="269" w:lineRule="auto"/>
        <w:rPr>
          <w:rtl/>
        </w:rPr>
      </w:pPr>
      <w:r w:rsidRPr="002F2BC5">
        <w:rPr>
          <w:rFonts w:hint="cs"/>
          <w:rtl/>
        </w:rPr>
        <w:t>על פי נתוני משרד הרווחה מתוך מערכת הפיקוח המרכזית, בעיבוד משרד מבקר המדינה.</w:t>
      </w:r>
    </w:p>
    <w:p w14:paraId="7D48FCC9" w14:textId="77777777" w:rsidR="00817399" w:rsidRPr="002F2BC5" w:rsidRDefault="00817399" w:rsidP="00817399">
      <w:pPr>
        <w:spacing w:line="269" w:lineRule="auto"/>
        <w:rPr>
          <w:rtl/>
        </w:rPr>
      </w:pPr>
    </w:p>
    <w:p w14:paraId="741695CA" w14:textId="6918D798" w:rsidR="00817399" w:rsidRPr="002F2BC5" w:rsidRDefault="00817399" w:rsidP="00817399">
      <w:pPr>
        <w:spacing w:line="269" w:lineRule="auto"/>
        <w:rPr>
          <w:rtl/>
        </w:rPr>
      </w:pPr>
      <w:r w:rsidRPr="002F2BC5">
        <w:rPr>
          <w:rFonts w:hint="cs"/>
          <w:rtl/>
        </w:rPr>
        <w:t>מ</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Ref183020886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11</w:t>
      </w:r>
      <w:r w:rsidRPr="002F2BC5">
        <w:rPr>
          <w:rtl/>
        </w:rPr>
        <w:fldChar w:fldCharType="end"/>
      </w:r>
      <w:r w:rsidRPr="002F2BC5">
        <w:rPr>
          <w:rFonts w:hint="cs"/>
          <w:rtl/>
        </w:rPr>
        <w:t xml:space="preserve"> עולה כי לפי נתוני משרד הרווחה מתוך מערכת הפיקוח המרכזית, תועד בשנת 2021 ביקור פיקוח אחד לפחות בכ-29% מהמרכזים שהיו פעילים בשנה זו (45 מתוך 153); בשנת 2022 </w:t>
      </w:r>
      <w:r w:rsidRPr="002F2BC5">
        <w:rPr>
          <w:rFonts w:hint="eastAsia"/>
          <w:rtl/>
        </w:rPr>
        <w:t>תועד</w:t>
      </w:r>
      <w:r w:rsidRPr="002F2BC5">
        <w:rPr>
          <w:rFonts w:hint="cs"/>
          <w:rtl/>
        </w:rPr>
        <w:t xml:space="preserve"> ביקור פיקוח אחד לפחות בכ-42% מהמרכזים (68 מתוך 161); בשנת 2023 </w:t>
      </w:r>
      <w:r w:rsidRPr="002F2BC5">
        <w:rPr>
          <w:rFonts w:hint="eastAsia"/>
          <w:rtl/>
        </w:rPr>
        <w:t>תועד</w:t>
      </w:r>
      <w:r w:rsidRPr="002F2BC5">
        <w:rPr>
          <w:rFonts w:hint="cs"/>
          <w:rtl/>
        </w:rPr>
        <w:t xml:space="preserve"> ביקור פיקוח אחד לפחות בכ-62% מהמרכזים (104 מתוך 168); ובשנת 2024 </w:t>
      </w:r>
      <w:r w:rsidRPr="002F2BC5">
        <w:rPr>
          <w:rFonts w:hint="eastAsia"/>
          <w:rtl/>
        </w:rPr>
        <w:t>תועד</w:t>
      </w:r>
      <w:r w:rsidRPr="002F2BC5">
        <w:rPr>
          <w:rFonts w:hint="cs"/>
          <w:rtl/>
        </w:rPr>
        <w:t xml:space="preserve"> ביקור פיקוח אחד לפחות בכ-63% מהמרכזים הפעילים (105 מתוך 166). </w:t>
      </w:r>
    </w:p>
    <w:p w14:paraId="217D6071" w14:textId="77777777" w:rsidR="00817399" w:rsidRPr="002F2BC5" w:rsidRDefault="00817399" w:rsidP="00817399">
      <w:pPr>
        <w:spacing w:line="269" w:lineRule="auto"/>
        <w:rPr>
          <w:rtl/>
        </w:rPr>
      </w:pPr>
    </w:p>
    <w:p w14:paraId="61E9A4D8" w14:textId="77777777" w:rsidR="00817399" w:rsidRPr="002F2BC5" w:rsidRDefault="00817399" w:rsidP="00817399">
      <w:pPr>
        <w:spacing w:line="269" w:lineRule="auto"/>
        <w:rPr>
          <w:rtl/>
        </w:rPr>
      </w:pPr>
      <w:r w:rsidRPr="002F2BC5">
        <w:rPr>
          <w:rFonts w:hint="eastAsia"/>
          <w:rtl/>
        </w:rPr>
        <w:t>אף</w:t>
      </w:r>
      <w:r w:rsidRPr="002F2BC5">
        <w:rPr>
          <w:rtl/>
        </w:rPr>
        <w:t xml:space="preserve"> כי בשנים 2021 - 2024 ניכרת מגמת </w:t>
      </w:r>
      <w:r w:rsidRPr="002F2BC5">
        <w:rPr>
          <w:rFonts w:hint="eastAsia"/>
          <w:rtl/>
        </w:rPr>
        <w:t>עלייה</w:t>
      </w:r>
      <w:r w:rsidRPr="002F2BC5">
        <w:rPr>
          <w:rtl/>
        </w:rPr>
        <w:t xml:space="preserve"> בשיעור המרכזים </w:t>
      </w:r>
      <w:r w:rsidRPr="002F2BC5">
        <w:rPr>
          <w:rFonts w:hint="eastAsia"/>
          <w:rtl/>
        </w:rPr>
        <w:t>שתועד</w:t>
      </w:r>
      <w:r w:rsidRPr="002F2BC5">
        <w:rPr>
          <w:rtl/>
        </w:rPr>
        <w:t xml:space="preserve"> </w:t>
      </w:r>
      <w:r w:rsidRPr="002F2BC5">
        <w:rPr>
          <w:rFonts w:hint="eastAsia"/>
          <w:rtl/>
        </w:rPr>
        <w:t>במערכת</w:t>
      </w:r>
      <w:r w:rsidRPr="002F2BC5">
        <w:rPr>
          <w:rtl/>
        </w:rPr>
        <w:t xml:space="preserve"> </w:t>
      </w:r>
      <w:r w:rsidRPr="002F2BC5">
        <w:rPr>
          <w:rFonts w:hint="eastAsia"/>
          <w:rtl/>
        </w:rPr>
        <w:t>הפיקוח</w:t>
      </w:r>
      <w:r w:rsidRPr="002F2BC5">
        <w:rPr>
          <w:rtl/>
        </w:rPr>
        <w:t xml:space="preserve"> </w:t>
      </w:r>
      <w:r w:rsidRPr="002F2BC5">
        <w:rPr>
          <w:rFonts w:hint="eastAsia"/>
          <w:rtl/>
        </w:rPr>
        <w:t>שהתקיים</w:t>
      </w:r>
      <w:r w:rsidRPr="002F2BC5">
        <w:rPr>
          <w:rtl/>
        </w:rPr>
        <w:t xml:space="preserve"> בהם ביקור פיקוח אחד לפחות (מכ-29% </w:t>
      </w:r>
      <w:r w:rsidRPr="002F2BC5">
        <w:rPr>
          <w:rFonts w:hint="eastAsia"/>
          <w:rtl/>
        </w:rPr>
        <w:t>בשנת</w:t>
      </w:r>
      <w:r w:rsidRPr="002F2BC5">
        <w:rPr>
          <w:rtl/>
        </w:rPr>
        <w:t xml:space="preserve"> 2021 </w:t>
      </w:r>
      <w:r w:rsidRPr="002F2BC5">
        <w:rPr>
          <w:rFonts w:hint="eastAsia"/>
          <w:rtl/>
        </w:rPr>
        <w:t>לכ</w:t>
      </w:r>
      <w:r w:rsidRPr="002F2BC5">
        <w:rPr>
          <w:rtl/>
        </w:rPr>
        <w:t xml:space="preserve">-63% </w:t>
      </w:r>
      <w:r w:rsidRPr="002F2BC5">
        <w:rPr>
          <w:rFonts w:hint="eastAsia"/>
          <w:rtl/>
        </w:rPr>
        <w:t>בשנת</w:t>
      </w:r>
      <w:r w:rsidRPr="002F2BC5">
        <w:rPr>
          <w:rtl/>
        </w:rPr>
        <w:t xml:space="preserve"> 2024), </w:t>
      </w:r>
      <w:r w:rsidRPr="002F2BC5">
        <w:rPr>
          <w:rFonts w:hint="eastAsia"/>
          <w:rtl/>
        </w:rPr>
        <w:t>שיעורם</w:t>
      </w:r>
      <w:r w:rsidRPr="002F2BC5">
        <w:rPr>
          <w:rtl/>
        </w:rPr>
        <w:t xml:space="preserve"> של המרכזים שלא </w:t>
      </w:r>
      <w:r w:rsidRPr="002F2BC5">
        <w:rPr>
          <w:rFonts w:hint="eastAsia"/>
          <w:rtl/>
        </w:rPr>
        <w:t>תועד</w:t>
      </w:r>
      <w:r w:rsidRPr="002F2BC5">
        <w:rPr>
          <w:rtl/>
        </w:rPr>
        <w:t xml:space="preserve"> </w:t>
      </w:r>
      <w:r w:rsidRPr="002F2BC5">
        <w:rPr>
          <w:rFonts w:hint="eastAsia"/>
          <w:rtl/>
        </w:rPr>
        <w:t>כי</w:t>
      </w:r>
      <w:r w:rsidRPr="002F2BC5">
        <w:rPr>
          <w:rtl/>
        </w:rPr>
        <w:t xml:space="preserve"> </w:t>
      </w:r>
      <w:r w:rsidRPr="002F2BC5">
        <w:rPr>
          <w:rFonts w:hint="eastAsia"/>
          <w:rtl/>
        </w:rPr>
        <w:t>התקיימו</w:t>
      </w:r>
      <w:r w:rsidRPr="002F2BC5">
        <w:rPr>
          <w:rtl/>
        </w:rPr>
        <w:t xml:space="preserve"> </w:t>
      </w:r>
      <w:r w:rsidRPr="002F2BC5">
        <w:rPr>
          <w:rFonts w:hint="eastAsia"/>
          <w:rtl/>
        </w:rPr>
        <w:t>בהם</w:t>
      </w:r>
      <w:r w:rsidRPr="002F2BC5">
        <w:rPr>
          <w:rtl/>
        </w:rPr>
        <w:t xml:space="preserve"> </w:t>
      </w:r>
      <w:r w:rsidRPr="002F2BC5">
        <w:rPr>
          <w:rFonts w:hint="eastAsia"/>
          <w:rtl/>
        </w:rPr>
        <w:t>כלל</w:t>
      </w:r>
      <w:r w:rsidRPr="002F2BC5">
        <w:rPr>
          <w:rtl/>
        </w:rPr>
        <w:t xml:space="preserve"> </w:t>
      </w:r>
      <w:r w:rsidRPr="002F2BC5">
        <w:rPr>
          <w:rFonts w:hint="eastAsia"/>
          <w:rtl/>
        </w:rPr>
        <w:t>ביקורי</w:t>
      </w:r>
      <w:r w:rsidRPr="002F2BC5">
        <w:rPr>
          <w:rtl/>
        </w:rPr>
        <w:t xml:space="preserve"> </w:t>
      </w:r>
      <w:r w:rsidRPr="002F2BC5">
        <w:rPr>
          <w:rFonts w:hint="eastAsia"/>
          <w:rtl/>
        </w:rPr>
        <w:t>פיקוח</w:t>
      </w:r>
      <w:r w:rsidRPr="002F2BC5">
        <w:rPr>
          <w:rtl/>
        </w:rPr>
        <w:t xml:space="preserve"> </w:t>
      </w:r>
      <w:r w:rsidRPr="002F2BC5">
        <w:rPr>
          <w:rFonts w:hint="eastAsia"/>
          <w:rtl/>
        </w:rPr>
        <w:t>בשנת</w:t>
      </w:r>
      <w:r w:rsidRPr="002F2BC5">
        <w:rPr>
          <w:rtl/>
        </w:rPr>
        <w:t xml:space="preserve"> 2024 </w:t>
      </w:r>
      <w:r w:rsidRPr="002F2BC5">
        <w:rPr>
          <w:rFonts w:hint="eastAsia"/>
          <w:rtl/>
        </w:rPr>
        <w:t>נותר</w:t>
      </w:r>
      <w:r w:rsidRPr="002F2BC5">
        <w:rPr>
          <w:rtl/>
        </w:rPr>
        <w:t xml:space="preserve"> </w:t>
      </w:r>
      <w:r w:rsidRPr="002F2BC5">
        <w:rPr>
          <w:rFonts w:hint="eastAsia"/>
          <w:rtl/>
        </w:rPr>
        <w:t>גבוה</w:t>
      </w:r>
      <w:r w:rsidRPr="002F2BC5">
        <w:rPr>
          <w:rtl/>
        </w:rPr>
        <w:t xml:space="preserve"> (כ-37%). </w:t>
      </w:r>
      <w:r w:rsidRPr="002F2BC5">
        <w:rPr>
          <w:rFonts w:hint="eastAsia"/>
          <w:rtl/>
        </w:rPr>
        <w:t>ניתוח</w:t>
      </w:r>
      <w:r w:rsidRPr="002F2BC5">
        <w:rPr>
          <w:rtl/>
        </w:rPr>
        <w:t xml:space="preserve"> </w:t>
      </w:r>
      <w:r w:rsidRPr="002F2BC5">
        <w:rPr>
          <w:rFonts w:hint="eastAsia"/>
          <w:rtl/>
        </w:rPr>
        <w:t>הנתונים</w:t>
      </w:r>
      <w:r w:rsidRPr="002F2BC5">
        <w:rPr>
          <w:rtl/>
        </w:rPr>
        <w:t xml:space="preserve"> </w:t>
      </w:r>
      <w:r w:rsidRPr="002F2BC5">
        <w:rPr>
          <w:rFonts w:hint="eastAsia"/>
          <w:rtl/>
        </w:rPr>
        <w:t>העלה</w:t>
      </w:r>
      <w:r w:rsidRPr="002F2BC5">
        <w:rPr>
          <w:rtl/>
        </w:rPr>
        <w:t xml:space="preserve"> </w:t>
      </w:r>
      <w:r w:rsidRPr="002F2BC5">
        <w:rPr>
          <w:rFonts w:hint="eastAsia"/>
          <w:rtl/>
        </w:rPr>
        <w:t>עוד</w:t>
      </w:r>
      <w:r w:rsidRPr="002F2BC5">
        <w:rPr>
          <w:rtl/>
        </w:rPr>
        <w:t xml:space="preserve"> כי ב-23 מרכזים לטיפול ומניעת אלימות במשפחה, שהיו פעילים בכל אחת מהשנים 2021 - 2024, לא תועד במערכת הפיקוח המרכזית אף לא ביקור פיקוח אחד. </w:t>
      </w:r>
      <w:r w:rsidRPr="002F2BC5">
        <w:rPr>
          <w:rFonts w:hint="eastAsia"/>
          <w:rtl/>
        </w:rPr>
        <w:t>לצד</w:t>
      </w:r>
      <w:r w:rsidRPr="002F2BC5">
        <w:rPr>
          <w:rtl/>
        </w:rPr>
        <w:t xml:space="preserve"> זאת הועלה כי גם מבין המרכזים </w:t>
      </w:r>
      <w:r w:rsidRPr="002F2BC5">
        <w:rPr>
          <w:rFonts w:hint="eastAsia"/>
          <w:rtl/>
        </w:rPr>
        <w:t>שתועד</w:t>
      </w:r>
      <w:r w:rsidRPr="002F2BC5">
        <w:rPr>
          <w:rtl/>
        </w:rPr>
        <w:t xml:space="preserve"> </w:t>
      </w:r>
      <w:r w:rsidRPr="002F2BC5">
        <w:rPr>
          <w:rFonts w:hint="eastAsia"/>
          <w:rtl/>
        </w:rPr>
        <w:t>כי</w:t>
      </w:r>
      <w:r w:rsidRPr="002F2BC5">
        <w:rPr>
          <w:rtl/>
        </w:rPr>
        <w:t xml:space="preserve"> </w:t>
      </w:r>
      <w:r w:rsidRPr="002F2BC5">
        <w:rPr>
          <w:rFonts w:hint="eastAsia"/>
          <w:rtl/>
        </w:rPr>
        <w:t>נעשו</w:t>
      </w:r>
      <w:r w:rsidRPr="002F2BC5">
        <w:rPr>
          <w:rtl/>
        </w:rPr>
        <w:t xml:space="preserve"> בהם ביקורי פיקוח בשנים הללו, </w:t>
      </w:r>
      <w:r w:rsidRPr="002F2BC5">
        <w:rPr>
          <w:rFonts w:hint="eastAsia"/>
          <w:rtl/>
        </w:rPr>
        <w:t>ביקורי</w:t>
      </w:r>
      <w:r w:rsidRPr="002F2BC5">
        <w:rPr>
          <w:rtl/>
        </w:rPr>
        <w:t xml:space="preserve"> </w:t>
      </w:r>
      <w:r w:rsidRPr="002F2BC5">
        <w:rPr>
          <w:rFonts w:hint="eastAsia"/>
          <w:rtl/>
        </w:rPr>
        <w:t>הפיקוח</w:t>
      </w:r>
      <w:r w:rsidRPr="002F2BC5">
        <w:rPr>
          <w:rtl/>
        </w:rPr>
        <w:t xml:space="preserve"> </w:t>
      </w:r>
      <w:r w:rsidRPr="002F2BC5">
        <w:rPr>
          <w:rFonts w:hint="eastAsia"/>
          <w:rtl/>
        </w:rPr>
        <w:t>התמקדו</w:t>
      </w:r>
      <w:r w:rsidRPr="002F2BC5">
        <w:rPr>
          <w:rtl/>
        </w:rPr>
        <w:t xml:space="preserve"> </w:t>
      </w:r>
      <w:r w:rsidRPr="002F2BC5">
        <w:rPr>
          <w:rFonts w:hint="eastAsia"/>
          <w:rtl/>
        </w:rPr>
        <w:t>בפגישות</w:t>
      </w:r>
      <w:r w:rsidRPr="002F2BC5">
        <w:rPr>
          <w:rtl/>
        </w:rPr>
        <w:t xml:space="preserve"> </w:t>
      </w:r>
      <w:r w:rsidRPr="002F2BC5">
        <w:rPr>
          <w:rFonts w:hint="eastAsia"/>
          <w:rtl/>
        </w:rPr>
        <w:t>ייעוץ</w:t>
      </w:r>
      <w:r w:rsidRPr="002F2BC5">
        <w:rPr>
          <w:rtl/>
        </w:rPr>
        <w:t xml:space="preserve"> </w:t>
      </w:r>
      <w:r w:rsidRPr="002F2BC5">
        <w:rPr>
          <w:rFonts w:hint="eastAsia"/>
          <w:rtl/>
        </w:rPr>
        <w:t>ולא</w:t>
      </w:r>
      <w:r w:rsidRPr="002F2BC5">
        <w:rPr>
          <w:rtl/>
        </w:rPr>
        <w:t xml:space="preserve"> </w:t>
      </w:r>
      <w:r w:rsidRPr="002F2BC5">
        <w:rPr>
          <w:rFonts w:hint="eastAsia"/>
          <w:rtl/>
        </w:rPr>
        <w:t>בפעולות</w:t>
      </w:r>
      <w:r w:rsidRPr="002F2BC5">
        <w:rPr>
          <w:rtl/>
        </w:rPr>
        <w:t xml:space="preserve"> </w:t>
      </w:r>
      <w:r w:rsidRPr="002F2BC5">
        <w:rPr>
          <w:rFonts w:hint="eastAsia"/>
          <w:rtl/>
        </w:rPr>
        <w:t>בקרה</w:t>
      </w:r>
      <w:r w:rsidRPr="002F2BC5">
        <w:rPr>
          <w:rtl/>
        </w:rPr>
        <w:t xml:space="preserve"> </w:t>
      </w:r>
      <w:r w:rsidRPr="002F2BC5">
        <w:rPr>
          <w:rFonts w:hint="eastAsia"/>
          <w:rtl/>
        </w:rPr>
        <w:t>ממוקדות</w:t>
      </w:r>
      <w:r w:rsidRPr="002F2BC5">
        <w:rPr>
          <w:rtl/>
        </w:rPr>
        <w:t xml:space="preserve"> </w:t>
      </w:r>
      <w:r w:rsidRPr="002F2BC5">
        <w:rPr>
          <w:rFonts w:hint="eastAsia"/>
          <w:rtl/>
        </w:rPr>
        <w:t>או</w:t>
      </w:r>
      <w:r w:rsidRPr="002F2BC5">
        <w:rPr>
          <w:rtl/>
        </w:rPr>
        <w:t xml:space="preserve"> </w:t>
      </w:r>
      <w:r w:rsidRPr="002F2BC5">
        <w:rPr>
          <w:rFonts w:hint="eastAsia"/>
          <w:rtl/>
        </w:rPr>
        <w:t>מקיפות</w:t>
      </w:r>
      <w:r w:rsidRPr="002F2BC5">
        <w:rPr>
          <w:rtl/>
        </w:rPr>
        <w:t xml:space="preserve"> </w:t>
      </w:r>
      <w:r w:rsidRPr="002F2BC5">
        <w:rPr>
          <w:rFonts w:hint="eastAsia"/>
          <w:rtl/>
        </w:rPr>
        <w:t>על</w:t>
      </w:r>
      <w:r w:rsidRPr="002F2BC5">
        <w:rPr>
          <w:rtl/>
        </w:rPr>
        <w:t xml:space="preserve"> </w:t>
      </w:r>
      <w:r w:rsidRPr="002F2BC5">
        <w:rPr>
          <w:rFonts w:hint="eastAsia"/>
          <w:rtl/>
        </w:rPr>
        <w:t>תחומי</w:t>
      </w:r>
      <w:r w:rsidRPr="002F2BC5">
        <w:rPr>
          <w:rtl/>
        </w:rPr>
        <w:t xml:space="preserve"> </w:t>
      </w:r>
      <w:r w:rsidRPr="002F2BC5">
        <w:rPr>
          <w:rFonts w:hint="eastAsia"/>
          <w:rtl/>
        </w:rPr>
        <w:t>הפעילות</w:t>
      </w:r>
      <w:r w:rsidRPr="002F2BC5">
        <w:rPr>
          <w:rtl/>
        </w:rPr>
        <w:t xml:space="preserve"> </w:t>
      </w:r>
      <w:r w:rsidRPr="002F2BC5">
        <w:rPr>
          <w:rFonts w:hint="eastAsia"/>
          <w:rtl/>
        </w:rPr>
        <w:t>של</w:t>
      </w:r>
      <w:r w:rsidRPr="002F2BC5">
        <w:rPr>
          <w:rtl/>
        </w:rPr>
        <w:t xml:space="preserve"> </w:t>
      </w:r>
      <w:r w:rsidRPr="002F2BC5">
        <w:rPr>
          <w:rFonts w:hint="eastAsia"/>
          <w:rtl/>
        </w:rPr>
        <w:t>המרכז</w:t>
      </w:r>
      <w:r w:rsidRPr="002F2BC5">
        <w:rPr>
          <w:rtl/>
        </w:rPr>
        <w:t xml:space="preserve"> (להלן - </w:t>
      </w:r>
      <w:r w:rsidRPr="002F2BC5">
        <w:rPr>
          <w:rFonts w:hint="eastAsia"/>
          <w:rtl/>
        </w:rPr>
        <w:lastRenderedPageBreak/>
        <w:t>בקרה</w:t>
      </w:r>
      <w:r w:rsidRPr="002F2BC5">
        <w:rPr>
          <w:rtl/>
        </w:rPr>
        <w:t xml:space="preserve"> </w:t>
      </w:r>
      <w:r w:rsidRPr="002F2BC5">
        <w:rPr>
          <w:rFonts w:hint="eastAsia"/>
          <w:rtl/>
        </w:rPr>
        <w:t>ממוקדת</w:t>
      </w:r>
      <w:r w:rsidRPr="002F2BC5">
        <w:rPr>
          <w:rtl/>
        </w:rPr>
        <w:t xml:space="preserve"> </w:t>
      </w:r>
      <w:r w:rsidRPr="002F2BC5">
        <w:rPr>
          <w:rFonts w:hint="eastAsia"/>
          <w:rtl/>
        </w:rPr>
        <w:t>ובקרה</w:t>
      </w:r>
      <w:r w:rsidRPr="002F2BC5">
        <w:rPr>
          <w:rtl/>
        </w:rPr>
        <w:t xml:space="preserve"> </w:t>
      </w:r>
      <w:r w:rsidRPr="002F2BC5">
        <w:rPr>
          <w:rFonts w:hint="eastAsia"/>
          <w:rtl/>
        </w:rPr>
        <w:t>מקיפה</w:t>
      </w:r>
      <w:r w:rsidRPr="002F2BC5">
        <w:rPr>
          <w:rtl/>
        </w:rPr>
        <w:t xml:space="preserve">, </w:t>
      </w:r>
      <w:r w:rsidRPr="002F2BC5">
        <w:rPr>
          <w:rFonts w:hint="eastAsia"/>
          <w:rtl/>
        </w:rPr>
        <w:t>בהתאמה</w:t>
      </w:r>
      <w:r w:rsidRPr="002F2BC5">
        <w:rPr>
          <w:rtl/>
        </w:rPr>
        <w:t>)</w:t>
      </w:r>
      <w:r w:rsidRPr="002F2BC5">
        <w:rPr>
          <w:rStyle w:val="af9"/>
          <w:rtl/>
        </w:rPr>
        <w:footnoteReference w:id="179"/>
      </w:r>
      <w:r w:rsidRPr="002F2BC5">
        <w:rPr>
          <w:rtl/>
        </w:rPr>
        <w:t xml:space="preserve">. </w:t>
      </w:r>
      <w:r w:rsidRPr="002F2BC5">
        <w:rPr>
          <w:rFonts w:hint="eastAsia"/>
          <w:rtl/>
        </w:rPr>
        <w:t>כך</w:t>
      </w:r>
      <w:r w:rsidRPr="002F2BC5">
        <w:rPr>
          <w:rtl/>
        </w:rPr>
        <w:t xml:space="preserve"> נמצא כי בשנים הללו לא </w:t>
      </w:r>
      <w:r w:rsidRPr="002F2BC5">
        <w:rPr>
          <w:rFonts w:hint="eastAsia"/>
          <w:rtl/>
        </w:rPr>
        <w:t>תועדו</w:t>
      </w:r>
      <w:r w:rsidRPr="002F2BC5">
        <w:rPr>
          <w:rtl/>
        </w:rPr>
        <w:t xml:space="preserve"> </w:t>
      </w:r>
      <w:r w:rsidRPr="002F2BC5">
        <w:rPr>
          <w:rFonts w:hint="eastAsia"/>
          <w:rtl/>
        </w:rPr>
        <w:t>כלל</w:t>
      </w:r>
      <w:r w:rsidRPr="002F2BC5">
        <w:rPr>
          <w:rtl/>
        </w:rPr>
        <w:t xml:space="preserve"> </w:t>
      </w:r>
      <w:r w:rsidRPr="002F2BC5">
        <w:rPr>
          <w:rFonts w:hint="eastAsia"/>
          <w:rtl/>
        </w:rPr>
        <w:t>בקרות</w:t>
      </w:r>
      <w:r w:rsidRPr="002F2BC5">
        <w:rPr>
          <w:rtl/>
        </w:rPr>
        <w:t xml:space="preserve"> </w:t>
      </w:r>
      <w:r w:rsidRPr="002F2BC5">
        <w:rPr>
          <w:rFonts w:hint="eastAsia"/>
          <w:rtl/>
        </w:rPr>
        <w:t>מקיפות</w:t>
      </w:r>
      <w:r w:rsidRPr="002F2BC5">
        <w:rPr>
          <w:rtl/>
        </w:rPr>
        <w:t xml:space="preserve"> </w:t>
      </w:r>
      <w:r w:rsidRPr="002F2BC5">
        <w:rPr>
          <w:rFonts w:hint="eastAsia"/>
          <w:rtl/>
        </w:rPr>
        <w:t>או</w:t>
      </w:r>
      <w:r w:rsidRPr="002F2BC5">
        <w:rPr>
          <w:rtl/>
        </w:rPr>
        <w:t xml:space="preserve"> </w:t>
      </w:r>
      <w:r w:rsidRPr="002F2BC5">
        <w:rPr>
          <w:rFonts w:hint="eastAsia"/>
          <w:rtl/>
        </w:rPr>
        <w:t>ממוקדות</w:t>
      </w:r>
      <w:r w:rsidRPr="002F2BC5">
        <w:rPr>
          <w:rtl/>
        </w:rPr>
        <w:t xml:space="preserve"> </w:t>
      </w:r>
      <w:r w:rsidRPr="002F2BC5">
        <w:rPr>
          <w:rFonts w:hint="eastAsia"/>
          <w:rtl/>
        </w:rPr>
        <w:t>ב</w:t>
      </w:r>
      <w:r w:rsidRPr="002F2BC5">
        <w:rPr>
          <w:rtl/>
        </w:rPr>
        <w:t>-63 מרכזים לטיפול ומניעת אלימות במשפחה.</w:t>
      </w:r>
    </w:p>
    <w:p w14:paraId="5B65CB7B" w14:textId="77777777" w:rsidR="00817399" w:rsidRPr="002F2BC5" w:rsidRDefault="00817399" w:rsidP="00817399">
      <w:pPr>
        <w:spacing w:line="269" w:lineRule="auto"/>
        <w:rPr>
          <w:rtl/>
        </w:rPr>
      </w:pPr>
    </w:p>
    <w:p w14:paraId="6B3C25CB" w14:textId="77777777" w:rsidR="00817399" w:rsidRPr="002F2BC5" w:rsidRDefault="00817399" w:rsidP="00817399">
      <w:pPr>
        <w:spacing w:line="269" w:lineRule="auto"/>
        <w:rPr>
          <w:rtl/>
        </w:rPr>
      </w:pPr>
      <w:r w:rsidRPr="002F2BC5">
        <w:rPr>
          <w:rFonts w:hint="cs"/>
          <w:rtl/>
        </w:rPr>
        <w:t>משרד הרווחה מסר במהלך ביקורת המעקב, בינואר ובפברואר 2025, בהתייחס למרכזים לטיפול ומניעת אלימות במשפחה שבמחוז הדרום, במחוז ירושלים ובמחוז תל אביב והמרכז, כי בניגוד לנתונים המוצגים במערכת הפיקוח, התקיימו ביקורי פיקוח בכל המרכזים במחוזות הללו בכל אחת מהשנים 2021 - 2024. בדיקה שעשה משרד הרווחה בעקבות ביקורת המעקב העלתה כי בחלק מהמקרים, בשל סיבות טכניות הקשורות לאופן הזנת הנתונים במערכת הפיקוח, התיעוד של ביקורי הפיקוח אינו מוצג במערכת; כמו כן במקרים אחרים ביקורי הפיקוח שהתקיימו לא תועדו כלל במערכת הפיקוח. משרד הרווחה מסר בהתייחס למפקחים המחוזיים במחוז הדרום ובמחוז ירושלים כי בעקבות הבדיקה שנעשתה, ישובו ויובהרו למפקחים הנהלים בנוגע לעצם התיעוד ולאופן התיעוד.</w:t>
      </w:r>
    </w:p>
    <w:p w14:paraId="7D82BD1A" w14:textId="77777777" w:rsidR="00817399" w:rsidRPr="002F2BC5" w:rsidRDefault="00817399" w:rsidP="00817399">
      <w:pPr>
        <w:spacing w:line="269" w:lineRule="auto"/>
        <w:rPr>
          <w:rtl/>
        </w:rPr>
      </w:pPr>
    </w:p>
    <w:p w14:paraId="1B9D7F11" w14:textId="77777777" w:rsidR="00817399" w:rsidRPr="002F2BC5" w:rsidRDefault="00817399" w:rsidP="00817399">
      <w:pPr>
        <w:spacing w:line="269" w:lineRule="auto"/>
        <w:rPr>
          <w:rtl/>
        </w:rPr>
      </w:pPr>
      <w:r w:rsidRPr="002F2BC5">
        <w:rPr>
          <w:rFonts w:hint="cs"/>
          <w:rtl/>
        </w:rPr>
        <w:t>בהתייחס לתדירות המחייבת של ביקורי הפיקוח, משרד הרווחה מסר כי איוש חלקי של תקני הפיקוח או תחלופה של מפקחים וכן קשיים בהשגת שיתוף פעולה מצד מנהל המסגרת עשויה להשפיע על תדירות ביקורי הפיקוח במסגרת מסוימת. כן הוסיף המשרד כי במהלך תקופת הקורונה שנמשכה לתוך שנת 2021, כמו גם במהלך מלחמת חרבות ברזל, תדירות ביקורי הפיקוח הייתה נמוכה יותר. לצד האמור, משרד הרווחה הוסיף כי הדרישה לקיים ארבעה ביקורי פיקוח בכל מסגרת בכל שנה אינה מעשית לנוכח עומס העבודה וריבוי המשימות המוטלות על המפקחים, הכוללות לצד ביקורי הפיקוח השוטפים גם טיפול במקרי חירום, השתתפות בוועדות וכן ממשקים מרובים עם מטה משרד הרווחה. עוד ציין כי לנוכח התשומות הרבות והייחודיות הנדרשות בתחום האלימות במשפחה הוחלט על הקמתו של אגף חדש במטה משרד הרווחה, שיעסוק באופן ייעודי בתחום האלימות במשפחה והפגיעות המיניות. כחלק מכך ייקבעו מפקחים ייעודיים במחוזות המשרד באופן שיאפשר להם התמקצעות בתחומים אלו והגעה תכופה יותר למסגרות שבאחריותם. הקמת האגף הייעודי החדש מתוכננת למהלך שנת 2025.</w:t>
      </w:r>
    </w:p>
    <w:p w14:paraId="042062F5" w14:textId="77777777" w:rsidR="00817399" w:rsidRPr="002F2BC5" w:rsidRDefault="00817399" w:rsidP="00817399">
      <w:pPr>
        <w:spacing w:line="269" w:lineRule="auto"/>
        <w:rPr>
          <w:rtl/>
        </w:rPr>
      </w:pPr>
    </w:p>
    <w:p w14:paraId="6980F1D2" w14:textId="77777777" w:rsidR="00817399" w:rsidRPr="002F2BC5" w:rsidRDefault="00817399" w:rsidP="00817399">
      <w:pPr>
        <w:pStyle w:val="afffffff9"/>
        <w:spacing w:line="269" w:lineRule="auto"/>
        <w:rPr>
          <w:rtl/>
        </w:rPr>
      </w:pPr>
      <w:bookmarkStart w:id="671" w:name="_Toc192093073"/>
      <w:bookmarkStart w:id="672" w:name="_Toc191986974"/>
      <w:bookmarkStart w:id="673" w:name="_Toc192612781"/>
      <w:bookmarkStart w:id="674" w:name="_Toc198312205"/>
      <w:bookmarkStart w:id="675" w:name="_Toc198312680"/>
      <w:bookmarkStart w:id="676" w:name="_Toc200636865"/>
      <w:bookmarkStart w:id="677" w:name="_Toc200439864"/>
      <w:bookmarkStart w:id="678" w:name="_Toc201240969"/>
      <w:r w:rsidRPr="002F2BC5">
        <w:rPr>
          <w:rFonts w:hint="cs"/>
          <w:rtl/>
        </w:rPr>
        <w:t xml:space="preserve">הביקורת הקודמת העלתה כי </w:t>
      </w:r>
      <w:r w:rsidRPr="002F2BC5">
        <w:rPr>
          <w:rtl/>
        </w:rPr>
        <w:t>משרד הרווחה טרם השלים את המהלך להטמעת תמהיל עיסוקי המפקח המחוזי</w:t>
      </w:r>
      <w:r w:rsidRPr="002F2BC5">
        <w:rPr>
          <w:rFonts w:hint="cs"/>
          <w:rtl/>
        </w:rPr>
        <w:t xml:space="preserve"> ו</w:t>
      </w:r>
      <w:r w:rsidRPr="002F2BC5">
        <w:rPr>
          <w:rtl/>
        </w:rPr>
        <w:t>כי פעולות הפיקוח על המרכזים, המקלטים ודירות המעבר לא תועדו באופן עקבי, לא התבססו על מתודולוגיה סדורה ואחידה ולא בוצע במסגרתם מעקב אחר תיקון ליקויים</w:t>
      </w:r>
      <w:r w:rsidRPr="002F2BC5">
        <w:rPr>
          <w:rFonts w:hint="cs"/>
          <w:rtl/>
        </w:rPr>
        <w:t xml:space="preserve">. </w:t>
      </w:r>
      <w:r w:rsidRPr="002F2BC5">
        <w:rPr>
          <w:rFonts w:hint="eastAsia"/>
          <w:rtl/>
        </w:rPr>
        <w:t>נוסף</w:t>
      </w:r>
      <w:r w:rsidRPr="002F2BC5">
        <w:rPr>
          <w:rtl/>
        </w:rPr>
        <w:t xml:space="preserve"> </w:t>
      </w:r>
      <w:r w:rsidRPr="002F2BC5">
        <w:rPr>
          <w:rFonts w:hint="cs"/>
          <w:rtl/>
        </w:rPr>
        <w:t>ע</w:t>
      </w:r>
      <w:r w:rsidRPr="002F2BC5">
        <w:rPr>
          <w:rFonts w:hint="eastAsia"/>
          <w:rtl/>
        </w:rPr>
        <w:t>ל</w:t>
      </w:r>
      <w:r w:rsidRPr="002F2BC5">
        <w:rPr>
          <w:rFonts w:hint="cs"/>
          <w:rtl/>
        </w:rPr>
        <w:t xml:space="preserve"> </w:t>
      </w:r>
      <w:r w:rsidRPr="002F2BC5">
        <w:rPr>
          <w:rFonts w:hint="eastAsia"/>
          <w:rtl/>
        </w:rPr>
        <w:t>כך</w:t>
      </w:r>
      <w:r w:rsidRPr="002F2BC5">
        <w:rPr>
          <w:rFonts w:hint="cs"/>
          <w:rtl/>
        </w:rPr>
        <w:t>,</w:t>
      </w:r>
      <w:r w:rsidRPr="002F2BC5">
        <w:rPr>
          <w:rtl/>
        </w:rPr>
        <w:t xml:space="preserve"> </w:t>
      </w:r>
      <w:r w:rsidRPr="002F2BC5">
        <w:rPr>
          <w:rFonts w:hint="eastAsia"/>
          <w:rtl/>
        </w:rPr>
        <w:t>מאז</w:t>
      </w:r>
      <w:r w:rsidRPr="002F2BC5">
        <w:rPr>
          <w:rtl/>
        </w:rPr>
        <w:t xml:space="preserve"> </w:t>
      </w:r>
      <w:r w:rsidRPr="002F2BC5">
        <w:rPr>
          <w:rFonts w:hint="eastAsia"/>
          <w:rtl/>
        </w:rPr>
        <w:t>שנת</w:t>
      </w:r>
      <w:r w:rsidRPr="002F2BC5">
        <w:rPr>
          <w:rtl/>
        </w:rPr>
        <w:t xml:space="preserve"> 2001 </w:t>
      </w:r>
      <w:r w:rsidRPr="002F2BC5">
        <w:rPr>
          <w:rFonts w:hint="eastAsia"/>
          <w:rtl/>
        </w:rPr>
        <w:t>לא</w:t>
      </w:r>
      <w:r w:rsidRPr="002F2BC5">
        <w:rPr>
          <w:rtl/>
        </w:rPr>
        <w:t xml:space="preserve"> </w:t>
      </w:r>
      <w:r w:rsidRPr="002F2BC5">
        <w:rPr>
          <w:rFonts w:hint="eastAsia"/>
          <w:rtl/>
        </w:rPr>
        <w:t>ערך</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מחקר</w:t>
      </w:r>
      <w:r w:rsidRPr="002F2BC5">
        <w:rPr>
          <w:rtl/>
        </w:rPr>
        <w:t xml:space="preserve"> </w:t>
      </w:r>
      <w:r w:rsidRPr="002F2BC5">
        <w:rPr>
          <w:rFonts w:hint="eastAsia"/>
          <w:rtl/>
        </w:rPr>
        <w:t>מקיף</w:t>
      </w:r>
      <w:r w:rsidRPr="002F2BC5">
        <w:rPr>
          <w:rtl/>
        </w:rPr>
        <w:t xml:space="preserve"> </w:t>
      </w:r>
      <w:r w:rsidRPr="002F2BC5">
        <w:rPr>
          <w:rFonts w:hint="eastAsia"/>
          <w:rtl/>
        </w:rPr>
        <w:t>בנושא</w:t>
      </w:r>
      <w:r w:rsidRPr="002F2BC5">
        <w:rPr>
          <w:rtl/>
        </w:rPr>
        <w:t xml:space="preserve"> </w:t>
      </w:r>
      <w:r w:rsidRPr="002F2BC5">
        <w:rPr>
          <w:rFonts w:hint="eastAsia"/>
          <w:rtl/>
        </w:rPr>
        <w:t>שביעות</w:t>
      </w:r>
      <w:r w:rsidRPr="002F2BC5">
        <w:rPr>
          <w:rtl/>
        </w:rPr>
        <w:t xml:space="preserve"> </w:t>
      </w:r>
      <w:r w:rsidRPr="002F2BC5">
        <w:rPr>
          <w:rFonts w:hint="eastAsia"/>
          <w:rtl/>
        </w:rPr>
        <w:t>הרצון</w:t>
      </w:r>
      <w:r w:rsidRPr="002F2BC5">
        <w:rPr>
          <w:rtl/>
        </w:rPr>
        <w:t xml:space="preserve"> </w:t>
      </w:r>
      <w:r w:rsidRPr="002F2BC5">
        <w:rPr>
          <w:rFonts w:hint="eastAsia"/>
          <w:rtl/>
        </w:rPr>
        <w:t>מהשירותים</w:t>
      </w:r>
      <w:r w:rsidRPr="002F2BC5">
        <w:rPr>
          <w:rtl/>
        </w:rPr>
        <w:t xml:space="preserve"> </w:t>
      </w:r>
      <w:r w:rsidRPr="002F2BC5">
        <w:rPr>
          <w:rFonts w:hint="eastAsia"/>
          <w:rtl/>
        </w:rPr>
        <w:t>הניתנים</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על</w:t>
      </w:r>
      <w:r w:rsidRPr="002F2BC5">
        <w:rPr>
          <w:rtl/>
        </w:rPr>
        <w:t xml:space="preserve"> </w:t>
      </w:r>
      <w:r w:rsidRPr="002F2BC5">
        <w:rPr>
          <w:rFonts w:hint="eastAsia"/>
          <w:rtl/>
        </w:rPr>
        <w:t>אף</w:t>
      </w:r>
      <w:r w:rsidRPr="002F2BC5">
        <w:rPr>
          <w:rtl/>
        </w:rPr>
        <w:t xml:space="preserve"> </w:t>
      </w:r>
      <w:r w:rsidRPr="002F2BC5">
        <w:rPr>
          <w:rFonts w:hint="eastAsia"/>
          <w:rtl/>
        </w:rPr>
        <w:t>החשיבות</w:t>
      </w:r>
      <w:r w:rsidRPr="002F2BC5">
        <w:rPr>
          <w:rtl/>
        </w:rPr>
        <w:t xml:space="preserve"> </w:t>
      </w:r>
      <w:r w:rsidRPr="002F2BC5">
        <w:rPr>
          <w:rFonts w:hint="eastAsia"/>
          <w:rtl/>
        </w:rPr>
        <w:t>שעשויה</w:t>
      </w:r>
      <w:r w:rsidRPr="002F2BC5">
        <w:rPr>
          <w:rtl/>
        </w:rPr>
        <w:t xml:space="preserve"> </w:t>
      </w:r>
      <w:r w:rsidRPr="002F2BC5">
        <w:rPr>
          <w:rFonts w:hint="eastAsia"/>
          <w:rtl/>
        </w:rPr>
        <w:t>להיות</w:t>
      </w:r>
      <w:r w:rsidRPr="002F2BC5">
        <w:rPr>
          <w:rtl/>
        </w:rPr>
        <w:t xml:space="preserve"> </w:t>
      </w:r>
      <w:r w:rsidRPr="002F2BC5">
        <w:rPr>
          <w:rFonts w:hint="eastAsia"/>
          <w:rtl/>
        </w:rPr>
        <w:t>להערכת</w:t>
      </w:r>
      <w:r w:rsidRPr="002F2BC5">
        <w:rPr>
          <w:rtl/>
        </w:rPr>
        <w:t xml:space="preserve"> </w:t>
      </w:r>
      <w:r w:rsidRPr="002F2BC5">
        <w:rPr>
          <w:rFonts w:hint="eastAsia"/>
          <w:rtl/>
        </w:rPr>
        <w:t>איכות</w:t>
      </w:r>
      <w:r w:rsidRPr="002F2BC5">
        <w:rPr>
          <w:rtl/>
        </w:rPr>
        <w:t xml:space="preserve"> </w:t>
      </w:r>
      <w:r w:rsidRPr="002F2BC5">
        <w:rPr>
          <w:rFonts w:hint="eastAsia"/>
          <w:rtl/>
        </w:rPr>
        <w:t>השירותים</w:t>
      </w:r>
      <w:r w:rsidRPr="002F2BC5">
        <w:rPr>
          <w:rtl/>
        </w:rPr>
        <w:t xml:space="preserve"> </w:t>
      </w:r>
      <w:r w:rsidRPr="002F2BC5">
        <w:rPr>
          <w:rFonts w:hint="eastAsia"/>
          <w:rtl/>
        </w:rPr>
        <w:t>הניתנים</w:t>
      </w:r>
      <w:r w:rsidRPr="002F2BC5">
        <w:rPr>
          <w:rtl/>
        </w:rPr>
        <w:t xml:space="preserve"> </w:t>
      </w:r>
      <w:r w:rsidRPr="002F2BC5">
        <w:rPr>
          <w:rFonts w:hint="eastAsia"/>
          <w:rtl/>
        </w:rPr>
        <w:t>בתחום</w:t>
      </w:r>
      <w:r w:rsidRPr="002F2BC5">
        <w:rPr>
          <w:rtl/>
        </w:rPr>
        <w:t xml:space="preserve"> </w:t>
      </w:r>
      <w:r w:rsidRPr="002F2BC5">
        <w:rPr>
          <w:rFonts w:hint="eastAsia"/>
          <w:rtl/>
        </w:rPr>
        <w:t>זה</w:t>
      </w:r>
      <w:r w:rsidRPr="002F2BC5">
        <w:rPr>
          <w:rtl/>
        </w:rPr>
        <w:t>.</w:t>
      </w:r>
      <w:r w:rsidRPr="002F2BC5">
        <w:rPr>
          <w:rFonts w:hint="cs"/>
          <w:rtl/>
        </w:rPr>
        <w:t xml:space="preserve"> </w:t>
      </w:r>
      <w:r w:rsidRPr="002F2BC5">
        <w:rPr>
          <w:rFonts w:hint="eastAsia"/>
          <w:rtl/>
        </w:rPr>
        <w:t>בביקורת</w:t>
      </w:r>
      <w:r w:rsidRPr="002F2BC5">
        <w:rPr>
          <w:rtl/>
        </w:rPr>
        <w:t xml:space="preserve"> המעקב הועלה כי הליקוי תוקן </w:t>
      </w:r>
      <w:r w:rsidRPr="002F2BC5">
        <w:rPr>
          <w:rFonts w:hint="eastAsia"/>
          <w:rtl/>
        </w:rPr>
        <w:t>במידה</w:t>
      </w:r>
      <w:r w:rsidRPr="002F2BC5">
        <w:rPr>
          <w:rtl/>
        </w:rPr>
        <w:t xml:space="preserve"> מועטה וכי</w:t>
      </w:r>
      <w:r w:rsidRPr="002F2BC5">
        <w:rPr>
          <w:rFonts w:hint="cs"/>
          <w:rtl/>
        </w:rPr>
        <w:t xml:space="preserve"> </w:t>
      </w:r>
      <w:r w:rsidRPr="002F2BC5">
        <w:rPr>
          <w:rtl/>
        </w:rPr>
        <w:t>בשנת 2024 תועד ביקור פיקוח אחד לפחות בכ-63% מהמרכזים הפעילים (105 מתוך 166)</w:t>
      </w:r>
      <w:r w:rsidRPr="002F2BC5">
        <w:rPr>
          <w:rFonts w:hint="cs"/>
          <w:rtl/>
        </w:rPr>
        <w:t xml:space="preserve">. זאת בעוד שלפי משרד הרווחה התקיימו ביקורי פיקוח בכלל המרכזים הפעילים בשנה זו אך תיעודם אינו מוצג במערכת מסיבות </w:t>
      </w:r>
      <w:r w:rsidRPr="002F2BC5">
        <w:rPr>
          <w:rtl/>
        </w:rPr>
        <w:t xml:space="preserve">טכניות הקשורות לאופן הזנת הנתונים </w:t>
      </w:r>
      <w:r w:rsidRPr="002F2BC5">
        <w:rPr>
          <w:rFonts w:hint="cs"/>
          <w:rtl/>
        </w:rPr>
        <w:t xml:space="preserve">או משום שהם כלל </w:t>
      </w:r>
      <w:r w:rsidRPr="002F2BC5">
        <w:rPr>
          <w:rtl/>
        </w:rPr>
        <w:t>לא תועדו במערכת הפיקוח</w:t>
      </w:r>
      <w:r w:rsidRPr="002F2BC5">
        <w:rPr>
          <w:rFonts w:hint="cs"/>
          <w:rtl/>
        </w:rPr>
        <w:t>. בכך יש כדי להעיד על כך ש</w:t>
      </w:r>
      <w:r w:rsidRPr="002F2BC5">
        <w:rPr>
          <w:rtl/>
        </w:rPr>
        <w:t xml:space="preserve">עקרונות העבודה של המפקח המחוזי ותמהיל העיסוקים שלו לא הוטמעו </w:t>
      </w:r>
      <w:r w:rsidRPr="002F2BC5">
        <w:rPr>
          <w:rFonts w:hint="cs"/>
          <w:rtl/>
        </w:rPr>
        <w:t xml:space="preserve">במלואם </w:t>
      </w:r>
      <w:r w:rsidRPr="002F2BC5">
        <w:rPr>
          <w:rtl/>
        </w:rPr>
        <w:t>בעבודתם של המפקחים המחוזיים</w:t>
      </w:r>
      <w:r w:rsidRPr="002F2BC5">
        <w:rPr>
          <w:rFonts w:hint="cs"/>
          <w:rtl/>
        </w:rPr>
        <w:t>. עוד הועלה כי בחלוף יותר משני עשורים מאז סקר שביעות הרצון הקודם שערך משרד הרווחה, טרם נעשה סקר שביעות רצון מקיף עדכני להערכת איכות השירותים הניתנים בתחום האלימות במשפחה. רכיב זה, הנוגע לשביעות הרצון של המטופל מאיכות הטיפול הניתן לו, לא כלול גם בכלי הבקרה הממוחשב, כך שנושא זה אינו נבדק כלל, גם לא באופן חלקי.</w:t>
      </w:r>
      <w:bookmarkEnd w:id="671"/>
      <w:bookmarkEnd w:id="672"/>
      <w:bookmarkEnd w:id="673"/>
      <w:bookmarkEnd w:id="674"/>
      <w:bookmarkEnd w:id="675"/>
      <w:bookmarkEnd w:id="676"/>
      <w:bookmarkEnd w:id="677"/>
      <w:bookmarkEnd w:id="678"/>
    </w:p>
    <w:p w14:paraId="12C9F490" w14:textId="77777777" w:rsidR="00817399" w:rsidRPr="002F2BC5" w:rsidRDefault="00817399" w:rsidP="00817399">
      <w:pPr>
        <w:spacing w:line="269" w:lineRule="auto"/>
        <w:rPr>
          <w:rtl/>
        </w:rPr>
      </w:pPr>
    </w:p>
    <w:p w14:paraId="68B7E1AC" w14:textId="77777777" w:rsidR="00817399" w:rsidRPr="002F2BC5" w:rsidRDefault="00817399" w:rsidP="00817399">
      <w:pPr>
        <w:spacing w:line="269" w:lineRule="auto"/>
        <w:rPr>
          <w:rtl/>
        </w:rPr>
      </w:pPr>
      <w:r w:rsidRPr="002F2BC5">
        <w:rPr>
          <w:rFonts w:hint="cs"/>
          <w:rtl/>
        </w:rPr>
        <w:t xml:space="preserve">משרד הרווחה מסר בתשובתו כי הוא פועל להתאמת דוחות הפיקוח לפעילות המרכזים לטיפול ומניעת אלימות במשפחה כדי לייעל את עבודת הפיקוח ולאפשר בקרה ממוקדת בנושאים הנדרשים. עוד ציין כי כחלק מהשינוי הארגוני המתוכנן בתחום האלימות במשפחה ייקבע תמהיל עיסוקים ייעודי למפקחים על המרכזים. לצד זאת הוסיף כי בימים אלה נבנה שאלון בקרה עצמית </w:t>
      </w:r>
      <w:r w:rsidRPr="002F2BC5">
        <w:rPr>
          <w:rFonts w:hint="cs"/>
          <w:rtl/>
        </w:rPr>
        <w:lastRenderedPageBreak/>
        <w:t>המיועד למילוי על ידי מנהלי המחלקות לשירותים חברתיים ומנהלי המרכזים, שיתרום להגברת תדירות העברת הנתונים על אודות פעילות המרכזים למטה המשרד ולמחוזותיו.</w:t>
      </w:r>
    </w:p>
    <w:p w14:paraId="71596783" w14:textId="77777777" w:rsidR="00817399" w:rsidRPr="002F2BC5" w:rsidRDefault="00817399" w:rsidP="00817399">
      <w:pPr>
        <w:spacing w:line="269" w:lineRule="auto"/>
        <w:rPr>
          <w:rtl/>
        </w:rPr>
      </w:pPr>
    </w:p>
    <w:p w14:paraId="0DE4F93D" w14:textId="77777777" w:rsidR="00817399" w:rsidRPr="002F2BC5" w:rsidRDefault="00817399" w:rsidP="00817399">
      <w:pPr>
        <w:pStyle w:val="afffffffa"/>
        <w:spacing w:line="269" w:lineRule="auto"/>
        <w:rPr>
          <w:rtl/>
        </w:rPr>
      </w:pPr>
      <w:bookmarkStart w:id="679" w:name="_Toc191986975"/>
      <w:bookmarkStart w:id="680" w:name="_Toc192093074"/>
      <w:bookmarkStart w:id="681" w:name="_Toc192612782"/>
      <w:bookmarkStart w:id="682" w:name="_Toc198312206"/>
      <w:bookmarkStart w:id="683" w:name="_Toc198312681"/>
      <w:bookmarkStart w:id="684" w:name="_Toc200636866"/>
      <w:bookmarkStart w:id="685" w:name="_Toc200439865"/>
      <w:bookmarkStart w:id="686" w:name="_Toc201240970"/>
      <w:r w:rsidRPr="002F2BC5">
        <w:rPr>
          <w:rFonts w:hint="cs"/>
          <w:rtl/>
        </w:rPr>
        <w:t xml:space="preserve">מומלץ למשרד הרווחה לפעול להשלמת הטמעת העקרונות ותמהיל העיסוקים של המפקח המחוזי, לרבות בכל הקשור לתדירות המחייבת של ביקורי הפיקוח. </w:t>
      </w:r>
      <w:r w:rsidRPr="002F2BC5">
        <w:rPr>
          <w:rFonts w:hint="eastAsia"/>
          <w:rtl/>
        </w:rPr>
        <w:t>בתוך</w:t>
      </w:r>
      <w:r w:rsidRPr="002F2BC5">
        <w:rPr>
          <w:rtl/>
        </w:rPr>
        <w:t xml:space="preserve"> כך </w:t>
      </w:r>
      <w:r w:rsidRPr="002F2BC5">
        <w:rPr>
          <w:rFonts w:hint="eastAsia"/>
          <w:rtl/>
        </w:rPr>
        <w:t>על</w:t>
      </w:r>
      <w:r w:rsidRPr="002F2BC5">
        <w:rPr>
          <w:rtl/>
        </w:rPr>
        <w:t xml:space="preserve"> משרד הרווחה </w:t>
      </w:r>
      <w:r w:rsidRPr="002F2BC5">
        <w:rPr>
          <w:rFonts w:hint="eastAsia"/>
          <w:rtl/>
        </w:rPr>
        <w:t>לקיים</w:t>
      </w:r>
      <w:r w:rsidRPr="002F2BC5">
        <w:rPr>
          <w:rtl/>
        </w:rPr>
        <w:t xml:space="preserve"> </w:t>
      </w:r>
      <w:r w:rsidRPr="002F2BC5">
        <w:rPr>
          <w:rFonts w:hint="eastAsia"/>
          <w:rtl/>
        </w:rPr>
        <w:t>בקרה</w:t>
      </w:r>
      <w:r w:rsidRPr="002F2BC5">
        <w:rPr>
          <w:rtl/>
        </w:rPr>
        <w:t xml:space="preserve"> עצמית על </w:t>
      </w:r>
      <w:r w:rsidRPr="002F2BC5">
        <w:rPr>
          <w:rFonts w:hint="eastAsia"/>
          <w:rtl/>
        </w:rPr>
        <w:t>התדירות</w:t>
      </w:r>
      <w:r w:rsidRPr="002F2BC5">
        <w:rPr>
          <w:rtl/>
        </w:rPr>
        <w:t xml:space="preserve">, </w:t>
      </w:r>
      <w:r w:rsidRPr="002F2BC5">
        <w:rPr>
          <w:rFonts w:hint="eastAsia"/>
          <w:rtl/>
        </w:rPr>
        <w:t>ההיקף</w:t>
      </w:r>
      <w:r w:rsidRPr="002F2BC5">
        <w:rPr>
          <w:rtl/>
        </w:rPr>
        <w:t xml:space="preserve"> </w:t>
      </w:r>
      <w:r w:rsidRPr="002F2BC5">
        <w:rPr>
          <w:rFonts w:hint="eastAsia"/>
          <w:rtl/>
        </w:rPr>
        <w:t>וטיב</w:t>
      </w:r>
      <w:r w:rsidRPr="002F2BC5">
        <w:rPr>
          <w:rtl/>
        </w:rPr>
        <w:t xml:space="preserve"> </w:t>
      </w:r>
      <w:r w:rsidRPr="002F2BC5">
        <w:rPr>
          <w:rFonts w:hint="eastAsia"/>
          <w:rtl/>
        </w:rPr>
        <w:t>הביקורים</w:t>
      </w:r>
      <w:r w:rsidRPr="002F2BC5">
        <w:rPr>
          <w:rFonts w:hint="cs"/>
          <w:rtl/>
        </w:rPr>
        <w:t xml:space="preserve"> המתבצעים באמצעות מפקחיו המחוזיים כדי לוודא כי כלל המסגרות נבדקות בהיקף ובתדירות הנדרשים. עוד מומלץ למשרד הרווחה לשלב רכיבי איכות בפעולות הפיקוח שמבצעים המפקחים המחוזיים, לרבות בדרך של סקרי שביעות רצון בקרב מקבלי השירות. לשם הבטחת תיעוד מלא ומהימן של פעולות הפיקוח המבוצעות באמצעות מפקחיו, מומלץ למשרד הרווחה לשוב ולהבהיר למפקחים את ההנחיות בכל הנוגע לאופן התיעוד במערכת הפיקוח המרכזית של ביקורי הפיקוח שהם מקיימים.</w:t>
      </w:r>
      <w:bookmarkEnd w:id="679"/>
      <w:bookmarkEnd w:id="680"/>
      <w:bookmarkEnd w:id="681"/>
      <w:bookmarkEnd w:id="682"/>
      <w:bookmarkEnd w:id="683"/>
      <w:bookmarkEnd w:id="684"/>
      <w:bookmarkEnd w:id="685"/>
      <w:bookmarkEnd w:id="686"/>
    </w:p>
    <w:p w14:paraId="243A5B53" w14:textId="77777777" w:rsidR="00817399" w:rsidRPr="002F2BC5" w:rsidRDefault="00817399" w:rsidP="00817399">
      <w:pPr>
        <w:spacing w:line="269" w:lineRule="auto"/>
        <w:rPr>
          <w:rtl/>
        </w:rPr>
      </w:pPr>
    </w:p>
    <w:p w14:paraId="6DCE4189"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CB5226D" w14:textId="77777777" w:rsidR="00817399" w:rsidRPr="002F2BC5" w:rsidRDefault="00817399" w:rsidP="00817399">
      <w:pPr>
        <w:pStyle w:val="afffffff7"/>
        <w:spacing w:before="0" w:line="269" w:lineRule="auto"/>
        <w:rPr>
          <w:b/>
          <w:bCs/>
          <w:rtl/>
        </w:rPr>
      </w:pPr>
      <w:bookmarkStart w:id="687" w:name="_Toc198312207"/>
      <w:bookmarkStart w:id="688" w:name="_Toc198312682"/>
      <w:bookmarkStart w:id="689" w:name="_Toc189072221"/>
      <w:r w:rsidRPr="002F2BC5">
        <w:rPr>
          <w:b/>
          <w:bCs/>
          <w:noProof/>
        </w:rPr>
        <w:drawing>
          <wp:inline distT="0" distB="0" distL="0" distR="0" wp14:anchorId="6FCE098A" wp14:editId="4E50EE3D">
            <wp:extent cx="4324350" cy="933450"/>
            <wp:effectExtent l="0" t="0" r="0" b="0"/>
            <wp:docPr id="19"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687"/>
      <w:bookmarkEnd w:id="688"/>
    </w:p>
    <w:p w14:paraId="6BF67A99" w14:textId="77777777" w:rsidR="00817399" w:rsidRPr="002F2BC5" w:rsidRDefault="00817399" w:rsidP="00817399">
      <w:pPr>
        <w:spacing w:line="269" w:lineRule="auto"/>
        <w:rPr>
          <w:rtl/>
        </w:rPr>
      </w:pPr>
    </w:p>
    <w:p w14:paraId="69CA38F7" w14:textId="77777777" w:rsidR="00817399" w:rsidRPr="002F2BC5" w:rsidRDefault="00817399" w:rsidP="00817399">
      <w:pPr>
        <w:pStyle w:val="4"/>
        <w:spacing w:before="0" w:line="269" w:lineRule="auto"/>
        <w:rPr>
          <w:rtl/>
        </w:rPr>
      </w:pPr>
      <w:bookmarkStart w:id="690" w:name="_Toc189072222"/>
      <w:bookmarkStart w:id="691" w:name="_Toc191986976"/>
      <w:bookmarkStart w:id="692" w:name="_Toc191891388"/>
      <w:bookmarkStart w:id="693" w:name="_Toc192093075"/>
      <w:bookmarkStart w:id="694" w:name="_Toc193110604"/>
      <w:bookmarkStart w:id="695" w:name="_Toc192612783"/>
      <w:bookmarkStart w:id="696" w:name="_Toc192778822"/>
      <w:bookmarkStart w:id="697" w:name="_Toc198312208"/>
      <w:bookmarkStart w:id="698" w:name="_Toc198312683"/>
      <w:bookmarkStart w:id="699" w:name="_Toc200636800"/>
      <w:bookmarkStart w:id="700" w:name="_Toc200636867"/>
      <w:bookmarkStart w:id="701" w:name="_Toc200439799"/>
      <w:bookmarkStart w:id="702" w:name="_Toc200439866"/>
      <w:bookmarkStart w:id="703" w:name="_Toc201240971"/>
      <w:bookmarkStart w:id="704" w:name="_Toc192784376"/>
      <w:bookmarkStart w:id="705" w:name="_Toc201759362"/>
      <w:bookmarkStart w:id="706" w:name="_Toc203487998"/>
      <w:bookmarkEnd w:id="689"/>
      <w:r w:rsidRPr="002F2BC5">
        <w:rPr>
          <w:rFonts w:hint="cs"/>
          <w:rtl/>
        </w:rPr>
        <w:t>דיווח עצמי של הגורם המפוקח (רגולציה עצמית)</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0DF83F77" w14:textId="77777777" w:rsidR="00817399" w:rsidRPr="002F2BC5" w:rsidRDefault="00817399" w:rsidP="00817399">
      <w:pPr>
        <w:spacing w:line="269" w:lineRule="auto"/>
        <w:rPr>
          <w:rtl/>
        </w:rPr>
      </w:pPr>
    </w:p>
    <w:p w14:paraId="07A762A5" w14:textId="77777777" w:rsidR="00817399" w:rsidRPr="002F2BC5" w:rsidRDefault="00817399" w:rsidP="00817399">
      <w:pPr>
        <w:spacing w:line="269" w:lineRule="auto"/>
        <w:rPr>
          <w:rtl/>
        </w:rPr>
      </w:pPr>
      <w:r w:rsidRPr="002F2BC5">
        <w:rPr>
          <w:rFonts w:hint="cs"/>
          <w:rtl/>
        </w:rPr>
        <w:t>כלים של דיווח עצמי (או רגולציה עצמית) הם חלק מארגז הכלים של גופי הפיקוח, והם משמשים לשם איסוף מידע על אודות התנהלות הגוף המפוקח או מקבלי השירותים. המידע שנאסף באמצעות הכלים של דיווח עצמי יכולים לשמש את גופי הפיקוח כדי להגיב במהירות לבעיות שמתעוררות או לאי-עמידה באמות המידע המקצועיות; לייעל את עבודת הפיקוח עצמה, ובכלל זה להסתמך על הדיווחים העצמיים כדי לקבוע את תוכנית הבקרה ואת מוקדי הבקרה, כך שייעשה שימוש מיטבי במשאבי הפיקוח המוגבלים; וכן לבסס אצל הגופים המפוקחים את האחריות לאיסוף המידע על התנהלותם ולעודד אותם לקיים תהליכי למידה ובקרה עצמיים. בעיתות משבר וחירום השימוש בכלים של דיווח עצמי עשוי להיות רב יותר. כך, בצל מגפת הקורונה, הגבירו גופי הפיקוח את הישענותם על כלים של דיווח עצמי לצד מעבר לפיקוח מרחוק</w:t>
      </w:r>
      <w:r w:rsidRPr="002F2BC5">
        <w:rPr>
          <w:rStyle w:val="af9"/>
          <w:rtl/>
        </w:rPr>
        <w:footnoteReference w:id="180"/>
      </w:r>
      <w:r w:rsidRPr="002F2BC5">
        <w:rPr>
          <w:rFonts w:hint="cs"/>
          <w:rtl/>
        </w:rPr>
        <w:t>.</w:t>
      </w:r>
    </w:p>
    <w:p w14:paraId="3B800013" w14:textId="77777777" w:rsidR="00817399" w:rsidRPr="002F2BC5" w:rsidRDefault="00817399" w:rsidP="00817399">
      <w:pPr>
        <w:spacing w:line="269" w:lineRule="auto"/>
        <w:rPr>
          <w:rtl/>
        </w:rPr>
      </w:pPr>
    </w:p>
    <w:p w14:paraId="388FB238" w14:textId="77777777" w:rsidR="00817399" w:rsidRPr="002F2BC5" w:rsidRDefault="00817399" w:rsidP="00817399">
      <w:pPr>
        <w:spacing w:line="269" w:lineRule="auto"/>
        <w:rPr>
          <w:rtl/>
        </w:rPr>
      </w:pPr>
      <w:r w:rsidRPr="002F2BC5">
        <w:rPr>
          <w:rFonts w:hint="cs"/>
          <w:rtl/>
        </w:rPr>
        <w:t>הביקורת הקודמת כללה בין היתר בדיקה של מנגנון הדיווח העצמי של המרכזים לטיפול ומניעת אלימות במשפחה למשרד הרווחה. ממצאי ביקורת המעקב בנושא זה יפורטו להלן.</w:t>
      </w:r>
    </w:p>
    <w:p w14:paraId="7BB4D599" w14:textId="77777777" w:rsidR="00817399" w:rsidRPr="002F2BC5" w:rsidRDefault="00817399" w:rsidP="00817399">
      <w:pPr>
        <w:spacing w:line="269" w:lineRule="auto"/>
        <w:rPr>
          <w:rtl/>
        </w:rPr>
      </w:pPr>
    </w:p>
    <w:p w14:paraId="637344D1" w14:textId="77777777" w:rsidR="00817399" w:rsidRPr="002F2BC5" w:rsidRDefault="00817399" w:rsidP="00817399">
      <w:pPr>
        <w:spacing w:line="269" w:lineRule="auto"/>
        <w:rPr>
          <w:rtl/>
        </w:rPr>
      </w:pPr>
      <w:bookmarkStart w:id="707" w:name="_Toc191986977"/>
      <w:r w:rsidRPr="002F2BC5">
        <w:rPr>
          <w:rStyle w:val="70"/>
          <w:rFonts w:hint="cs"/>
          <w:rtl/>
        </w:rPr>
        <w:t>הביקורת הקודמת:</w:t>
      </w:r>
      <w:bookmarkEnd w:id="707"/>
      <w:r w:rsidRPr="002F2BC5">
        <w:rPr>
          <w:rFonts w:hint="cs"/>
          <w:rtl/>
        </w:rPr>
        <w:t xml:space="preserve"> כחלק מהשימוש בכלי של דיווח עצמי, המרכזים לטיפול ומניעת אלימות במשפחה נדרשו להעביר מדי שנה נתונים סטטיסטיים על פעילותם למשרד הרווחה. נמצא כי רק 95 מתוך 110 מרכזים שהפעילו הרשויות המקומיות העבירו למשרד הרווחה דיווחים בשנת 2019 (כ-85% מכלל המרכזים), וכי הדיווחים הועברו למשרד הרווחה באופן ידני.</w:t>
      </w:r>
    </w:p>
    <w:p w14:paraId="5823F80A" w14:textId="77777777" w:rsidR="00817399" w:rsidRPr="002F2BC5" w:rsidRDefault="00817399" w:rsidP="00817399">
      <w:pPr>
        <w:spacing w:line="269" w:lineRule="auto"/>
        <w:rPr>
          <w:rtl/>
        </w:rPr>
      </w:pPr>
    </w:p>
    <w:p w14:paraId="76EF89F8" w14:textId="77777777" w:rsidR="00817399" w:rsidRPr="002F2BC5" w:rsidRDefault="00817399" w:rsidP="00817399">
      <w:pPr>
        <w:spacing w:line="269" w:lineRule="auto"/>
        <w:rPr>
          <w:rtl/>
        </w:rPr>
      </w:pPr>
      <w:r w:rsidRPr="002F2BC5">
        <w:rPr>
          <w:rFonts w:hint="cs"/>
          <w:rtl/>
        </w:rPr>
        <w:t>משרד מבקר המדינה המליץ בביקורת הקודמת למשרד</w:t>
      </w:r>
      <w:r w:rsidRPr="002F2BC5">
        <w:rPr>
          <w:rtl/>
        </w:rPr>
        <w:t xml:space="preserve"> הרווחה </w:t>
      </w:r>
      <w:r w:rsidRPr="002F2BC5">
        <w:rPr>
          <w:rFonts w:hint="cs"/>
          <w:rtl/>
        </w:rPr>
        <w:t>כי איסוף הנתונים על פעילות המרכזים לטיפול ומניעת אלימות במשפחה ייעשה באופן ממוחשב וכן המליץ למשרד הרווחה לנתח את הנתונים הללו ולהשוותם למול</w:t>
      </w:r>
      <w:r w:rsidRPr="002F2BC5">
        <w:rPr>
          <w:rtl/>
        </w:rPr>
        <w:t xml:space="preserve"> מקורות מידע נוספים</w:t>
      </w:r>
      <w:r w:rsidRPr="002F2BC5">
        <w:rPr>
          <w:rFonts w:hint="cs"/>
          <w:rtl/>
        </w:rPr>
        <w:t>.</w:t>
      </w:r>
      <w:r w:rsidRPr="002F2BC5">
        <w:rPr>
          <w:rtl/>
        </w:rPr>
        <w:t xml:space="preserve"> </w:t>
      </w:r>
    </w:p>
    <w:p w14:paraId="5E8CF656" w14:textId="77777777" w:rsidR="00817399" w:rsidRPr="002F2BC5" w:rsidRDefault="00817399" w:rsidP="00817399">
      <w:pPr>
        <w:spacing w:line="269" w:lineRule="auto"/>
        <w:rPr>
          <w:rtl/>
        </w:rPr>
      </w:pPr>
    </w:p>
    <w:p w14:paraId="60D33C33" w14:textId="77777777" w:rsidR="00817399" w:rsidRPr="002F2BC5" w:rsidRDefault="00817399" w:rsidP="00817399">
      <w:pPr>
        <w:spacing w:line="269" w:lineRule="auto"/>
        <w:rPr>
          <w:rtl/>
        </w:rPr>
      </w:pPr>
      <w:bookmarkStart w:id="708" w:name="_Toc191986978"/>
      <w:r w:rsidRPr="002F2BC5">
        <w:rPr>
          <w:rStyle w:val="70"/>
          <w:rFonts w:hint="cs"/>
          <w:rtl/>
        </w:rPr>
        <w:t>ביקורת המעקב:</w:t>
      </w:r>
      <w:bookmarkEnd w:id="708"/>
      <w:r w:rsidRPr="002F2BC5">
        <w:rPr>
          <w:rFonts w:hint="cs"/>
          <w:rtl/>
        </w:rPr>
        <w:t xml:space="preserve"> נמצא כי במועד סיום ביקורת המעקב, </w:t>
      </w:r>
      <w:r w:rsidRPr="002F2BC5">
        <w:rPr>
          <w:rFonts w:hint="eastAsia"/>
          <w:rtl/>
        </w:rPr>
        <w:t>בדצמבר</w:t>
      </w:r>
      <w:r w:rsidRPr="002F2BC5">
        <w:rPr>
          <w:rtl/>
        </w:rPr>
        <w:t xml:space="preserve"> 2024</w:t>
      </w:r>
      <w:r w:rsidRPr="002F2BC5">
        <w:rPr>
          <w:rFonts w:hint="cs"/>
          <w:rtl/>
        </w:rPr>
        <w:t>, משרד הרווחה החל בהטמעתה של מערכת ממוחשבת ייעודית לניהול תהליכי העבודה של המרכזים לטיפול ומניעת אלימות במשפחה ברשויות המקומיות, לאחר שהושלם אפיונה</w:t>
      </w:r>
      <w:r w:rsidRPr="002F2BC5">
        <w:rPr>
          <w:rStyle w:val="af9"/>
          <w:rtl/>
        </w:rPr>
        <w:footnoteReference w:id="181"/>
      </w:r>
      <w:r w:rsidRPr="002F2BC5">
        <w:rPr>
          <w:rFonts w:hint="cs"/>
          <w:rtl/>
        </w:rPr>
        <w:t xml:space="preserve">. משלא הושלמה הטמעתה של </w:t>
      </w:r>
      <w:r w:rsidRPr="002F2BC5">
        <w:rPr>
          <w:rFonts w:hint="cs"/>
          <w:rtl/>
        </w:rPr>
        <w:lastRenderedPageBreak/>
        <w:t xml:space="preserve">המערכת הממוחשבת במועד האמור, הדיווח העצמי של המרכזים המשיך להיעשות באופן ידני וחלקי, וזאת בשני אופנים: </w:t>
      </w:r>
      <w:r w:rsidRPr="002F2BC5">
        <w:rPr>
          <w:rtl/>
        </w:rPr>
        <w:t>באמצעות טופס ידני שממ</w:t>
      </w:r>
      <w:r w:rsidRPr="002F2BC5">
        <w:rPr>
          <w:rFonts w:hint="cs"/>
          <w:rtl/>
        </w:rPr>
        <w:t>ו</w:t>
      </w:r>
      <w:r w:rsidRPr="002F2BC5">
        <w:rPr>
          <w:rtl/>
        </w:rPr>
        <w:t>לא בכתב יד ואמור להישלח למפקח המחוזי ובאמצעות קישור מקוון ששולח אליהם מטה משרד הרווחה (הפיקוח הארצי)</w:t>
      </w:r>
      <w:r w:rsidRPr="002F2BC5">
        <w:rPr>
          <w:rFonts w:hint="cs"/>
          <w:rtl/>
        </w:rPr>
        <w:t>. הדיווחים המועברים באמצעות הקישור המקוון מאוגמים ומנוהלים בקובץ נתונים אחוד. כך הועלה כי בשנת 2021 כ-13% מהמרכזים הפעילים (20 מתוך 153) לא העבירו דיווח למשרד הרווחה באמצעות הקישור המקוון; בשנת 2022 כ-6% מהמרכזים הפעילים (9 מתוך 161) לא העבירו דיווח כאמור; ובשנת 2023 כ-9% מהמרכזים הפעילים (15 מתוך 168) לא העבירו דיווח כאמור</w:t>
      </w:r>
      <w:r w:rsidRPr="002F2BC5">
        <w:rPr>
          <w:rStyle w:val="af9"/>
          <w:rtl/>
        </w:rPr>
        <w:footnoteReference w:id="182"/>
      </w:r>
      <w:r w:rsidRPr="002F2BC5">
        <w:rPr>
          <w:rFonts w:hint="cs"/>
          <w:rtl/>
        </w:rPr>
        <w:t xml:space="preserve">. </w:t>
      </w:r>
    </w:p>
    <w:p w14:paraId="22B94D24" w14:textId="77777777" w:rsidR="00817399" w:rsidRPr="002F2BC5" w:rsidRDefault="00817399" w:rsidP="00817399">
      <w:pPr>
        <w:spacing w:line="269" w:lineRule="auto"/>
        <w:rPr>
          <w:rtl/>
        </w:rPr>
      </w:pPr>
    </w:p>
    <w:p w14:paraId="39D12509" w14:textId="77777777" w:rsidR="00817399" w:rsidRPr="002F2BC5" w:rsidRDefault="00817399" w:rsidP="00817399">
      <w:pPr>
        <w:spacing w:line="269" w:lineRule="auto"/>
        <w:rPr>
          <w:rtl/>
        </w:rPr>
      </w:pPr>
      <w:r w:rsidRPr="002F2BC5">
        <w:rPr>
          <w:rFonts w:hint="cs"/>
          <w:rtl/>
        </w:rPr>
        <w:t xml:space="preserve">יש לציין כי בעת </w:t>
      </w:r>
      <w:r w:rsidRPr="002F2BC5">
        <w:rPr>
          <w:rtl/>
        </w:rPr>
        <w:t>התרחשותם של אירועים מסכני חיים ברמה הלאומית, כדוגמת אסונות טבע או מלחמות</w:t>
      </w:r>
      <w:r w:rsidRPr="002F2BC5">
        <w:rPr>
          <w:rFonts w:hint="cs"/>
          <w:rtl/>
        </w:rPr>
        <w:t>, קיימת חשיבות רבה במיוחד להערכה שוטפת ועקבית של פעילות המרכזים ולעידודם לבקרה עצמית על פעילותם. זאת משום שעיתות משבר עלולות להתאפיין בשינויים בהיקפי התופעה ובמאפייניה, ובכלל זה בירידה לכאורה בהיקף התופעה המדווחת, אף שבפועל היקפה עשוי להישאר ללא שינוי ואף להתגבר</w:t>
      </w:r>
      <w:r w:rsidRPr="002F2BC5">
        <w:rPr>
          <w:rStyle w:val="af9"/>
          <w:rtl/>
        </w:rPr>
        <w:footnoteReference w:id="183"/>
      </w:r>
      <w:r w:rsidRPr="002F2BC5">
        <w:rPr>
          <w:rFonts w:hint="cs"/>
          <w:rtl/>
        </w:rPr>
        <w:t>.</w:t>
      </w:r>
    </w:p>
    <w:p w14:paraId="2786A4A3" w14:textId="77777777" w:rsidR="00817399" w:rsidRPr="002F2BC5" w:rsidRDefault="00817399" w:rsidP="00817399">
      <w:pPr>
        <w:spacing w:line="269" w:lineRule="auto"/>
        <w:rPr>
          <w:rtl/>
        </w:rPr>
      </w:pPr>
    </w:p>
    <w:p w14:paraId="7366B6F0" w14:textId="0B0D446F" w:rsidR="00817399" w:rsidRPr="002F2BC5" w:rsidRDefault="00817399" w:rsidP="00817399">
      <w:pPr>
        <w:spacing w:line="269" w:lineRule="auto"/>
        <w:rPr>
          <w:b/>
          <w:bCs/>
          <w:rtl/>
        </w:rPr>
      </w:pPr>
      <w:r w:rsidRPr="002F2BC5">
        <w:rPr>
          <w:rFonts w:hint="eastAsia"/>
          <w:b/>
          <w:bCs/>
          <w:rtl/>
        </w:rPr>
        <w:t>על</w:t>
      </w:r>
      <w:r w:rsidRPr="002F2BC5">
        <w:rPr>
          <w:b/>
          <w:bCs/>
          <w:rtl/>
        </w:rPr>
        <w:t xml:space="preserve"> אף האמור </w:t>
      </w:r>
      <w:r w:rsidRPr="002F2BC5">
        <w:rPr>
          <w:rFonts w:hint="eastAsia"/>
          <w:b/>
          <w:bCs/>
          <w:rtl/>
        </w:rPr>
        <w:t>הועלה</w:t>
      </w:r>
      <w:r w:rsidRPr="002F2BC5">
        <w:rPr>
          <w:b/>
          <w:bCs/>
          <w:rtl/>
        </w:rPr>
        <w:t xml:space="preserve"> כי המרכזים </w:t>
      </w:r>
      <w:r w:rsidRPr="002F2BC5">
        <w:rPr>
          <w:rFonts w:hint="cs"/>
          <w:b/>
          <w:bCs/>
          <w:rtl/>
        </w:rPr>
        <w:t xml:space="preserve">לטיפול ומניעת אלימות במשפחה, ובכללם המרכזים ברשויות המקומיות שפונו במהלך מלחמת חרבות ברזל, </w:t>
      </w:r>
      <w:r w:rsidRPr="002F2BC5">
        <w:rPr>
          <w:rFonts w:hint="eastAsia"/>
          <w:b/>
          <w:bCs/>
          <w:rtl/>
        </w:rPr>
        <w:t>נדרשו</w:t>
      </w:r>
      <w:r w:rsidRPr="002F2BC5">
        <w:rPr>
          <w:b/>
          <w:bCs/>
          <w:rtl/>
        </w:rPr>
        <w:t xml:space="preserve"> </w:t>
      </w:r>
      <w:r w:rsidRPr="002F2BC5">
        <w:rPr>
          <w:rFonts w:hint="eastAsia"/>
          <w:b/>
          <w:bCs/>
          <w:rtl/>
        </w:rPr>
        <w:t>להעביר</w:t>
      </w:r>
      <w:r w:rsidRPr="002F2BC5">
        <w:rPr>
          <w:b/>
          <w:bCs/>
          <w:rtl/>
        </w:rPr>
        <w:t xml:space="preserve"> </w:t>
      </w:r>
      <w:r w:rsidRPr="002F2BC5">
        <w:rPr>
          <w:rFonts w:hint="eastAsia"/>
          <w:b/>
          <w:bCs/>
          <w:rtl/>
        </w:rPr>
        <w:t>דיווחים</w:t>
      </w:r>
      <w:r w:rsidRPr="002F2BC5">
        <w:rPr>
          <w:b/>
          <w:bCs/>
          <w:rtl/>
        </w:rPr>
        <w:t xml:space="preserve"> </w:t>
      </w:r>
      <w:r w:rsidRPr="002F2BC5">
        <w:rPr>
          <w:rFonts w:hint="eastAsia"/>
          <w:b/>
          <w:bCs/>
          <w:rtl/>
        </w:rPr>
        <w:t>על</w:t>
      </w:r>
      <w:r w:rsidRPr="002F2BC5">
        <w:rPr>
          <w:b/>
          <w:bCs/>
          <w:rtl/>
        </w:rPr>
        <w:t xml:space="preserve"> היקף הפעילות של </w:t>
      </w:r>
      <w:r w:rsidRPr="002F2BC5">
        <w:rPr>
          <w:rFonts w:hint="cs"/>
          <w:b/>
          <w:bCs/>
          <w:rtl/>
        </w:rPr>
        <w:t xml:space="preserve">המרכזים ועל מאפייניהם של מקבלי השירות, לפי פילוחים שונים, </w:t>
      </w:r>
      <w:r w:rsidRPr="002F2BC5">
        <w:rPr>
          <w:rFonts w:hint="eastAsia"/>
          <w:b/>
          <w:bCs/>
          <w:rtl/>
        </w:rPr>
        <w:t>אחת</w:t>
      </w:r>
      <w:r w:rsidRPr="002F2BC5">
        <w:rPr>
          <w:b/>
          <w:bCs/>
          <w:rtl/>
        </w:rPr>
        <w:t xml:space="preserve"> </w:t>
      </w:r>
      <w:r w:rsidRPr="002F2BC5">
        <w:rPr>
          <w:rFonts w:hint="eastAsia"/>
          <w:b/>
          <w:bCs/>
          <w:rtl/>
        </w:rPr>
        <w:t>לשנה</w:t>
      </w:r>
      <w:r w:rsidRPr="002F2BC5">
        <w:rPr>
          <w:b/>
          <w:bCs/>
          <w:rtl/>
        </w:rPr>
        <w:t xml:space="preserve">, </w:t>
      </w:r>
      <w:r w:rsidRPr="002F2BC5">
        <w:rPr>
          <w:rFonts w:hint="eastAsia"/>
          <w:b/>
          <w:bCs/>
          <w:rtl/>
        </w:rPr>
        <w:t>בסיום</w:t>
      </w:r>
      <w:r w:rsidRPr="002F2BC5">
        <w:rPr>
          <w:b/>
          <w:bCs/>
          <w:rtl/>
        </w:rPr>
        <w:t xml:space="preserve"> </w:t>
      </w:r>
      <w:r w:rsidRPr="002F2BC5">
        <w:rPr>
          <w:rFonts w:hint="eastAsia"/>
          <w:b/>
          <w:bCs/>
          <w:rtl/>
        </w:rPr>
        <w:t>השנה</w:t>
      </w:r>
      <w:r w:rsidRPr="002F2BC5">
        <w:rPr>
          <w:b/>
          <w:bCs/>
          <w:rtl/>
        </w:rPr>
        <w:t xml:space="preserve">, </w:t>
      </w:r>
      <w:r w:rsidRPr="002F2BC5">
        <w:rPr>
          <w:rFonts w:hint="eastAsia"/>
          <w:b/>
          <w:bCs/>
          <w:rtl/>
        </w:rPr>
        <w:t>ולא</w:t>
      </w:r>
      <w:r w:rsidRPr="002F2BC5">
        <w:rPr>
          <w:b/>
          <w:bCs/>
          <w:rtl/>
        </w:rPr>
        <w:t xml:space="preserve"> </w:t>
      </w:r>
      <w:r w:rsidRPr="002F2BC5">
        <w:rPr>
          <w:rFonts w:hint="eastAsia"/>
          <w:b/>
          <w:bCs/>
          <w:rtl/>
        </w:rPr>
        <w:t>בתדירות</w:t>
      </w:r>
      <w:r w:rsidRPr="002F2BC5">
        <w:rPr>
          <w:b/>
          <w:bCs/>
          <w:rtl/>
        </w:rPr>
        <w:t xml:space="preserve"> </w:t>
      </w:r>
      <w:r w:rsidRPr="002F2BC5">
        <w:rPr>
          <w:rFonts w:hint="eastAsia"/>
          <w:b/>
          <w:bCs/>
          <w:rtl/>
        </w:rPr>
        <w:t>גבוהה</w:t>
      </w:r>
      <w:r w:rsidRPr="002F2BC5">
        <w:rPr>
          <w:b/>
          <w:bCs/>
          <w:rtl/>
        </w:rPr>
        <w:t xml:space="preserve"> </w:t>
      </w:r>
      <w:r w:rsidRPr="002F2BC5">
        <w:rPr>
          <w:rFonts w:hint="eastAsia"/>
          <w:b/>
          <w:bCs/>
          <w:rtl/>
        </w:rPr>
        <w:t>יותר</w:t>
      </w:r>
      <w:r w:rsidRPr="002F2BC5">
        <w:rPr>
          <w:b/>
          <w:bCs/>
          <w:rtl/>
        </w:rPr>
        <w:t xml:space="preserve">, גם במהלך </w:t>
      </w:r>
      <w:r w:rsidRPr="002F2BC5">
        <w:rPr>
          <w:rFonts w:hint="cs"/>
          <w:b/>
          <w:bCs/>
          <w:rtl/>
        </w:rPr>
        <w:t>המלחמה</w:t>
      </w:r>
      <w:r w:rsidRPr="002F2BC5">
        <w:rPr>
          <w:b/>
          <w:bCs/>
          <w:rtl/>
        </w:rPr>
        <w:t xml:space="preserve">. </w:t>
      </w:r>
      <w:r w:rsidRPr="002F2BC5">
        <w:rPr>
          <w:rFonts w:hint="eastAsia"/>
          <w:b/>
          <w:bCs/>
          <w:rtl/>
        </w:rPr>
        <w:t>כך</w:t>
      </w:r>
      <w:r w:rsidRPr="002F2BC5">
        <w:rPr>
          <w:b/>
          <w:bCs/>
          <w:rtl/>
        </w:rPr>
        <w:t>, במועד סיום ביקורת המעקב</w:t>
      </w:r>
      <w:r w:rsidRPr="002F2BC5">
        <w:rPr>
          <w:rFonts w:hint="cs"/>
          <w:b/>
          <w:bCs/>
          <w:rtl/>
        </w:rPr>
        <w:t>, בדצמבר 2024,</w:t>
      </w:r>
      <w:r w:rsidRPr="002F2BC5">
        <w:rPr>
          <w:b/>
          <w:bCs/>
          <w:rtl/>
        </w:rPr>
        <w:t xml:space="preserve"> לא היו </w:t>
      </w:r>
      <w:r w:rsidRPr="002F2BC5">
        <w:rPr>
          <w:rFonts w:hint="eastAsia"/>
          <w:b/>
          <w:bCs/>
          <w:rtl/>
        </w:rPr>
        <w:t>כלל</w:t>
      </w:r>
      <w:r w:rsidRPr="002F2BC5">
        <w:rPr>
          <w:b/>
          <w:bCs/>
          <w:rtl/>
        </w:rPr>
        <w:t xml:space="preserve"> </w:t>
      </w:r>
      <w:r w:rsidRPr="002F2BC5">
        <w:rPr>
          <w:rFonts w:hint="eastAsia"/>
          <w:b/>
          <w:bCs/>
          <w:rtl/>
        </w:rPr>
        <w:t>בידי</w:t>
      </w:r>
      <w:r w:rsidRPr="002F2BC5">
        <w:rPr>
          <w:b/>
          <w:bCs/>
          <w:rtl/>
        </w:rPr>
        <w:t xml:space="preserve"> </w:t>
      </w:r>
      <w:r w:rsidRPr="002F2BC5">
        <w:rPr>
          <w:rFonts w:hint="cs"/>
          <w:b/>
          <w:bCs/>
          <w:rtl/>
        </w:rPr>
        <w:t xml:space="preserve">מטה </w:t>
      </w:r>
      <w:r w:rsidRPr="002F2BC5">
        <w:rPr>
          <w:b/>
          <w:bCs/>
          <w:rtl/>
        </w:rPr>
        <w:t xml:space="preserve">משרד הרווחה נתונים על פעילות המרכזים בשנת 2024. </w:t>
      </w:r>
      <w:r w:rsidRPr="002F2BC5">
        <w:rPr>
          <w:rFonts w:hint="eastAsia"/>
          <w:b/>
          <w:bCs/>
          <w:rtl/>
        </w:rPr>
        <w:t>ריכוז</w:t>
      </w:r>
      <w:r w:rsidRPr="002F2BC5">
        <w:rPr>
          <w:b/>
          <w:bCs/>
          <w:rtl/>
        </w:rPr>
        <w:t xml:space="preserve"> הנתונים על </w:t>
      </w:r>
      <w:r w:rsidRPr="002F2BC5">
        <w:rPr>
          <w:rFonts w:hint="eastAsia"/>
          <w:b/>
          <w:bCs/>
          <w:rtl/>
        </w:rPr>
        <w:t>המרכזים</w:t>
      </w:r>
      <w:r w:rsidRPr="002F2BC5">
        <w:rPr>
          <w:b/>
          <w:bCs/>
          <w:rtl/>
        </w:rPr>
        <w:t xml:space="preserve"> </w:t>
      </w:r>
      <w:r w:rsidRPr="002F2BC5">
        <w:rPr>
          <w:rFonts w:hint="eastAsia"/>
          <w:b/>
          <w:bCs/>
          <w:rtl/>
        </w:rPr>
        <w:t>שלא</w:t>
      </w:r>
      <w:r w:rsidRPr="002F2BC5">
        <w:rPr>
          <w:b/>
          <w:bCs/>
          <w:rtl/>
        </w:rPr>
        <w:t xml:space="preserve"> </w:t>
      </w:r>
      <w:r w:rsidRPr="002F2BC5">
        <w:rPr>
          <w:rFonts w:hint="eastAsia"/>
          <w:b/>
          <w:bCs/>
          <w:rtl/>
        </w:rPr>
        <w:t>העבירו</w:t>
      </w:r>
      <w:r w:rsidRPr="002F2BC5">
        <w:rPr>
          <w:b/>
          <w:bCs/>
          <w:rtl/>
        </w:rPr>
        <w:t xml:space="preserve"> דיווח ל</w:t>
      </w:r>
      <w:r w:rsidRPr="002F2BC5">
        <w:rPr>
          <w:rFonts w:hint="cs"/>
          <w:b/>
          <w:bCs/>
          <w:rtl/>
        </w:rPr>
        <w:t xml:space="preserve">מטה </w:t>
      </w:r>
      <w:r w:rsidRPr="002F2BC5">
        <w:rPr>
          <w:b/>
          <w:bCs/>
          <w:rtl/>
        </w:rPr>
        <w:t xml:space="preserve">משרד הרווחה </w:t>
      </w:r>
      <w:r w:rsidRPr="002F2BC5">
        <w:rPr>
          <w:rFonts w:hint="cs"/>
          <w:b/>
          <w:bCs/>
          <w:rtl/>
        </w:rPr>
        <w:t>באמצעות הקישור המקוון</w:t>
      </w:r>
      <w:r w:rsidRPr="002F2BC5">
        <w:rPr>
          <w:b/>
          <w:bCs/>
          <w:rtl/>
        </w:rPr>
        <w:t xml:space="preserve"> ב</w:t>
      </w:r>
      <w:r w:rsidRPr="002F2BC5">
        <w:rPr>
          <w:rFonts w:hint="eastAsia"/>
          <w:b/>
          <w:bCs/>
          <w:rtl/>
        </w:rPr>
        <w:t>אחת</w:t>
      </w:r>
      <w:r w:rsidRPr="002F2BC5">
        <w:rPr>
          <w:b/>
          <w:bCs/>
          <w:rtl/>
        </w:rPr>
        <w:t xml:space="preserve"> </w:t>
      </w:r>
      <w:r w:rsidRPr="002F2BC5">
        <w:rPr>
          <w:rFonts w:hint="eastAsia"/>
          <w:b/>
          <w:bCs/>
          <w:rtl/>
        </w:rPr>
        <w:t>או</w:t>
      </w:r>
      <w:r w:rsidRPr="002F2BC5">
        <w:rPr>
          <w:b/>
          <w:bCs/>
          <w:rtl/>
        </w:rPr>
        <w:t xml:space="preserve"> </w:t>
      </w:r>
      <w:r w:rsidRPr="002F2BC5">
        <w:rPr>
          <w:rFonts w:hint="eastAsia"/>
          <w:b/>
          <w:bCs/>
          <w:rtl/>
        </w:rPr>
        <w:t>יותר</w:t>
      </w:r>
      <w:r w:rsidRPr="002F2BC5">
        <w:rPr>
          <w:b/>
          <w:bCs/>
          <w:rtl/>
        </w:rPr>
        <w:t xml:space="preserve"> </w:t>
      </w:r>
      <w:r w:rsidRPr="002F2BC5">
        <w:rPr>
          <w:rFonts w:hint="eastAsia"/>
          <w:b/>
          <w:bCs/>
          <w:rtl/>
        </w:rPr>
        <w:t>מהשנים</w:t>
      </w:r>
      <w:r w:rsidRPr="002F2BC5">
        <w:rPr>
          <w:b/>
          <w:bCs/>
          <w:rtl/>
        </w:rPr>
        <w:t xml:space="preserve"> 2021 - 2023 מוצג </w:t>
      </w:r>
      <w:r w:rsidRPr="002F2BC5">
        <w:rPr>
          <w:rFonts w:hint="eastAsia"/>
          <w:b/>
          <w:bCs/>
          <w:rtl/>
        </w:rPr>
        <w:t>ב</w:t>
      </w:r>
      <w:r w:rsidRPr="002F2BC5">
        <w:rPr>
          <w:b/>
          <w:bCs/>
          <w:rtl/>
        </w:rPr>
        <w:fldChar w:fldCharType="begin"/>
      </w:r>
      <w:r w:rsidRPr="002F2BC5">
        <w:rPr>
          <w:b/>
          <w:bCs/>
          <w:rtl/>
        </w:rPr>
        <w:instrText xml:space="preserve"> </w:instrText>
      </w:r>
      <w:r w:rsidRPr="002F2BC5">
        <w:rPr>
          <w:b/>
        </w:rPr>
        <w:instrText>REF</w:instrText>
      </w:r>
      <w:r w:rsidRPr="002F2BC5">
        <w:rPr>
          <w:b/>
          <w:bCs/>
          <w:rtl/>
        </w:rPr>
        <w:instrText xml:space="preserve"> _</w:instrText>
      </w:r>
      <w:r w:rsidRPr="002F2BC5">
        <w:rPr>
          <w:b/>
        </w:rPr>
        <w:instrText>Ref187155774 \r \h</w:instrText>
      </w:r>
      <w:r w:rsidRPr="002F2BC5">
        <w:rPr>
          <w:b/>
          <w:bCs/>
          <w:rtl/>
        </w:rPr>
        <w:instrText xml:space="preserve">  \* </w:instrText>
      </w:r>
      <w:r w:rsidRPr="002F2BC5">
        <w:rPr>
          <w:b/>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 xml:space="preserve">לוח </w:t>
      </w:r>
      <w:r w:rsidR="00BB5E31" w:rsidRPr="00BB5E31">
        <w:rPr>
          <w:rtl/>
        </w:rPr>
        <w:t>6</w:t>
      </w:r>
      <w:r w:rsidRPr="002F2BC5">
        <w:rPr>
          <w:b/>
          <w:bCs/>
          <w:rtl/>
        </w:rPr>
        <w:fldChar w:fldCharType="end"/>
      </w:r>
      <w:r w:rsidRPr="002F2BC5">
        <w:rPr>
          <w:b/>
          <w:bCs/>
          <w:rtl/>
        </w:rPr>
        <w:t xml:space="preserve"> </w:t>
      </w:r>
      <w:r w:rsidRPr="002F2BC5">
        <w:rPr>
          <w:rFonts w:hint="cs"/>
          <w:b/>
          <w:bCs/>
          <w:rtl/>
        </w:rPr>
        <w:t>ש</w:t>
      </w:r>
      <w:r w:rsidRPr="002F2BC5">
        <w:rPr>
          <w:b/>
          <w:bCs/>
          <w:rtl/>
        </w:rPr>
        <w:t>להלן.</w:t>
      </w:r>
    </w:p>
    <w:p w14:paraId="4684F818" w14:textId="77777777" w:rsidR="00817399" w:rsidRPr="002F2BC5" w:rsidRDefault="00817399" w:rsidP="00817399">
      <w:pPr>
        <w:spacing w:line="269" w:lineRule="auto"/>
        <w:rPr>
          <w:rtl/>
        </w:rPr>
      </w:pPr>
    </w:p>
    <w:p w14:paraId="762E8190" w14:textId="77777777" w:rsidR="00817399" w:rsidRPr="002F2BC5" w:rsidRDefault="00817399" w:rsidP="00817399">
      <w:pPr>
        <w:pStyle w:val="a0"/>
        <w:spacing w:line="269" w:lineRule="auto"/>
        <w:rPr>
          <w:rtl/>
        </w:rPr>
      </w:pPr>
      <w:bookmarkStart w:id="709" w:name="_Ref187155774"/>
      <w:bookmarkStart w:id="710" w:name="_Toc192674051"/>
      <w:r w:rsidRPr="002F2BC5">
        <w:rPr>
          <w:b w:val="0"/>
          <w:bCs w:val="0"/>
          <w:rtl/>
        </w:rPr>
        <w:lastRenderedPageBreak/>
        <w:t xml:space="preserve">: </w:t>
      </w:r>
      <w:r w:rsidRPr="002F2BC5">
        <w:rPr>
          <w:rFonts w:hint="cs"/>
          <w:rtl/>
        </w:rPr>
        <w:t xml:space="preserve">ריכוז הנתונים על המרכזים הפעילים שלא העבירו דיווח למשרד הרווחה </w:t>
      </w:r>
      <w:r w:rsidRPr="002F2BC5">
        <w:rPr>
          <w:rtl/>
        </w:rPr>
        <w:br/>
      </w:r>
      <w:r w:rsidRPr="002F2BC5">
        <w:rPr>
          <w:rFonts w:hint="cs"/>
          <w:rtl/>
        </w:rPr>
        <w:t>באמצעות הקישור המקוון, 2021 - 2023</w:t>
      </w:r>
      <w:bookmarkEnd w:id="709"/>
      <w:bookmarkEnd w:id="710"/>
      <w:r w:rsidRPr="002F2BC5">
        <w:rPr>
          <w:rFonts w:hint="cs"/>
          <w:rtl/>
        </w:rPr>
        <w:t>*</w:t>
      </w:r>
    </w:p>
    <w:p w14:paraId="712D7123" w14:textId="77777777" w:rsidR="00817399" w:rsidRPr="002F2BC5" w:rsidRDefault="00817399" w:rsidP="00817399">
      <w:pPr>
        <w:pStyle w:val="afffffff4"/>
        <w:bidi/>
        <w:spacing w:before="0" w:after="0" w:line="269" w:lineRule="auto"/>
      </w:pPr>
      <w:r w:rsidRPr="002F2BC5">
        <w:rPr>
          <w:noProof/>
        </w:rPr>
        <w:drawing>
          <wp:inline distT="0" distB="0" distL="0" distR="0" wp14:anchorId="11D084C9" wp14:editId="0782D8B5">
            <wp:extent cx="2880000" cy="3606923"/>
            <wp:effectExtent l="0" t="0" r="0" b="0"/>
            <wp:docPr id="2052770985" name="תמונה 205277098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3606923"/>
                    </a:xfrm>
                    <a:prstGeom prst="rect">
                      <a:avLst/>
                    </a:prstGeom>
                  </pic:spPr>
                </pic:pic>
              </a:graphicData>
            </a:graphic>
          </wp:inline>
        </w:drawing>
      </w:r>
      <w:r w:rsidRPr="002F2BC5">
        <w:t xml:space="preserve"> </w:t>
      </w:r>
    </w:p>
    <w:p w14:paraId="775A476B" w14:textId="77777777" w:rsidR="00817399" w:rsidRPr="002F2BC5" w:rsidRDefault="00817399" w:rsidP="00817399">
      <w:pPr>
        <w:pStyle w:val="afffffff1"/>
        <w:bidi/>
        <w:spacing w:line="269" w:lineRule="auto"/>
        <w:rPr>
          <w:rtl/>
        </w:rPr>
      </w:pPr>
      <w:r w:rsidRPr="002F2BC5">
        <w:rPr>
          <w:rFonts w:hint="cs"/>
          <w:rtl/>
        </w:rPr>
        <w:t>על פי הדיווחים שהועברו למטה משרד הרווחה באמצעות הקישור המקוון בשנים 2021 - 2023, בעיבוד משרד מבקר המדינה; לא נכללו ברשימה רשויות מקומיות שפונו באופן חלקי או מלא במהלך מלחמת חרבות ברזל.</w:t>
      </w:r>
    </w:p>
    <w:p w14:paraId="5D72CFE0" w14:textId="77777777" w:rsidR="00817399" w:rsidRPr="002F2BC5" w:rsidRDefault="00817399" w:rsidP="00817399">
      <w:pPr>
        <w:pStyle w:val="afffffff1"/>
        <w:bidi/>
        <w:spacing w:line="269" w:lineRule="auto"/>
        <w:rPr>
          <w:rtl/>
        </w:rPr>
      </w:pPr>
      <w:r w:rsidRPr="002F2BC5">
        <w:rPr>
          <w:rFonts w:hint="cs"/>
          <w:rtl/>
        </w:rPr>
        <w:t xml:space="preserve">* כאמור, </w:t>
      </w:r>
      <w:r w:rsidRPr="002F2BC5">
        <w:rPr>
          <w:rtl/>
        </w:rPr>
        <w:t>המרכזים נדרשים להעביר דיווח ידני בשני אופנים - באמצעות טופס ידני שממ</w:t>
      </w:r>
      <w:r w:rsidRPr="002F2BC5">
        <w:rPr>
          <w:rFonts w:hint="cs"/>
          <w:rtl/>
        </w:rPr>
        <w:t>ו</w:t>
      </w:r>
      <w:r w:rsidRPr="002F2BC5">
        <w:rPr>
          <w:rtl/>
        </w:rPr>
        <w:t xml:space="preserve">לא בכתב יד </w:t>
      </w:r>
      <w:r w:rsidRPr="002F2BC5">
        <w:rPr>
          <w:rFonts w:hint="cs"/>
          <w:rtl/>
        </w:rPr>
        <w:t xml:space="preserve">ואמור להישלח למפקח המחוזי </w:t>
      </w:r>
      <w:r w:rsidRPr="002F2BC5">
        <w:rPr>
          <w:rtl/>
        </w:rPr>
        <w:t xml:space="preserve">ובאמצעות קישור מקוון ששולח אליהם </w:t>
      </w:r>
      <w:r w:rsidRPr="002F2BC5">
        <w:rPr>
          <w:rFonts w:hint="cs"/>
          <w:rtl/>
        </w:rPr>
        <w:t xml:space="preserve">מטה </w:t>
      </w:r>
      <w:r w:rsidRPr="002F2BC5">
        <w:rPr>
          <w:rtl/>
        </w:rPr>
        <w:t>משרד הרווחה</w:t>
      </w:r>
      <w:r w:rsidRPr="002F2BC5">
        <w:rPr>
          <w:rFonts w:hint="cs"/>
          <w:rtl/>
        </w:rPr>
        <w:t xml:space="preserve"> (הפיקוח הארצי)</w:t>
      </w:r>
      <w:r w:rsidRPr="002F2BC5">
        <w:rPr>
          <w:rtl/>
        </w:rPr>
        <w:t>. הנתונים על העברת הדיווח מתייחסים לדיווח שהועבר באמצעות הקישור המקוון.</w:t>
      </w:r>
    </w:p>
    <w:p w14:paraId="189DB5E5" w14:textId="77777777" w:rsidR="00817399" w:rsidRPr="002F2BC5" w:rsidRDefault="00817399" w:rsidP="00817399">
      <w:pPr>
        <w:spacing w:line="269" w:lineRule="auto"/>
        <w:rPr>
          <w:rtl/>
        </w:rPr>
      </w:pPr>
    </w:p>
    <w:p w14:paraId="7557CCC8" w14:textId="050CC3C5" w:rsidR="00817399" w:rsidRPr="002F2BC5" w:rsidRDefault="00817399" w:rsidP="00817399">
      <w:pPr>
        <w:spacing w:line="269" w:lineRule="auto"/>
        <w:rPr>
          <w:b/>
          <w:bCs/>
          <w:rtl/>
        </w:rPr>
      </w:pPr>
      <w:r w:rsidRPr="002F2BC5">
        <w:rPr>
          <w:rFonts w:hint="eastAsia"/>
          <w:b/>
          <w:bCs/>
          <w:rtl/>
        </w:rPr>
        <w:t>מהנתונים</w:t>
      </w:r>
      <w:r w:rsidRPr="002F2BC5">
        <w:rPr>
          <w:b/>
          <w:bCs/>
          <w:rtl/>
        </w:rPr>
        <w:t xml:space="preserve"> המוצגים 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Ref187155774 \r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6</w:t>
      </w:r>
      <w:r w:rsidRPr="002F2BC5">
        <w:rPr>
          <w:b/>
          <w:bCs/>
          <w:rtl/>
        </w:rPr>
        <w:fldChar w:fldCharType="end"/>
      </w:r>
      <w:r w:rsidRPr="002F2BC5">
        <w:rPr>
          <w:b/>
          <w:bCs/>
          <w:rtl/>
        </w:rPr>
        <w:t xml:space="preserve"> לעיל עולה כי </w:t>
      </w:r>
      <w:r w:rsidRPr="002F2BC5">
        <w:rPr>
          <w:rFonts w:hint="cs"/>
          <w:b/>
          <w:bCs/>
          <w:rtl/>
        </w:rPr>
        <w:t>19</w:t>
      </w:r>
      <w:r w:rsidRPr="002F2BC5">
        <w:rPr>
          <w:b/>
          <w:bCs/>
          <w:rtl/>
        </w:rPr>
        <w:t xml:space="preserve"> מרכזים לטיפול ומניעת אלימות במשפחה לא העבירו </w:t>
      </w:r>
      <w:r w:rsidRPr="002F2BC5">
        <w:rPr>
          <w:rFonts w:hint="eastAsia"/>
          <w:b/>
          <w:bCs/>
          <w:rtl/>
        </w:rPr>
        <w:t>דיווח</w:t>
      </w:r>
      <w:r w:rsidRPr="002F2BC5">
        <w:rPr>
          <w:b/>
          <w:bCs/>
          <w:rtl/>
        </w:rPr>
        <w:t xml:space="preserve"> </w:t>
      </w:r>
      <w:r w:rsidRPr="002F2BC5">
        <w:rPr>
          <w:rFonts w:hint="eastAsia"/>
          <w:b/>
          <w:bCs/>
          <w:rtl/>
        </w:rPr>
        <w:t>ל</w:t>
      </w:r>
      <w:r w:rsidRPr="002F2BC5">
        <w:rPr>
          <w:rFonts w:hint="cs"/>
          <w:b/>
          <w:bCs/>
          <w:rtl/>
        </w:rPr>
        <w:t xml:space="preserve">מטה </w:t>
      </w:r>
      <w:r w:rsidRPr="002F2BC5">
        <w:rPr>
          <w:rFonts w:hint="eastAsia"/>
          <w:b/>
          <w:bCs/>
          <w:rtl/>
        </w:rPr>
        <w:t>משרד</w:t>
      </w:r>
      <w:r w:rsidRPr="002F2BC5">
        <w:rPr>
          <w:b/>
          <w:bCs/>
          <w:rtl/>
        </w:rPr>
        <w:t xml:space="preserve"> </w:t>
      </w:r>
      <w:r w:rsidRPr="002F2BC5">
        <w:rPr>
          <w:rFonts w:hint="eastAsia"/>
          <w:b/>
          <w:bCs/>
          <w:rtl/>
        </w:rPr>
        <w:t>הרווחה</w:t>
      </w:r>
      <w:r w:rsidRPr="002F2BC5">
        <w:rPr>
          <w:b/>
          <w:bCs/>
          <w:rtl/>
        </w:rPr>
        <w:t xml:space="preserve"> </w:t>
      </w:r>
      <w:r w:rsidRPr="002F2BC5">
        <w:rPr>
          <w:rFonts w:hint="cs"/>
          <w:b/>
          <w:bCs/>
          <w:rtl/>
        </w:rPr>
        <w:t>באמצעות הקישור המקוון בשנת 2023.</w:t>
      </w:r>
      <w:r w:rsidRPr="002F2BC5">
        <w:rPr>
          <w:b/>
          <w:bCs/>
          <w:rtl/>
        </w:rPr>
        <w:t xml:space="preserve"> </w:t>
      </w:r>
      <w:r w:rsidRPr="002F2BC5">
        <w:rPr>
          <w:rFonts w:hint="eastAsia"/>
          <w:b/>
          <w:bCs/>
          <w:rtl/>
        </w:rPr>
        <w:t>כשליש</w:t>
      </w:r>
      <w:r w:rsidRPr="002F2BC5">
        <w:rPr>
          <w:b/>
          <w:bCs/>
          <w:rtl/>
        </w:rPr>
        <w:t xml:space="preserve"> </w:t>
      </w:r>
      <w:r w:rsidRPr="002F2BC5">
        <w:rPr>
          <w:rFonts w:hint="eastAsia"/>
          <w:b/>
          <w:bCs/>
          <w:rtl/>
        </w:rPr>
        <w:t>מהם</w:t>
      </w:r>
      <w:r w:rsidRPr="002F2BC5">
        <w:rPr>
          <w:b/>
          <w:bCs/>
          <w:rtl/>
        </w:rPr>
        <w:t xml:space="preserve"> (</w:t>
      </w:r>
      <w:r w:rsidRPr="002F2BC5">
        <w:rPr>
          <w:rFonts w:hint="cs"/>
          <w:b/>
          <w:bCs/>
          <w:rtl/>
        </w:rPr>
        <w:t>6</w:t>
      </w:r>
      <w:r w:rsidRPr="002F2BC5">
        <w:rPr>
          <w:b/>
          <w:bCs/>
          <w:rtl/>
        </w:rPr>
        <w:t xml:space="preserve"> </w:t>
      </w:r>
      <w:r w:rsidRPr="002F2BC5">
        <w:rPr>
          <w:rFonts w:hint="eastAsia"/>
          <w:b/>
          <w:bCs/>
          <w:rtl/>
        </w:rPr>
        <w:t>מתוך</w:t>
      </w:r>
      <w:r w:rsidRPr="002F2BC5">
        <w:rPr>
          <w:b/>
          <w:bCs/>
          <w:rtl/>
        </w:rPr>
        <w:t xml:space="preserve"> </w:t>
      </w:r>
      <w:r w:rsidRPr="002F2BC5">
        <w:rPr>
          <w:rFonts w:hint="cs"/>
          <w:b/>
          <w:bCs/>
          <w:rtl/>
        </w:rPr>
        <w:t>19</w:t>
      </w:r>
      <w:r w:rsidRPr="002F2BC5">
        <w:rPr>
          <w:b/>
          <w:bCs/>
          <w:rtl/>
        </w:rPr>
        <w:t xml:space="preserve">) לא העבירו </w:t>
      </w:r>
      <w:r w:rsidRPr="002F2BC5">
        <w:rPr>
          <w:rFonts w:hint="eastAsia"/>
          <w:b/>
          <w:bCs/>
          <w:rtl/>
        </w:rPr>
        <w:t>דיווח</w:t>
      </w:r>
      <w:r w:rsidRPr="002F2BC5">
        <w:rPr>
          <w:b/>
          <w:bCs/>
          <w:rtl/>
        </w:rPr>
        <w:t xml:space="preserve"> </w:t>
      </w:r>
      <w:r w:rsidRPr="002F2BC5">
        <w:rPr>
          <w:rFonts w:hint="cs"/>
          <w:b/>
          <w:bCs/>
          <w:rtl/>
        </w:rPr>
        <w:t>כאמור גם בשנת 2022</w:t>
      </w:r>
      <w:r w:rsidRPr="002F2BC5">
        <w:rPr>
          <w:b/>
          <w:bCs/>
          <w:rtl/>
        </w:rPr>
        <w:t>.</w:t>
      </w:r>
      <w:r w:rsidRPr="002F2BC5">
        <w:rPr>
          <w:rFonts w:hint="cs"/>
          <w:b/>
          <w:bCs/>
          <w:rtl/>
        </w:rPr>
        <w:t xml:space="preserve"> שניים מהמרכזים לא העבירו דיווח כאמור באף אחת מהשנים 2021 - 2023.</w:t>
      </w:r>
    </w:p>
    <w:p w14:paraId="44581682" w14:textId="77777777" w:rsidR="00817399" w:rsidRPr="002F2BC5" w:rsidRDefault="00817399" w:rsidP="00817399">
      <w:pPr>
        <w:spacing w:line="269" w:lineRule="auto"/>
        <w:rPr>
          <w:rtl/>
        </w:rPr>
      </w:pPr>
    </w:p>
    <w:p w14:paraId="02644AD4" w14:textId="77777777" w:rsidR="00817399" w:rsidRPr="002F2BC5" w:rsidRDefault="00817399" w:rsidP="00817399">
      <w:pPr>
        <w:spacing w:line="269" w:lineRule="auto"/>
        <w:rPr>
          <w:rtl/>
        </w:rPr>
      </w:pPr>
      <w:r w:rsidRPr="002F2BC5">
        <w:rPr>
          <w:rFonts w:hint="cs"/>
          <w:rtl/>
        </w:rPr>
        <w:t>במסגרת הביקורת נבדקו גם ממשקי העבודה בין מטה משרד הרווחה (הפיקוח הארצי) לבין הפיקוח המחוזי לעניין הנתונים והמידע שנאספים על ידם על פעילות המרכזים, איגום הנתונים והמידע והבקרה על מהימנותם באמצעות הצלבה ביניהם. חשיבות איגום הנתונים והבקרה עליהם רבה במיוחד בכל הקשור לנתונים הנאספים על ידי מטה המשרד, משום שהם מתבססים על דיווח עצמי של המרכזים, והם משמשים את משרד הרווחה בקביעת המדיניות והערכתה.</w:t>
      </w:r>
    </w:p>
    <w:p w14:paraId="5C975312" w14:textId="77777777" w:rsidR="00817399" w:rsidRPr="002F2BC5" w:rsidRDefault="00817399" w:rsidP="00817399">
      <w:pPr>
        <w:spacing w:line="269" w:lineRule="auto"/>
        <w:rPr>
          <w:rtl/>
        </w:rPr>
      </w:pPr>
    </w:p>
    <w:p w14:paraId="345AD240" w14:textId="77777777" w:rsidR="00817399" w:rsidRPr="002F2BC5" w:rsidRDefault="00817399" w:rsidP="00817399">
      <w:pPr>
        <w:spacing w:line="269" w:lineRule="auto"/>
        <w:rPr>
          <w:rtl/>
        </w:rPr>
      </w:pPr>
      <w:r w:rsidRPr="002F2BC5">
        <w:rPr>
          <w:rFonts w:hint="cs"/>
          <w:rtl/>
        </w:rPr>
        <w:t xml:space="preserve">נמצא כי על חלק מתחומי פעילותם של המרכזים נאספים נתונים במקביל - הן על ידי הפיקוח הארצי והן על ידי הפיקוח המחוזי - אך הם מאוגמים ומנוהלים בנפרד, ללא יכולת לעשות שימוש במידע באופן מתכלל, המאפשר לנתח את הנתונים באופן השוואתי ולזהות פערים בנתונים שנאספו. </w:t>
      </w:r>
    </w:p>
    <w:p w14:paraId="1B40C3A2" w14:textId="77777777" w:rsidR="00817399" w:rsidRPr="002F2BC5" w:rsidRDefault="00817399" w:rsidP="00817399">
      <w:pPr>
        <w:spacing w:line="269" w:lineRule="auto"/>
        <w:rPr>
          <w:rtl/>
        </w:rPr>
      </w:pPr>
    </w:p>
    <w:p w14:paraId="1E9DE449" w14:textId="77777777" w:rsidR="00817399" w:rsidRPr="002F2BC5" w:rsidRDefault="00817399" w:rsidP="00817399">
      <w:pPr>
        <w:pStyle w:val="afffffff9"/>
        <w:spacing w:line="269" w:lineRule="auto"/>
        <w:rPr>
          <w:rtl/>
        </w:rPr>
      </w:pPr>
      <w:bookmarkStart w:id="711" w:name="_Toc192093076"/>
      <w:bookmarkStart w:id="712" w:name="_Toc191986979"/>
      <w:bookmarkStart w:id="713" w:name="_Toc192612784"/>
      <w:bookmarkStart w:id="714" w:name="_Toc198312209"/>
      <w:bookmarkStart w:id="715" w:name="_Toc198312684"/>
      <w:bookmarkStart w:id="716" w:name="_Toc200636868"/>
      <w:bookmarkStart w:id="717" w:name="_Toc200439867"/>
      <w:bookmarkStart w:id="718" w:name="_Toc201240972"/>
      <w:r w:rsidRPr="002F2BC5">
        <w:rPr>
          <w:rFonts w:hint="cs"/>
          <w:rtl/>
        </w:rPr>
        <w:t xml:space="preserve">הביקורת הקודמת העלתה </w:t>
      </w:r>
      <w:r w:rsidRPr="002F2BC5">
        <w:rPr>
          <w:rFonts w:hint="eastAsia"/>
          <w:rtl/>
        </w:rPr>
        <w:t>כי</w:t>
      </w:r>
      <w:r w:rsidRPr="002F2BC5">
        <w:rPr>
          <w:rtl/>
        </w:rPr>
        <w:t xml:space="preserve"> רק 95 מתוך 110 מרכזים </w:t>
      </w:r>
      <w:r w:rsidRPr="002F2BC5">
        <w:rPr>
          <w:rFonts w:hint="cs"/>
          <w:rtl/>
        </w:rPr>
        <w:t xml:space="preserve">לטיפול ומניעת אלימות במשפחה </w:t>
      </w:r>
      <w:r w:rsidRPr="002F2BC5">
        <w:rPr>
          <w:rtl/>
        </w:rPr>
        <w:t xml:space="preserve">שהפעילו הרשויות המקומיות העבירו למשרד הרווחה דיווחים בשנת 2019 (כ-85% מכלל המרכזים), וכי הדיווחים הועברו למשרד הרווחה באופן ידני.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רבה</w:t>
      </w:r>
      <w:r w:rsidRPr="002F2BC5">
        <w:rPr>
          <w:rFonts w:hint="cs"/>
          <w:rtl/>
        </w:rPr>
        <w:t xml:space="preserve"> </w:t>
      </w:r>
      <w:r w:rsidRPr="002F2BC5">
        <w:rPr>
          <w:rFonts w:hint="eastAsia"/>
          <w:rtl/>
        </w:rPr>
        <w:t>וכי</w:t>
      </w:r>
      <w:r w:rsidRPr="002F2BC5">
        <w:rPr>
          <w:rtl/>
        </w:rPr>
        <w:t xml:space="preserve"> המערכת </w:t>
      </w:r>
      <w:r w:rsidRPr="002F2BC5">
        <w:rPr>
          <w:rFonts w:hint="eastAsia"/>
          <w:rtl/>
        </w:rPr>
        <w:t>הממוחשבת</w:t>
      </w:r>
      <w:r w:rsidRPr="002F2BC5">
        <w:rPr>
          <w:rtl/>
        </w:rPr>
        <w:t xml:space="preserve"> </w:t>
      </w:r>
      <w:r w:rsidRPr="002F2BC5">
        <w:rPr>
          <w:rFonts w:hint="eastAsia"/>
          <w:rtl/>
        </w:rPr>
        <w:t>לניהול</w:t>
      </w:r>
      <w:r w:rsidRPr="002F2BC5">
        <w:rPr>
          <w:rtl/>
        </w:rPr>
        <w:t xml:space="preserve"> </w:t>
      </w:r>
      <w:r w:rsidRPr="002F2BC5">
        <w:rPr>
          <w:rFonts w:hint="eastAsia"/>
          <w:rtl/>
        </w:rPr>
        <w:t>תהליכי</w:t>
      </w:r>
      <w:r w:rsidRPr="002F2BC5">
        <w:rPr>
          <w:rtl/>
        </w:rPr>
        <w:t xml:space="preserve"> </w:t>
      </w:r>
      <w:r w:rsidRPr="002F2BC5">
        <w:rPr>
          <w:rFonts w:hint="eastAsia"/>
          <w:rtl/>
        </w:rPr>
        <w:t>העבודה</w:t>
      </w:r>
      <w:r w:rsidRPr="002F2BC5">
        <w:rPr>
          <w:rtl/>
        </w:rPr>
        <w:t xml:space="preserve"> </w:t>
      </w:r>
      <w:r w:rsidRPr="002F2BC5">
        <w:rPr>
          <w:rFonts w:hint="eastAsia"/>
          <w:rtl/>
        </w:rPr>
        <w:t>במרכזים</w:t>
      </w:r>
      <w:r w:rsidRPr="002F2BC5">
        <w:rPr>
          <w:rtl/>
        </w:rPr>
        <w:t xml:space="preserve">, שאת פיתוחה מוביל משרד הרווחה צפויה, לכשתושלם </w:t>
      </w:r>
      <w:r w:rsidRPr="002F2BC5">
        <w:rPr>
          <w:rFonts w:hint="eastAsia"/>
          <w:rtl/>
        </w:rPr>
        <w:t>הטמעתה</w:t>
      </w:r>
      <w:r w:rsidRPr="002F2BC5">
        <w:rPr>
          <w:rtl/>
        </w:rPr>
        <w:t xml:space="preserve"> </w:t>
      </w:r>
      <w:r w:rsidRPr="002F2BC5">
        <w:rPr>
          <w:rFonts w:hint="eastAsia"/>
          <w:rtl/>
        </w:rPr>
        <w:t>בכלל</w:t>
      </w:r>
      <w:r w:rsidRPr="002F2BC5">
        <w:rPr>
          <w:rtl/>
        </w:rPr>
        <w:t xml:space="preserve"> </w:t>
      </w:r>
      <w:r w:rsidRPr="002F2BC5">
        <w:rPr>
          <w:rFonts w:hint="eastAsia"/>
          <w:rtl/>
        </w:rPr>
        <w:t>המרכזים</w:t>
      </w:r>
      <w:r w:rsidRPr="002F2BC5">
        <w:rPr>
          <w:rtl/>
        </w:rPr>
        <w:t xml:space="preserve">, לחולל שינוי של ממש באופן </w:t>
      </w:r>
      <w:r w:rsidRPr="002F2BC5">
        <w:rPr>
          <w:rtl/>
        </w:rPr>
        <w:lastRenderedPageBreak/>
        <w:t xml:space="preserve">שבו ינוהלו הנתונים ובגישה אליהם על ידי המחלקות לשירותים חברתיים והמרכזים. </w:t>
      </w:r>
      <w:r w:rsidRPr="002F2BC5">
        <w:rPr>
          <w:rFonts w:hint="cs"/>
          <w:rtl/>
        </w:rPr>
        <w:t>עם זאת, בשל שיטת הדיווח - שנותר ידני - ותדירותו, ובהיעדר ממשק עבודה מוסדר בין מטה המשרד למחוזותיו, לא היו מונחים בפני משרד הרווחה במועד סיום ביקורת המעקב נתונים מלאים ומהימנים, בפילוח חודשי, על מקבלי השירות במרכזים ועל איכות השירותים הניתנים להם (ובכלל זה על משכי ההמתנה לטיפול ושיעורי הנשירה מטיפול), נתונים החיוניים למקבלי ההחלטות לצורך בחינת מגמות, בייחוד בעיתות משבר וחירום דוגמת תקופת מלחמת חרבות ברזל.</w:t>
      </w:r>
      <w:bookmarkEnd w:id="711"/>
      <w:bookmarkEnd w:id="712"/>
      <w:bookmarkEnd w:id="713"/>
      <w:bookmarkEnd w:id="714"/>
      <w:bookmarkEnd w:id="715"/>
      <w:bookmarkEnd w:id="716"/>
      <w:bookmarkEnd w:id="717"/>
      <w:bookmarkEnd w:id="718"/>
    </w:p>
    <w:p w14:paraId="2A4B9478" w14:textId="77777777" w:rsidR="00817399" w:rsidRPr="002F2BC5" w:rsidRDefault="00817399" w:rsidP="00817399">
      <w:pPr>
        <w:spacing w:line="269" w:lineRule="auto"/>
        <w:rPr>
          <w:rtl/>
        </w:rPr>
      </w:pPr>
    </w:p>
    <w:p w14:paraId="308B922A" w14:textId="77777777" w:rsidR="00817399" w:rsidRPr="002F2BC5" w:rsidRDefault="00817399" w:rsidP="00817399">
      <w:pPr>
        <w:pStyle w:val="afffffffa"/>
        <w:spacing w:line="269" w:lineRule="auto"/>
        <w:rPr>
          <w:rtl/>
        </w:rPr>
      </w:pPr>
      <w:bookmarkStart w:id="719" w:name="_Toc191986980"/>
      <w:bookmarkStart w:id="720" w:name="_Toc192093077"/>
      <w:bookmarkStart w:id="721" w:name="_Toc192612785"/>
      <w:bookmarkStart w:id="722" w:name="_Toc198312210"/>
      <w:bookmarkStart w:id="723" w:name="_Toc198312685"/>
      <w:bookmarkStart w:id="724" w:name="_Toc200636869"/>
      <w:bookmarkStart w:id="725" w:name="_Toc200439868"/>
      <w:bookmarkStart w:id="726" w:name="_Toc201240973"/>
      <w:r w:rsidRPr="002F2BC5">
        <w:rPr>
          <w:rFonts w:hint="cs"/>
          <w:rtl/>
        </w:rPr>
        <w:t>על המרכזים לטיפול ומניעת אלימות במשפחה - ב</w:t>
      </w:r>
      <w:r w:rsidRPr="002F2BC5">
        <w:rPr>
          <w:rtl/>
        </w:rPr>
        <w:t>אבו גוש, אור יהודה, אור עקיבא, אל-בטוף, בית שאן, ג'</w:t>
      </w:r>
      <w:r w:rsidRPr="002F2BC5">
        <w:rPr>
          <w:rFonts w:hint="cs"/>
          <w:rtl/>
        </w:rPr>
        <w:t>י</w:t>
      </w:r>
      <w:r w:rsidRPr="002F2BC5">
        <w:rPr>
          <w:rtl/>
        </w:rPr>
        <w:t>סר א-זרקא</w:t>
      </w:r>
      <w:r w:rsidRPr="002F2BC5">
        <w:rPr>
          <w:rFonts w:hint="cs"/>
          <w:rtl/>
        </w:rPr>
        <w:t>א</w:t>
      </w:r>
      <w:r w:rsidRPr="002F2BC5">
        <w:rPr>
          <w:rtl/>
        </w:rPr>
        <w:t>, גבעת שמואל, דאל</w:t>
      </w:r>
      <w:r w:rsidRPr="002F2BC5">
        <w:rPr>
          <w:rFonts w:hint="cs"/>
          <w:rtl/>
        </w:rPr>
        <w:t>י</w:t>
      </w:r>
      <w:r w:rsidRPr="002F2BC5">
        <w:rPr>
          <w:rtl/>
        </w:rPr>
        <w:t>ית אל-כרמל, דבוריה, זבולון, חוף הכרמל, יאנוח-ג'ת, י</w:t>
      </w:r>
      <w:r w:rsidRPr="002F2BC5">
        <w:rPr>
          <w:rFonts w:hint="cs"/>
          <w:rtl/>
        </w:rPr>
        <w:t>י</w:t>
      </w:r>
      <w:r w:rsidRPr="002F2BC5">
        <w:rPr>
          <w:rtl/>
        </w:rPr>
        <w:t>רכא, כפר יונה, מבשרת ציון, עספ</w:t>
      </w:r>
      <w:r w:rsidRPr="002F2BC5">
        <w:rPr>
          <w:rFonts w:hint="cs"/>
          <w:rtl/>
        </w:rPr>
        <w:t>י</w:t>
      </w:r>
      <w:r w:rsidRPr="002F2BC5">
        <w:rPr>
          <w:rtl/>
        </w:rPr>
        <w:t xml:space="preserve">יא, קדימה-צורן, קריית טבעון </w:t>
      </w:r>
      <w:r w:rsidRPr="002F2BC5">
        <w:rPr>
          <w:rFonts w:hint="cs"/>
          <w:rtl/>
        </w:rPr>
        <w:t>ו</w:t>
      </w:r>
      <w:r w:rsidRPr="002F2BC5">
        <w:rPr>
          <w:rtl/>
        </w:rPr>
        <w:t xml:space="preserve">קריית ים </w:t>
      </w:r>
      <w:r w:rsidRPr="002F2BC5">
        <w:rPr>
          <w:rFonts w:hint="cs"/>
          <w:rtl/>
        </w:rPr>
        <w:t>-</w:t>
      </w:r>
      <w:r w:rsidRPr="002F2BC5">
        <w:rPr>
          <w:rtl/>
        </w:rPr>
        <w:t xml:space="preserve"> </w:t>
      </w:r>
      <w:r w:rsidRPr="002F2BC5">
        <w:rPr>
          <w:rFonts w:hint="cs"/>
          <w:rtl/>
        </w:rPr>
        <w:t>להקפיד על העברת הדיווח על פעילותם למשרד הרווחה כנדרש מדי שנה בשנה.</w:t>
      </w:r>
      <w:bookmarkEnd w:id="719"/>
      <w:bookmarkEnd w:id="720"/>
      <w:bookmarkEnd w:id="721"/>
      <w:bookmarkEnd w:id="722"/>
      <w:bookmarkEnd w:id="723"/>
      <w:bookmarkEnd w:id="724"/>
      <w:bookmarkEnd w:id="725"/>
      <w:bookmarkEnd w:id="726"/>
    </w:p>
    <w:p w14:paraId="7573358A" w14:textId="77777777" w:rsidR="00817399" w:rsidRPr="002F2BC5" w:rsidRDefault="00817399" w:rsidP="00817399">
      <w:pPr>
        <w:spacing w:line="269" w:lineRule="auto"/>
        <w:rPr>
          <w:rtl/>
        </w:rPr>
      </w:pPr>
    </w:p>
    <w:p w14:paraId="5FD9D8A1" w14:textId="77777777" w:rsidR="00817399" w:rsidRPr="002F2BC5" w:rsidRDefault="00817399" w:rsidP="00817399">
      <w:pPr>
        <w:spacing w:line="269" w:lineRule="auto"/>
        <w:rPr>
          <w:rtl/>
        </w:rPr>
      </w:pPr>
      <w:r w:rsidRPr="002F2BC5">
        <w:rPr>
          <w:rFonts w:hint="eastAsia"/>
          <w:rtl/>
        </w:rPr>
        <w:t>מרכז</w:t>
      </w:r>
      <w:r w:rsidRPr="002F2BC5">
        <w:rPr>
          <w:rtl/>
        </w:rPr>
        <w:t xml:space="preserve"> </w:t>
      </w:r>
      <w:r w:rsidRPr="002F2BC5">
        <w:rPr>
          <w:rFonts w:hint="eastAsia"/>
          <w:rtl/>
        </w:rPr>
        <w:t>השלטון</w:t>
      </w:r>
      <w:r w:rsidRPr="002F2BC5">
        <w:rPr>
          <w:rtl/>
        </w:rPr>
        <w:t xml:space="preserve"> </w:t>
      </w:r>
      <w:r w:rsidRPr="002F2BC5">
        <w:rPr>
          <w:rFonts w:hint="eastAsia"/>
          <w:rtl/>
        </w:rPr>
        <w:t>המקומי</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eastAsia"/>
          <w:rtl/>
        </w:rPr>
        <w:t>כי</w:t>
      </w:r>
      <w:r w:rsidRPr="002F2BC5">
        <w:rPr>
          <w:rtl/>
        </w:rPr>
        <w:t xml:space="preserve"> </w:t>
      </w:r>
      <w:r w:rsidRPr="002F2BC5">
        <w:rPr>
          <w:rFonts w:hint="eastAsia"/>
          <w:rtl/>
        </w:rPr>
        <w:t>הוא</w:t>
      </w:r>
      <w:r w:rsidRPr="002F2BC5">
        <w:rPr>
          <w:rtl/>
        </w:rPr>
        <w:t xml:space="preserve"> </w:t>
      </w:r>
      <w:r w:rsidRPr="002F2BC5">
        <w:rPr>
          <w:rFonts w:hint="eastAsia"/>
          <w:rtl/>
        </w:rPr>
        <w:t>רואה</w:t>
      </w:r>
      <w:r w:rsidRPr="002F2BC5">
        <w:rPr>
          <w:rtl/>
        </w:rPr>
        <w:t xml:space="preserve"> </w:t>
      </w:r>
      <w:r w:rsidRPr="002F2BC5">
        <w:rPr>
          <w:rFonts w:hint="eastAsia"/>
          <w:rtl/>
        </w:rPr>
        <w:t>חשיבות</w:t>
      </w:r>
      <w:r w:rsidRPr="002F2BC5">
        <w:rPr>
          <w:rtl/>
        </w:rPr>
        <w:t xml:space="preserve"> </w:t>
      </w:r>
      <w:r w:rsidRPr="002F2BC5">
        <w:rPr>
          <w:rFonts w:hint="eastAsia"/>
          <w:rtl/>
        </w:rPr>
        <w:t>רבה</w:t>
      </w:r>
      <w:r w:rsidRPr="002F2BC5">
        <w:rPr>
          <w:rtl/>
        </w:rPr>
        <w:t xml:space="preserve"> </w:t>
      </w:r>
      <w:r w:rsidRPr="002F2BC5">
        <w:rPr>
          <w:rFonts w:hint="eastAsia"/>
          <w:rtl/>
        </w:rPr>
        <w:t>בהעברת</w:t>
      </w:r>
      <w:r w:rsidRPr="002F2BC5">
        <w:rPr>
          <w:rtl/>
        </w:rPr>
        <w:t xml:space="preserve"> </w:t>
      </w:r>
      <w:r w:rsidRPr="002F2BC5">
        <w:rPr>
          <w:rFonts w:hint="eastAsia"/>
          <w:rtl/>
        </w:rPr>
        <w:t>דיווחים</w:t>
      </w:r>
      <w:r w:rsidRPr="002F2BC5">
        <w:rPr>
          <w:rtl/>
        </w:rPr>
        <w:t xml:space="preserve"> </w:t>
      </w:r>
      <w:r w:rsidRPr="002F2BC5">
        <w:rPr>
          <w:rFonts w:hint="eastAsia"/>
          <w:rtl/>
        </w:rPr>
        <w:t>למשרד</w:t>
      </w:r>
      <w:r w:rsidRPr="002F2BC5">
        <w:rPr>
          <w:rtl/>
        </w:rPr>
        <w:t xml:space="preserve"> </w:t>
      </w:r>
      <w:r w:rsidRPr="002F2BC5">
        <w:rPr>
          <w:rFonts w:hint="eastAsia"/>
          <w:rtl/>
        </w:rPr>
        <w:t>הרווחה</w:t>
      </w:r>
      <w:r w:rsidRPr="002F2BC5">
        <w:rPr>
          <w:rtl/>
        </w:rPr>
        <w:t xml:space="preserve">, </w:t>
      </w:r>
      <w:r w:rsidRPr="002F2BC5">
        <w:rPr>
          <w:rFonts w:hint="cs"/>
          <w:rtl/>
        </w:rPr>
        <w:t xml:space="preserve">וזאת </w:t>
      </w:r>
      <w:r w:rsidRPr="002F2BC5">
        <w:rPr>
          <w:rFonts w:hint="eastAsia"/>
          <w:rtl/>
        </w:rPr>
        <w:t>כחלק</w:t>
      </w:r>
      <w:r w:rsidRPr="002F2BC5">
        <w:rPr>
          <w:rtl/>
        </w:rPr>
        <w:t xml:space="preserve"> </w:t>
      </w:r>
      <w:r w:rsidRPr="002F2BC5">
        <w:rPr>
          <w:rFonts w:hint="eastAsia"/>
          <w:rtl/>
        </w:rPr>
        <w:t>מובנה</w:t>
      </w:r>
      <w:r w:rsidRPr="002F2BC5">
        <w:rPr>
          <w:rtl/>
        </w:rPr>
        <w:t xml:space="preserve"> </w:t>
      </w:r>
      <w:r w:rsidRPr="002F2BC5">
        <w:rPr>
          <w:rFonts w:hint="eastAsia"/>
          <w:rtl/>
        </w:rPr>
        <w:t>מעבודתן</w:t>
      </w:r>
      <w:r w:rsidRPr="002F2BC5">
        <w:rPr>
          <w:rtl/>
        </w:rPr>
        <w:t xml:space="preserve"> </w:t>
      </w:r>
      <w:r w:rsidRPr="002F2BC5">
        <w:rPr>
          <w:rFonts w:hint="eastAsia"/>
          <w:rtl/>
        </w:rPr>
        <w:t>של</w:t>
      </w:r>
      <w:r w:rsidRPr="002F2BC5">
        <w:rPr>
          <w:rtl/>
        </w:rPr>
        <w:t xml:space="preserve"> </w:t>
      </w:r>
      <w:r w:rsidRPr="002F2BC5">
        <w:rPr>
          <w:rFonts w:hint="eastAsia"/>
          <w:rtl/>
        </w:rPr>
        <w:t>המחלקות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 xml:space="preserve">, </w:t>
      </w:r>
      <w:r w:rsidRPr="002F2BC5">
        <w:rPr>
          <w:rFonts w:hint="eastAsia"/>
          <w:rtl/>
        </w:rPr>
        <w:t>וכי</w:t>
      </w:r>
      <w:r w:rsidRPr="002F2BC5">
        <w:rPr>
          <w:rtl/>
        </w:rPr>
        <w:t xml:space="preserve"> </w:t>
      </w:r>
      <w:r w:rsidRPr="002F2BC5">
        <w:rPr>
          <w:rFonts w:hint="eastAsia"/>
          <w:rtl/>
        </w:rPr>
        <w:t>כפי</w:t>
      </w:r>
      <w:r w:rsidRPr="002F2BC5">
        <w:rPr>
          <w:rtl/>
        </w:rPr>
        <w:t xml:space="preserve"> </w:t>
      </w:r>
      <w:r w:rsidRPr="002F2BC5">
        <w:rPr>
          <w:rFonts w:hint="eastAsia"/>
          <w:rtl/>
        </w:rPr>
        <w:t>העולה</w:t>
      </w:r>
      <w:r w:rsidRPr="002F2BC5">
        <w:rPr>
          <w:rtl/>
        </w:rPr>
        <w:t xml:space="preserve"> </w:t>
      </w:r>
      <w:r w:rsidRPr="002F2BC5">
        <w:rPr>
          <w:rFonts w:hint="eastAsia"/>
          <w:rtl/>
        </w:rPr>
        <w:t>מהביקורת</w:t>
      </w:r>
      <w:r w:rsidRPr="002F2BC5">
        <w:rPr>
          <w:rtl/>
        </w:rPr>
        <w:t>, מרבית הרשויות המקומיות אכן מעבירות את הד</w:t>
      </w:r>
      <w:r w:rsidRPr="002F2BC5">
        <w:rPr>
          <w:rFonts w:hint="eastAsia"/>
          <w:rtl/>
        </w:rPr>
        <w:t>יווחים</w:t>
      </w:r>
      <w:r w:rsidRPr="002F2BC5">
        <w:rPr>
          <w:rtl/>
        </w:rPr>
        <w:t xml:space="preserve"> </w:t>
      </w:r>
      <w:r w:rsidRPr="002F2BC5">
        <w:rPr>
          <w:rFonts w:hint="eastAsia"/>
          <w:rtl/>
        </w:rPr>
        <w:t>הנדרשים</w:t>
      </w:r>
      <w:r w:rsidRPr="002F2BC5">
        <w:rPr>
          <w:rtl/>
        </w:rPr>
        <w:t xml:space="preserve"> </w:t>
      </w:r>
      <w:r w:rsidRPr="002F2BC5">
        <w:rPr>
          <w:rFonts w:hint="eastAsia"/>
          <w:rtl/>
        </w:rPr>
        <w:t>לעניין</w:t>
      </w:r>
      <w:r w:rsidRPr="002F2BC5">
        <w:rPr>
          <w:rtl/>
        </w:rPr>
        <w:t xml:space="preserve"> </w:t>
      </w:r>
      <w:r w:rsidRPr="002F2BC5">
        <w:rPr>
          <w:rFonts w:hint="eastAsia"/>
          <w:rtl/>
        </w:rPr>
        <w:t>פעילות</w:t>
      </w:r>
      <w:r w:rsidRPr="002F2BC5">
        <w:rPr>
          <w:rtl/>
        </w:rPr>
        <w:t xml:space="preserve"> </w:t>
      </w:r>
      <w:r w:rsidRPr="002F2BC5">
        <w:rPr>
          <w:rFonts w:hint="eastAsia"/>
          <w:rtl/>
        </w:rPr>
        <w:t>המרכזים</w:t>
      </w:r>
      <w:r w:rsidRPr="002F2BC5">
        <w:rPr>
          <w:rtl/>
        </w:rPr>
        <w:t>.</w:t>
      </w:r>
    </w:p>
    <w:p w14:paraId="43588F1A" w14:textId="77777777" w:rsidR="00817399" w:rsidRPr="002F2BC5" w:rsidRDefault="00817399" w:rsidP="00817399">
      <w:pPr>
        <w:spacing w:line="269" w:lineRule="auto"/>
        <w:rPr>
          <w:rtl/>
        </w:rPr>
      </w:pPr>
    </w:p>
    <w:p w14:paraId="3776A087" w14:textId="77777777" w:rsidR="00817399" w:rsidRPr="002F2BC5" w:rsidRDefault="00817399" w:rsidP="00817399">
      <w:pPr>
        <w:spacing w:line="269" w:lineRule="auto"/>
        <w:rPr>
          <w:rtl/>
        </w:rPr>
      </w:pPr>
      <w:r w:rsidRPr="002F2BC5">
        <w:rPr>
          <w:rFonts w:hint="cs"/>
          <w:rtl/>
        </w:rPr>
        <w:t xml:space="preserve">המועצה האזורית </w:t>
      </w:r>
      <w:r w:rsidRPr="002F2BC5">
        <w:rPr>
          <w:rFonts w:hint="eastAsia"/>
          <w:b/>
          <w:bCs/>
          <w:rtl/>
        </w:rPr>
        <w:t>חוף</w:t>
      </w:r>
      <w:r w:rsidRPr="002F2BC5">
        <w:rPr>
          <w:b/>
          <w:bCs/>
          <w:rtl/>
        </w:rPr>
        <w:t xml:space="preserve"> </w:t>
      </w:r>
      <w:r w:rsidRPr="002F2BC5">
        <w:rPr>
          <w:rFonts w:hint="eastAsia"/>
          <w:b/>
          <w:bCs/>
          <w:rtl/>
        </w:rPr>
        <w:t>הכרמל</w:t>
      </w:r>
      <w:r w:rsidRPr="002F2BC5">
        <w:rPr>
          <w:rFonts w:hint="cs"/>
          <w:rtl/>
        </w:rPr>
        <w:t xml:space="preserve"> מסרה בתשובתה מאפריל 2025 כי הליקוי תוקן וכי הדיווח מועבר למשרד הרווחה כנדרש. המועצות האזוריות </w:t>
      </w:r>
      <w:r w:rsidRPr="002F2BC5">
        <w:rPr>
          <w:b/>
          <w:bCs/>
          <w:rtl/>
        </w:rPr>
        <w:t>ג'</w:t>
      </w:r>
      <w:r w:rsidRPr="002F2BC5">
        <w:rPr>
          <w:rFonts w:hint="cs"/>
          <w:b/>
          <w:bCs/>
          <w:rtl/>
        </w:rPr>
        <w:t>י</w:t>
      </w:r>
      <w:r w:rsidRPr="002F2BC5">
        <w:rPr>
          <w:b/>
          <w:bCs/>
          <w:rtl/>
        </w:rPr>
        <w:t>סר א-זרקא</w:t>
      </w:r>
      <w:r w:rsidRPr="002F2BC5">
        <w:rPr>
          <w:rFonts w:hint="cs"/>
          <w:b/>
          <w:bCs/>
          <w:rtl/>
        </w:rPr>
        <w:t>א</w:t>
      </w:r>
      <w:r w:rsidRPr="002F2BC5">
        <w:rPr>
          <w:rFonts w:hint="cs"/>
          <w:rtl/>
        </w:rPr>
        <w:t xml:space="preserve"> ו</w:t>
      </w:r>
      <w:r w:rsidRPr="002F2BC5">
        <w:rPr>
          <w:rFonts w:hint="cs"/>
          <w:b/>
          <w:bCs/>
          <w:rtl/>
        </w:rPr>
        <w:t xml:space="preserve">יאנוח-ג'ת </w:t>
      </w:r>
      <w:r w:rsidRPr="002F2BC5">
        <w:rPr>
          <w:rFonts w:hint="cs"/>
          <w:rtl/>
        </w:rPr>
        <w:t xml:space="preserve">מסרו בתשובותיהן מאפריל 2025 כי לא העבירו דיווח למשרד הרווחה בשנת 2023 עקב עומס עבודה חריג, על רקע מלחמת חרבות ברזל, והוסיפו כי הליקוי תוקן מאז. </w:t>
      </w:r>
    </w:p>
    <w:p w14:paraId="5CF92AD7" w14:textId="77777777" w:rsidR="00817399" w:rsidRPr="002F2BC5" w:rsidRDefault="00817399" w:rsidP="00817399">
      <w:pPr>
        <w:spacing w:line="269" w:lineRule="auto"/>
        <w:rPr>
          <w:rtl/>
        </w:rPr>
      </w:pPr>
    </w:p>
    <w:p w14:paraId="5DED651A" w14:textId="77777777" w:rsidR="00817399" w:rsidRPr="002F2BC5" w:rsidRDefault="00817399" w:rsidP="00817399">
      <w:pPr>
        <w:spacing w:line="269" w:lineRule="auto"/>
        <w:rPr>
          <w:rtl/>
        </w:rPr>
      </w:pPr>
      <w:r w:rsidRPr="002F2BC5">
        <w:rPr>
          <w:rFonts w:hint="cs"/>
          <w:rtl/>
        </w:rPr>
        <w:t xml:space="preserve">המועצות המקומיות </w:t>
      </w:r>
      <w:r w:rsidRPr="002F2BC5">
        <w:rPr>
          <w:rFonts w:hint="cs"/>
          <w:b/>
          <w:bCs/>
          <w:rtl/>
        </w:rPr>
        <w:t>דאליית אל-כרמל</w:t>
      </w:r>
      <w:r w:rsidRPr="002F2BC5">
        <w:rPr>
          <w:rFonts w:hint="cs"/>
          <w:rtl/>
        </w:rPr>
        <w:t xml:space="preserve"> ו</w:t>
      </w:r>
      <w:r w:rsidRPr="002F2BC5">
        <w:rPr>
          <w:rFonts w:hint="cs"/>
          <w:b/>
          <w:bCs/>
          <w:rtl/>
        </w:rPr>
        <w:t>קריית טבעון</w:t>
      </w:r>
      <w:r w:rsidRPr="002F2BC5">
        <w:rPr>
          <w:rFonts w:hint="cs"/>
          <w:rtl/>
        </w:rPr>
        <w:t xml:space="preserve"> מסרו בתשובותיהן מאפריל 2025 כי הן מקפידות על העברת הדיווחים למשרד הרווחה, וכי בשנת 2023 העבירו את הדיווח לפיקוח המחוזי באמצעות טופס ידני. המועצה המקומית דאליית אל-כרמל הוסיפה כי בשנת 2021 הועבר דיווח למטה משרד הרווחה, אך אין בידיה תיעוד לכך, שכן העובדת שטיפלה בדיווח עזבה את עבודתה. גם העיריות </w:t>
      </w:r>
      <w:r w:rsidRPr="002F2BC5">
        <w:rPr>
          <w:rFonts w:hint="cs"/>
          <w:b/>
          <w:bCs/>
          <w:rtl/>
        </w:rPr>
        <w:t>אור עקיבא</w:t>
      </w:r>
      <w:r w:rsidRPr="002F2BC5">
        <w:rPr>
          <w:rFonts w:hint="cs"/>
          <w:rtl/>
        </w:rPr>
        <w:t xml:space="preserve"> ו</w:t>
      </w:r>
      <w:r w:rsidRPr="002F2BC5">
        <w:rPr>
          <w:rFonts w:hint="eastAsia"/>
          <w:b/>
          <w:bCs/>
          <w:rtl/>
        </w:rPr>
        <w:t>קריית</w:t>
      </w:r>
      <w:r w:rsidRPr="002F2BC5">
        <w:rPr>
          <w:b/>
          <w:bCs/>
          <w:rtl/>
        </w:rPr>
        <w:t xml:space="preserve"> </w:t>
      </w:r>
      <w:r w:rsidRPr="002F2BC5">
        <w:rPr>
          <w:rFonts w:hint="eastAsia"/>
          <w:b/>
          <w:bCs/>
          <w:rtl/>
        </w:rPr>
        <w:t>ים</w:t>
      </w:r>
      <w:r w:rsidRPr="002F2BC5">
        <w:rPr>
          <w:rFonts w:hint="cs"/>
          <w:rtl/>
        </w:rPr>
        <w:t xml:space="preserve"> והמועצה האזורית </w:t>
      </w:r>
      <w:r w:rsidRPr="002F2BC5">
        <w:rPr>
          <w:rFonts w:hint="eastAsia"/>
          <w:b/>
          <w:bCs/>
          <w:rtl/>
        </w:rPr>
        <w:t>זבולון</w:t>
      </w:r>
      <w:r w:rsidRPr="002F2BC5">
        <w:rPr>
          <w:rFonts w:hint="cs"/>
          <w:rtl/>
        </w:rPr>
        <w:t xml:space="preserve"> מסרו בתשובותיהן מאפריל 2025 כי העבירו את הדיווח הנדרש לפיקוח המחוזי באמצעות טופס ידני. עיריית קריית ים הוסיפה כי לא העבירה בשנים הנידונות דיווח באמצעות הקישור המקוון משום שהיה תקול.</w:t>
      </w:r>
    </w:p>
    <w:p w14:paraId="774C7EF8" w14:textId="77777777" w:rsidR="00817399" w:rsidRPr="002F2BC5" w:rsidRDefault="00817399" w:rsidP="00817399">
      <w:pPr>
        <w:spacing w:line="269" w:lineRule="auto"/>
        <w:rPr>
          <w:rtl/>
        </w:rPr>
      </w:pPr>
    </w:p>
    <w:p w14:paraId="4CAFD8D8"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י</w:t>
      </w:r>
      <w:r w:rsidRPr="002F2BC5">
        <w:rPr>
          <w:rFonts w:hint="cs"/>
          <w:b/>
          <w:bCs/>
          <w:rtl/>
        </w:rPr>
        <w:t>י</w:t>
      </w:r>
      <w:r w:rsidRPr="002F2BC5">
        <w:rPr>
          <w:rFonts w:hint="eastAsia"/>
          <w:b/>
          <w:bCs/>
          <w:rtl/>
        </w:rPr>
        <w:t>רכא</w:t>
      </w:r>
      <w:r w:rsidRPr="002F2BC5">
        <w:rPr>
          <w:rFonts w:hint="cs"/>
          <w:rtl/>
        </w:rPr>
        <w:t xml:space="preserve"> מסרה בתשובותיה מאפריל וממאי 2025 כי הדיווח לשנת 2023 הועבר באמצעות הקישור המקוון אך אין בידה תיעוד לכך, וכי מנהלת מחלקת הרווחה בעירייה הנחתה את עובדות המחלקה להקפיד שבעתיד יתועדו ויישמרו הדיווחים עם שליחתם. גם עיריית </w:t>
      </w:r>
      <w:r w:rsidRPr="002F2BC5">
        <w:rPr>
          <w:rFonts w:hint="eastAsia"/>
          <w:b/>
          <w:bCs/>
          <w:rtl/>
        </w:rPr>
        <w:t>עספי</w:t>
      </w:r>
      <w:r w:rsidRPr="002F2BC5">
        <w:rPr>
          <w:rFonts w:hint="cs"/>
          <w:b/>
          <w:bCs/>
          <w:rtl/>
        </w:rPr>
        <w:t>י</w:t>
      </w:r>
      <w:r w:rsidRPr="002F2BC5">
        <w:rPr>
          <w:rFonts w:hint="eastAsia"/>
          <w:b/>
          <w:bCs/>
          <w:rtl/>
        </w:rPr>
        <w:t>א</w:t>
      </w:r>
      <w:r w:rsidRPr="002F2BC5">
        <w:rPr>
          <w:rFonts w:hint="cs"/>
          <w:rtl/>
        </w:rPr>
        <w:t xml:space="preserve"> מסרה בתשובתה כי קיים בידה מידע חלקי בנוגע להעברת הדיווחים בתקופה הנידונה בשל תחלופה בכוח האדם במחלקה, והוסיפה כי תקפיד לעתיד על העברת הדיווחים השנתיים ועל תיעוד שליחתם.</w:t>
      </w:r>
    </w:p>
    <w:p w14:paraId="111EADEA" w14:textId="77777777" w:rsidR="00817399" w:rsidRPr="002F2BC5" w:rsidRDefault="00817399" w:rsidP="00817399">
      <w:pPr>
        <w:spacing w:line="269" w:lineRule="auto"/>
        <w:rPr>
          <w:rtl/>
        </w:rPr>
      </w:pPr>
    </w:p>
    <w:p w14:paraId="61029C82" w14:textId="77777777" w:rsidR="00817399" w:rsidRPr="002F2BC5" w:rsidRDefault="00817399" w:rsidP="00817399">
      <w:pPr>
        <w:spacing w:line="269" w:lineRule="auto"/>
        <w:rPr>
          <w:rtl/>
        </w:rPr>
      </w:pPr>
      <w:r w:rsidRPr="002F2BC5">
        <w:rPr>
          <w:rFonts w:hint="cs"/>
          <w:rtl/>
        </w:rPr>
        <w:t xml:space="preserve">העיריות </w:t>
      </w:r>
      <w:r w:rsidRPr="002F2BC5">
        <w:rPr>
          <w:rFonts w:hint="cs"/>
          <w:b/>
          <w:bCs/>
          <w:rtl/>
        </w:rPr>
        <w:t>אור יהודה</w:t>
      </w:r>
      <w:r w:rsidRPr="002F2BC5">
        <w:rPr>
          <w:rFonts w:hint="cs"/>
          <w:rtl/>
        </w:rPr>
        <w:t xml:space="preserve">, </w:t>
      </w:r>
      <w:r w:rsidRPr="002F2BC5">
        <w:rPr>
          <w:rFonts w:hint="eastAsia"/>
          <w:b/>
          <w:bCs/>
          <w:rtl/>
        </w:rPr>
        <w:t>גבעת</w:t>
      </w:r>
      <w:r w:rsidRPr="002F2BC5">
        <w:rPr>
          <w:b/>
          <w:bCs/>
          <w:rtl/>
        </w:rPr>
        <w:t xml:space="preserve"> </w:t>
      </w:r>
      <w:r w:rsidRPr="002F2BC5">
        <w:rPr>
          <w:rFonts w:hint="eastAsia"/>
          <w:b/>
          <w:bCs/>
          <w:rtl/>
        </w:rPr>
        <w:t>שמואל</w:t>
      </w:r>
      <w:r w:rsidRPr="002F2BC5">
        <w:rPr>
          <w:rFonts w:hint="cs"/>
          <w:rtl/>
        </w:rPr>
        <w:t xml:space="preserve"> ו</w:t>
      </w:r>
      <w:r w:rsidRPr="002F2BC5">
        <w:rPr>
          <w:rFonts w:hint="eastAsia"/>
          <w:b/>
          <w:bCs/>
          <w:rtl/>
        </w:rPr>
        <w:t>כפר</w:t>
      </w:r>
      <w:r w:rsidRPr="002F2BC5">
        <w:rPr>
          <w:b/>
          <w:bCs/>
          <w:rtl/>
        </w:rPr>
        <w:t xml:space="preserve"> </w:t>
      </w:r>
      <w:r w:rsidRPr="002F2BC5">
        <w:rPr>
          <w:rFonts w:hint="eastAsia"/>
          <w:b/>
          <w:bCs/>
          <w:rtl/>
        </w:rPr>
        <w:t>יונה</w:t>
      </w:r>
      <w:r w:rsidRPr="002F2BC5">
        <w:rPr>
          <w:rFonts w:hint="cs"/>
          <w:rtl/>
        </w:rPr>
        <w:t xml:space="preserve">, המועצות המקומיות </w:t>
      </w:r>
      <w:r w:rsidRPr="002F2BC5">
        <w:rPr>
          <w:rFonts w:hint="cs"/>
          <w:b/>
          <w:bCs/>
          <w:rtl/>
        </w:rPr>
        <w:t>אבו גוש</w:t>
      </w:r>
      <w:r w:rsidRPr="002F2BC5">
        <w:rPr>
          <w:rFonts w:hint="cs"/>
          <w:rtl/>
        </w:rPr>
        <w:t xml:space="preserve">, </w:t>
      </w:r>
      <w:r w:rsidRPr="002F2BC5">
        <w:rPr>
          <w:rFonts w:hint="eastAsia"/>
          <w:b/>
          <w:bCs/>
          <w:rtl/>
        </w:rPr>
        <w:t>דבוריה</w:t>
      </w:r>
      <w:r w:rsidRPr="002F2BC5">
        <w:rPr>
          <w:rFonts w:hint="cs"/>
          <w:rtl/>
        </w:rPr>
        <w:t xml:space="preserve">, </w:t>
      </w:r>
      <w:r w:rsidRPr="002F2BC5">
        <w:rPr>
          <w:rFonts w:hint="eastAsia"/>
          <w:b/>
          <w:bCs/>
          <w:rtl/>
        </w:rPr>
        <w:t>מבשרת</w:t>
      </w:r>
      <w:r w:rsidRPr="002F2BC5">
        <w:rPr>
          <w:b/>
          <w:bCs/>
          <w:rtl/>
        </w:rPr>
        <w:t xml:space="preserve"> </w:t>
      </w:r>
      <w:r w:rsidRPr="002F2BC5">
        <w:rPr>
          <w:rFonts w:hint="eastAsia"/>
          <w:b/>
          <w:bCs/>
          <w:rtl/>
        </w:rPr>
        <w:t>ציון</w:t>
      </w:r>
      <w:r w:rsidRPr="002F2BC5">
        <w:rPr>
          <w:rFonts w:hint="cs"/>
          <w:rtl/>
        </w:rPr>
        <w:t xml:space="preserve"> ו</w:t>
      </w:r>
      <w:r w:rsidRPr="002F2BC5">
        <w:rPr>
          <w:rFonts w:hint="cs"/>
          <w:b/>
          <w:bCs/>
          <w:rtl/>
        </w:rPr>
        <w:t>קדימה-צורן</w:t>
      </w:r>
      <w:r w:rsidRPr="002F2BC5">
        <w:rPr>
          <w:rFonts w:hint="cs"/>
          <w:rtl/>
        </w:rPr>
        <w:t xml:space="preserve"> והמועצה האזורית </w:t>
      </w:r>
      <w:r w:rsidRPr="002F2BC5">
        <w:rPr>
          <w:rFonts w:hint="eastAsia"/>
          <w:b/>
          <w:bCs/>
          <w:rtl/>
        </w:rPr>
        <w:t>אל</w:t>
      </w:r>
      <w:r w:rsidRPr="002F2BC5">
        <w:rPr>
          <w:b/>
          <w:bCs/>
          <w:rtl/>
        </w:rPr>
        <w:t>-</w:t>
      </w:r>
      <w:r w:rsidRPr="002F2BC5">
        <w:rPr>
          <w:rFonts w:hint="eastAsia"/>
          <w:b/>
          <w:bCs/>
          <w:rtl/>
        </w:rPr>
        <w:t>בטוף</w:t>
      </w:r>
      <w:r w:rsidRPr="002F2BC5">
        <w:rPr>
          <w:rFonts w:hint="cs"/>
          <w:rtl/>
        </w:rPr>
        <w:t xml:space="preserve"> מסרו בתשובותיהן ממרץ, מאפריל וממאי 2025 כי לא העבירו דיווח כנדרש, משום שבתקופה הנדונה המרכזים שבהפעלתן היו בהליך הקמה או לא הופעלו ברציפות, בין השאר על רקע קשיים באיוש כוח האדם, בעקבות עזיבה של עובדים, יציאה לחופשת לידה או גיוס למילואים. עיריית אור יהודה הוסיפה כי בעקבות ממצאי הביקורת חודדה חשיבות הדיווח למשרד הרווחה במועד וכי בשנת 2024 חודשה פעילות המרכז והועבר הדיווח כנדרש. עיריית גבעת שמואל הוסיפה שהיא רואה חשיבות רבה בטיפול בתופעה וכי היא ממשיכה לפעול לאיוש המשרות, אך ללא הצלחה, ובד בבד מפנה נפגעי אלימות במשפחה למרכז שמפעילה רשות מקומית סמוכה. עיריית כפר יונה הוסיפה בהתייחס לדיווח לשנת 2021 כי הוא הועבר לפיקוח המחוזי באמצעות טופס ידני, אך מבדיקתה מול משרד הרווחה עלה שהדיווח אינו מצוי בידו. המועצה המקומית דבוריה הוסיפה כי עם איוש תקינת כוח האדם במרכז בתחילת שנת 2025 וחידוש פעילותו יועברו דיווחים מדי שנה כנדרש. המועצה המקומית מבשרת ציון הוסיפה כי את הדיווח לשנת 2024 העבירה כנדרש. המועצה המקומית </w:t>
      </w:r>
      <w:r w:rsidRPr="002F2BC5">
        <w:rPr>
          <w:rFonts w:hint="eastAsia"/>
          <w:rtl/>
        </w:rPr>
        <w:t>קדימה</w:t>
      </w:r>
      <w:r w:rsidRPr="002F2BC5">
        <w:rPr>
          <w:rtl/>
        </w:rPr>
        <w:t>-צורן</w:t>
      </w:r>
      <w:r w:rsidRPr="002F2BC5">
        <w:rPr>
          <w:rFonts w:hint="cs"/>
          <w:rtl/>
        </w:rPr>
        <w:t xml:space="preserve"> הוסיפה כי בתקופה הנדונה, </w:t>
      </w:r>
      <w:r w:rsidRPr="002F2BC5">
        <w:rPr>
          <w:rFonts w:hint="cs"/>
          <w:rtl/>
        </w:rPr>
        <w:lastRenderedPageBreak/>
        <w:t>שבמהלכה המרכז שבהפעלתה היה מצוי בהליך הקמה, היא לא חויבה להעביר דיווח שנתי, אך התקיימה בקרה על פעילות המרכז במסגרת ביקורי הפיקוח מטעם משרד הרווחה, ונתונים חלקיים על פעילותו נכללו גם בדיווח שהעביר מרכז שמפעילה רשות מקומית סמוכה ושאליו הפנתה המועצה חלק מהמטופלים. המועצה האזורית אל-בטוף</w:t>
      </w:r>
      <w:r w:rsidRPr="002F2BC5">
        <w:rPr>
          <w:rFonts w:hint="cs"/>
          <w:b/>
          <w:bCs/>
          <w:rtl/>
        </w:rPr>
        <w:t xml:space="preserve"> </w:t>
      </w:r>
      <w:r w:rsidRPr="002F2BC5">
        <w:rPr>
          <w:rFonts w:hint="cs"/>
          <w:rtl/>
        </w:rPr>
        <w:t xml:space="preserve">הוסיפה כי העבירה את הדיווח הנדרש לשנת 2023 לפיקוח המחוזי באמצעות טופס ידני. </w:t>
      </w:r>
    </w:p>
    <w:p w14:paraId="3C3B1167" w14:textId="77777777" w:rsidR="00817399" w:rsidRPr="002F2BC5" w:rsidRDefault="00817399" w:rsidP="00817399">
      <w:pPr>
        <w:spacing w:line="269" w:lineRule="auto"/>
        <w:rPr>
          <w:rtl/>
        </w:rPr>
      </w:pPr>
    </w:p>
    <w:p w14:paraId="41175EA8" w14:textId="77777777" w:rsidR="00817399" w:rsidRPr="002F2BC5" w:rsidRDefault="00817399" w:rsidP="00817399">
      <w:pPr>
        <w:spacing w:line="269" w:lineRule="auto"/>
        <w:rPr>
          <w:rtl/>
        </w:rPr>
      </w:pPr>
      <w:r w:rsidRPr="002F2BC5">
        <w:rPr>
          <w:rFonts w:hint="eastAsia"/>
          <w:rtl/>
        </w:rPr>
        <w:t>עיריית</w:t>
      </w:r>
      <w:r w:rsidRPr="002F2BC5">
        <w:rPr>
          <w:rtl/>
        </w:rPr>
        <w:t xml:space="preserve"> </w:t>
      </w:r>
      <w:r w:rsidRPr="002F2BC5">
        <w:rPr>
          <w:rFonts w:hint="eastAsia"/>
          <w:b/>
          <w:bCs/>
          <w:rtl/>
        </w:rPr>
        <w:t>בית</w:t>
      </w:r>
      <w:r w:rsidRPr="002F2BC5">
        <w:rPr>
          <w:b/>
          <w:bCs/>
          <w:rtl/>
        </w:rPr>
        <w:t xml:space="preserve"> </w:t>
      </w:r>
      <w:r w:rsidRPr="002F2BC5">
        <w:rPr>
          <w:rFonts w:hint="eastAsia"/>
          <w:b/>
          <w:bCs/>
          <w:rtl/>
        </w:rPr>
        <w:t>שאן</w:t>
      </w:r>
      <w:r w:rsidRPr="002F2BC5">
        <w:rPr>
          <w:rtl/>
        </w:rPr>
        <w:t xml:space="preserve"> מסרה בתשובתה ממאי 2025 כי </w:t>
      </w:r>
      <w:r w:rsidRPr="002F2BC5">
        <w:rPr>
          <w:rFonts w:hint="eastAsia"/>
          <w:rtl/>
        </w:rPr>
        <w:t>בסמוך</w:t>
      </w:r>
      <w:r w:rsidRPr="002F2BC5">
        <w:rPr>
          <w:rtl/>
        </w:rPr>
        <w:t xml:space="preserve"> </w:t>
      </w:r>
      <w:r w:rsidRPr="002F2BC5">
        <w:rPr>
          <w:rFonts w:hint="eastAsia"/>
          <w:rtl/>
        </w:rPr>
        <w:t>למועד</w:t>
      </w:r>
      <w:r w:rsidRPr="002F2BC5">
        <w:rPr>
          <w:rtl/>
        </w:rPr>
        <w:t xml:space="preserve"> </w:t>
      </w:r>
      <w:r w:rsidRPr="002F2BC5">
        <w:rPr>
          <w:rFonts w:hint="eastAsia"/>
          <w:rtl/>
        </w:rPr>
        <w:t>התשוב</w:t>
      </w:r>
      <w:r w:rsidRPr="002F2BC5">
        <w:rPr>
          <w:rFonts w:hint="cs"/>
          <w:rtl/>
        </w:rPr>
        <w:t>ה</w:t>
      </w:r>
      <w:r w:rsidRPr="002F2BC5">
        <w:rPr>
          <w:rtl/>
        </w:rPr>
        <w:t xml:space="preserve"> הועבר דיווח ידני למשרד הרווחה לשנת 2023. עוד הוסיפה כי </w:t>
      </w:r>
      <w:r w:rsidRPr="002F2BC5">
        <w:rPr>
          <w:rFonts w:hint="eastAsia"/>
          <w:rtl/>
        </w:rPr>
        <w:t>המרכז</w:t>
      </w:r>
      <w:r w:rsidRPr="002F2BC5">
        <w:rPr>
          <w:rtl/>
        </w:rPr>
        <w:t xml:space="preserve"> מקפיד על ניהול </w:t>
      </w:r>
      <w:r w:rsidRPr="002F2BC5">
        <w:rPr>
          <w:rFonts w:hint="eastAsia"/>
          <w:rtl/>
        </w:rPr>
        <w:t>הנתונים</w:t>
      </w:r>
      <w:r w:rsidRPr="002F2BC5">
        <w:rPr>
          <w:rtl/>
        </w:rPr>
        <w:t xml:space="preserve"> על היקף הפניות ועל מאפייני המטופלים </w:t>
      </w:r>
      <w:r w:rsidRPr="002F2BC5">
        <w:rPr>
          <w:rFonts w:hint="eastAsia"/>
          <w:rtl/>
        </w:rPr>
        <w:t>במרכז</w:t>
      </w:r>
      <w:r w:rsidRPr="002F2BC5">
        <w:rPr>
          <w:rtl/>
        </w:rPr>
        <w:t xml:space="preserve"> ועל עדכ</w:t>
      </w:r>
      <w:r w:rsidRPr="002F2BC5">
        <w:rPr>
          <w:rFonts w:hint="eastAsia"/>
          <w:rtl/>
        </w:rPr>
        <w:t>ונם</w:t>
      </w:r>
      <w:r w:rsidRPr="002F2BC5">
        <w:rPr>
          <w:rtl/>
        </w:rPr>
        <w:t xml:space="preserve">, אך </w:t>
      </w:r>
      <w:r w:rsidRPr="002F2BC5">
        <w:rPr>
          <w:rFonts w:hint="eastAsia"/>
          <w:rtl/>
        </w:rPr>
        <w:t>הניתוח</w:t>
      </w:r>
      <w:r w:rsidRPr="002F2BC5">
        <w:rPr>
          <w:rtl/>
        </w:rPr>
        <w:t xml:space="preserve"> </w:t>
      </w:r>
      <w:r w:rsidRPr="002F2BC5">
        <w:rPr>
          <w:rFonts w:hint="eastAsia"/>
          <w:rtl/>
        </w:rPr>
        <w:t>והעיבוד</w:t>
      </w:r>
      <w:r w:rsidRPr="002F2BC5">
        <w:rPr>
          <w:rtl/>
        </w:rPr>
        <w:t xml:space="preserve"> </w:t>
      </w:r>
      <w:r w:rsidRPr="002F2BC5">
        <w:rPr>
          <w:rFonts w:hint="eastAsia"/>
          <w:rtl/>
        </w:rPr>
        <w:t>של</w:t>
      </w:r>
      <w:r w:rsidRPr="002F2BC5">
        <w:rPr>
          <w:rtl/>
        </w:rPr>
        <w:t xml:space="preserve"> </w:t>
      </w:r>
      <w:r w:rsidRPr="002F2BC5">
        <w:rPr>
          <w:rFonts w:hint="eastAsia"/>
          <w:rtl/>
        </w:rPr>
        <w:t>הנתונים</w:t>
      </w:r>
      <w:r w:rsidRPr="002F2BC5">
        <w:rPr>
          <w:rtl/>
        </w:rPr>
        <w:t xml:space="preserve"> </w:t>
      </w:r>
      <w:r w:rsidRPr="002F2BC5">
        <w:rPr>
          <w:rFonts w:hint="eastAsia"/>
          <w:rtl/>
        </w:rPr>
        <w:t>הללו</w:t>
      </w:r>
      <w:r w:rsidRPr="002F2BC5">
        <w:rPr>
          <w:rtl/>
        </w:rPr>
        <w:t xml:space="preserve"> </w:t>
      </w:r>
      <w:r w:rsidRPr="002F2BC5">
        <w:rPr>
          <w:rFonts w:hint="eastAsia"/>
          <w:rtl/>
        </w:rPr>
        <w:t>וריכוזם</w:t>
      </w:r>
      <w:r w:rsidRPr="002F2BC5">
        <w:rPr>
          <w:rtl/>
        </w:rPr>
        <w:t xml:space="preserve"> </w:t>
      </w:r>
      <w:r w:rsidRPr="002F2BC5">
        <w:rPr>
          <w:rFonts w:hint="eastAsia"/>
          <w:rtl/>
        </w:rPr>
        <w:t>בטבלה</w:t>
      </w:r>
      <w:r w:rsidRPr="002F2BC5">
        <w:rPr>
          <w:rtl/>
        </w:rPr>
        <w:t xml:space="preserve"> </w:t>
      </w:r>
      <w:r w:rsidRPr="002F2BC5">
        <w:rPr>
          <w:rFonts w:hint="eastAsia"/>
          <w:rtl/>
        </w:rPr>
        <w:t>מתכללת</w:t>
      </w:r>
      <w:r w:rsidRPr="002F2BC5">
        <w:rPr>
          <w:rFonts w:hint="cs"/>
          <w:rtl/>
        </w:rPr>
        <w:t xml:space="preserve"> </w:t>
      </w:r>
      <w:r w:rsidRPr="002F2BC5">
        <w:rPr>
          <w:rFonts w:hint="eastAsia"/>
          <w:rtl/>
        </w:rPr>
        <w:t>כרוכים</w:t>
      </w:r>
      <w:r w:rsidRPr="002F2BC5">
        <w:rPr>
          <w:rtl/>
        </w:rPr>
        <w:t xml:space="preserve"> </w:t>
      </w:r>
      <w:r w:rsidRPr="002F2BC5">
        <w:rPr>
          <w:rFonts w:hint="eastAsia"/>
          <w:rtl/>
        </w:rPr>
        <w:t>במשאבי</w:t>
      </w:r>
      <w:r w:rsidRPr="002F2BC5">
        <w:rPr>
          <w:rtl/>
        </w:rPr>
        <w:t xml:space="preserve"> </w:t>
      </w:r>
      <w:r w:rsidRPr="002F2BC5">
        <w:rPr>
          <w:rFonts w:hint="eastAsia"/>
          <w:rtl/>
        </w:rPr>
        <w:t>זמן</w:t>
      </w:r>
      <w:r w:rsidRPr="002F2BC5">
        <w:rPr>
          <w:rtl/>
        </w:rPr>
        <w:t xml:space="preserve"> </w:t>
      </w:r>
      <w:r w:rsidRPr="002F2BC5">
        <w:rPr>
          <w:rFonts w:hint="eastAsia"/>
          <w:rtl/>
        </w:rPr>
        <w:t>וכוח</w:t>
      </w:r>
      <w:r w:rsidRPr="002F2BC5">
        <w:rPr>
          <w:rtl/>
        </w:rPr>
        <w:t xml:space="preserve"> </w:t>
      </w:r>
      <w:r w:rsidRPr="002F2BC5">
        <w:rPr>
          <w:rFonts w:hint="eastAsia"/>
          <w:rtl/>
        </w:rPr>
        <w:t>אדם</w:t>
      </w:r>
      <w:r w:rsidRPr="002F2BC5">
        <w:rPr>
          <w:rtl/>
        </w:rPr>
        <w:t xml:space="preserve">, </w:t>
      </w:r>
      <w:r w:rsidRPr="002F2BC5">
        <w:rPr>
          <w:rFonts w:hint="eastAsia"/>
          <w:rtl/>
        </w:rPr>
        <w:t>ואף</w:t>
      </w:r>
      <w:r w:rsidRPr="002F2BC5">
        <w:rPr>
          <w:rtl/>
        </w:rPr>
        <w:t xml:space="preserve"> </w:t>
      </w:r>
      <w:r w:rsidRPr="002F2BC5">
        <w:rPr>
          <w:rFonts w:hint="cs"/>
          <w:rtl/>
        </w:rPr>
        <w:t>ש</w:t>
      </w:r>
      <w:r w:rsidRPr="002F2BC5">
        <w:rPr>
          <w:rFonts w:hint="eastAsia"/>
          <w:rtl/>
        </w:rPr>
        <w:t>אין</w:t>
      </w:r>
      <w:r w:rsidRPr="002F2BC5">
        <w:rPr>
          <w:rtl/>
        </w:rPr>
        <w:t xml:space="preserve"> </w:t>
      </w:r>
      <w:r w:rsidRPr="002F2BC5">
        <w:rPr>
          <w:rFonts w:hint="eastAsia"/>
          <w:rtl/>
        </w:rPr>
        <w:t>ספק</w:t>
      </w:r>
      <w:r w:rsidRPr="002F2BC5">
        <w:rPr>
          <w:rtl/>
        </w:rPr>
        <w:t xml:space="preserve"> </w:t>
      </w:r>
      <w:r w:rsidRPr="002F2BC5">
        <w:rPr>
          <w:rFonts w:hint="eastAsia"/>
          <w:rtl/>
        </w:rPr>
        <w:t>ב</w:t>
      </w:r>
      <w:r w:rsidRPr="002F2BC5">
        <w:rPr>
          <w:rFonts w:hint="cs"/>
          <w:rtl/>
        </w:rPr>
        <w:t>נוגע</w:t>
      </w:r>
      <w:r w:rsidRPr="002F2BC5">
        <w:rPr>
          <w:rtl/>
        </w:rPr>
        <w:t xml:space="preserve"> </w:t>
      </w:r>
      <w:r w:rsidRPr="002F2BC5">
        <w:rPr>
          <w:rFonts w:hint="eastAsia"/>
          <w:rtl/>
        </w:rPr>
        <w:t>לחשיבות</w:t>
      </w:r>
      <w:r w:rsidRPr="002F2BC5">
        <w:rPr>
          <w:rtl/>
        </w:rPr>
        <w:t xml:space="preserve"> </w:t>
      </w:r>
      <w:r w:rsidRPr="002F2BC5">
        <w:rPr>
          <w:rFonts w:hint="eastAsia"/>
          <w:rtl/>
        </w:rPr>
        <w:t>העברת</w:t>
      </w:r>
      <w:r w:rsidRPr="002F2BC5">
        <w:rPr>
          <w:rtl/>
        </w:rPr>
        <w:t xml:space="preserve"> </w:t>
      </w:r>
      <w:r w:rsidRPr="002F2BC5">
        <w:rPr>
          <w:rFonts w:hint="eastAsia"/>
          <w:rtl/>
        </w:rPr>
        <w:t>הדיווח</w:t>
      </w:r>
      <w:r w:rsidRPr="002F2BC5">
        <w:rPr>
          <w:rtl/>
        </w:rPr>
        <w:t xml:space="preserve">, </w:t>
      </w:r>
      <w:r w:rsidRPr="002F2BC5">
        <w:rPr>
          <w:rFonts w:hint="eastAsia"/>
          <w:rtl/>
        </w:rPr>
        <w:t>ייתכן</w:t>
      </w:r>
      <w:r w:rsidRPr="002F2BC5">
        <w:rPr>
          <w:rtl/>
        </w:rPr>
        <w:t xml:space="preserve"> </w:t>
      </w:r>
      <w:r w:rsidRPr="002F2BC5">
        <w:rPr>
          <w:rFonts w:hint="eastAsia"/>
          <w:rtl/>
        </w:rPr>
        <w:t>כי</w:t>
      </w:r>
      <w:r w:rsidRPr="002F2BC5">
        <w:rPr>
          <w:rtl/>
        </w:rPr>
        <w:t xml:space="preserve"> </w:t>
      </w:r>
      <w:r w:rsidRPr="002F2BC5">
        <w:rPr>
          <w:rFonts w:hint="eastAsia"/>
          <w:rtl/>
        </w:rPr>
        <w:t>יש</w:t>
      </w:r>
      <w:r w:rsidRPr="002F2BC5">
        <w:rPr>
          <w:rtl/>
        </w:rPr>
        <w:t xml:space="preserve"> </w:t>
      </w:r>
      <w:r w:rsidRPr="002F2BC5">
        <w:rPr>
          <w:rFonts w:hint="eastAsia"/>
          <w:rtl/>
        </w:rPr>
        <w:t>מקום</w:t>
      </w:r>
      <w:r w:rsidRPr="002F2BC5">
        <w:rPr>
          <w:rtl/>
        </w:rPr>
        <w:t xml:space="preserve"> </w:t>
      </w:r>
      <w:r w:rsidRPr="002F2BC5">
        <w:rPr>
          <w:rFonts w:hint="eastAsia"/>
          <w:rtl/>
        </w:rPr>
        <w:t>לשנות</w:t>
      </w:r>
      <w:r w:rsidRPr="002F2BC5">
        <w:rPr>
          <w:rtl/>
        </w:rPr>
        <w:t xml:space="preserve"> את </w:t>
      </w:r>
      <w:r w:rsidRPr="002F2BC5">
        <w:rPr>
          <w:rFonts w:hint="eastAsia"/>
          <w:rtl/>
        </w:rPr>
        <w:t>מתכונתה</w:t>
      </w:r>
      <w:r w:rsidRPr="002F2BC5">
        <w:rPr>
          <w:rtl/>
        </w:rPr>
        <w:t xml:space="preserve"> של הטבלה </w:t>
      </w:r>
      <w:r w:rsidRPr="002F2BC5">
        <w:rPr>
          <w:rFonts w:hint="eastAsia"/>
          <w:rtl/>
        </w:rPr>
        <w:t>האמורה</w:t>
      </w:r>
      <w:r w:rsidRPr="002F2BC5">
        <w:rPr>
          <w:rtl/>
        </w:rPr>
        <w:t xml:space="preserve">. </w:t>
      </w:r>
      <w:r w:rsidRPr="002F2BC5">
        <w:rPr>
          <w:rFonts w:hint="eastAsia"/>
          <w:rtl/>
        </w:rPr>
        <w:t>לפי</w:t>
      </w:r>
      <w:r w:rsidRPr="002F2BC5">
        <w:rPr>
          <w:rtl/>
        </w:rPr>
        <w:t xml:space="preserve"> </w:t>
      </w:r>
      <w:r w:rsidRPr="002F2BC5">
        <w:rPr>
          <w:rFonts w:hint="eastAsia"/>
          <w:rtl/>
        </w:rPr>
        <w:t>התשובה</w:t>
      </w:r>
      <w:r w:rsidRPr="002F2BC5">
        <w:rPr>
          <w:rtl/>
        </w:rPr>
        <w:t xml:space="preserve">, בתקופה הנידונה </w:t>
      </w:r>
      <w:r w:rsidRPr="002F2BC5">
        <w:rPr>
          <w:rFonts w:hint="eastAsia"/>
          <w:rtl/>
        </w:rPr>
        <w:t>לא</w:t>
      </w:r>
      <w:r w:rsidRPr="002F2BC5">
        <w:rPr>
          <w:rtl/>
        </w:rPr>
        <w:t xml:space="preserve"> </w:t>
      </w:r>
      <w:r w:rsidRPr="002F2BC5">
        <w:rPr>
          <w:rFonts w:hint="eastAsia"/>
          <w:rtl/>
        </w:rPr>
        <w:t>הועבר</w:t>
      </w:r>
      <w:r w:rsidRPr="002F2BC5">
        <w:rPr>
          <w:rtl/>
        </w:rPr>
        <w:t xml:space="preserve"> דיווח כנדרש </w:t>
      </w:r>
      <w:r w:rsidRPr="002F2BC5">
        <w:rPr>
          <w:rFonts w:hint="eastAsia"/>
          <w:rtl/>
        </w:rPr>
        <w:t>לנוכח</w:t>
      </w:r>
      <w:r w:rsidRPr="002F2BC5">
        <w:rPr>
          <w:rtl/>
        </w:rPr>
        <w:t xml:space="preserve"> </w:t>
      </w:r>
      <w:r w:rsidRPr="002F2BC5">
        <w:rPr>
          <w:rFonts w:hint="eastAsia"/>
          <w:rtl/>
        </w:rPr>
        <w:t>מצבת</w:t>
      </w:r>
      <w:r w:rsidRPr="002F2BC5">
        <w:rPr>
          <w:rtl/>
        </w:rPr>
        <w:t xml:space="preserve"> </w:t>
      </w:r>
      <w:r w:rsidRPr="002F2BC5">
        <w:rPr>
          <w:rFonts w:hint="eastAsia"/>
          <w:rtl/>
        </w:rPr>
        <w:t>כוח</w:t>
      </w:r>
      <w:r w:rsidRPr="002F2BC5">
        <w:rPr>
          <w:rtl/>
        </w:rPr>
        <w:t xml:space="preserve"> </w:t>
      </w:r>
      <w:r w:rsidRPr="002F2BC5">
        <w:rPr>
          <w:rFonts w:hint="eastAsia"/>
          <w:rtl/>
        </w:rPr>
        <w:t>האדם</w:t>
      </w:r>
      <w:r w:rsidRPr="002F2BC5">
        <w:rPr>
          <w:rtl/>
        </w:rPr>
        <w:t xml:space="preserve"> </w:t>
      </w:r>
      <w:r w:rsidRPr="002F2BC5">
        <w:rPr>
          <w:rFonts w:hint="eastAsia"/>
          <w:rtl/>
        </w:rPr>
        <w:t>המצומצמת</w:t>
      </w:r>
      <w:r w:rsidRPr="002F2BC5">
        <w:rPr>
          <w:rtl/>
        </w:rPr>
        <w:t xml:space="preserve"> </w:t>
      </w:r>
      <w:r w:rsidRPr="002F2BC5">
        <w:rPr>
          <w:rFonts w:hint="eastAsia"/>
          <w:rtl/>
        </w:rPr>
        <w:t>ובהיעדרו</w:t>
      </w:r>
      <w:r w:rsidRPr="002F2BC5">
        <w:rPr>
          <w:rtl/>
        </w:rPr>
        <w:t xml:space="preserve"> </w:t>
      </w:r>
      <w:r w:rsidRPr="002F2BC5">
        <w:rPr>
          <w:rFonts w:hint="eastAsia"/>
          <w:rtl/>
        </w:rPr>
        <w:t>של</w:t>
      </w:r>
      <w:r w:rsidRPr="002F2BC5">
        <w:rPr>
          <w:rtl/>
        </w:rPr>
        <w:t xml:space="preserve"> </w:t>
      </w:r>
      <w:r w:rsidRPr="002F2BC5">
        <w:rPr>
          <w:rFonts w:hint="eastAsia"/>
          <w:rtl/>
        </w:rPr>
        <w:t>עובד</w:t>
      </w:r>
      <w:r w:rsidRPr="002F2BC5">
        <w:rPr>
          <w:rtl/>
        </w:rPr>
        <w:t xml:space="preserve"> ייעודי המופקד על ביצוע משימות מסוג זה.</w:t>
      </w:r>
      <w:r w:rsidRPr="002F2BC5">
        <w:rPr>
          <w:rFonts w:hint="cs"/>
          <w:rtl/>
        </w:rPr>
        <w:t xml:space="preserve"> </w:t>
      </w:r>
    </w:p>
    <w:p w14:paraId="38971C63" w14:textId="77777777" w:rsidR="00817399" w:rsidRPr="002F2BC5" w:rsidRDefault="00817399" w:rsidP="00817399">
      <w:pPr>
        <w:spacing w:line="269" w:lineRule="auto"/>
        <w:rPr>
          <w:rtl/>
        </w:rPr>
      </w:pPr>
    </w:p>
    <w:p w14:paraId="1828D523" w14:textId="77777777" w:rsidR="00817399" w:rsidRPr="002F2BC5" w:rsidRDefault="00817399" w:rsidP="00817399">
      <w:pPr>
        <w:pStyle w:val="afffffffa"/>
        <w:spacing w:line="269" w:lineRule="auto"/>
        <w:rPr>
          <w:rtl/>
        </w:rPr>
      </w:pPr>
      <w:bookmarkStart w:id="727" w:name="_Toc191986981"/>
      <w:bookmarkStart w:id="728" w:name="_Toc192093078"/>
      <w:bookmarkStart w:id="729" w:name="_Toc192612786"/>
      <w:bookmarkStart w:id="730" w:name="_Toc198312211"/>
      <w:bookmarkStart w:id="731" w:name="_Toc198312686"/>
      <w:bookmarkStart w:id="732" w:name="_Toc200636870"/>
      <w:bookmarkStart w:id="733" w:name="_Toc200439869"/>
      <w:bookmarkStart w:id="734" w:name="_Toc201240974"/>
      <w:r w:rsidRPr="002F2BC5">
        <w:rPr>
          <w:rFonts w:hint="cs"/>
          <w:rtl/>
        </w:rPr>
        <w:t>מומלץ למשרד הרווחה להשלים את הליכי האפיון וההטמעה של המערכת הממוחשבת לניהול פעילות המרכזים לטיפול ומניעת אלימות במשפחה. עוד מומלץ למשרד הרווחה להסדיר באופן ברור את ממשקי העבודה ואת חלוקת העבודה בין מטה המשרד (הפיקוח הארצי) לבין מחוזותיו כדי למצות באופן המיטבי את המשאבים ותוצרי הפיקוח והבקרה ברמה המחוזית והארצית, לטייבם ולאגמם. כך יובטחו פיקוח ובקרה יעילים ומועילים על פעילות המרכזים לטיפול ומניעת אלימות במשפחה, כמו גם על יתר המסגרות והשירותים שמפעיל משרד הרווחה בעצמו, באמצעות הרשויות המקומיות או באמצעות נותני שירותים חיצוניים.</w:t>
      </w:r>
      <w:bookmarkEnd w:id="727"/>
      <w:bookmarkEnd w:id="728"/>
      <w:bookmarkEnd w:id="729"/>
      <w:bookmarkEnd w:id="730"/>
      <w:bookmarkEnd w:id="731"/>
      <w:bookmarkEnd w:id="732"/>
      <w:bookmarkEnd w:id="733"/>
      <w:bookmarkEnd w:id="734"/>
      <w:r w:rsidRPr="002F2BC5">
        <w:rPr>
          <w:rFonts w:hint="cs"/>
          <w:rtl/>
        </w:rPr>
        <w:t xml:space="preserve"> </w:t>
      </w:r>
    </w:p>
    <w:p w14:paraId="71856B04" w14:textId="77777777" w:rsidR="00817399" w:rsidRPr="002F2BC5" w:rsidRDefault="00817399" w:rsidP="00817399">
      <w:pPr>
        <w:spacing w:line="269" w:lineRule="auto"/>
        <w:rPr>
          <w:rtl/>
        </w:rPr>
      </w:pPr>
    </w:p>
    <w:p w14:paraId="26676759" w14:textId="77777777" w:rsidR="00817399" w:rsidRPr="002F2BC5" w:rsidRDefault="00817399" w:rsidP="00817399">
      <w:pPr>
        <w:pStyle w:val="afffffffa"/>
        <w:spacing w:line="269" w:lineRule="auto"/>
        <w:rPr>
          <w:rtl/>
        </w:rPr>
      </w:pPr>
      <w:bookmarkStart w:id="735" w:name="_Toc191986982"/>
      <w:bookmarkStart w:id="736" w:name="_Toc192093079"/>
      <w:bookmarkStart w:id="737" w:name="_Toc192612787"/>
      <w:bookmarkStart w:id="738" w:name="_Toc198312212"/>
      <w:bookmarkStart w:id="739" w:name="_Toc198312687"/>
      <w:bookmarkStart w:id="740" w:name="_Toc200636871"/>
      <w:bookmarkStart w:id="741" w:name="_Toc200439870"/>
      <w:bookmarkStart w:id="742" w:name="_Toc201240975"/>
      <w:r w:rsidRPr="002F2BC5">
        <w:rPr>
          <w:rFonts w:hint="eastAsia"/>
          <w:rtl/>
        </w:rPr>
        <w:t>לצד</w:t>
      </w:r>
      <w:r w:rsidRPr="002F2BC5">
        <w:rPr>
          <w:rtl/>
        </w:rPr>
        <w:t xml:space="preserve"> </w:t>
      </w:r>
      <w:r w:rsidRPr="002F2BC5">
        <w:rPr>
          <w:rFonts w:hint="eastAsia"/>
          <w:rtl/>
        </w:rPr>
        <w:t>האמור</w:t>
      </w:r>
      <w:r w:rsidRPr="002F2BC5">
        <w:rPr>
          <w:rtl/>
        </w:rPr>
        <w:t xml:space="preserve">, </w:t>
      </w:r>
      <w:r w:rsidRPr="002F2BC5">
        <w:rPr>
          <w:rFonts w:hint="eastAsia"/>
          <w:rtl/>
        </w:rPr>
        <w:t>וכל</w:t>
      </w:r>
      <w:r w:rsidRPr="002F2BC5">
        <w:rPr>
          <w:rtl/>
        </w:rPr>
        <w:t xml:space="preserve"> </w:t>
      </w:r>
      <w:r w:rsidRPr="002F2BC5">
        <w:rPr>
          <w:rFonts w:hint="eastAsia"/>
          <w:rtl/>
        </w:rPr>
        <w:t>עוד</w:t>
      </w:r>
      <w:r w:rsidRPr="002F2BC5">
        <w:rPr>
          <w:rtl/>
        </w:rPr>
        <w:t xml:space="preserve"> </w:t>
      </w:r>
      <w:r w:rsidRPr="002F2BC5">
        <w:rPr>
          <w:rFonts w:hint="eastAsia"/>
          <w:rtl/>
        </w:rPr>
        <w:t>המערכת</w:t>
      </w:r>
      <w:r w:rsidRPr="002F2BC5">
        <w:rPr>
          <w:rFonts w:hint="cs"/>
          <w:rtl/>
        </w:rPr>
        <w:t xml:space="preserve"> הממוחשבת</w:t>
      </w:r>
      <w:r w:rsidRPr="002F2BC5">
        <w:rPr>
          <w:rtl/>
        </w:rPr>
        <w:t xml:space="preserve"> מצויה בשלבי פיתוח או הטמעה, </w:t>
      </w:r>
      <w:r w:rsidRPr="002F2BC5">
        <w:rPr>
          <w:rFonts w:hint="eastAsia"/>
          <w:rtl/>
        </w:rPr>
        <w:t>מומלץ</w:t>
      </w:r>
      <w:r w:rsidRPr="002F2BC5">
        <w:rPr>
          <w:rtl/>
        </w:rPr>
        <w:t xml:space="preserve"> </w:t>
      </w:r>
      <w:r w:rsidRPr="002F2BC5">
        <w:rPr>
          <w:rFonts w:hint="eastAsia"/>
          <w:rtl/>
        </w:rPr>
        <w:t>למשרד</w:t>
      </w:r>
      <w:r w:rsidRPr="002F2BC5">
        <w:rPr>
          <w:rtl/>
        </w:rPr>
        <w:t xml:space="preserve"> </w:t>
      </w:r>
      <w:r w:rsidRPr="002F2BC5">
        <w:rPr>
          <w:rFonts w:hint="eastAsia"/>
          <w:rtl/>
        </w:rPr>
        <w:t>הר</w:t>
      </w:r>
      <w:r w:rsidRPr="002F2BC5">
        <w:rPr>
          <w:rFonts w:hint="cs"/>
          <w:rtl/>
        </w:rPr>
        <w:t>ו</w:t>
      </w:r>
      <w:r w:rsidRPr="002F2BC5">
        <w:rPr>
          <w:rFonts w:hint="eastAsia"/>
          <w:rtl/>
        </w:rPr>
        <w:t>וחה</w:t>
      </w:r>
      <w:r w:rsidRPr="002F2BC5">
        <w:rPr>
          <w:rtl/>
        </w:rPr>
        <w:t xml:space="preserve"> </w:t>
      </w:r>
      <w:r w:rsidRPr="002F2BC5">
        <w:rPr>
          <w:rFonts w:hint="eastAsia"/>
          <w:rtl/>
        </w:rPr>
        <w:t>להתאים</w:t>
      </w:r>
      <w:r w:rsidRPr="002F2BC5">
        <w:rPr>
          <w:rtl/>
        </w:rPr>
        <w:t xml:space="preserve"> את </w:t>
      </w:r>
      <w:r w:rsidRPr="002F2BC5">
        <w:rPr>
          <w:rFonts w:hint="cs"/>
          <w:rtl/>
        </w:rPr>
        <w:t>מנגנון העברת</w:t>
      </w:r>
      <w:r w:rsidRPr="002F2BC5">
        <w:rPr>
          <w:rtl/>
        </w:rPr>
        <w:t xml:space="preserve"> הדיווח</w:t>
      </w:r>
      <w:r w:rsidRPr="002F2BC5">
        <w:rPr>
          <w:rFonts w:hint="cs"/>
          <w:rtl/>
        </w:rPr>
        <w:t xml:space="preserve"> ואת אופן העברתו, את תדירות העברת הדיווח</w:t>
      </w:r>
      <w:r w:rsidRPr="002F2BC5">
        <w:rPr>
          <w:rtl/>
        </w:rPr>
        <w:t xml:space="preserve"> ו</w:t>
      </w:r>
      <w:r w:rsidRPr="002F2BC5">
        <w:rPr>
          <w:rFonts w:hint="cs"/>
          <w:rtl/>
        </w:rPr>
        <w:t xml:space="preserve">את </w:t>
      </w:r>
      <w:r w:rsidRPr="002F2BC5">
        <w:rPr>
          <w:rtl/>
        </w:rPr>
        <w:t xml:space="preserve">תהליכי העבודה הקיימים </w:t>
      </w:r>
      <w:r w:rsidRPr="002F2BC5">
        <w:rPr>
          <w:rFonts w:hint="eastAsia"/>
          <w:rtl/>
        </w:rPr>
        <w:t>ולטייבם</w:t>
      </w:r>
      <w:r w:rsidRPr="002F2BC5">
        <w:rPr>
          <w:rFonts w:hint="cs"/>
          <w:rtl/>
        </w:rPr>
        <w:t>, תוך שימת לב גם למשאבי הזמן וכוח האדם הכרוכים בכך - כפי שהועלה מתשובותיהן של הרשויות המקומיות -</w:t>
      </w:r>
      <w:r w:rsidRPr="002F2BC5">
        <w:rPr>
          <w:rtl/>
        </w:rPr>
        <w:t xml:space="preserve"> </w:t>
      </w:r>
      <w:r w:rsidRPr="002F2BC5">
        <w:rPr>
          <w:rFonts w:hint="cs"/>
          <w:rtl/>
        </w:rPr>
        <w:t>כדי</w:t>
      </w:r>
      <w:r w:rsidRPr="002F2BC5">
        <w:rPr>
          <w:rtl/>
        </w:rPr>
        <w:t xml:space="preserve"> להבטיח כי בידי המחלקות לשירותים חברתיים, המרכזים לטיפול ומניעת אלימות במשפחה ומשרד הרווחה ומפקחיו </w:t>
      </w:r>
      <w:r w:rsidRPr="002F2BC5">
        <w:rPr>
          <w:rFonts w:hint="cs"/>
          <w:rtl/>
        </w:rPr>
        <w:t xml:space="preserve">מצוי באופן זמין ושוטף </w:t>
      </w:r>
      <w:r w:rsidRPr="002F2BC5">
        <w:rPr>
          <w:rtl/>
        </w:rPr>
        <w:t>המידע ההכרחי להבטחת זמינותם ורמתם המקצועית של השירותים הניתנים במרכזים.</w:t>
      </w:r>
      <w:r w:rsidRPr="002F2BC5">
        <w:rPr>
          <w:rFonts w:hint="cs"/>
          <w:rtl/>
        </w:rPr>
        <w:t xml:space="preserve"> </w:t>
      </w:r>
      <w:r w:rsidRPr="002F2BC5">
        <w:rPr>
          <w:rFonts w:hint="eastAsia"/>
          <w:rtl/>
        </w:rPr>
        <w:t>הדברים</w:t>
      </w:r>
      <w:r w:rsidRPr="002F2BC5">
        <w:rPr>
          <w:rtl/>
        </w:rPr>
        <w:t xml:space="preserve"> אמורים </w:t>
      </w:r>
      <w:r w:rsidRPr="002F2BC5">
        <w:rPr>
          <w:rFonts w:hint="eastAsia"/>
          <w:rtl/>
        </w:rPr>
        <w:t>אף</w:t>
      </w:r>
      <w:r w:rsidRPr="002F2BC5">
        <w:rPr>
          <w:rtl/>
        </w:rPr>
        <w:t xml:space="preserve"> </w:t>
      </w:r>
      <w:r w:rsidRPr="002F2BC5">
        <w:rPr>
          <w:rFonts w:hint="eastAsia"/>
          <w:rtl/>
        </w:rPr>
        <w:t>ביתר</w:t>
      </w:r>
      <w:r w:rsidRPr="002F2BC5">
        <w:rPr>
          <w:rtl/>
        </w:rPr>
        <w:t xml:space="preserve"> </w:t>
      </w:r>
      <w:r w:rsidRPr="002F2BC5">
        <w:rPr>
          <w:rFonts w:hint="eastAsia"/>
          <w:rtl/>
        </w:rPr>
        <w:t>שאת</w:t>
      </w:r>
      <w:r w:rsidRPr="002F2BC5">
        <w:rPr>
          <w:rtl/>
        </w:rPr>
        <w:t xml:space="preserve"> </w:t>
      </w:r>
      <w:r w:rsidRPr="002F2BC5">
        <w:rPr>
          <w:rFonts w:hint="eastAsia"/>
          <w:rtl/>
        </w:rPr>
        <w:t>בעיתות</w:t>
      </w:r>
      <w:r w:rsidRPr="002F2BC5">
        <w:rPr>
          <w:rtl/>
        </w:rPr>
        <w:t xml:space="preserve"> </w:t>
      </w:r>
      <w:r w:rsidRPr="002F2BC5">
        <w:rPr>
          <w:rFonts w:hint="eastAsia"/>
          <w:rtl/>
        </w:rPr>
        <w:t>משבר</w:t>
      </w:r>
      <w:r w:rsidRPr="002F2BC5">
        <w:rPr>
          <w:rtl/>
        </w:rPr>
        <w:t xml:space="preserve"> </w:t>
      </w:r>
      <w:r w:rsidRPr="002F2BC5">
        <w:rPr>
          <w:rFonts w:hint="eastAsia"/>
          <w:rtl/>
        </w:rPr>
        <w:t>וחירום</w:t>
      </w:r>
      <w:r w:rsidRPr="002F2BC5">
        <w:rPr>
          <w:rtl/>
        </w:rPr>
        <w:t xml:space="preserve">, ובפרט </w:t>
      </w:r>
      <w:r w:rsidRPr="002F2BC5">
        <w:rPr>
          <w:rFonts w:hint="eastAsia"/>
          <w:rtl/>
        </w:rPr>
        <w:t>במהלך</w:t>
      </w:r>
      <w:r w:rsidRPr="002F2BC5">
        <w:rPr>
          <w:rtl/>
        </w:rPr>
        <w:t xml:space="preserve"> מלחמת חרבות ברזל</w:t>
      </w:r>
      <w:r w:rsidRPr="002F2BC5">
        <w:rPr>
          <w:rStyle w:val="af9"/>
          <w:b w:val="0"/>
          <w:bCs w:val="0"/>
          <w:rtl/>
        </w:rPr>
        <w:footnoteReference w:id="184"/>
      </w:r>
      <w:r w:rsidRPr="002F2BC5">
        <w:rPr>
          <w:rtl/>
        </w:rPr>
        <w:t>.</w:t>
      </w:r>
      <w:bookmarkEnd w:id="735"/>
      <w:bookmarkEnd w:id="736"/>
      <w:bookmarkEnd w:id="737"/>
      <w:bookmarkEnd w:id="738"/>
      <w:bookmarkEnd w:id="739"/>
      <w:bookmarkEnd w:id="740"/>
      <w:bookmarkEnd w:id="741"/>
      <w:bookmarkEnd w:id="742"/>
    </w:p>
    <w:p w14:paraId="67F49493" w14:textId="77777777" w:rsidR="00817399" w:rsidRPr="002F2BC5" w:rsidRDefault="00817399" w:rsidP="00817399">
      <w:pPr>
        <w:spacing w:line="269" w:lineRule="auto"/>
        <w:rPr>
          <w:rtl/>
        </w:rPr>
      </w:pPr>
    </w:p>
    <w:p w14:paraId="2CF4C40A" w14:textId="77777777" w:rsidR="00817399" w:rsidRPr="002F2BC5" w:rsidRDefault="00817399" w:rsidP="00817399">
      <w:pPr>
        <w:spacing w:line="269" w:lineRule="auto"/>
        <w:rPr>
          <w:rtl/>
        </w:rPr>
      </w:pPr>
      <w:r w:rsidRPr="002F2BC5">
        <w:rPr>
          <w:rFonts w:hint="cs"/>
          <w:rtl/>
        </w:rPr>
        <w:t>משרד הרווחה מסר בתשובתו כי הוא</w:t>
      </w:r>
      <w:r w:rsidRPr="002F2BC5">
        <w:rPr>
          <w:rtl/>
        </w:rPr>
        <w:t xml:space="preserve"> מכיר בחשיבות </w:t>
      </w:r>
      <w:r w:rsidRPr="002F2BC5">
        <w:rPr>
          <w:rFonts w:hint="cs"/>
          <w:rtl/>
        </w:rPr>
        <w:t xml:space="preserve">שביצירת </w:t>
      </w:r>
      <w:r w:rsidRPr="002F2BC5">
        <w:rPr>
          <w:rtl/>
        </w:rPr>
        <w:t>בסיס נתונים קבוע כחלק בלתי נפרד מה</w:t>
      </w:r>
      <w:r w:rsidRPr="002F2BC5">
        <w:rPr>
          <w:rFonts w:hint="cs"/>
          <w:rtl/>
        </w:rPr>
        <w:t>ה</w:t>
      </w:r>
      <w:r w:rsidRPr="002F2BC5">
        <w:rPr>
          <w:rtl/>
        </w:rPr>
        <w:t>תמודדות</w:t>
      </w:r>
      <w:r w:rsidRPr="002F2BC5">
        <w:rPr>
          <w:rFonts w:hint="cs"/>
          <w:rtl/>
        </w:rPr>
        <w:t xml:space="preserve"> </w:t>
      </w:r>
      <w:r w:rsidRPr="002F2BC5">
        <w:rPr>
          <w:rtl/>
        </w:rPr>
        <w:t>עם תופעת האלימות במשפחה</w:t>
      </w:r>
      <w:r w:rsidRPr="002F2BC5">
        <w:rPr>
          <w:rFonts w:hint="cs"/>
          <w:rtl/>
        </w:rPr>
        <w:t>. הוא הוסיף כי איסוף הנתונים מדי שנה על פעילות המרכזים נעשה באופן אחיד, בהנחיית מטה המשרד ומחוזותיו, אך הוא מצוי</w:t>
      </w:r>
      <w:r w:rsidRPr="002F2BC5">
        <w:rPr>
          <w:rtl/>
        </w:rPr>
        <w:t xml:space="preserve"> בעיצומו של </w:t>
      </w:r>
      <w:r w:rsidRPr="002F2BC5">
        <w:rPr>
          <w:rFonts w:hint="cs"/>
          <w:rtl/>
        </w:rPr>
        <w:t>מהלך</w:t>
      </w:r>
      <w:r w:rsidRPr="002F2BC5">
        <w:rPr>
          <w:rtl/>
        </w:rPr>
        <w:t xml:space="preserve"> </w:t>
      </w:r>
      <w:r w:rsidRPr="002F2BC5">
        <w:rPr>
          <w:rFonts w:hint="cs"/>
          <w:rtl/>
        </w:rPr>
        <w:t xml:space="preserve">משמעותי לטיוב תהליכי הפיקוח ותהליכי איסוף הנתונים על פעילות המרכזים. הוא ציין כי </w:t>
      </w:r>
      <w:r w:rsidRPr="002F2BC5">
        <w:rPr>
          <w:rtl/>
        </w:rPr>
        <w:t xml:space="preserve">בתום </w:t>
      </w:r>
      <w:r w:rsidRPr="002F2BC5">
        <w:rPr>
          <w:rFonts w:hint="cs"/>
          <w:rtl/>
        </w:rPr>
        <w:t xml:space="preserve">תהליך </w:t>
      </w:r>
      <w:r w:rsidRPr="002F2BC5">
        <w:rPr>
          <w:rtl/>
        </w:rPr>
        <w:t xml:space="preserve">הטמעת המערכת </w:t>
      </w:r>
      <w:r w:rsidRPr="002F2BC5">
        <w:rPr>
          <w:rFonts w:hint="cs"/>
          <w:rtl/>
        </w:rPr>
        <w:t xml:space="preserve">הממוחשבת החדשה ייאספו באמצעותה נתונים באופן קבוע גם ברמה החודשית. לצד זאת הוא שב וציין כי הוא פועל להרחבת מנגנוני הבקרה העצמית על פעילות המרכזים. </w:t>
      </w:r>
    </w:p>
    <w:p w14:paraId="4511780B" w14:textId="77777777" w:rsidR="00817399" w:rsidRPr="002F2BC5" w:rsidRDefault="00817399" w:rsidP="00817399">
      <w:pPr>
        <w:spacing w:line="269" w:lineRule="auto"/>
        <w:rPr>
          <w:rtl/>
        </w:rPr>
      </w:pPr>
    </w:p>
    <w:p w14:paraId="4A37119E" w14:textId="77777777" w:rsidR="00817399" w:rsidRPr="002F2BC5" w:rsidRDefault="00817399" w:rsidP="00817399">
      <w:pPr>
        <w:pStyle w:val="afffffff2"/>
        <w:spacing w:line="269" w:lineRule="auto"/>
        <w:rPr>
          <w:rtl/>
        </w:rPr>
      </w:pPr>
      <w:r w:rsidRPr="002F2BC5">
        <w:rPr>
          <w:rFonts w:hint="cs"/>
          <w:rtl/>
        </w:rPr>
        <w:t>מידת תיקון הליקוי</w:t>
      </w:r>
    </w:p>
    <w:p w14:paraId="3DABA926" w14:textId="77777777" w:rsidR="00817399" w:rsidRPr="002F2BC5" w:rsidRDefault="00817399" w:rsidP="00817399">
      <w:pPr>
        <w:pStyle w:val="afffffff7"/>
        <w:spacing w:before="0" w:line="269" w:lineRule="auto"/>
        <w:rPr>
          <w:rtl/>
        </w:rPr>
      </w:pPr>
      <w:bookmarkStart w:id="743" w:name="_Toc198312213"/>
      <w:bookmarkStart w:id="744" w:name="_Toc198312688"/>
      <w:bookmarkStart w:id="745" w:name="_Toc189072223"/>
      <w:r w:rsidRPr="002F2BC5">
        <w:rPr>
          <w:noProof/>
        </w:rPr>
        <w:drawing>
          <wp:inline distT="0" distB="0" distL="0" distR="0" wp14:anchorId="41C04862" wp14:editId="08A5AD06">
            <wp:extent cx="4324350" cy="933450"/>
            <wp:effectExtent l="0" t="0" r="0" b="0"/>
            <wp:docPr id="20"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743"/>
      <w:bookmarkEnd w:id="744"/>
    </w:p>
    <w:p w14:paraId="7D84ECF8" w14:textId="77777777" w:rsidR="00817399" w:rsidRPr="002F2BC5" w:rsidRDefault="00817399" w:rsidP="00817399">
      <w:pPr>
        <w:rPr>
          <w:rtl/>
        </w:rPr>
      </w:pPr>
    </w:p>
    <w:bookmarkEnd w:id="745"/>
    <w:p w14:paraId="6F83E1F3" w14:textId="77777777" w:rsidR="00817399" w:rsidRPr="002F2BC5" w:rsidRDefault="00817399" w:rsidP="00817399">
      <w:pPr>
        <w:bidi w:val="0"/>
        <w:spacing w:after="200" w:line="276" w:lineRule="auto"/>
        <w:rPr>
          <w:rtl/>
        </w:rPr>
      </w:pPr>
      <w:r w:rsidRPr="002F2BC5">
        <w:rPr>
          <w:rtl/>
        </w:rPr>
        <w:br w:type="page"/>
      </w:r>
    </w:p>
    <w:p w14:paraId="31800ADC" w14:textId="77777777" w:rsidR="00817399" w:rsidRPr="002F2BC5" w:rsidRDefault="00817399" w:rsidP="00817399">
      <w:pPr>
        <w:pStyle w:val="4"/>
        <w:spacing w:before="0" w:line="269" w:lineRule="auto"/>
        <w:rPr>
          <w:rtl/>
        </w:rPr>
      </w:pPr>
      <w:bookmarkStart w:id="746" w:name="_Toc189072224"/>
      <w:bookmarkStart w:id="747" w:name="_Toc191986983"/>
      <w:bookmarkStart w:id="748" w:name="_Toc191891389"/>
      <w:bookmarkStart w:id="749" w:name="_Toc192093080"/>
      <w:bookmarkStart w:id="750" w:name="_Toc193110605"/>
      <w:bookmarkStart w:id="751" w:name="_Toc192612788"/>
      <w:bookmarkStart w:id="752" w:name="_Toc192778823"/>
      <w:bookmarkStart w:id="753" w:name="_Toc198312214"/>
      <w:bookmarkStart w:id="754" w:name="_Toc198312689"/>
      <w:bookmarkStart w:id="755" w:name="_Toc200636801"/>
      <w:bookmarkStart w:id="756" w:name="_Toc200636872"/>
      <w:bookmarkStart w:id="757" w:name="_Toc200439800"/>
      <w:bookmarkStart w:id="758" w:name="_Toc200439871"/>
      <w:bookmarkStart w:id="759" w:name="_Toc201240976"/>
      <w:bookmarkStart w:id="760" w:name="_Toc192784377"/>
      <w:bookmarkStart w:id="761" w:name="_Toc201759363"/>
      <w:bookmarkStart w:id="762" w:name="_Toc203487999"/>
      <w:r w:rsidRPr="002F2BC5">
        <w:rPr>
          <w:rFonts w:hint="cs"/>
          <w:rtl/>
        </w:rPr>
        <w:lastRenderedPageBreak/>
        <w:t>איגום וניהול מרכזי של ממצאי הפיקוח</w:t>
      </w:r>
      <w:r w:rsidRPr="002F2BC5">
        <w:rPr>
          <w:rStyle w:val="af9"/>
          <w:rtl/>
        </w:rPr>
        <w:footnoteReference w:id="185"/>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182D5CD6" w14:textId="77777777" w:rsidR="00817399" w:rsidRPr="002F2BC5" w:rsidRDefault="00817399" w:rsidP="00817399">
      <w:pPr>
        <w:spacing w:line="269" w:lineRule="auto"/>
        <w:rPr>
          <w:rtl/>
        </w:rPr>
      </w:pPr>
    </w:p>
    <w:p w14:paraId="1F4F3916" w14:textId="77777777" w:rsidR="00817399" w:rsidRPr="002F2BC5" w:rsidRDefault="00817399" w:rsidP="00817399">
      <w:pPr>
        <w:spacing w:line="269" w:lineRule="auto"/>
        <w:rPr>
          <w:rtl/>
        </w:rPr>
      </w:pPr>
      <w:r w:rsidRPr="002F2BC5">
        <w:rPr>
          <w:rFonts w:hint="cs"/>
          <w:rtl/>
        </w:rPr>
        <w:t>מערכת הפיקוח המרכזית אמורה לתעד את כלל ביקורי הפיקוח ופעולות הפיקוח המוטלות על המפקחים המחוזיים, ובכך יש ביכולתה לאפשר ניהול שיטתי ואיגום של נתוני הפיקוח. כך גם לפי נוהל תפקיד המפקח המחוזי, לצד מערכות מחשוב נוספות של משרד הרווחה, מערכת הפיקוח אמורה לשמש את המפקח המחוזי בפעולות הבקרה, הפיקוח והאכיפה המוטלות עליו. תשתית הנתונים מתוך מערכות אלו אמורה לשמש את המפקח המחוזי לתמיכה בפעולות הפיקוח, להשלמת מידע הנדרש לבחינת תפקוד הגורם המפוקח וכן ככלי תומך החלטה עבור המפקח</w:t>
      </w:r>
      <w:r w:rsidRPr="002F2BC5">
        <w:rPr>
          <w:rStyle w:val="af9"/>
          <w:rtl/>
        </w:rPr>
        <w:footnoteReference w:id="186"/>
      </w:r>
      <w:r w:rsidRPr="002F2BC5">
        <w:rPr>
          <w:rFonts w:hint="cs"/>
          <w:rtl/>
        </w:rPr>
        <w:t>.</w:t>
      </w:r>
    </w:p>
    <w:p w14:paraId="3D4DD570" w14:textId="77777777" w:rsidR="00817399" w:rsidRPr="002F2BC5" w:rsidRDefault="00817399" w:rsidP="00817399">
      <w:pPr>
        <w:spacing w:line="269" w:lineRule="auto"/>
        <w:rPr>
          <w:rtl/>
        </w:rPr>
      </w:pPr>
    </w:p>
    <w:p w14:paraId="6E01F85C" w14:textId="77777777" w:rsidR="00817399" w:rsidRPr="002F2BC5" w:rsidRDefault="00817399" w:rsidP="00817399">
      <w:pPr>
        <w:spacing w:line="269" w:lineRule="auto"/>
        <w:rPr>
          <w:rtl/>
        </w:rPr>
      </w:pPr>
      <w:bookmarkStart w:id="763" w:name="_Toc191986984"/>
      <w:r w:rsidRPr="002F2BC5">
        <w:rPr>
          <w:rStyle w:val="70"/>
          <w:rFonts w:hint="cs"/>
          <w:rtl/>
        </w:rPr>
        <w:t>הביקורת הקודמת:</w:t>
      </w:r>
      <w:bookmarkEnd w:id="763"/>
      <w:r w:rsidRPr="002F2BC5">
        <w:rPr>
          <w:rFonts w:hint="cs"/>
          <w:rtl/>
        </w:rPr>
        <w:t xml:space="preserve"> </w:t>
      </w:r>
      <w:r w:rsidRPr="002F2BC5">
        <w:rPr>
          <w:rtl/>
        </w:rPr>
        <w:t xml:space="preserve">נמצא כי משרד הרווחה אינו מאגם באופן שיטתי נתונים מדוחות הפיקוח ואינו מרכז את דוחות הפיקוח משנים קודמות. </w:t>
      </w:r>
      <w:r w:rsidRPr="002F2BC5">
        <w:rPr>
          <w:rFonts w:hint="cs"/>
          <w:rtl/>
        </w:rPr>
        <w:t xml:space="preserve">על כן אין </w:t>
      </w:r>
      <w:r w:rsidRPr="002F2BC5">
        <w:rPr>
          <w:rtl/>
        </w:rPr>
        <w:t xml:space="preserve">באפשרותו לאתר </w:t>
      </w:r>
      <w:r w:rsidRPr="002F2BC5">
        <w:rPr>
          <w:rFonts w:hint="cs"/>
          <w:rtl/>
        </w:rPr>
        <w:t xml:space="preserve">ולזהות </w:t>
      </w:r>
      <w:r w:rsidRPr="002F2BC5">
        <w:rPr>
          <w:rtl/>
        </w:rPr>
        <w:t xml:space="preserve">ליקויים מערכתיים </w:t>
      </w:r>
      <w:r w:rsidRPr="002F2BC5">
        <w:rPr>
          <w:rFonts w:hint="cs"/>
          <w:rtl/>
        </w:rPr>
        <w:t xml:space="preserve">או </w:t>
      </w:r>
      <w:r w:rsidRPr="002F2BC5">
        <w:rPr>
          <w:rtl/>
        </w:rPr>
        <w:t xml:space="preserve">לשלוף נתונים על פעילות הפיקוח במסגרת מסוימת או בתחום מסוים. </w:t>
      </w:r>
    </w:p>
    <w:p w14:paraId="5CA1D6FC" w14:textId="77777777" w:rsidR="00817399" w:rsidRPr="002F2BC5" w:rsidRDefault="00817399" w:rsidP="00817399">
      <w:pPr>
        <w:spacing w:line="269" w:lineRule="auto"/>
        <w:rPr>
          <w:rtl/>
        </w:rPr>
      </w:pPr>
    </w:p>
    <w:p w14:paraId="47C15B3C" w14:textId="77777777" w:rsidR="00817399" w:rsidRPr="002F2BC5" w:rsidRDefault="00817399" w:rsidP="00817399">
      <w:pPr>
        <w:spacing w:line="269" w:lineRule="auto"/>
        <w:rPr>
          <w:rtl/>
        </w:rPr>
      </w:pPr>
      <w:r w:rsidRPr="002F2BC5">
        <w:rPr>
          <w:rFonts w:hint="cs"/>
          <w:rtl/>
        </w:rPr>
        <w:t>משרד מבקר המדינה המליץ ל</w:t>
      </w:r>
      <w:r w:rsidRPr="002F2BC5">
        <w:rPr>
          <w:rtl/>
        </w:rPr>
        <w:t xml:space="preserve">משרד הרווחה </w:t>
      </w:r>
      <w:r w:rsidRPr="002F2BC5">
        <w:rPr>
          <w:rFonts w:hint="cs"/>
          <w:rtl/>
        </w:rPr>
        <w:t>ל</w:t>
      </w:r>
      <w:r w:rsidRPr="002F2BC5">
        <w:rPr>
          <w:rtl/>
        </w:rPr>
        <w:t>בח</w:t>
      </w:r>
      <w:r w:rsidRPr="002F2BC5">
        <w:rPr>
          <w:rFonts w:hint="cs"/>
          <w:rtl/>
        </w:rPr>
        <w:t>ו</w:t>
      </w:r>
      <w:r w:rsidRPr="002F2BC5">
        <w:rPr>
          <w:rtl/>
        </w:rPr>
        <w:t xml:space="preserve">ן דרכים לטיוב מערך הפיקוח והבקרה </w:t>
      </w:r>
      <w:r w:rsidRPr="002F2BC5">
        <w:rPr>
          <w:rFonts w:hint="cs"/>
          <w:rtl/>
        </w:rPr>
        <w:t>וקביעת תקנים אחידים בכל הקשור ל</w:t>
      </w:r>
      <w:r w:rsidRPr="002F2BC5">
        <w:rPr>
          <w:rtl/>
        </w:rPr>
        <w:t xml:space="preserve">דיווחי הפיקוח על המרכזים, המקלטים </w:t>
      </w:r>
      <w:r w:rsidRPr="002F2BC5">
        <w:rPr>
          <w:rFonts w:hint="cs"/>
          <w:rtl/>
        </w:rPr>
        <w:t>ו</w:t>
      </w:r>
      <w:r w:rsidRPr="002F2BC5">
        <w:rPr>
          <w:rtl/>
        </w:rPr>
        <w:t xml:space="preserve">דירות המעבר. עוד </w:t>
      </w:r>
      <w:r w:rsidRPr="002F2BC5">
        <w:rPr>
          <w:rFonts w:hint="cs"/>
          <w:rtl/>
        </w:rPr>
        <w:t>ה</w:t>
      </w:r>
      <w:r w:rsidRPr="002F2BC5">
        <w:rPr>
          <w:rtl/>
        </w:rPr>
        <w:t xml:space="preserve">ומלץ </w:t>
      </w:r>
      <w:r w:rsidRPr="002F2BC5">
        <w:rPr>
          <w:rFonts w:hint="cs"/>
          <w:rtl/>
        </w:rPr>
        <w:t>ל</w:t>
      </w:r>
      <w:r w:rsidRPr="002F2BC5">
        <w:rPr>
          <w:rtl/>
        </w:rPr>
        <w:t xml:space="preserve">משרד הרווחה </w:t>
      </w:r>
      <w:r w:rsidRPr="002F2BC5">
        <w:rPr>
          <w:rFonts w:hint="cs"/>
          <w:rtl/>
        </w:rPr>
        <w:t xml:space="preserve">כי </w:t>
      </w:r>
      <w:r w:rsidRPr="002F2BC5">
        <w:rPr>
          <w:rtl/>
        </w:rPr>
        <w:t>יפעל לאיגום כלל דוחות הפיקוח לשם שימור הידע ו</w:t>
      </w:r>
      <w:r w:rsidRPr="002F2BC5">
        <w:rPr>
          <w:rFonts w:hint="cs"/>
          <w:rtl/>
        </w:rPr>
        <w:t xml:space="preserve">הפקת </w:t>
      </w:r>
      <w:r w:rsidRPr="002F2BC5">
        <w:rPr>
          <w:rtl/>
        </w:rPr>
        <w:t xml:space="preserve">לקחים מערכתיים. </w:t>
      </w:r>
    </w:p>
    <w:p w14:paraId="5FD5F6E5" w14:textId="77777777" w:rsidR="00817399" w:rsidRPr="002F2BC5" w:rsidRDefault="00817399" w:rsidP="00817399">
      <w:pPr>
        <w:spacing w:line="269" w:lineRule="auto"/>
        <w:rPr>
          <w:rtl/>
        </w:rPr>
      </w:pPr>
    </w:p>
    <w:p w14:paraId="2E6D90D3" w14:textId="77777777" w:rsidR="00817399" w:rsidRPr="002F2BC5" w:rsidRDefault="00817399" w:rsidP="00817399">
      <w:pPr>
        <w:spacing w:line="269" w:lineRule="auto"/>
        <w:rPr>
          <w:rtl/>
        </w:rPr>
      </w:pPr>
      <w:r w:rsidRPr="002F2BC5">
        <w:rPr>
          <w:rFonts w:hint="eastAsia"/>
          <w:rtl/>
        </w:rPr>
        <w:t>משרד</w:t>
      </w:r>
      <w:r w:rsidRPr="002F2BC5">
        <w:rPr>
          <w:rtl/>
        </w:rPr>
        <w:t xml:space="preserve"> הרווחה מסר בתשובתו </w:t>
      </w:r>
      <w:r w:rsidRPr="002F2BC5">
        <w:rPr>
          <w:rFonts w:hint="cs"/>
          <w:rtl/>
        </w:rPr>
        <w:t>לביקורת הקודמת מפברואר 2021</w:t>
      </w:r>
      <w:r w:rsidRPr="002F2BC5">
        <w:rPr>
          <w:rtl/>
        </w:rPr>
        <w:t xml:space="preserve"> כי מערכת </w:t>
      </w:r>
      <w:r w:rsidRPr="002F2BC5">
        <w:rPr>
          <w:rFonts w:hint="cs"/>
          <w:rtl/>
        </w:rPr>
        <w:t>ה</w:t>
      </w:r>
      <w:r w:rsidRPr="002F2BC5">
        <w:rPr>
          <w:rFonts w:hint="eastAsia"/>
          <w:rtl/>
        </w:rPr>
        <w:t>פיקוח</w:t>
      </w:r>
      <w:r w:rsidRPr="002F2BC5">
        <w:rPr>
          <w:rtl/>
        </w:rPr>
        <w:t xml:space="preserve"> </w:t>
      </w:r>
      <w:r w:rsidRPr="002F2BC5">
        <w:rPr>
          <w:rFonts w:hint="cs"/>
          <w:rtl/>
        </w:rPr>
        <w:t>תומכת בהצגה מתכללת של ממצאי הפיקוח,</w:t>
      </w:r>
      <w:r w:rsidRPr="002F2BC5">
        <w:rPr>
          <w:rtl/>
        </w:rPr>
        <w:t xml:space="preserve"> ו</w:t>
      </w:r>
      <w:r w:rsidRPr="002F2BC5">
        <w:rPr>
          <w:rFonts w:hint="cs"/>
          <w:rtl/>
        </w:rPr>
        <w:t xml:space="preserve">כי בעתיד </w:t>
      </w:r>
      <w:r w:rsidRPr="002F2BC5">
        <w:rPr>
          <w:rtl/>
        </w:rPr>
        <w:t xml:space="preserve">היא </w:t>
      </w:r>
      <w:r w:rsidRPr="002F2BC5">
        <w:rPr>
          <w:rFonts w:hint="eastAsia"/>
          <w:rtl/>
        </w:rPr>
        <w:t>תותאם</w:t>
      </w:r>
      <w:r w:rsidRPr="002F2BC5">
        <w:rPr>
          <w:rtl/>
        </w:rPr>
        <w:t xml:space="preserve"> </w:t>
      </w:r>
      <w:r w:rsidRPr="002F2BC5">
        <w:rPr>
          <w:rFonts w:hint="eastAsia"/>
          <w:rtl/>
        </w:rPr>
        <w:t>ל</w:t>
      </w:r>
      <w:r w:rsidRPr="002F2BC5">
        <w:rPr>
          <w:rFonts w:hint="cs"/>
          <w:rtl/>
        </w:rPr>
        <w:t xml:space="preserve">הצגת נתונים כאלו </w:t>
      </w:r>
      <w:r w:rsidRPr="002F2BC5">
        <w:rPr>
          <w:rtl/>
        </w:rPr>
        <w:t xml:space="preserve">גם </w:t>
      </w:r>
      <w:r w:rsidRPr="002F2BC5">
        <w:rPr>
          <w:rFonts w:hint="cs"/>
          <w:rtl/>
        </w:rPr>
        <w:t xml:space="preserve">על </w:t>
      </w:r>
      <w:r w:rsidRPr="002F2BC5">
        <w:rPr>
          <w:rFonts w:hint="eastAsia"/>
          <w:rtl/>
        </w:rPr>
        <w:t>פעילות</w:t>
      </w:r>
      <w:r w:rsidRPr="002F2BC5">
        <w:rPr>
          <w:rtl/>
        </w:rPr>
        <w:t xml:space="preserve"> </w:t>
      </w:r>
      <w:r w:rsidRPr="002F2BC5">
        <w:rPr>
          <w:rFonts w:hint="eastAsia"/>
          <w:rtl/>
        </w:rPr>
        <w:t>המרכזים</w:t>
      </w:r>
      <w:r w:rsidRPr="002F2BC5">
        <w:rPr>
          <w:rFonts w:hint="cs"/>
          <w:rtl/>
        </w:rPr>
        <w:t xml:space="preserve">. </w:t>
      </w:r>
    </w:p>
    <w:p w14:paraId="3C59BC21" w14:textId="77777777" w:rsidR="00817399" w:rsidRPr="002F2BC5" w:rsidRDefault="00817399" w:rsidP="00817399">
      <w:pPr>
        <w:spacing w:line="269" w:lineRule="auto"/>
        <w:rPr>
          <w:rtl/>
        </w:rPr>
      </w:pPr>
    </w:p>
    <w:p w14:paraId="599310C8" w14:textId="77777777" w:rsidR="00817399" w:rsidRPr="002F2BC5" w:rsidRDefault="00817399" w:rsidP="00817399">
      <w:pPr>
        <w:spacing w:line="269" w:lineRule="auto"/>
        <w:rPr>
          <w:rtl/>
        </w:rPr>
      </w:pPr>
      <w:bookmarkStart w:id="764" w:name="_Toc191986985"/>
      <w:r w:rsidRPr="002F2BC5">
        <w:rPr>
          <w:rStyle w:val="70"/>
          <w:rFonts w:hint="cs"/>
          <w:rtl/>
        </w:rPr>
        <w:t>ביקורת המעקב:</w:t>
      </w:r>
      <w:bookmarkEnd w:id="764"/>
      <w:r w:rsidRPr="002F2BC5">
        <w:rPr>
          <w:rStyle w:val="70"/>
          <w:rFonts w:hint="cs"/>
          <w:rtl/>
        </w:rPr>
        <w:t xml:space="preserve"> </w:t>
      </w:r>
      <w:r w:rsidRPr="002F2BC5">
        <w:rPr>
          <w:rFonts w:hint="cs"/>
          <w:rtl/>
        </w:rPr>
        <w:t xml:space="preserve">נמצא כי מערכת הפיקוח המרכזית מאפשרת להציג תמונת מצב מתכללת ברמה המחוזית או ברמה הכלל-ארצית של סוגים שונים של מסגרות שמפעיל משרד הרווחה, ובין היתר של המרכזים לטיפול ומניעת אלימות במשפחה ("בוקר טוב למסגרת"; </w:t>
      </w:r>
      <w:bookmarkStart w:id="765" w:name="_Hlk202107952"/>
      <w:r w:rsidRPr="002F2BC5">
        <w:rPr>
          <w:rFonts w:hint="cs"/>
          <w:rtl/>
        </w:rPr>
        <w:t>להלן - לוח המחוונים</w:t>
      </w:r>
      <w:bookmarkEnd w:id="765"/>
      <w:r w:rsidRPr="002F2BC5">
        <w:rPr>
          <w:rFonts w:hint="cs"/>
          <w:rtl/>
        </w:rPr>
        <w:t>). לוח המחוונים נועד לאפשר למחוז או למטה, לפי העניין, לצפות בכל רגע נתון בנתונים נבחרים על ביצועי המסגרות (כגון, תפוסת המטופלים במסגרת, שיעורי נשירה והתמדה בטיפול, משך הזמן הממוצע של הטיפול, איוש משרות ומשך המתנה לטיפול), ולצד זאת הוא מציג נתונים נבחרים על ביקורי הפיקוח במסגרות (כגון, תדירות הביקורים, ליקויים שהועלו בפיקוח ומסגרות שבהן לא התקיימו ביקורי פיקוח בתקופת זמן מוגדרת).</w:t>
      </w:r>
    </w:p>
    <w:p w14:paraId="79F7BDD7" w14:textId="77777777" w:rsidR="00817399" w:rsidRPr="002F2BC5" w:rsidRDefault="00817399" w:rsidP="00817399">
      <w:pPr>
        <w:spacing w:line="269" w:lineRule="auto"/>
        <w:rPr>
          <w:rtl/>
        </w:rPr>
      </w:pPr>
    </w:p>
    <w:p w14:paraId="303AE49B" w14:textId="77777777" w:rsidR="00817399" w:rsidRPr="002F2BC5" w:rsidRDefault="00817399" w:rsidP="00817399">
      <w:pPr>
        <w:pStyle w:val="afffffff9"/>
        <w:spacing w:line="269" w:lineRule="auto"/>
        <w:rPr>
          <w:rtl/>
        </w:rPr>
      </w:pPr>
      <w:bookmarkStart w:id="766" w:name="_Toc191986986"/>
      <w:bookmarkStart w:id="767" w:name="_Toc192093081"/>
      <w:bookmarkStart w:id="768" w:name="_Toc192612789"/>
      <w:bookmarkStart w:id="769" w:name="_Toc198312215"/>
      <w:bookmarkStart w:id="770" w:name="_Toc198312690"/>
      <w:bookmarkStart w:id="771" w:name="_Toc200636873"/>
      <w:bookmarkStart w:id="772" w:name="_Toc200439872"/>
      <w:bookmarkStart w:id="773" w:name="_Toc201240977"/>
      <w:r w:rsidRPr="002F2BC5">
        <w:rPr>
          <w:rFonts w:hint="eastAsia"/>
          <w:rtl/>
        </w:rPr>
        <w:t>הביקורת</w:t>
      </w:r>
      <w:r w:rsidRPr="002F2BC5">
        <w:rPr>
          <w:rtl/>
        </w:rPr>
        <w:t xml:space="preserve"> הקודמת העלתה כי משרד הרווחה אינו מאגם באופן שיטתי נתונים מדוחות הפיקוח ואינו מרכז את דוחות הפיקוח משנים קודמות</w:t>
      </w:r>
      <w:r w:rsidRPr="002F2BC5">
        <w:rPr>
          <w:rFonts w:hint="cs"/>
          <w:rtl/>
        </w:rPr>
        <w:t>.</w:t>
      </w:r>
      <w:r w:rsidRPr="002F2BC5">
        <w:rPr>
          <w:rtl/>
        </w:rPr>
        <w:t xml:space="preserve">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כי הליקוי תוקן במידה מועטה</w:t>
      </w:r>
      <w:r w:rsidRPr="002F2BC5">
        <w:rPr>
          <w:rFonts w:hint="cs"/>
          <w:rtl/>
        </w:rPr>
        <w:t xml:space="preserve"> וכי במועד סיומה, בדצמבר 2024, הנתונים על אודות ביצועי המרכזים לטיפול ומניעת אלימות במשפחה שהוצגו במערכת הפיקוח המרכזית היו חלקיים ולא מהימנים</w:t>
      </w:r>
      <w:r w:rsidRPr="002F2BC5">
        <w:rPr>
          <w:rStyle w:val="af9"/>
          <w:b w:val="0"/>
          <w:bCs w:val="0"/>
          <w:rtl/>
        </w:rPr>
        <w:footnoteReference w:id="187"/>
      </w:r>
      <w:r w:rsidRPr="002F2BC5">
        <w:rPr>
          <w:rFonts w:hint="cs"/>
          <w:rtl/>
        </w:rPr>
        <w:t>. סיבה מרכזית לכך היא שהדיווח על המטופלים במרכזים ועל תקני כוח האדם ואיושם נעשה באופן חלקי בלבד, וזאת בשל מודל המימון ואופן העסקת כוח האדם במרכזים שהיו נהוגים בסמוך למועד סיום ביקורת המעקב, קודם ליישום מודל המימון החדש במסגרת הסכם "כתף אל כתף"</w:t>
      </w:r>
      <w:r w:rsidRPr="002F2BC5">
        <w:rPr>
          <w:rStyle w:val="af9"/>
          <w:b w:val="0"/>
          <w:bCs w:val="0"/>
          <w:rtl/>
        </w:rPr>
        <w:footnoteReference w:id="188"/>
      </w:r>
      <w:r w:rsidRPr="002F2BC5">
        <w:rPr>
          <w:rFonts w:hint="cs"/>
          <w:rtl/>
        </w:rPr>
        <w:t>. נמצא עוד כי בין השאר מסיבה זו מטה משרד הרווחה לא עשה שימוש בלוח המחוונים ברמה הארצית, לרבות לצורך בקרה נוספת על הדיווחים העצמיים שהעבירו המרכזים.</w:t>
      </w:r>
      <w:bookmarkEnd w:id="766"/>
      <w:bookmarkEnd w:id="767"/>
      <w:bookmarkEnd w:id="768"/>
      <w:bookmarkEnd w:id="769"/>
      <w:bookmarkEnd w:id="770"/>
      <w:bookmarkEnd w:id="771"/>
      <w:bookmarkEnd w:id="772"/>
      <w:bookmarkEnd w:id="773"/>
    </w:p>
    <w:p w14:paraId="5E60DFC1" w14:textId="77777777" w:rsidR="00817399" w:rsidRPr="002F2BC5" w:rsidRDefault="00817399" w:rsidP="00817399">
      <w:pPr>
        <w:spacing w:line="269" w:lineRule="auto"/>
        <w:rPr>
          <w:rtl/>
        </w:rPr>
      </w:pPr>
    </w:p>
    <w:p w14:paraId="4574D9F6" w14:textId="77777777" w:rsidR="00817399" w:rsidRPr="002F2BC5" w:rsidRDefault="00817399" w:rsidP="00817399">
      <w:pPr>
        <w:pStyle w:val="afffffffa"/>
        <w:spacing w:line="269" w:lineRule="auto"/>
        <w:rPr>
          <w:rtl/>
        </w:rPr>
      </w:pPr>
      <w:bookmarkStart w:id="774" w:name="_Toc191986987"/>
      <w:bookmarkStart w:id="775" w:name="_Toc192093082"/>
      <w:bookmarkStart w:id="776" w:name="_Toc192612790"/>
      <w:bookmarkStart w:id="777" w:name="_Toc198312216"/>
      <w:bookmarkStart w:id="778" w:name="_Toc198312691"/>
      <w:bookmarkStart w:id="779" w:name="_Toc200636874"/>
      <w:bookmarkStart w:id="780" w:name="_Toc200439873"/>
      <w:bookmarkStart w:id="781" w:name="_Toc201240978"/>
      <w:r w:rsidRPr="002F2BC5">
        <w:rPr>
          <w:rFonts w:hint="cs"/>
          <w:rtl/>
        </w:rPr>
        <w:t xml:space="preserve">מומלץ למשרד הרווחה לקבוע את פרק הזמן המזערי הדרוש עד להשלמת תשתית מידע מספקת, מהימנה ואיכותית על אודות ביצועי המרכזים לטיפול ומניעת אלימות במשפחה, שלאחריו תובטח מהימנותו ועדכניותו של לוח המחוונים המוצג במערכת הפיקוח המרכזית. זאת כדי </w:t>
      </w:r>
      <w:r w:rsidRPr="002F2BC5">
        <w:rPr>
          <w:rFonts w:hint="cs"/>
          <w:rtl/>
        </w:rPr>
        <w:lastRenderedPageBreak/>
        <w:t>שיהיה אפשר להתחיל ולעשות שימוש בלוח המחוונים ככלי עבודה וככלי תומך החלטה במטה המשרד ובמחוזותיו לצורך איתור</w:t>
      </w:r>
      <w:r w:rsidRPr="002F2BC5">
        <w:rPr>
          <w:rtl/>
        </w:rPr>
        <w:t xml:space="preserve"> </w:t>
      </w:r>
      <w:r w:rsidRPr="002F2BC5">
        <w:rPr>
          <w:rFonts w:hint="cs"/>
          <w:rtl/>
        </w:rPr>
        <w:t xml:space="preserve">וזיהוי של </w:t>
      </w:r>
      <w:r w:rsidRPr="002F2BC5">
        <w:rPr>
          <w:rtl/>
        </w:rPr>
        <w:t>ליקויים מערכתיים</w:t>
      </w:r>
      <w:r w:rsidRPr="002F2BC5">
        <w:rPr>
          <w:rFonts w:hint="cs"/>
          <w:rtl/>
        </w:rPr>
        <w:t xml:space="preserve"> בפעילות המרכזים או לשם בקרה על ההיקף, הטיב והתדירות של ביקורי המפקחים המחוזיים במרכזים.</w:t>
      </w:r>
      <w:bookmarkEnd w:id="774"/>
      <w:bookmarkEnd w:id="775"/>
      <w:bookmarkEnd w:id="776"/>
      <w:bookmarkEnd w:id="777"/>
      <w:bookmarkEnd w:id="778"/>
      <w:bookmarkEnd w:id="779"/>
      <w:bookmarkEnd w:id="780"/>
      <w:bookmarkEnd w:id="781"/>
    </w:p>
    <w:p w14:paraId="2EDA8CF5" w14:textId="77777777" w:rsidR="00817399" w:rsidRPr="002F2BC5" w:rsidRDefault="00817399" w:rsidP="00817399">
      <w:pPr>
        <w:spacing w:line="269" w:lineRule="auto"/>
        <w:rPr>
          <w:rtl/>
        </w:rPr>
      </w:pPr>
    </w:p>
    <w:p w14:paraId="115E5DA3" w14:textId="77777777" w:rsidR="00817399" w:rsidRPr="002F2BC5" w:rsidRDefault="00817399" w:rsidP="00817399">
      <w:pPr>
        <w:spacing w:line="269" w:lineRule="auto"/>
        <w:rPr>
          <w:rtl/>
        </w:rPr>
      </w:pP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eastAsia"/>
          <w:rtl/>
        </w:rPr>
        <w:t>כי</w:t>
      </w:r>
      <w:r w:rsidRPr="002F2BC5">
        <w:rPr>
          <w:rtl/>
        </w:rPr>
        <w:t xml:space="preserve"> </w:t>
      </w:r>
      <w:r w:rsidRPr="002F2BC5">
        <w:rPr>
          <w:rFonts w:hint="eastAsia"/>
          <w:rtl/>
        </w:rPr>
        <w:t>הוא</w:t>
      </w:r>
      <w:r w:rsidRPr="002F2BC5">
        <w:rPr>
          <w:rtl/>
        </w:rPr>
        <w:t xml:space="preserve"> </w:t>
      </w:r>
      <w:r w:rsidRPr="002F2BC5">
        <w:rPr>
          <w:rFonts w:hint="eastAsia"/>
          <w:rtl/>
        </w:rPr>
        <w:t>מוביל</w:t>
      </w:r>
      <w:r w:rsidRPr="002F2BC5">
        <w:rPr>
          <w:rtl/>
        </w:rPr>
        <w:t xml:space="preserve"> </w:t>
      </w:r>
      <w:r w:rsidRPr="002F2BC5">
        <w:rPr>
          <w:rFonts w:hint="eastAsia"/>
          <w:rtl/>
        </w:rPr>
        <w:t>כמה</w:t>
      </w:r>
      <w:r w:rsidRPr="002F2BC5">
        <w:rPr>
          <w:rtl/>
        </w:rPr>
        <w:t xml:space="preserve"> </w:t>
      </w:r>
      <w:r w:rsidRPr="002F2BC5">
        <w:rPr>
          <w:rFonts w:hint="eastAsia"/>
          <w:rtl/>
        </w:rPr>
        <w:t>מהלכים</w:t>
      </w:r>
      <w:r w:rsidRPr="002F2BC5">
        <w:rPr>
          <w:rtl/>
        </w:rPr>
        <w:t xml:space="preserve"> </w:t>
      </w:r>
      <w:r w:rsidRPr="002F2BC5">
        <w:rPr>
          <w:rFonts w:hint="eastAsia"/>
          <w:rtl/>
        </w:rPr>
        <w:t>לייעול</w:t>
      </w:r>
      <w:r w:rsidRPr="002F2BC5">
        <w:rPr>
          <w:rtl/>
        </w:rPr>
        <w:t xml:space="preserve"> </w:t>
      </w:r>
      <w:r w:rsidRPr="002F2BC5">
        <w:rPr>
          <w:rFonts w:hint="eastAsia"/>
          <w:rtl/>
        </w:rPr>
        <w:t>ולטיוב</w:t>
      </w:r>
      <w:r w:rsidRPr="002F2BC5">
        <w:rPr>
          <w:rtl/>
        </w:rPr>
        <w:t xml:space="preserve"> </w:t>
      </w:r>
      <w:r w:rsidRPr="002F2BC5">
        <w:rPr>
          <w:rFonts w:hint="eastAsia"/>
          <w:rtl/>
        </w:rPr>
        <w:t>תהליכי</w:t>
      </w:r>
      <w:r w:rsidRPr="002F2BC5">
        <w:rPr>
          <w:rtl/>
        </w:rPr>
        <w:t xml:space="preserve"> </w:t>
      </w:r>
      <w:r w:rsidRPr="002F2BC5">
        <w:rPr>
          <w:rFonts w:hint="eastAsia"/>
          <w:rtl/>
        </w:rPr>
        <w:t>העבודה</w:t>
      </w:r>
      <w:r w:rsidRPr="002F2BC5">
        <w:rPr>
          <w:rtl/>
        </w:rPr>
        <w:t xml:space="preserve"> </w:t>
      </w:r>
      <w:r w:rsidRPr="002F2BC5">
        <w:rPr>
          <w:rFonts w:hint="eastAsia"/>
          <w:rtl/>
        </w:rPr>
        <w:t>ואיסוף</w:t>
      </w:r>
      <w:r w:rsidRPr="002F2BC5">
        <w:rPr>
          <w:rtl/>
        </w:rPr>
        <w:t xml:space="preserve"> </w:t>
      </w:r>
      <w:r w:rsidRPr="002F2BC5">
        <w:rPr>
          <w:rFonts w:hint="eastAsia"/>
          <w:rtl/>
        </w:rPr>
        <w:t>הנתונים</w:t>
      </w:r>
      <w:r w:rsidRPr="002F2BC5">
        <w:rPr>
          <w:rtl/>
        </w:rPr>
        <w:t xml:space="preserve"> </w:t>
      </w:r>
      <w:r w:rsidRPr="002F2BC5">
        <w:rPr>
          <w:rFonts w:hint="cs"/>
          <w:rtl/>
        </w:rPr>
        <w:t>כדי</w:t>
      </w:r>
      <w:r w:rsidRPr="002F2BC5">
        <w:rPr>
          <w:rtl/>
        </w:rPr>
        <w:t xml:space="preserve"> </w:t>
      </w:r>
      <w:r w:rsidRPr="002F2BC5">
        <w:rPr>
          <w:rFonts w:hint="eastAsia"/>
          <w:rtl/>
        </w:rPr>
        <w:t>לאפשר</w:t>
      </w:r>
      <w:r w:rsidRPr="002F2BC5">
        <w:rPr>
          <w:rtl/>
        </w:rPr>
        <w:t xml:space="preserve"> </w:t>
      </w:r>
      <w:r w:rsidRPr="002F2BC5">
        <w:rPr>
          <w:rFonts w:hint="eastAsia"/>
          <w:rtl/>
        </w:rPr>
        <w:t>שימוש</w:t>
      </w:r>
      <w:r w:rsidRPr="002F2BC5">
        <w:rPr>
          <w:rtl/>
        </w:rPr>
        <w:t xml:space="preserve"> </w:t>
      </w:r>
      <w:r w:rsidRPr="002F2BC5">
        <w:rPr>
          <w:rFonts w:hint="eastAsia"/>
          <w:rtl/>
        </w:rPr>
        <w:t>בלוח</w:t>
      </w:r>
      <w:r w:rsidRPr="002F2BC5">
        <w:rPr>
          <w:rtl/>
        </w:rPr>
        <w:t xml:space="preserve"> </w:t>
      </w:r>
      <w:r w:rsidRPr="002F2BC5">
        <w:rPr>
          <w:rFonts w:hint="eastAsia"/>
          <w:rtl/>
        </w:rPr>
        <w:t>המחוונים</w:t>
      </w:r>
      <w:r w:rsidRPr="002F2BC5">
        <w:rPr>
          <w:rFonts w:hint="cs"/>
          <w:rtl/>
        </w:rPr>
        <w:t>. האחד,</w:t>
      </w:r>
      <w:r w:rsidRPr="002F2BC5">
        <w:rPr>
          <w:rtl/>
        </w:rPr>
        <w:t xml:space="preserve"> השלמת היישום של הסכם "כתף אל כתף", </w:t>
      </w:r>
      <w:r w:rsidRPr="002F2BC5">
        <w:rPr>
          <w:rFonts w:hint="eastAsia"/>
          <w:rtl/>
        </w:rPr>
        <w:t>ובתוך</w:t>
      </w:r>
      <w:r w:rsidRPr="002F2BC5">
        <w:rPr>
          <w:rtl/>
        </w:rPr>
        <w:t xml:space="preserve"> כך מתן </w:t>
      </w:r>
      <w:r w:rsidRPr="002F2BC5">
        <w:rPr>
          <w:rFonts w:hint="cs"/>
          <w:rtl/>
        </w:rPr>
        <w:t>ה</w:t>
      </w:r>
      <w:r w:rsidRPr="002F2BC5">
        <w:rPr>
          <w:rFonts w:hint="eastAsia"/>
          <w:rtl/>
        </w:rPr>
        <w:t>הנחיה</w:t>
      </w:r>
      <w:r w:rsidRPr="002F2BC5">
        <w:rPr>
          <w:rFonts w:hint="cs"/>
          <w:rtl/>
        </w:rPr>
        <w:t xml:space="preserve"> החדשה</w:t>
      </w:r>
      <w:r w:rsidRPr="002F2BC5">
        <w:rPr>
          <w:rtl/>
        </w:rPr>
        <w:t xml:space="preserve"> לדווח באופן מלא על כלל המטופלים היחידים במרכז, </w:t>
      </w:r>
      <w:r w:rsidRPr="002F2BC5">
        <w:rPr>
          <w:rFonts w:hint="cs"/>
          <w:rtl/>
        </w:rPr>
        <w:t>באופן ש</w:t>
      </w:r>
      <w:r w:rsidRPr="002F2BC5">
        <w:rPr>
          <w:rFonts w:hint="eastAsia"/>
          <w:rtl/>
        </w:rPr>
        <w:t>יאפשר</w:t>
      </w:r>
      <w:r w:rsidRPr="002F2BC5">
        <w:rPr>
          <w:rtl/>
        </w:rPr>
        <w:t xml:space="preserve"> בקרה בזמן אמת על </w:t>
      </w:r>
      <w:r w:rsidRPr="002F2BC5">
        <w:rPr>
          <w:rFonts w:hint="eastAsia"/>
          <w:rtl/>
        </w:rPr>
        <w:t>איוש</w:t>
      </w:r>
      <w:r w:rsidRPr="002F2BC5">
        <w:rPr>
          <w:rtl/>
        </w:rPr>
        <w:t xml:space="preserve"> </w:t>
      </w:r>
      <w:r w:rsidRPr="002F2BC5">
        <w:rPr>
          <w:rFonts w:hint="eastAsia"/>
          <w:rtl/>
        </w:rPr>
        <w:t>תקני</w:t>
      </w:r>
      <w:r w:rsidRPr="002F2BC5">
        <w:rPr>
          <w:rtl/>
        </w:rPr>
        <w:t xml:space="preserve"> </w:t>
      </w:r>
      <w:r w:rsidRPr="002F2BC5">
        <w:rPr>
          <w:rFonts w:hint="eastAsia"/>
          <w:rtl/>
        </w:rPr>
        <w:t>כוח</w:t>
      </w:r>
      <w:r w:rsidRPr="002F2BC5">
        <w:rPr>
          <w:rtl/>
        </w:rPr>
        <w:t xml:space="preserve"> </w:t>
      </w:r>
      <w:r w:rsidRPr="002F2BC5">
        <w:rPr>
          <w:rFonts w:hint="eastAsia"/>
          <w:rtl/>
        </w:rPr>
        <w:t>האדם</w:t>
      </w:r>
      <w:r w:rsidRPr="002F2BC5">
        <w:rPr>
          <w:rtl/>
        </w:rPr>
        <w:t xml:space="preserve">, </w:t>
      </w:r>
      <w:r w:rsidRPr="002F2BC5">
        <w:rPr>
          <w:rFonts w:hint="eastAsia"/>
          <w:rtl/>
        </w:rPr>
        <w:t>ניצול</w:t>
      </w:r>
      <w:r w:rsidRPr="002F2BC5">
        <w:rPr>
          <w:rtl/>
        </w:rPr>
        <w:t xml:space="preserve"> התקציב וכן </w:t>
      </w:r>
      <w:r w:rsidRPr="002F2BC5">
        <w:rPr>
          <w:rFonts w:hint="cs"/>
          <w:rtl/>
        </w:rPr>
        <w:t xml:space="preserve">על </w:t>
      </w:r>
      <w:r w:rsidRPr="002F2BC5">
        <w:rPr>
          <w:rFonts w:hint="eastAsia"/>
          <w:rtl/>
        </w:rPr>
        <w:t>מספר</w:t>
      </w:r>
      <w:r w:rsidRPr="002F2BC5">
        <w:rPr>
          <w:rtl/>
        </w:rPr>
        <w:t xml:space="preserve"> </w:t>
      </w:r>
      <w:r w:rsidRPr="002F2BC5">
        <w:rPr>
          <w:rFonts w:hint="eastAsia"/>
          <w:rtl/>
        </w:rPr>
        <w:t>המטופלים</w:t>
      </w:r>
      <w:r w:rsidRPr="002F2BC5">
        <w:rPr>
          <w:rtl/>
        </w:rPr>
        <w:t xml:space="preserve"> ומאפייניהם (מגדר וגיל)</w:t>
      </w:r>
      <w:r w:rsidRPr="002F2BC5">
        <w:rPr>
          <w:rFonts w:hint="cs"/>
          <w:rtl/>
        </w:rPr>
        <w:t xml:space="preserve">. האחר, </w:t>
      </w:r>
      <w:r w:rsidRPr="002F2BC5">
        <w:rPr>
          <w:rFonts w:hint="eastAsia"/>
          <w:rtl/>
        </w:rPr>
        <w:t>השלמת</w:t>
      </w:r>
      <w:r w:rsidRPr="002F2BC5">
        <w:rPr>
          <w:rtl/>
        </w:rPr>
        <w:t xml:space="preserve"> </w:t>
      </w:r>
      <w:r w:rsidRPr="002F2BC5">
        <w:rPr>
          <w:rFonts w:hint="eastAsia"/>
          <w:rtl/>
        </w:rPr>
        <w:t>הפיתוח</w:t>
      </w:r>
      <w:r w:rsidRPr="002F2BC5">
        <w:rPr>
          <w:rtl/>
        </w:rPr>
        <w:t xml:space="preserve"> </w:t>
      </w:r>
      <w:r w:rsidRPr="002F2BC5">
        <w:rPr>
          <w:rFonts w:hint="eastAsia"/>
          <w:rtl/>
        </w:rPr>
        <w:t>וההטמעה</w:t>
      </w:r>
      <w:r w:rsidRPr="002F2BC5">
        <w:rPr>
          <w:rtl/>
        </w:rPr>
        <w:t xml:space="preserve"> </w:t>
      </w:r>
      <w:r w:rsidRPr="002F2BC5">
        <w:rPr>
          <w:rFonts w:hint="eastAsia"/>
          <w:rtl/>
        </w:rPr>
        <w:t>של</w:t>
      </w:r>
      <w:r w:rsidRPr="002F2BC5">
        <w:rPr>
          <w:rtl/>
        </w:rPr>
        <w:t xml:space="preserve"> </w:t>
      </w:r>
      <w:r w:rsidRPr="002F2BC5">
        <w:rPr>
          <w:rFonts w:hint="eastAsia"/>
          <w:rtl/>
        </w:rPr>
        <w:t>המערכת</w:t>
      </w:r>
      <w:r w:rsidRPr="002F2BC5">
        <w:rPr>
          <w:rtl/>
        </w:rPr>
        <w:t xml:space="preserve"> </w:t>
      </w:r>
      <w:r w:rsidRPr="002F2BC5">
        <w:rPr>
          <w:rFonts w:hint="eastAsia"/>
          <w:rtl/>
        </w:rPr>
        <w:t>הממוחשבת</w:t>
      </w:r>
      <w:r w:rsidRPr="002F2BC5">
        <w:rPr>
          <w:rFonts w:hint="cs"/>
          <w:rtl/>
        </w:rPr>
        <w:t>,</w:t>
      </w:r>
      <w:r w:rsidRPr="002F2BC5">
        <w:rPr>
          <w:rtl/>
        </w:rPr>
        <w:t xml:space="preserve"> </w:t>
      </w:r>
      <w:r w:rsidRPr="002F2BC5">
        <w:rPr>
          <w:rFonts w:hint="cs"/>
          <w:rtl/>
        </w:rPr>
        <w:t>באופן שי</w:t>
      </w:r>
      <w:r w:rsidRPr="002F2BC5">
        <w:rPr>
          <w:rFonts w:hint="eastAsia"/>
          <w:rtl/>
        </w:rPr>
        <w:t>א</w:t>
      </w:r>
      <w:r w:rsidRPr="002F2BC5">
        <w:rPr>
          <w:rFonts w:hint="cs"/>
          <w:rtl/>
        </w:rPr>
        <w:t>פ</w:t>
      </w:r>
      <w:r w:rsidRPr="002F2BC5">
        <w:rPr>
          <w:rFonts w:hint="eastAsia"/>
          <w:rtl/>
        </w:rPr>
        <w:t>שר</w:t>
      </w:r>
      <w:r w:rsidRPr="002F2BC5">
        <w:rPr>
          <w:rtl/>
        </w:rPr>
        <w:t xml:space="preserve"> </w:t>
      </w:r>
      <w:r w:rsidRPr="002F2BC5">
        <w:rPr>
          <w:rFonts w:hint="eastAsia"/>
          <w:rtl/>
        </w:rPr>
        <w:t>בקרה</w:t>
      </w:r>
      <w:r w:rsidRPr="002F2BC5">
        <w:rPr>
          <w:rtl/>
        </w:rPr>
        <w:t xml:space="preserve"> </w:t>
      </w:r>
      <w:r w:rsidRPr="002F2BC5">
        <w:rPr>
          <w:rFonts w:hint="eastAsia"/>
          <w:rtl/>
        </w:rPr>
        <w:t>בזמן</w:t>
      </w:r>
      <w:r w:rsidRPr="002F2BC5">
        <w:rPr>
          <w:rtl/>
        </w:rPr>
        <w:t xml:space="preserve"> </w:t>
      </w:r>
      <w:r w:rsidRPr="002F2BC5">
        <w:rPr>
          <w:rFonts w:hint="eastAsia"/>
          <w:rtl/>
        </w:rPr>
        <w:t>אמת</w:t>
      </w:r>
      <w:r w:rsidRPr="002F2BC5">
        <w:rPr>
          <w:rtl/>
        </w:rPr>
        <w:t xml:space="preserve"> </w:t>
      </w:r>
      <w:r w:rsidRPr="002F2BC5">
        <w:rPr>
          <w:rFonts w:hint="eastAsia"/>
          <w:rtl/>
        </w:rPr>
        <w:t>על</w:t>
      </w:r>
      <w:r w:rsidRPr="002F2BC5">
        <w:rPr>
          <w:rtl/>
        </w:rPr>
        <w:t xml:space="preserve"> </w:t>
      </w:r>
      <w:r w:rsidRPr="002F2BC5">
        <w:rPr>
          <w:rFonts w:hint="eastAsia"/>
          <w:rtl/>
        </w:rPr>
        <w:t>נושאים</w:t>
      </w:r>
      <w:r w:rsidRPr="002F2BC5">
        <w:rPr>
          <w:rtl/>
        </w:rPr>
        <w:t xml:space="preserve"> </w:t>
      </w:r>
      <w:r w:rsidRPr="002F2BC5">
        <w:rPr>
          <w:rFonts w:hint="eastAsia"/>
          <w:rtl/>
        </w:rPr>
        <w:t>נוספים</w:t>
      </w:r>
      <w:r w:rsidRPr="002F2BC5">
        <w:rPr>
          <w:rFonts w:hint="cs"/>
          <w:rtl/>
        </w:rPr>
        <w:t>, ובהם משך הטיפול ומשך ההמתנה לטיפול.</w:t>
      </w:r>
    </w:p>
    <w:p w14:paraId="6C3AE664" w14:textId="77777777" w:rsidR="00817399" w:rsidRPr="002F2BC5" w:rsidRDefault="00817399" w:rsidP="00817399">
      <w:pPr>
        <w:spacing w:line="269" w:lineRule="auto"/>
        <w:rPr>
          <w:rtl/>
        </w:rPr>
      </w:pPr>
    </w:p>
    <w:p w14:paraId="2AA582AA"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2A9282CF" w14:textId="77777777" w:rsidR="00817399" w:rsidRPr="002F2BC5" w:rsidRDefault="00817399" w:rsidP="00817399">
      <w:pPr>
        <w:pStyle w:val="afffffff7"/>
        <w:spacing w:before="0" w:line="269" w:lineRule="auto"/>
        <w:rPr>
          <w:b/>
          <w:bCs/>
          <w:rtl/>
        </w:rPr>
      </w:pPr>
      <w:bookmarkStart w:id="782" w:name="_Toc198312217"/>
      <w:bookmarkStart w:id="783" w:name="_Toc198312692"/>
      <w:bookmarkStart w:id="784" w:name="_Toc189072225"/>
      <w:r w:rsidRPr="002F2BC5">
        <w:rPr>
          <w:b/>
          <w:bCs/>
          <w:noProof/>
        </w:rPr>
        <w:drawing>
          <wp:inline distT="0" distB="0" distL="0" distR="0" wp14:anchorId="56EB755A" wp14:editId="2201E40D">
            <wp:extent cx="4324350" cy="933450"/>
            <wp:effectExtent l="0" t="0" r="0" b="0"/>
            <wp:docPr id="22"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782"/>
      <w:bookmarkEnd w:id="783"/>
    </w:p>
    <w:p w14:paraId="51B10AE0" w14:textId="77777777" w:rsidR="00817399" w:rsidRPr="002F2BC5" w:rsidRDefault="00817399" w:rsidP="00817399">
      <w:pPr>
        <w:spacing w:line="269" w:lineRule="auto"/>
        <w:rPr>
          <w:rtl/>
        </w:rPr>
      </w:pPr>
    </w:p>
    <w:p w14:paraId="0FFB1EC0" w14:textId="77777777" w:rsidR="00817399" w:rsidRPr="002F2BC5" w:rsidRDefault="00817399" w:rsidP="00817399">
      <w:pPr>
        <w:pStyle w:val="4"/>
        <w:spacing w:before="0" w:line="269" w:lineRule="auto"/>
        <w:rPr>
          <w:rtl/>
        </w:rPr>
      </w:pPr>
      <w:bookmarkStart w:id="785" w:name="_Ref186542552"/>
      <w:bookmarkStart w:id="786" w:name="_Toc189072226"/>
      <w:bookmarkStart w:id="787" w:name="_Toc191986988"/>
      <w:bookmarkStart w:id="788" w:name="_Toc191891390"/>
      <w:bookmarkStart w:id="789" w:name="_Toc192093083"/>
      <w:bookmarkStart w:id="790" w:name="_Toc193110606"/>
      <w:bookmarkStart w:id="791" w:name="_Toc192612791"/>
      <w:bookmarkStart w:id="792" w:name="_Toc192778824"/>
      <w:bookmarkStart w:id="793" w:name="_Toc198312218"/>
      <w:bookmarkStart w:id="794" w:name="_Toc198312693"/>
      <w:bookmarkStart w:id="795" w:name="_Toc200636802"/>
      <w:bookmarkStart w:id="796" w:name="_Toc200636875"/>
      <w:bookmarkStart w:id="797" w:name="_Toc200439801"/>
      <w:bookmarkStart w:id="798" w:name="_Toc200439874"/>
      <w:bookmarkStart w:id="799" w:name="_Toc201240979"/>
      <w:bookmarkStart w:id="800" w:name="_Toc192784378"/>
      <w:bookmarkStart w:id="801" w:name="_Toc201759364"/>
      <w:bookmarkStart w:id="802" w:name="_Toc203488000"/>
      <w:bookmarkEnd w:id="784"/>
      <w:r w:rsidRPr="002F2BC5">
        <w:rPr>
          <w:rFonts w:hint="cs"/>
          <w:rtl/>
        </w:rPr>
        <w:t>מערך מדידה להערכת מועילות השירותים הניתנים בתחום האלימות בין בני זוג</w:t>
      </w:r>
      <w:r w:rsidRPr="002F2BC5">
        <w:rPr>
          <w:rStyle w:val="af9"/>
        </w:rPr>
        <w:footnoteReference w:id="189"/>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2F2BC5">
        <w:rPr>
          <w:rFonts w:hint="cs"/>
          <w:rtl/>
        </w:rPr>
        <w:t xml:space="preserve"> </w:t>
      </w:r>
    </w:p>
    <w:p w14:paraId="2FD76A64" w14:textId="77777777" w:rsidR="00817399" w:rsidRPr="002F2BC5" w:rsidRDefault="00817399" w:rsidP="00817399">
      <w:pPr>
        <w:spacing w:line="269" w:lineRule="auto"/>
        <w:rPr>
          <w:rtl/>
        </w:rPr>
      </w:pPr>
    </w:p>
    <w:p w14:paraId="76195278" w14:textId="1B2B2673" w:rsidR="00817399" w:rsidRPr="002F2BC5" w:rsidRDefault="00817399" w:rsidP="00817399">
      <w:pPr>
        <w:spacing w:line="269" w:lineRule="auto"/>
        <w:rPr>
          <w:rtl/>
        </w:rPr>
      </w:pPr>
      <w:r w:rsidRPr="002F2BC5">
        <w:rPr>
          <w:rFonts w:hint="cs"/>
          <w:rtl/>
        </w:rPr>
        <w:t>הגדרת</w:t>
      </w:r>
      <w:r w:rsidRPr="002F2BC5">
        <w:rPr>
          <w:rtl/>
        </w:rPr>
        <w:t xml:space="preserve"> מדדי תוצאה</w:t>
      </w:r>
      <w:r w:rsidRPr="002F2BC5">
        <w:rPr>
          <w:rFonts w:hint="cs"/>
          <w:rtl/>
        </w:rPr>
        <w:t>, לצד מדדי תשומה ותפוקה,</w:t>
      </w:r>
      <w:r w:rsidRPr="002F2BC5">
        <w:rPr>
          <w:rtl/>
        </w:rPr>
        <w:t xml:space="preserve"> </w:t>
      </w:r>
      <w:r w:rsidRPr="002F2BC5">
        <w:rPr>
          <w:rFonts w:hint="cs"/>
          <w:rtl/>
        </w:rPr>
        <w:t xml:space="preserve">חיונית כדי </w:t>
      </w:r>
      <w:r w:rsidRPr="002F2BC5">
        <w:rPr>
          <w:rtl/>
        </w:rPr>
        <w:t>לקבוע</w:t>
      </w:r>
      <w:r w:rsidRPr="002F2BC5">
        <w:rPr>
          <w:rFonts w:hint="cs"/>
          <w:rtl/>
        </w:rPr>
        <w:t xml:space="preserve"> </w:t>
      </w:r>
      <w:r w:rsidRPr="002F2BC5">
        <w:rPr>
          <w:rtl/>
        </w:rPr>
        <w:t xml:space="preserve">אם שירות </w:t>
      </w:r>
      <w:r w:rsidRPr="002F2BC5">
        <w:rPr>
          <w:rFonts w:hint="cs"/>
          <w:rtl/>
        </w:rPr>
        <w:t xml:space="preserve">מסוים </w:t>
      </w:r>
      <w:r w:rsidRPr="002F2BC5">
        <w:rPr>
          <w:rtl/>
        </w:rPr>
        <w:t xml:space="preserve">השיג את תוצאותיו המצופות </w:t>
      </w:r>
      <w:r w:rsidRPr="002F2BC5">
        <w:rPr>
          <w:rFonts w:hint="cs"/>
          <w:rtl/>
        </w:rPr>
        <w:t>באופן המאפשר את</w:t>
      </w:r>
      <w:r w:rsidRPr="002F2BC5">
        <w:rPr>
          <w:rtl/>
        </w:rPr>
        <w:t xml:space="preserve"> שיפורו</w:t>
      </w:r>
      <w:r w:rsidRPr="002F2BC5">
        <w:rPr>
          <w:rFonts w:hint="cs"/>
          <w:rtl/>
        </w:rPr>
        <w:t xml:space="preserve"> המתמיד</w:t>
      </w:r>
      <w:r w:rsidRPr="002F2BC5">
        <w:rPr>
          <w:rtl/>
        </w:rPr>
        <w:t>.</w:t>
      </w:r>
      <w:r w:rsidRPr="002F2BC5">
        <w:rPr>
          <w:rFonts w:hint="cs"/>
          <w:rtl/>
        </w:rPr>
        <w:t xml:space="preserve"> החשיבות שבהגדרת מדדי תוצאה, בכל הקשור להתמודדות עם תופעת האלימות במשפחה והשימוש במדדים אלו לשם הערכת מועילותם של השירותים הניתנים בתחום, חשובה במיוחד לנוכח מאפייניה הציבוריים של התופעה והשפעותיה הישירות והעקיפות על נפגעי התופעה ועל הציבור בכללותו</w:t>
      </w:r>
      <w:r w:rsidRPr="002F2BC5">
        <w:rPr>
          <w:rStyle w:val="af9"/>
          <w:rtl/>
        </w:rPr>
        <w:footnoteReference w:id="190"/>
      </w:r>
      <w:r w:rsidRPr="002F2BC5">
        <w:rPr>
          <w:rFonts w:hint="cs"/>
          <w:rtl/>
        </w:rPr>
        <w:t>. מאפייניהם של מדדי תשומה, תפוקה ותוצאה מוצגים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Ref185944142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12</w:t>
      </w:r>
      <w:r w:rsidRPr="002F2BC5">
        <w:rPr>
          <w:rtl/>
        </w:rPr>
        <w:fldChar w:fldCharType="end"/>
      </w:r>
      <w:r w:rsidRPr="002F2BC5">
        <w:rPr>
          <w:rFonts w:hint="cs"/>
          <w:rtl/>
        </w:rPr>
        <w:t xml:space="preserve"> שלהלן</w:t>
      </w:r>
      <w:r w:rsidRPr="002F2BC5">
        <w:rPr>
          <w:rStyle w:val="af9"/>
          <w:rtl/>
        </w:rPr>
        <w:footnoteReference w:id="191"/>
      </w:r>
      <w:r w:rsidRPr="002F2BC5">
        <w:rPr>
          <w:rFonts w:hint="cs"/>
          <w:rtl/>
        </w:rPr>
        <w:t>.</w:t>
      </w:r>
    </w:p>
    <w:p w14:paraId="447DC51F" w14:textId="77777777" w:rsidR="00817399" w:rsidRPr="002F2BC5" w:rsidRDefault="00817399" w:rsidP="00817399">
      <w:pPr>
        <w:spacing w:line="269" w:lineRule="auto"/>
        <w:rPr>
          <w:rtl/>
        </w:rPr>
      </w:pPr>
    </w:p>
    <w:p w14:paraId="28001619" w14:textId="77777777" w:rsidR="00817399" w:rsidRPr="002F2BC5" w:rsidRDefault="00817399" w:rsidP="00817399">
      <w:pPr>
        <w:pStyle w:val="a9"/>
        <w:spacing w:line="269" w:lineRule="auto"/>
        <w:ind w:left="0" w:firstLine="0"/>
        <w:outlineLvl w:val="9"/>
        <w:rPr>
          <w:rtl/>
        </w:rPr>
      </w:pPr>
      <w:bookmarkStart w:id="803" w:name="_Ref185944142"/>
      <w:bookmarkStart w:id="804" w:name="_Toc192672905"/>
      <w:r w:rsidRPr="002F2BC5">
        <w:rPr>
          <w:rFonts w:hint="cs"/>
          <w:rtl/>
        </w:rPr>
        <w:t xml:space="preserve">: </w:t>
      </w:r>
      <w:r w:rsidRPr="002F2BC5">
        <w:rPr>
          <w:rFonts w:hint="cs"/>
          <w:b w:val="0"/>
          <w:bCs/>
          <w:rtl/>
        </w:rPr>
        <w:t>מאפייניהם של מדדי תשומה, תפוקה ותוצאה</w:t>
      </w:r>
      <w:bookmarkEnd w:id="803"/>
      <w:bookmarkEnd w:id="804"/>
    </w:p>
    <w:p w14:paraId="265C7CC6"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3D967ED8" wp14:editId="518D002E">
            <wp:extent cx="5219700" cy="2268821"/>
            <wp:effectExtent l="0" t="0" r="0" b="0"/>
            <wp:docPr id="99" name="תמונה 9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t="-3926"/>
                    <a:stretch/>
                  </pic:blipFill>
                  <pic:spPr bwMode="auto">
                    <a:xfrm>
                      <a:off x="0" y="0"/>
                      <a:ext cx="5220000" cy="2268951"/>
                    </a:xfrm>
                    <a:prstGeom prst="rect">
                      <a:avLst/>
                    </a:prstGeom>
                    <a:noFill/>
                    <a:ln>
                      <a:noFill/>
                    </a:ln>
                    <a:extLst>
                      <a:ext uri="{53640926-AAD7-44D8-BBD7-CCE9431645EC}">
                        <a14:shadowObscured xmlns:a14="http://schemas.microsoft.com/office/drawing/2010/main"/>
                      </a:ext>
                    </a:extLst>
                  </pic:spPr>
                </pic:pic>
              </a:graphicData>
            </a:graphic>
          </wp:inline>
        </w:drawing>
      </w:r>
    </w:p>
    <w:p w14:paraId="452B7A8A" w14:textId="77777777" w:rsidR="00817399" w:rsidRPr="002F2BC5" w:rsidRDefault="00817399" w:rsidP="00817399">
      <w:pPr>
        <w:pStyle w:val="afffffff1"/>
        <w:bidi/>
        <w:spacing w:line="269" w:lineRule="auto"/>
        <w:rPr>
          <w:rtl/>
        </w:rPr>
      </w:pPr>
      <w:r w:rsidRPr="002F2BC5">
        <w:rPr>
          <w:rFonts w:hint="cs"/>
          <w:rtl/>
        </w:rPr>
        <w:t>על פי מידע שנאסף במהלך ביקורת המעקב, בעיבוד משרד מבקר המדינה.</w:t>
      </w:r>
    </w:p>
    <w:p w14:paraId="3008EC55" w14:textId="77777777" w:rsidR="00817399" w:rsidRPr="002F2BC5" w:rsidRDefault="00817399" w:rsidP="00817399">
      <w:pPr>
        <w:spacing w:line="269" w:lineRule="auto"/>
        <w:rPr>
          <w:rtl/>
        </w:rPr>
      </w:pPr>
    </w:p>
    <w:p w14:paraId="615F3771" w14:textId="77777777" w:rsidR="00817399" w:rsidRPr="002F2BC5" w:rsidRDefault="00817399" w:rsidP="00817399">
      <w:pPr>
        <w:spacing w:line="269" w:lineRule="auto"/>
        <w:rPr>
          <w:rtl/>
        </w:rPr>
      </w:pPr>
      <w:r w:rsidRPr="002F2BC5">
        <w:rPr>
          <w:rFonts w:hint="cs"/>
          <w:rtl/>
        </w:rPr>
        <w:lastRenderedPageBreak/>
        <w:t xml:space="preserve">מתוך הכרה בחשיבות המיוחדת שבמדידת מועילותם של השירותים הניתנים בתחום האלימות במשפחה, המליצה ועדת המנכ"לים על הטמעה בכלל משרדי הממשלה של </w:t>
      </w:r>
      <w:r w:rsidRPr="002F2BC5">
        <w:rPr>
          <w:rtl/>
        </w:rPr>
        <w:t xml:space="preserve">מערך מדידה לכלל </w:t>
      </w:r>
      <w:r w:rsidRPr="002F2BC5">
        <w:rPr>
          <w:rFonts w:hint="cs"/>
          <w:rtl/>
        </w:rPr>
        <w:t>השירותים בתחום הטיפול ומניעת האלימות במשפחה (</w:t>
      </w:r>
      <w:bookmarkStart w:id="805" w:name="_Hlk202108442"/>
      <w:r w:rsidRPr="002F2BC5">
        <w:rPr>
          <w:rFonts w:hint="cs"/>
          <w:rtl/>
        </w:rPr>
        <w:t>להלן - מערך המדידה או מערך המדידה התוצאתית</w:t>
      </w:r>
      <w:bookmarkEnd w:id="805"/>
      <w:r w:rsidRPr="002F2BC5">
        <w:rPr>
          <w:rFonts w:hint="cs"/>
          <w:rtl/>
        </w:rPr>
        <w:t>). ועדת המנכ"לים קבעה כי מערך המדידה ישמש להערכת תוצאות ההתערבות; זיהוי אוכלוסיות שאינן מקבלות מענה במסגרת המענים הקיימים; זיהוי פערים פרטניים ברצפים הטיפוליים; וכן הסקת מסקנות לצורך תכנון מענים וקבלת החלטות מבוססות מידע. ועדת המנכ"לים המליצה בין השאר כי מערך המדידה יכלול מנגנון ממוחשב למדידה ומעקב אחר תוצאות הטיפול לצד ממשק ממוחשב לנתוני הלמ"ס כדי לאפשר ניתוח שנתי של הנתונים מכלל המשרדים</w:t>
      </w:r>
      <w:r w:rsidRPr="002F2BC5">
        <w:rPr>
          <w:rStyle w:val="af9"/>
          <w:rtl/>
        </w:rPr>
        <w:footnoteReference w:id="192"/>
      </w:r>
      <w:r w:rsidRPr="002F2BC5">
        <w:rPr>
          <w:rFonts w:hint="cs"/>
          <w:rtl/>
        </w:rPr>
        <w:t>. מחויבות הממשלה להטמעת חשיבה תוצאתית בכלל השירותים בתחום הטיפול ומניעת האלימות במשפחה באה לידי ביטוי בהחלטתה משנת 2019 להקצות תקציב ייעודי לטובת הקמת מערך מחקר ומדידה (להלן - החלטת הממשלה 4439)</w:t>
      </w:r>
      <w:r w:rsidRPr="002F2BC5">
        <w:rPr>
          <w:rStyle w:val="af9"/>
          <w:rtl/>
        </w:rPr>
        <w:footnoteReference w:id="193"/>
      </w:r>
      <w:r w:rsidRPr="002F2BC5">
        <w:rPr>
          <w:rFonts w:hint="cs"/>
          <w:rtl/>
        </w:rPr>
        <w:t xml:space="preserve">. </w:t>
      </w:r>
    </w:p>
    <w:p w14:paraId="1CDEDD98" w14:textId="77777777" w:rsidR="00817399" w:rsidRPr="002F2BC5" w:rsidRDefault="00817399" w:rsidP="00817399">
      <w:pPr>
        <w:spacing w:line="269" w:lineRule="auto"/>
        <w:rPr>
          <w:rtl/>
        </w:rPr>
      </w:pPr>
    </w:p>
    <w:p w14:paraId="2CE7C725" w14:textId="77777777" w:rsidR="00817399" w:rsidRPr="002F2BC5" w:rsidRDefault="00817399" w:rsidP="00817399">
      <w:pPr>
        <w:spacing w:line="269" w:lineRule="auto"/>
        <w:rPr>
          <w:rtl/>
        </w:rPr>
      </w:pPr>
      <w:bookmarkStart w:id="806" w:name="_Toc191986989"/>
      <w:r w:rsidRPr="002F2BC5">
        <w:rPr>
          <w:rStyle w:val="70"/>
          <w:rFonts w:hint="cs"/>
          <w:rtl/>
        </w:rPr>
        <w:t>הביקורת הקודמת:</w:t>
      </w:r>
      <w:bookmarkEnd w:id="806"/>
      <w:r w:rsidRPr="002F2BC5">
        <w:rPr>
          <w:rStyle w:val="70"/>
          <w:rFonts w:hint="cs"/>
          <w:rtl/>
        </w:rPr>
        <w:t xml:space="preserve"> </w:t>
      </w:r>
      <w:r w:rsidRPr="002F2BC5">
        <w:rPr>
          <w:rFonts w:hint="cs"/>
          <w:rtl/>
        </w:rPr>
        <w:t xml:space="preserve">במועד סיום הביקורת הקודמת טרם השלים </w:t>
      </w:r>
      <w:r w:rsidRPr="002F2BC5">
        <w:rPr>
          <w:rtl/>
        </w:rPr>
        <w:t xml:space="preserve">משרד הרווחה </w:t>
      </w:r>
      <w:r w:rsidRPr="002F2BC5">
        <w:rPr>
          <w:rFonts w:hint="cs"/>
          <w:rtl/>
        </w:rPr>
        <w:t xml:space="preserve">את </w:t>
      </w:r>
      <w:r w:rsidRPr="002F2BC5">
        <w:rPr>
          <w:rtl/>
        </w:rPr>
        <w:t xml:space="preserve">הקמת מערך </w:t>
      </w:r>
      <w:r w:rsidRPr="002F2BC5">
        <w:rPr>
          <w:rFonts w:hint="cs"/>
          <w:rtl/>
        </w:rPr>
        <w:t>המדידה התוצאתית שעליו המליצה ועדת המנכ"לים בזיקה להחלטת הממשלה 4439</w:t>
      </w:r>
      <w:r w:rsidRPr="002F2BC5">
        <w:rPr>
          <w:rtl/>
        </w:rPr>
        <w:t xml:space="preserve">. </w:t>
      </w:r>
      <w:r w:rsidRPr="002F2BC5">
        <w:rPr>
          <w:rFonts w:hint="cs"/>
          <w:rtl/>
        </w:rPr>
        <w:t>כמו כן נמצא כי לא נקבעו תבחינים לבחינת מועילות השירותים שמשרד הרווחה מפעיל בעצמו או בשיתוף משרדי הממשלה האחרים, וגם לא נבחנה מועילותם של השירותים הללו</w:t>
      </w:r>
      <w:r w:rsidRPr="002F2BC5">
        <w:rPr>
          <w:rStyle w:val="af9"/>
          <w:rtl/>
        </w:rPr>
        <w:footnoteReference w:id="194"/>
      </w:r>
      <w:r w:rsidRPr="002F2BC5">
        <w:rPr>
          <w:rFonts w:hint="cs"/>
          <w:rtl/>
        </w:rPr>
        <w:t>.</w:t>
      </w:r>
    </w:p>
    <w:p w14:paraId="52CF8F63" w14:textId="77777777" w:rsidR="00817399" w:rsidRPr="002F2BC5" w:rsidRDefault="00817399" w:rsidP="00817399">
      <w:pPr>
        <w:spacing w:line="269" w:lineRule="auto"/>
        <w:rPr>
          <w:rtl/>
        </w:rPr>
      </w:pPr>
    </w:p>
    <w:p w14:paraId="7FBCA499" w14:textId="77777777" w:rsidR="00817399" w:rsidRPr="002F2BC5" w:rsidRDefault="00817399" w:rsidP="00817399">
      <w:pPr>
        <w:spacing w:line="269" w:lineRule="auto"/>
        <w:rPr>
          <w:rtl/>
        </w:rPr>
      </w:pPr>
      <w:r w:rsidRPr="002F2BC5">
        <w:rPr>
          <w:rFonts w:hint="cs"/>
          <w:rtl/>
        </w:rPr>
        <w:t>בביקורת הקודמת המליץ משרד מבקר המדינה ל</w:t>
      </w:r>
      <w:r w:rsidRPr="002F2BC5">
        <w:rPr>
          <w:rtl/>
        </w:rPr>
        <w:t xml:space="preserve">משרד הרווחה </w:t>
      </w:r>
      <w:r w:rsidRPr="002F2BC5">
        <w:rPr>
          <w:rFonts w:hint="cs"/>
          <w:rtl/>
        </w:rPr>
        <w:t xml:space="preserve">להשלים </w:t>
      </w:r>
      <w:r w:rsidRPr="002F2BC5">
        <w:rPr>
          <w:rtl/>
        </w:rPr>
        <w:t xml:space="preserve">את הקמתו של מערך </w:t>
      </w:r>
      <w:r w:rsidRPr="002F2BC5">
        <w:rPr>
          <w:rFonts w:hint="cs"/>
          <w:rtl/>
        </w:rPr>
        <w:t>המדידה התוצאתית ולפעול להטמעתו בכלל השירותים הניתנים בתחום האלימות במשפחה</w:t>
      </w:r>
      <w:r w:rsidRPr="002F2BC5">
        <w:rPr>
          <w:rtl/>
        </w:rPr>
        <w:t>.</w:t>
      </w:r>
    </w:p>
    <w:p w14:paraId="03038768" w14:textId="77777777" w:rsidR="00817399" w:rsidRPr="002F2BC5" w:rsidRDefault="00817399" w:rsidP="00817399">
      <w:pPr>
        <w:spacing w:line="269" w:lineRule="auto"/>
        <w:rPr>
          <w:rtl/>
        </w:rPr>
      </w:pPr>
    </w:p>
    <w:p w14:paraId="396E6424" w14:textId="77777777" w:rsidR="00817399" w:rsidRPr="002F2BC5" w:rsidRDefault="00817399" w:rsidP="00817399">
      <w:pPr>
        <w:spacing w:line="269" w:lineRule="auto"/>
        <w:rPr>
          <w:rtl/>
        </w:rPr>
      </w:pPr>
      <w:r w:rsidRPr="002F2BC5">
        <w:rPr>
          <w:rFonts w:hint="eastAsia"/>
          <w:rtl/>
        </w:rPr>
        <w:t>משרד</w:t>
      </w:r>
      <w:r w:rsidRPr="002F2BC5">
        <w:rPr>
          <w:rtl/>
        </w:rPr>
        <w:t xml:space="preserve"> הרווחה מסר בתשובתו </w:t>
      </w:r>
      <w:r w:rsidRPr="002F2BC5">
        <w:rPr>
          <w:rFonts w:hint="cs"/>
          <w:rtl/>
        </w:rPr>
        <w:t xml:space="preserve">לביקורת הקודמת מפברואר 2021 </w:t>
      </w:r>
      <w:r w:rsidRPr="002F2BC5">
        <w:rPr>
          <w:rtl/>
        </w:rPr>
        <w:t xml:space="preserve">כי </w:t>
      </w:r>
      <w:r w:rsidRPr="002F2BC5">
        <w:rPr>
          <w:rFonts w:hint="cs"/>
          <w:rtl/>
        </w:rPr>
        <w:t>בחינת העמידה במטרות הטיפוליות על ידי המרכזים נעשית במסגרת איסוף הנתונים המועברים על ידי המרכזים מדי שנה בשנה, וכי גובשו מדדים ובוצעה מדידה של פעילות המרכזים במסגרת מיזם שהתקיים בשנים 2010 - 2013. עוד הוסיף כי במהלך העשור האחרון שקדם לביקורת הקודמת נערכו כמה מחקרים שבחנו היבטים שונים של פעילות המרכזים והמחלקות לשירותים חברתיים. מחקרים אלו, לטענתו, הקנו</w:t>
      </w:r>
      <w:r w:rsidRPr="002F2BC5">
        <w:rPr>
          <w:rtl/>
        </w:rPr>
        <w:t xml:space="preserve"> לקובעי המדיניות </w:t>
      </w:r>
      <w:r w:rsidRPr="002F2BC5">
        <w:rPr>
          <w:rFonts w:hint="cs"/>
          <w:rtl/>
        </w:rPr>
        <w:t>תמונת מצב</w:t>
      </w:r>
      <w:r w:rsidRPr="002F2BC5">
        <w:rPr>
          <w:rtl/>
        </w:rPr>
        <w:t xml:space="preserve"> מקיפה </w:t>
      </w:r>
      <w:r w:rsidRPr="002F2BC5">
        <w:rPr>
          <w:rFonts w:hint="eastAsia"/>
          <w:rtl/>
        </w:rPr>
        <w:t>על</w:t>
      </w:r>
      <w:r w:rsidRPr="002F2BC5">
        <w:rPr>
          <w:rtl/>
        </w:rPr>
        <w:t xml:space="preserve"> </w:t>
      </w:r>
      <w:r w:rsidRPr="002F2BC5">
        <w:rPr>
          <w:rFonts w:hint="eastAsia"/>
          <w:rtl/>
        </w:rPr>
        <w:t>פעילות</w:t>
      </w:r>
      <w:r w:rsidRPr="002F2BC5">
        <w:rPr>
          <w:rFonts w:hint="cs"/>
          <w:rtl/>
        </w:rPr>
        <w:t>ם</w:t>
      </w:r>
      <w:r w:rsidRPr="002F2BC5">
        <w:rPr>
          <w:rtl/>
        </w:rPr>
        <w:t xml:space="preserve"> ו</w:t>
      </w:r>
      <w:r w:rsidRPr="002F2BC5">
        <w:rPr>
          <w:rFonts w:hint="cs"/>
          <w:rtl/>
        </w:rPr>
        <w:t xml:space="preserve">אפשרו להם </w:t>
      </w:r>
      <w:r w:rsidRPr="002F2BC5">
        <w:rPr>
          <w:rtl/>
        </w:rPr>
        <w:t xml:space="preserve">לעדכן את המדיניות בהתאם. </w:t>
      </w:r>
      <w:r w:rsidRPr="002F2BC5">
        <w:rPr>
          <w:rFonts w:hint="cs"/>
          <w:rtl/>
        </w:rPr>
        <w:t>משרד הרווחה ציין עוד בתשובתו כי הפיתוח של כלי מדידה לתוכנית עו"ס משטרה מצוי בשלבי גיבוש; פיתוח כלי מדידה למרכזים מצוי בשלבי גיבוש סופיים; ובמהלך שנת 2021 יפותחו כלי מדידה עבור יתר השירותים.</w:t>
      </w:r>
    </w:p>
    <w:p w14:paraId="5B049E3B" w14:textId="77777777" w:rsidR="00817399" w:rsidRPr="002F2BC5" w:rsidRDefault="00817399" w:rsidP="00817399">
      <w:pPr>
        <w:spacing w:line="269" w:lineRule="auto"/>
        <w:rPr>
          <w:rtl/>
        </w:rPr>
      </w:pPr>
    </w:p>
    <w:p w14:paraId="5B373684" w14:textId="738F938E" w:rsidR="00817399" w:rsidRPr="002F2BC5" w:rsidRDefault="00817399" w:rsidP="00817399">
      <w:pPr>
        <w:spacing w:line="269" w:lineRule="auto"/>
        <w:rPr>
          <w:rtl/>
        </w:rPr>
      </w:pPr>
      <w:bookmarkStart w:id="807" w:name="_Toc191986990"/>
      <w:r w:rsidRPr="002F2BC5">
        <w:rPr>
          <w:rStyle w:val="70"/>
          <w:rFonts w:hint="cs"/>
          <w:rtl/>
        </w:rPr>
        <w:t>ביקורת המעקב:</w:t>
      </w:r>
      <w:bookmarkEnd w:id="807"/>
      <w:r w:rsidRPr="002F2BC5">
        <w:rPr>
          <w:rStyle w:val="70"/>
          <w:rFonts w:hint="cs"/>
          <w:rtl/>
        </w:rPr>
        <w:t xml:space="preserve"> </w:t>
      </w:r>
      <w:r w:rsidRPr="002F2BC5">
        <w:rPr>
          <w:rFonts w:hint="cs"/>
          <w:rtl/>
        </w:rPr>
        <w:t>נמצא כי משרד הרווחה החל לפעול להקמת מערך מדידה תוצאתית, ובמהלך השנים 2021 - 2024 נערכו מחקרי הערכה, חלקם במתכונת של פיילוט (הרצה) וחלקם במתכונת מלאה, בהתייחס לפעילות המרכזים לטיפול ומניעת אלימות במשפחה וכן תוכנית עו"ס משטרה. נוסף על כך, הפעלת תוכנית "דף חדש" של משרד הרווחה נתמכת במחקר מלווה. ריכוז התוכניות והשירותים שמופעלים בתחום האלימות במשפחה, לצד ציון שנת העבודה האחרונה שבמהלכה בוצעה מדידה תוצאתית בעניינם, מובא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Ref186473756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7</w:t>
      </w:r>
      <w:r w:rsidRPr="002F2BC5">
        <w:rPr>
          <w:rtl/>
        </w:rPr>
        <w:fldChar w:fldCharType="end"/>
      </w:r>
      <w:r w:rsidRPr="002F2BC5">
        <w:rPr>
          <w:rFonts w:hint="cs"/>
          <w:rtl/>
        </w:rPr>
        <w:t xml:space="preserve"> שלהלן. </w:t>
      </w:r>
    </w:p>
    <w:p w14:paraId="7033542C" w14:textId="77777777" w:rsidR="00817399" w:rsidRPr="002F2BC5" w:rsidRDefault="00817399" w:rsidP="00817399">
      <w:pPr>
        <w:spacing w:line="269" w:lineRule="auto"/>
        <w:rPr>
          <w:rtl/>
        </w:rPr>
      </w:pPr>
    </w:p>
    <w:p w14:paraId="7C30FD3D" w14:textId="77777777" w:rsidR="00817399" w:rsidRPr="002F2BC5" w:rsidRDefault="00817399" w:rsidP="00817399">
      <w:pPr>
        <w:pStyle w:val="a0"/>
        <w:spacing w:line="269" w:lineRule="auto"/>
        <w:rPr>
          <w:rtl/>
        </w:rPr>
      </w:pPr>
      <w:bookmarkStart w:id="808" w:name="_Ref186473756"/>
      <w:bookmarkStart w:id="809" w:name="_Toc192674052"/>
      <w:r w:rsidRPr="002F2BC5">
        <w:rPr>
          <w:rFonts w:hint="cs"/>
          <w:b w:val="0"/>
          <w:bCs w:val="0"/>
          <w:rtl/>
        </w:rPr>
        <w:lastRenderedPageBreak/>
        <w:t>:</w:t>
      </w:r>
      <w:r w:rsidRPr="002F2BC5">
        <w:rPr>
          <w:rFonts w:hint="cs"/>
          <w:rtl/>
        </w:rPr>
        <w:t xml:space="preserve"> מסגרות ושירותים בתחום ההתמודדות עם תופעת האלימות במשפחה, הגורם האחראי ושנת מדידה אחרונה, נכון למועד סיום ביקורת המעקב, דצמבר 2024</w:t>
      </w:r>
      <w:bookmarkEnd w:id="808"/>
      <w:bookmarkEnd w:id="809"/>
      <w:r w:rsidRPr="002F2BC5">
        <w:rPr>
          <w:rFonts w:hint="cs"/>
          <w:rtl/>
        </w:rPr>
        <w:t>*</w:t>
      </w:r>
    </w:p>
    <w:p w14:paraId="7E7004AB"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294CCB24" wp14:editId="0219E32C">
            <wp:extent cx="5220335" cy="4575810"/>
            <wp:effectExtent l="0" t="0" r="0" b="0"/>
            <wp:docPr id="2052770961" name="תמונה 205277096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0335" cy="4575810"/>
                    </a:xfrm>
                    <a:prstGeom prst="rect">
                      <a:avLst/>
                    </a:prstGeom>
                  </pic:spPr>
                </pic:pic>
              </a:graphicData>
            </a:graphic>
          </wp:inline>
        </w:drawing>
      </w:r>
    </w:p>
    <w:p w14:paraId="2A700989" w14:textId="77777777" w:rsidR="00817399" w:rsidRPr="002F2BC5" w:rsidRDefault="00817399" w:rsidP="00817399">
      <w:pPr>
        <w:pStyle w:val="afffffff1"/>
        <w:bidi/>
        <w:spacing w:line="269" w:lineRule="auto"/>
        <w:rPr>
          <w:rtl/>
        </w:rPr>
      </w:pPr>
      <w:r w:rsidRPr="002F2BC5">
        <w:rPr>
          <w:rFonts w:hint="eastAsia"/>
          <w:rtl/>
        </w:rPr>
        <w:t>על פי מידע</w:t>
      </w:r>
      <w:r w:rsidRPr="002F2BC5">
        <w:rPr>
          <w:rtl/>
        </w:rPr>
        <w:t xml:space="preserve"> </w:t>
      </w:r>
      <w:r w:rsidRPr="002F2BC5">
        <w:rPr>
          <w:rFonts w:hint="eastAsia"/>
          <w:rtl/>
        </w:rPr>
        <w:t>שנאסף</w:t>
      </w:r>
      <w:r w:rsidRPr="002F2BC5">
        <w:rPr>
          <w:rtl/>
        </w:rPr>
        <w:t xml:space="preserve"> </w:t>
      </w:r>
      <w:r w:rsidRPr="002F2BC5">
        <w:rPr>
          <w:rFonts w:hint="eastAsia"/>
          <w:rtl/>
        </w:rPr>
        <w:t>במהלך</w:t>
      </w:r>
      <w:r w:rsidRPr="002F2BC5">
        <w:rPr>
          <w:rtl/>
        </w:rPr>
        <w:t xml:space="preserve"> </w:t>
      </w:r>
      <w:r w:rsidRPr="002F2BC5">
        <w:rPr>
          <w:rFonts w:hint="eastAsia"/>
          <w:rtl/>
        </w:rPr>
        <w:t>ביקורת</w:t>
      </w:r>
      <w:r w:rsidRPr="002F2BC5">
        <w:rPr>
          <w:rtl/>
        </w:rPr>
        <w:t xml:space="preserve"> </w:t>
      </w:r>
      <w:r w:rsidRPr="002F2BC5">
        <w:rPr>
          <w:rFonts w:hint="eastAsia"/>
          <w:rtl/>
        </w:rPr>
        <w:t>המעקב</w:t>
      </w:r>
      <w:r w:rsidRPr="002F2BC5">
        <w:rPr>
          <w:rtl/>
        </w:rPr>
        <w:t xml:space="preserve">, </w:t>
      </w:r>
      <w:r w:rsidRPr="002F2BC5">
        <w:rPr>
          <w:rFonts w:hint="eastAsia"/>
          <w:rtl/>
        </w:rPr>
        <w:t>בעיבוד</w:t>
      </w:r>
      <w:r w:rsidRPr="002F2BC5">
        <w:rPr>
          <w:rtl/>
        </w:rPr>
        <w:t xml:space="preserve"> </w:t>
      </w:r>
      <w:r w:rsidRPr="002F2BC5">
        <w:rPr>
          <w:rFonts w:hint="eastAsia"/>
          <w:rtl/>
        </w:rPr>
        <w:t>משרד</w:t>
      </w:r>
      <w:r w:rsidRPr="002F2BC5">
        <w:rPr>
          <w:rtl/>
        </w:rPr>
        <w:t xml:space="preserve"> </w:t>
      </w:r>
      <w:r w:rsidRPr="002F2BC5">
        <w:rPr>
          <w:rFonts w:hint="eastAsia"/>
          <w:rtl/>
        </w:rPr>
        <w:t>מבקר</w:t>
      </w:r>
      <w:r w:rsidRPr="002F2BC5">
        <w:rPr>
          <w:rtl/>
        </w:rPr>
        <w:t xml:space="preserve"> </w:t>
      </w:r>
      <w:r w:rsidRPr="002F2BC5">
        <w:rPr>
          <w:rFonts w:hint="eastAsia"/>
          <w:rtl/>
        </w:rPr>
        <w:t>המדינה</w:t>
      </w:r>
      <w:r w:rsidRPr="002F2BC5">
        <w:rPr>
          <w:rtl/>
        </w:rPr>
        <w:t>.</w:t>
      </w:r>
    </w:p>
    <w:p w14:paraId="272A9886" w14:textId="77777777" w:rsidR="00817399" w:rsidRPr="002F2BC5" w:rsidRDefault="00817399" w:rsidP="00817399">
      <w:pPr>
        <w:pStyle w:val="afffffff1"/>
        <w:bidi/>
        <w:spacing w:line="269" w:lineRule="auto"/>
        <w:rPr>
          <w:rtl/>
        </w:rPr>
      </w:pPr>
      <w:r w:rsidRPr="002F2BC5">
        <w:rPr>
          <w:rFonts w:hint="cs"/>
          <w:rtl/>
        </w:rPr>
        <w:t>* לא מוצגים בלוח מסגרות ושירותים בתחום האלימות במשפחה שבהם ניתן מענה ייעודי לילדים נפגעי אלימות.</w:t>
      </w:r>
    </w:p>
    <w:p w14:paraId="282A18A9" w14:textId="77777777" w:rsidR="00817399" w:rsidRPr="002F2BC5" w:rsidRDefault="00817399" w:rsidP="00817399">
      <w:pPr>
        <w:spacing w:line="269" w:lineRule="auto"/>
        <w:rPr>
          <w:rtl/>
        </w:rPr>
      </w:pPr>
    </w:p>
    <w:p w14:paraId="7200C5E9" w14:textId="77777777" w:rsidR="00817399" w:rsidRPr="002F2BC5" w:rsidRDefault="00817399" w:rsidP="00817399">
      <w:pPr>
        <w:spacing w:line="269" w:lineRule="auto"/>
        <w:rPr>
          <w:rtl/>
        </w:rPr>
      </w:pPr>
      <w:r w:rsidRPr="002F2BC5">
        <w:rPr>
          <w:rFonts w:hint="cs"/>
          <w:rtl/>
        </w:rPr>
        <w:t xml:space="preserve">ביקורת המעקב העלתה עוד כי המחקרים שנעשו על פעילות המרכזים לטיפול ומניעת אלימות במשפחה וכן על הפעילות במסגרת תוכנית עו"ס משטרה נועדה, בין השאר, לשמש להקמתה של מערכת ממוחשבת למדידת תוצאות שוטפות של תוכניות קצרות טווח בתחום האלימות במשפחה. </w:t>
      </w:r>
    </w:p>
    <w:p w14:paraId="22B57687" w14:textId="77777777" w:rsidR="00817399" w:rsidRPr="002F2BC5" w:rsidRDefault="00817399" w:rsidP="00817399">
      <w:pPr>
        <w:spacing w:line="269" w:lineRule="auto"/>
        <w:rPr>
          <w:rtl/>
        </w:rPr>
      </w:pPr>
    </w:p>
    <w:p w14:paraId="2690EEB0" w14:textId="77777777" w:rsidR="00817399" w:rsidRPr="002F2BC5" w:rsidRDefault="00817399" w:rsidP="00817399">
      <w:pPr>
        <w:pStyle w:val="afffffff9"/>
        <w:spacing w:line="269" w:lineRule="auto"/>
        <w:rPr>
          <w:rtl/>
        </w:rPr>
      </w:pPr>
      <w:bookmarkStart w:id="810" w:name="_Toc198312219"/>
      <w:bookmarkStart w:id="811" w:name="_Toc198312694"/>
      <w:bookmarkStart w:id="812" w:name="_Toc200636876"/>
      <w:bookmarkStart w:id="813" w:name="_Toc200439875"/>
      <w:bookmarkStart w:id="814" w:name="_Toc201240980"/>
      <w:bookmarkStart w:id="815" w:name="_Toc191986991"/>
      <w:bookmarkStart w:id="816" w:name="_Toc192093084"/>
      <w:bookmarkStart w:id="817" w:name="_Toc192612792"/>
      <w:r w:rsidRPr="002F2BC5">
        <w:rPr>
          <w:rFonts w:hint="eastAsia"/>
          <w:rtl/>
        </w:rPr>
        <w:t>בביקורת</w:t>
      </w:r>
      <w:r w:rsidRPr="002F2BC5">
        <w:rPr>
          <w:rtl/>
        </w:rPr>
        <w:t xml:space="preserve"> הקודמת הועלה כי משרד הרווחה </w:t>
      </w:r>
      <w:r w:rsidRPr="002F2BC5">
        <w:rPr>
          <w:rFonts w:hint="eastAsia"/>
          <w:rtl/>
        </w:rPr>
        <w:t>טרם</w:t>
      </w:r>
      <w:r w:rsidRPr="002F2BC5">
        <w:rPr>
          <w:rtl/>
        </w:rPr>
        <w:t xml:space="preserve"> השלים את הקמת מערך המדידה התוצאתית שעליו המליצה ועדת המנכ"לים בזיקה להחלטת הממשלה 4439.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מועטה</w:t>
      </w:r>
      <w:r w:rsidRPr="002F2BC5">
        <w:rPr>
          <w:rFonts w:hint="cs"/>
          <w:rtl/>
        </w:rPr>
        <w:t xml:space="preserve">. נמצא כי </w:t>
      </w:r>
      <w:r w:rsidRPr="002F2BC5">
        <w:rPr>
          <w:rtl/>
        </w:rPr>
        <w:t>משרד הרווחה החל לפעול להקמת מערך מדידה תוצאתית, ובמהלך השנים 2021 - 2024 נערכו מחקרי הערכה, חלקם במתכונת של פיילוט (הרצה) וחלקם במתכונת מלאה, אך עדיין לא מתבצעת מדידה שוטפת, גם בתחומים שפותחו עבורם כלי מדידה מותאמים.</w:t>
      </w:r>
      <w:bookmarkEnd w:id="810"/>
      <w:bookmarkEnd w:id="811"/>
      <w:bookmarkEnd w:id="812"/>
      <w:bookmarkEnd w:id="813"/>
      <w:bookmarkEnd w:id="814"/>
      <w:r w:rsidRPr="002F2BC5">
        <w:rPr>
          <w:rtl/>
        </w:rPr>
        <w:t xml:space="preserve"> </w:t>
      </w:r>
      <w:bookmarkEnd w:id="815"/>
      <w:bookmarkEnd w:id="816"/>
      <w:bookmarkEnd w:id="817"/>
    </w:p>
    <w:p w14:paraId="2121A105" w14:textId="77777777" w:rsidR="00817399" w:rsidRPr="002F2BC5" w:rsidRDefault="00817399" w:rsidP="00817399">
      <w:pPr>
        <w:spacing w:line="269" w:lineRule="auto"/>
        <w:rPr>
          <w:rtl/>
        </w:rPr>
      </w:pPr>
    </w:p>
    <w:p w14:paraId="222AF072" w14:textId="77777777" w:rsidR="00817399" w:rsidRPr="002F2BC5" w:rsidRDefault="00817399" w:rsidP="00817399">
      <w:pPr>
        <w:spacing w:line="269" w:lineRule="auto"/>
        <w:rPr>
          <w:rtl/>
        </w:rPr>
      </w:pPr>
      <w:bookmarkStart w:id="818" w:name="_Toc198312220"/>
      <w:bookmarkStart w:id="819" w:name="_Toc198312695"/>
      <w:bookmarkStart w:id="820" w:name="_Toc200636877"/>
      <w:bookmarkStart w:id="821" w:name="_Toc200439876"/>
      <w:bookmarkStart w:id="822" w:name="_Toc201240981"/>
      <w:r w:rsidRPr="002F2BC5">
        <w:rPr>
          <w:rFonts w:hint="cs"/>
          <w:rtl/>
        </w:rPr>
        <w:t>המשרד לביטחון לאומי מסר בתשובתו כי במסגרת הפעלת תוכנית עו"ס משטרה במימון הרשות לביטחון קהילתי נאספים מדי שנה בשנה נתונים כמותיים היכולים לאפשר מדידה שוטפת של תפוקות ותוצאות.</w:t>
      </w:r>
      <w:bookmarkEnd w:id="818"/>
      <w:bookmarkEnd w:id="819"/>
      <w:bookmarkEnd w:id="820"/>
      <w:bookmarkEnd w:id="821"/>
      <w:bookmarkEnd w:id="822"/>
    </w:p>
    <w:p w14:paraId="6456FEA8" w14:textId="77777777" w:rsidR="00817399" w:rsidRPr="002F2BC5" w:rsidRDefault="00817399" w:rsidP="00817399">
      <w:pPr>
        <w:spacing w:line="269" w:lineRule="auto"/>
        <w:rPr>
          <w:rtl/>
        </w:rPr>
      </w:pPr>
    </w:p>
    <w:p w14:paraId="78746A8A" w14:textId="77777777" w:rsidR="00817399" w:rsidRPr="002F2BC5" w:rsidRDefault="00817399" w:rsidP="00817399">
      <w:pPr>
        <w:pStyle w:val="afffffffa"/>
        <w:spacing w:line="269" w:lineRule="auto"/>
        <w:rPr>
          <w:rtl/>
        </w:rPr>
      </w:pPr>
      <w:bookmarkStart w:id="823" w:name="_Toc191986992"/>
      <w:bookmarkStart w:id="824" w:name="_Toc192093085"/>
      <w:bookmarkStart w:id="825" w:name="_Toc192612793"/>
      <w:bookmarkStart w:id="826" w:name="_Toc198312221"/>
      <w:bookmarkStart w:id="827" w:name="_Toc198312696"/>
      <w:bookmarkStart w:id="828" w:name="_Toc200636878"/>
      <w:bookmarkStart w:id="829" w:name="_Toc200439877"/>
      <w:bookmarkStart w:id="830" w:name="_Toc201240982"/>
      <w:r w:rsidRPr="002F2BC5">
        <w:rPr>
          <w:rFonts w:hint="cs"/>
          <w:rtl/>
        </w:rPr>
        <w:t xml:space="preserve">משרד מבקר המדינה שב וממליץ למשרד הרווחה בשיתוף יתר הגופים הרלוונטיים - ובהם משרד החינוך, המשרד לביטחון לאומי, משרד העלייה, הרשות לשיקום האסיר, משטרת ישראל, שירות בתי הסוהר, הנהלת בתי המשפט, משרד הבינוי והשיכון והרשויות המקומיות - </w:t>
      </w:r>
      <w:r w:rsidRPr="002F2BC5">
        <w:rPr>
          <w:rFonts w:hint="eastAsia"/>
          <w:rtl/>
        </w:rPr>
        <w:lastRenderedPageBreak/>
        <w:t>להמשיך</w:t>
      </w:r>
      <w:r w:rsidRPr="002F2BC5">
        <w:rPr>
          <w:rtl/>
        </w:rPr>
        <w:t xml:space="preserve"> </w:t>
      </w:r>
      <w:r w:rsidRPr="002F2BC5">
        <w:rPr>
          <w:rFonts w:hint="eastAsia"/>
          <w:rtl/>
        </w:rPr>
        <w:t>בפעולות</w:t>
      </w:r>
      <w:r w:rsidRPr="002F2BC5">
        <w:rPr>
          <w:rtl/>
        </w:rPr>
        <w:t xml:space="preserve"> </w:t>
      </w:r>
      <w:r w:rsidRPr="002F2BC5">
        <w:rPr>
          <w:rFonts w:hint="eastAsia"/>
          <w:rtl/>
        </w:rPr>
        <w:t>להקמתו</w:t>
      </w:r>
      <w:r w:rsidRPr="002F2BC5">
        <w:rPr>
          <w:rFonts w:hint="cs"/>
          <w:rtl/>
        </w:rPr>
        <w:t xml:space="preserve"> והטמעתו של מערך המדידה התוצאתית עבור כלל המסגרות והשירותים בתחום האלימות במשפחה.</w:t>
      </w:r>
      <w:bookmarkEnd w:id="823"/>
      <w:bookmarkEnd w:id="824"/>
      <w:bookmarkEnd w:id="825"/>
      <w:r w:rsidRPr="002F2BC5">
        <w:rPr>
          <w:rFonts w:hint="cs"/>
          <w:rtl/>
        </w:rPr>
        <w:t xml:space="preserve"> זאת, כפי שהמליצה ועדת המנכ"לים,</w:t>
      </w:r>
      <w:r w:rsidRPr="002F2BC5">
        <w:rPr>
          <w:rtl/>
        </w:rPr>
        <w:t xml:space="preserve"> ל</w:t>
      </w:r>
      <w:r w:rsidRPr="002F2BC5">
        <w:rPr>
          <w:rFonts w:hint="cs"/>
          <w:rtl/>
        </w:rPr>
        <w:t xml:space="preserve">שם </w:t>
      </w:r>
      <w:r w:rsidRPr="002F2BC5">
        <w:rPr>
          <w:rtl/>
        </w:rPr>
        <w:t>הערכת תוצאות ההתערבות; זיהוי אוכלוסיות שאינן מקבלות מענה; זיהוי פערים פרטניים ברצפים הטיפוליים; וכן הסקת מסקנות לצורך תכנון מענים וקבלת החלטות מבוססות מידע</w:t>
      </w:r>
      <w:r w:rsidRPr="002F2BC5">
        <w:rPr>
          <w:rStyle w:val="af9"/>
          <w:rtl/>
        </w:rPr>
        <w:footnoteReference w:id="195"/>
      </w:r>
      <w:r w:rsidRPr="002F2BC5">
        <w:rPr>
          <w:rtl/>
        </w:rPr>
        <w:t>.</w:t>
      </w:r>
      <w:bookmarkEnd w:id="826"/>
      <w:bookmarkEnd w:id="827"/>
      <w:bookmarkEnd w:id="828"/>
      <w:bookmarkEnd w:id="829"/>
      <w:bookmarkEnd w:id="830"/>
    </w:p>
    <w:p w14:paraId="25282579" w14:textId="77777777" w:rsidR="00817399" w:rsidRPr="002F2BC5" w:rsidRDefault="00817399" w:rsidP="00817399">
      <w:pPr>
        <w:spacing w:line="269" w:lineRule="auto"/>
        <w:rPr>
          <w:rtl/>
        </w:rPr>
      </w:pPr>
    </w:p>
    <w:p w14:paraId="103257D2" w14:textId="77777777" w:rsidR="00817399" w:rsidRPr="002F2BC5" w:rsidRDefault="00817399" w:rsidP="00817399">
      <w:pPr>
        <w:spacing w:line="269" w:lineRule="auto"/>
        <w:rPr>
          <w:rtl/>
        </w:rPr>
      </w:pPr>
      <w:r w:rsidRPr="002F2BC5">
        <w:rPr>
          <w:rFonts w:hint="eastAsia"/>
          <w:rtl/>
        </w:rPr>
        <w:t>שירות</w:t>
      </w:r>
      <w:r w:rsidRPr="002F2BC5">
        <w:rPr>
          <w:rtl/>
        </w:rPr>
        <w:t xml:space="preserve"> בתי הסוהר </w:t>
      </w:r>
      <w:r w:rsidRPr="002F2BC5">
        <w:rPr>
          <w:rFonts w:hint="eastAsia"/>
          <w:rtl/>
        </w:rPr>
        <w:t>ומרכז</w:t>
      </w:r>
      <w:r w:rsidRPr="002F2BC5">
        <w:rPr>
          <w:rtl/>
        </w:rPr>
        <w:t xml:space="preserve"> השלטון המקומי </w:t>
      </w:r>
      <w:r w:rsidRPr="002F2BC5">
        <w:rPr>
          <w:rFonts w:hint="eastAsia"/>
          <w:rtl/>
        </w:rPr>
        <w:t>מסרו</w:t>
      </w:r>
      <w:r w:rsidRPr="002F2BC5">
        <w:rPr>
          <w:rtl/>
        </w:rPr>
        <w:t xml:space="preserve"> בתשוב</w:t>
      </w:r>
      <w:r w:rsidRPr="002F2BC5">
        <w:rPr>
          <w:rFonts w:hint="eastAsia"/>
          <w:rtl/>
        </w:rPr>
        <w:t>ותיהם</w:t>
      </w:r>
      <w:r w:rsidRPr="002F2BC5">
        <w:rPr>
          <w:rtl/>
        </w:rPr>
        <w:t xml:space="preserve"> כי </w:t>
      </w:r>
      <w:r w:rsidRPr="002F2BC5">
        <w:rPr>
          <w:rFonts w:hint="eastAsia"/>
          <w:rtl/>
        </w:rPr>
        <w:t>הם</w:t>
      </w:r>
      <w:r w:rsidRPr="002F2BC5">
        <w:rPr>
          <w:rtl/>
        </w:rPr>
        <w:t xml:space="preserve"> מכירים בחשיבות </w:t>
      </w:r>
      <w:r w:rsidRPr="002F2BC5">
        <w:rPr>
          <w:rFonts w:hint="eastAsia"/>
          <w:rtl/>
        </w:rPr>
        <w:t>השימוש</w:t>
      </w:r>
      <w:r w:rsidRPr="002F2BC5">
        <w:rPr>
          <w:rtl/>
        </w:rPr>
        <w:t xml:space="preserve"> בכלי מדידה </w:t>
      </w:r>
      <w:r w:rsidRPr="002F2BC5">
        <w:rPr>
          <w:rFonts w:hint="eastAsia"/>
          <w:rtl/>
        </w:rPr>
        <w:t>תוצאתית</w:t>
      </w:r>
      <w:r w:rsidRPr="002F2BC5">
        <w:rPr>
          <w:rtl/>
        </w:rPr>
        <w:t xml:space="preserve"> וכי ישת</w:t>
      </w:r>
      <w:r w:rsidRPr="002F2BC5">
        <w:rPr>
          <w:rFonts w:hint="eastAsia"/>
          <w:rtl/>
        </w:rPr>
        <w:t>פו</w:t>
      </w:r>
      <w:r w:rsidRPr="002F2BC5">
        <w:rPr>
          <w:rtl/>
        </w:rPr>
        <w:t xml:space="preserve"> פעולה בעניין זה </w:t>
      </w:r>
      <w:r w:rsidRPr="002F2BC5">
        <w:rPr>
          <w:rFonts w:hint="cs"/>
          <w:rtl/>
        </w:rPr>
        <w:t xml:space="preserve">אם </w:t>
      </w:r>
      <w:r w:rsidRPr="002F2BC5">
        <w:rPr>
          <w:rtl/>
        </w:rPr>
        <w:t>יידרש</w:t>
      </w:r>
      <w:r w:rsidRPr="002F2BC5">
        <w:rPr>
          <w:rFonts w:hint="eastAsia"/>
          <w:rtl/>
        </w:rPr>
        <w:t>ו</w:t>
      </w:r>
      <w:r w:rsidRPr="002F2BC5">
        <w:rPr>
          <w:rtl/>
        </w:rPr>
        <w:t xml:space="preserve"> לכך.</w:t>
      </w:r>
      <w:r w:rsidRPr="002F2BC5">
        <w:rPr>
          <w:rFonts w:hint="cs"/>
          <w:rtl/>
        </w:rPr>
        <w:t xml:space="preserve"> </w:t>
      </w:r>
    </w:p>
    <w:p w14:paraId="765FC3FD" w14:textId="77777777" w:rsidR="00817399" w:rsidRPr="002F2BC5" w:rsidRDefault="00817399" w:rsidP="00817399">
      <w:pPr>
        <w:spacing w:line="269" w:lineRule="auto"/>
        <w:rPr>
          <w:rtl/>
        </w:rPr>
      </w:pPr>
    </w:p>
    <w:p w14:paraId="52EEC3A9"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2CD502E3" w14:textId="77777777" w:rsidR="00817399" w:rsidRPr="002F2BC5" w:rsidRDefault="00817399" w:rsidP="00817399">
      <w:pPr>
        <w:pStyle w:val="afffffff7"/>
        <w:spacing w:before="0" w:line="269" w:lineRule="auto"/>
        <w:rPr>
          <w:b/>
          <w:bCs/>
          <w:rtl/>
        </w:rPr>
      </w:pPr>
      <w:bookmarkStart w:id="831" w:name="_Toc198312222"/>
      <w:bookmarkStart w:id="832" w:name="_Toc198312697"/>
      <w:bookmarkStart w:id="833" w:name="_Toc189072227"/>
      <w:r w:rsidRPr="002F2BC5">
        <w:rPr>
          <w:b/>
          <w:bCs/>
          <w:noProof/>
        </w:rPr>
        <w:drawing>
          <wp:inline distT="0" distB="0" distL="0" distR="0" wp14:anchorId="362CC037" wp14:editId="6DD6BE6B">
            <wp:extent cx="4324350" cy="933450"/>
            <wp:effectExtent l="0" t="0" r="0" b="0"/>
            <wp:docPr id="23"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831"/>
      <w:bookmarkEnd w:id="832"/>
    </w:p>
    <w:bookmarkEnd w:id="833"/>
    <w:p w14:paraId="02DC85CD" w14:textId="77777777" w:rsidR="00817399" w:rsidRPr="002F2BC5" w:rsidRDefault="00817399" w:rsidP="00817399">
      <w:pPr>
        <w:spacing w:line="269" w:lineRule="auto"/>
        <w:rPr>
          <w:rtl/>
        </w:rPr>
      </w:pPr>
    </w:p>
    <w:p w14:paraId="6105B9F3" w14:textId="77777777" w:rsidR="00817399" w:rsidRPr="002F2BC5" w:rsidRDefault="00817399" w:rsidP="00817399">
      <w:pPr>
        <w:pStyle w:val="31"/>
        <w:spacing w:before="0" w:line="269" w:lineRule="auto"/>
        <w:rPr>
          <w:rtl/>
        </w:rPr>
      </w:pPr>
      <w:bookmarkStart w:id="834" w:name="_Ref188440861"/>
      <w:bookmarkStart w:id="835" w:name="_Toc189072228"/>
      <w:bookmarkStart w:id="836" w:name="_Ref191294168"/>
      <w:bookmarkStart w:id="837" w:name="_Toc191986993"/>
      <w:bookmarkStart w:id="838" w:name="_Toc191891391"/>
      <w:bookmarkStart w:id="839" w:name="_Toc192093086"/>
      <w:bookmarkStart w:id="840" w:name="_Toc193110607"/>
      <w:bookmarkStart w:id="841" w:name="_Toc192612794"/>
      <w:bookmarkStart w:id="842" w:name="_Toc192778825"/>
      <w:bookmarkStart w:id="843" w:name="_Toc198312223"/>
      <w:bookmarkStart w:id="844" w:name="_Toc198312698"/>
      <w:bookmarkStart w:id="845" w:name="_Toc200636803"/>
      <w:bookmarkStart w:id="846" w:name="_Toc200636879"/>
      <w:bookmarkStart w:id="847" w:name="_Toc200439802"/>
      <w:bookmarkStart w:id="848" w:name="_Toc200439878"/>
      <w:bookmarkStart w:id="849" w:name="_Toc201240983"/>
      <w:bookmarkStart w:id="850" w:name="_Toc192784379"/>
      <w:bookmarkStart w:id="851" w:name="_Toc201759365"/>
      <w:bookmarkStart w:id="852" w:name="_Toc203488001"/>
      <w:r w:rsidRPr="002F2BC5">
        <w:rPr>
          <w:rFonts w:hint="cs"/>
          <w:rtl/>
        </w:rPr>
        <w:t>התמודדות עם תופעת האלימות בין בני זוג בעיתות משבר וחירום ובמלחמת חרבות ברזל</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33BB8D20" w14:textId="77777777" w:rsidR="00817399" w:rsidRPr="002F2BC5" w:rsidRDefault="00817399" w:rsidP="00817399">
      <w:pPr>
        <w:spacing w:line="269" w:lineRule="auto"/>
        <w:rPr>
          <w:rtl/>
        </w:rPr>
      </w:pPr>
    </w:p>
    <w:p w14:paraId="3D21DA0B" w14:textId="77777777" w:rsidR="00817399" w:rsidRPr="002F2BC5" w:rsidRDefault="00817399" w:rsidP="00817399">
      <w:pPr>
        <w:spacing w:line="269" w:lineRule="auto"/>
        <w:rPr>
          <w:rtl/>
        </w:rPr>
      </w:pPr>
      <w:bookmarkStart w:id="853" w:name="_Toc191986994"/>
      <w:r w:rsidRPr="002F2BC5">
        <w:rPr>
          <w:rStyle w:val="70"/>
          <w:rFonts w:hint="cs"/>
          <w:rtl/>
        </w:rPr>
        <w:t>הנושא המפורט להלן נבדק לראשונה במסגרת ביקורת זו:</w:t>
      </w:r>
      <w:bookmarkEnd w:id="853"/>
      <w:r w:rsidRPr="002F2BC5">
        <w:rPr>
          <w:rStyle w:val="70"/>
          <w:rFonts w:hint="cs"/>
          <w:rtl/>
        </w:rPr>
        <w:t xml:space="preserve"> </w:t>
      </w:r>
      <w:bookmarkStart w:id="854" w:name="_Hlk186967035"/>
      <w:bookmarkStart w:id="855" w:name="_Hlk192151171"/>
      <w:r w:rsidRPr="002F2BC5">
        <w:rPr>
          <w:rtl/>
        </w:rPr>
        <w:t xml:space="preserve">מחקרים </w:t>
      </w:r>
      <w:r w:rsidRPr="002F2BC5">
        <w:rPr>
          <w:rFonts w:hint="cs"/>
          <w:rtl/>
        </w:rPr>
        <w:t>מצביעים על כך</w:t>
      </w:r>
      <w:r w:rsidRPr="002F2BC5">
        <w:rPr>
          <w:rtl/>
        </w:rPr>
        <w:t xml:space="preserve"> </w:t>
      </w:r>
      <w:r w:rsidRPr="002F2BC5">
        <w:rPr>
          <w:rFonts w:hint="cs"/>
          <w:rtl/>
        </w:rPr>
        <w:t>שהתרחשותם של אירועים מסכני חיים ברמה הלאומית, כדוגמת אסונות טבע או מלחמות</w:t>
      </w:r>
      <w:r w:rsidRPr="002F2BC5">
        <w:rPr>
          <w:rStyle w:val="af9"/>
          <w:rtl/>
        </w:rPr>
        <w:footnoteReference w:id="196"/>
      </w:r>
      <w:r w:rsidRPr="002F2BC5">
        <w:rPr>
          <w:rFonts w:hint="cs"/>
          <w:rtl/>
        </w:rPr>
        <w:t xml:space="preserve">, </w:t>
      </w:r>
      <w:bookmarkStart w:id="856" w:name="_Hlk190777915"/>
      <w:r w:rsidRPr="002F2BC5">
        <w:rPr>
          <w:rFonts w:hint="cs"/>
          <w:rtl/>
        </w:rPr>
        <w:t>עלולים להביא לעלייה בגורמי הסיכון לאלימות ובהיקף תופעת האלימות במשפחה, ובתוך כך לעלייה בהיקפה במערכת היחסים הזוגית, וזאת אף כמה שנים לאחר התרחשותם</w:t>
      </w:r>
      <w:bookmarkEnd w:id="856"/>
      <w:r w:rsidRPr="002F2BC5">
        <w:rPr>
          <w:rFonts w:hint="cs"/>
          <w:rtl/>
        </w:rPr>
        <w:t xml:space="preserve"> של אירועים מסוג זה</w:t>
      </w:r>
      <w:r w:rsidRPr="002F2BC5">
        <w:rPr>
          <w:rStyle w:val="af9"/>
          <w:rtl/>
        </w:rPr>
        <w:footnoteReference w:id="197"/>
      </w:r>
      <w:r w:rsidRPr="002F2BC5">
        <w:rPr>
          <w:rtl/>
        </w:rPr>
        <w:t>.</w:t>
      </w:r>
      <w:r w:rsidRPr="002F2BC5">
        <w:rPr>
          <w:rFonts w:hint="cs"/>
          <w:rtl/>
        </w:rPr>
        <w:t xml:space="preserve"> </w:t>
      </w:r>
      <w:bookmarkEnd w:id="854"/>
      <w:r w:rsidRPr="002F2BC5">
        <w:rPr>
          <w:rFonts w:hint="cs"/>
          <w:rtl/>
        </w:rPr>
        <w:t>בה בעת מחקרים מצביעים גם על כך שהתרחשותם של אירועים מסכני חיים עלולים להוביל להתגברות "קשר השתיקה" המאפיין את תופעת האלימות, ובתוך כך להוביל לירידה בהיקף התופעה המדווחת</w:t>
      </w:r>
      <w:bookmarkEnd w:id="855"/>
      <w:r w:rsidRPr="002F2BC5">
        <w:rPr>
          <w:rStyle w:val="af9"/>
          <w:rtl/>
        </w:rPr>
        <w:footnoteReference w:id="198"/>
      </w:r>
      <w:r w:rsidRPr="002F2BC5">
        <w:rPr>
          <w:rFonts w:hint="cs"/>
          <w:rtl/>
        </w:rPr>
        <w:t>. במחקרים נמצא גם קשר מובהק בין חשיפה של גברים לאירועים טראומטיים במהלך חייהם, ובפרט חשיפה לאירועי לחימה ומצבים של פוסט-טראומה, ובין ההסתברות כי ינקטו באלימות בתוך מערכת היחסים הזוגית</w:t>
      </w:r>
      <w:r w:rsidRPr="002F2BC5">
        <w:rPr>
          <w:rStyle w:val="af9"/>
          <w:rtl/>
        </w:rPr>
        <w:footnoteReference w:id="199"/>
      </w:r>
      <w:r w:rsidRPr="002F2BC5">
        <w:rPr>
          <w:rFonts w:hint="cs"/>
          <w:rtl/>
        </w:rPr>
        <w:t xml:space="preserve">. </w:t>
      </w:r>
    </w:p>
    <w:p w14:paraId="56B6B488" w14:textId="77777777" w:rsidR="00817399" w:rsidRPr="002F2BC5" w:rsidRDefault="00817399" w:rsidP="00817399">
      <w:pPr>
        <w:spacing w:line="269" w:lineRule="auto"/>
        <w:rPr>
          <w:rtl/>
        </w:rPr>
      </w:pPr>
    </w:p>
    <w:p w14:paraId="3A38ABC2" w14:textId="77777777" w:rsidR="00817399" w:rsidRPr="002F2BC5" w:rsidRDefault="00817399" w:rsidP="00817399">
      <w:pPr>
        <w:pStyle w:val="afa"/>
        <w:numPr>
          <w:ilvl w:val="0"/>
          <w:numId w:val="30"/>
        </w:numPr>
        <w:spacing w:line="269" w:lineRule="auto"/>
        <w:rPr>
          <w:b/>
          <w:bCs/>
          <w:rtl/>
        </w:rPr>
      </w:pPr>
      <w:bookmarkStart w:id="857" w:name="_Toc191986995"/>
      <w:r w:rsidRPr="002F2BC5">
        <w:rPr>
          <w:rStyle w:val="70"/>
          <w:rFonts w:hint="cs"/>
          <w:rtl/>
        </w:rPr>
        <w:t>תורת הפעלה לאספקת שירותי רווחה באירועי חירום ומשבר</w:t>
      </w:r>
      <w:r w:rsidRPr="002F2BC5">
        <w:rPr>
          <w:rStyle w:val="70"/>
          <w:rtl/>
        </w:rPr>
        <w:t>:</w:t>
      </w:r>
      <w:bookmarkEnd w:id="857"/>
      <w:r w:rsidRPr="002F2BC5">
        <w:rPr>
          <w:rStyle w:val="70"/>
          <w:rtl/>
        </w:rPr>
        <w:t xml:space="preserve"> </w:t>
      </w:r>
      <w:r w:rsidRPr="002F2BC5">
        <w:rPr>
          <w:rFonts w:hint="eastAsia"/>
          <w:rtl/>
        </w:rPr>
        <w:t>במאי</w:t>
      </w:r>
      <w:r w:rsidRPr="002F2BC5">
        <w:rPr>
          <w:rtl/>
        </w:rPr>
        <w:t xml:space="preserve"> 2021 פרסם משרד הרווחה </w:t>
      </w:r>
      <w:r w:rsidRPr="002F2BC5">
        <w:rPr>
          <w:rFonts w:hint="eastAsia"/>
          <w:rtl/>
        </w:rPr>
        <w:t>את</w:t>
      </w:r>
      <w:r w:rsidRPr="002F2BC5">
        <w:rPr>
          <w:rtl/>
        </w:rPr>
        <w:t xml:space="preserve"> </w:t>
      </w:r>
      <w:r w:rsidRPr="002F2BC5">
        <w:rPr>
          <w:rFonts w:hint="eastAsia"/>
          <w:rtl/>
        </w:rPr>
        <w:t>תורת</w:t>
      </w:r>
      <w:r w:rsidRPr="002F2BC5">
        <w:rPr>
          <w:rtl/>
        </w:rPr>
        <w:t xml:space="preserve"> </w:t>
      </w:r>
      <w:r w:rsidRPr="002F2BC5">
        <w:rPr>
          <w:rFonts w:hint="eastAsia"/>
          <w:rtl/>
        </w:rPr>
        <w:t>ההפעלה</w:t>
      </w:r>
      <w:r w:rsidRPr="002F2BC5">
        <w:rPr>
          <w:rtl/>
        </w:rPr>
        <w:t xml:space="preserve"> </w:t>
      </w:r>
      <w:r w:rsidRPr="002F2BC5">
        <w:rPr>
          <w:rFonts w:hint="eastAsia"/>
          <w:rtl/>
        </w:rPr>
        <w:t>ל</w:t>
      </w:r>
      <w:r w:rsidRPr="002F2BC5">
        <w:rPr>
          <w:rFonts w:hint="cs"/>
          <w:rtl/>
        </w:rPr>
        <w:t>אספקת שירותי רווחה ב</w:t>
      </w:r>
      <w:r w:rsidRPr="002F2BC5">
        <w:rPr>
          <w:rFonts w:hint="eastAsia"/>
          <w:rtl/>
        </w:rPr>
        <w:t>אירועי</w:t>
      </w:r>
      <w:r w:rsidRPr="002F2BC5">
        <w:rPr>
          <w:rtl/>
        </w:rPr>
        <w:t xml:space="preserve"> </w:t>
      </w:r>
      <w:r w:rsidRPr="002F2BC5">
        <w:rPr>
          <w:rFonts w:hint="eastAsia"/>
          <w:rtl/>
        </w:rPr>
        <w:t>חירום</w:t>
      </w:r>
      <w:r w:rsidRPr="002F2BC5">
        <w:rPr>
          <w:rtl/>
        </w:rPr>
        <w:t xml:space="preserve"> </w:t>
      </w:r>
      <w:r w:rsidRPr="002F2BC5">
        <w:rPr>
          <w:rFonts w:hint="eastAsia"/>
          <w:rtl/>
        </w:rPr>
        <w:t>ומשבר</w:t>
      </w:r>
      <w:r w:rsidRPr="002F2BC5">
        <w:rPr>
          <w:rFonts w:hint="cs"/>
          <w:rtl/>
        </w:rPr>
        <w:t xml:space="preserve"> (להלן - </w:t>
      </w:r>
      <w:bookmarkStart w:id="858" w:name="_Hlk202108870"/>
      <w:r w:rsidRPr="002F2BC5">
        <w:rPr>
          <w:rFonts w:hint="cs"/>
          <w:rtl/>
        </w:rPr>
        <w:t>תורת ההפעלה באירועי חירום ומשבר</w:t>
      </w:r>
      <w:bookmarkEnd w:id="858"/>
      <w:r w:rsidRPr="002F2BC5">
        <w:rPr>
          <w:rFonts w:hint="cs"/>
          <w:rtl/>
        </w:rPr>
        <w:t xml:space="preserve">). תורת ההפעלה שקבע משרד הרווחה נועדה להניח את התשתית המחייבת לצורך ההיערכות ומתן המענה בפועל באירועי חירום ומשבר </w:t>
      </w:r>
      <w:r w:rsidRPr="002F2BC5">
        <w:rPr>
          <w:rFonts w:hint="cs"/>
          <w:rtl/>
        </w:rPr>
        <w:lastRenderedPageBreak/>
        <w:t>עבור מטה המשרד וכלל יחידותיו, לרבות המסגרות החוץ-ביתיות שבהפעלתו ובאחריותו, וכן עבור המחלקות לשירותים חברתיים ברשויות המקומיות</w:t>
      </w:r>
      <w:r w:rsidRPr="002F2BC5">
        <w:rPr>
          <w:vertAlign w:val="superscript"/>
          <w:rtl/>
        </w:rPr>
        <w:footnoteReference w:id="200"/>
      </w:r>
      <w:r w:rsidRPr="002F2BC5">
        <w:rPr>
          <w:rFonts w:hint="cs"/>
          <w:rtl/>
        </w:rPr>
        <w:t>.</w:t>
      </w:r>
    </w:p>
    <w:p w14:paraId="2B220FF6" w14:textId="77777777" w:rsidR="00817399" w:rsidRPr="002F2BC5" w:rsidRDefault="00817399" w:rsidP="00817399">
      <w:pPr>
        <w:spacing w:line="269" w:lineRule="auto"/>
        <w:rPr>
          <w:rtl/>
        </w:rPr>
      </w:pPr>
    </w:p>
    <w:p w14:paraId="54CB2C14" w14:textId="77777777" w:rsidR="00817399" w:rsidRPr="002F2BC5" w:rsidRDefault="00817399" w:rsidP="00817399">
      <w:pPr>
        <w:pStyle w:val="afffffff9"/>
        <w:spacing w:line="269" w:lineRule="auto"/>
        <w:ind w:left="312"/>
        <w:rPr>
          <w:rtl/>
        </w:rPr>
      </w:pPr>
      <w:bookmarkStart w:id="859" w:name="_Toc191986996"/>
      <w:bookmarkStart w:id="860" w:name="_Toc192093087"/>
      <w:bookmarkStart w:id="861" w:name="_Toc192612795"/>
      <w:bookmarkStart w:id="862" w:name="_Toc198312224"/>
      <w:bookmarkStart w:id="863" w:name="_Toc198312699"/>
      <w:bookmarkStart w:id="864" w:name="_Toc200636880"/>
      <w:bookmarkStart w:id="865" w:name="_Toc200439879"/>
      <w:bookmarkStart w:id="866" w:name="_Toc201240984"/>
      <w:r w:rsidRPr="002F2BC5">
        <w:rPr>
          <w:rFonts w:hint="cs"/>
          <w:rtl/>
        </w:rPr>
        <w:t>נמצא כי</w:t>
      </w:r>
      <w:r w:rsidRPr="002F2BC5">
        <w:rPr>
          <w:rtl/>
        </w:rPr>
        <w:t xml:space="preserve"> תורת ההפעלה באירועי חירום ומשבר </w:t>
      </w:r>
      <w:r w:rsidRPr="002F2BC5">
        <w:rPr>
          <w:rFonts w:hint="cs"/>
          <w:rtl/>
        </w:rPr>
        <w:t xml:space="preserve">מתווה את מדיניות משרד הרווחה ואת הנחות העבודה שעל פיהן תיקבע האסטרטגיה למענה באירועים אלו. עם זאת, היא </w:t>
      </w:r>
      <w:r w:rsidRPr="002F2BC5">
        <w:rPr>
          <w:rFonts w:hint="eastAsia"/>
          <w:rtl/>
        </w:rPr>
        <w:t>אינה</w:t>
      </w:r>
      <w:r w:rsidRPr="002F2BC5">
        <w:rPr>
          <w:rtl/>
        </w:rPr>
        <w:t xml:space="preserve"> </w:t>
      </w:r>
      <w:r w:rsidRPr="002F2BC5">
        <w:rPr>
          <w:rFonts w:hint="eastAsia"/>
          <w:rtl/>
        </w:rPr>
        <w:t>מתייחסת</w:t>
      </w:r>
      <w:r w:rsidRPr="002F2BC5">
        <w:rPr>
          <w:rtl/>
        </w:rPr>
        <w:t xml:space="preserve"> </w:t>
      </w:r>
      <w:r w:rsidRPr="002F2BC5">
        <w:rPr>
          <w:rFonts w:hint="eastAsia"/>
          <w:rtl/>
        </w:rPr>
        <w:t>באופן</w:t>
      </w:r>
      <w:r w:rsidRPr="002F2BC5">
        <w:rPr>
          <w:rtl/>
        </w:rPr>
        <w:t xml:space="preserve"> </w:t>
      </w:r>
      <w:r w:rsidRPr="002F2BC5">
        <w:rPr>
          <w:rFonts w:hint="eastAsia"/>
          <w:rtl/>
        </w:rPr>
        <w:t>פרטני</w:t>
      </w:r>
      <w:r w:rsidRPr="002F2BC5">
        <w:rPr>
          <w:rtl/>
        </w:rPr>
        <w:t xml:space="preserve"> </w:t>
      </w:r>
      <w:r w:rsidRPr="002F2BC5">
        <w:rPr>
          <w:rFonts w:hint="eastAsia"/>
          <w:rtl/>
        </w:rPr>
        <w:t>לאחריותו</w:t>
      </w:r>
      <w:r w:rsidRPr="002F2BC5">
        <w:rPr>
          <w:rtl/>
        </w:rPr>
        <w:t xml:space="preserve"> </w:t>
      </w:r>
      <w:r w:rsidRPr="002F2BC5">
        <w:rPr>
          <w:rFonts w:hint="eastAsia"/>
          <w:rtl/>
        </w:rPr>
        <w:t>של</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או</w:t>
      </w:r>
      <w:r w:rsidRPr="002F2BC5">
        <w:rPr>
          <w:rtl/>
        </w:rPr>
        <w:t xml:space="preserve"> </w:t>
      </w:r>
      <w:r w:rsidRPr="002F2BC5">
        <w:rPr>
          <w:rFonts w:hint="eastAsia"/>
          <w:rtl/>
        </w:rPr>
        <w:t>לאחריותן</w:t>
      </w:r>
      <w:r w:rsidRPr="002F2BC5">
        <w:rPr>
          <w:rtl/>
        </w:rPr>
        <w:t xml:space="preserve"> </w:t>
      </w:r>
      <w:r w:rsidRPr="002F2BC5">
        <w:rPr>
          <w:rFonts w:hint="eastAsia"/>
          <w:rtl/>
        </w:rPr>
        <w:t>של</w:t>
      </w:r>
      <w:r w:rsidRPr="002F2BC5">
        <w:rPr>
          <w:rtl/>
        </w:rPr>
        <w:t xml:space="preserve"> </w:t>
      </w:r>
      <w:r w:rsidRPr="002F2BC5">
        <w:rPr>
          <w:rFonts w:hint="eastAsia"/>
          <w:rtl/>
        </w:rPr>
        <w:t>הרשויות</w:t>
      </w:r>
      <w:r w:rsidRPr="002F2BC5">
        <w:rPr>
          <w:rtl/>
        </w:rPr>
        <w:t xml:space="preserve"> </w:t>
      </w:r>
      <w:r w:rsidRPr="002F2BC5">
        <w:rPr>
          <w:rFonts w:hint="eastAsia"/>
          <w:rtl/>
        </w:rPr>
        <w:t>המקומיות</w:t>
      </w:r>
      <w:r w:rsidRPr="002F2BC5">
        <w:rPr>
          <w:rFonts w:hint="cs"/>
          <w:rtl/>
        </w:rPr>
        <w:t xml:space="preserve"> </w:t>
      </w:r>
      <w:r w:rsidRPr="002F2BC5">
        <w:rPr>
          <w:rtl/>
        </w:rPr>
        <w:t>לפעול</w:t>
      </w:r>
      <w:r w:rsidRPr="002F2BC5">
        <w:rPr>
          <w:rFonts w:hint="cs"/>
          <w:rtl/>
        </w:rPr>
        <w:t xml:space="preserve"> באמצעות המחלקות לשירותים חברתיים בכל הקשור</w:t>
      </w:r>
      <w:r w:rsidRPr="002F2BC5">
        <w:rPr>
          <w:rtl/>
        </w:rPr>
        <w:t xml:space="preserve"> לאיתור </w:t>
      </w:r>
      <w:r w:rsidRPr="002F2BC5">
        <w:rPr>
          <w:rFonts w:hint="eastAsia"/>
          <w:rtl/>
        </w:rPr>
        <w:t>וליישוג</w:t>
      </w:r>
      <w:r w:rsidRPr="002F2BC5">
        <w:rPr>
          <w:rtl/>
        </w:rPr>
        <w:t xml:space="preserve"> של מי שזקוקים לקבל שירות אך נמנעים מלפנות לקבלת הסיוע לנוכח מצב המשבר או החירום.</w:t>
      </w:r>
      <w:bookmarkEnd w:id="859"/>
      <w:bookmarkEnd w:id="860"/>
      <w:bookmarkEnd w:id="861"/>
      <w:bookmarkEnd w:id="862"/>
      <w:bookmarkEnd w:id="863"/>
      <w:bookmarkEnd w:id="864"/>
      <w:bookmarkEnd w:id="865"/>
      <w:bookmarkEnd w:id="866"/>
    </w:p>
    <w:p w14:paraId="1166E1B2" w14:textId="77777777" w:rsidR="00817399" w:rsidRPr="002F2BC5" w:rsidRDefault="00817399" w:rsidP="00817399">
      <w:pPr>
        <w:spacing w:line="269" w:lineRule="auto"/>
        <w:rPr>
          <w:rtl/>
        </w:rPr>
      </w:pPr>
    </w:p>
    <w:p w14:paraId="32ED28C1" w14:textId="77777777" w:rsidR="00817399" w:rsidRPr="002F2BC5" w:rsidRDefault="00817399" w:rsidP="00817399">
      <w:pPr>
        <w:pStyle w:val="afffffffa"/>
        <w:spacing w:line="269" w:lineRule="auto"/>
        <w:ind w:left="312"/>
        <w:rPr>
          <w:rtl/>
        </w:rPr>
      </w:pPr>
      <w:bookmarkStart w:id="867" w:name="_Toc191986997"/>
      <w:bookmarkStart w:id="868" w:name="_Toc192093088"/>
      <w:bookmarkStart w:id="869" w:name="_Toc192612796"/>
      <w:bookmarkStart w:id="870" w:name="_Toc198312225"/>
      <w:bookmarkStart w:id="871" w:name="_Toc198312700"/>
      <w:bookmarkStart w:id="872" w:name="_Toc200636881"/>
      <w:bookmarkStart w:id="873" w:name="_Toc200439880"/>
      <w:bookmarkStart w:id="874" w:name="_Toc201240985"/>
      <w:r w:rsidRPr="002F2BC5">
        <w:rPr>
          <w:rFonts w:hint="cs"/>
          <w:rtl/>
        </w:rPr>
        <w:t>מומלץ למשרד הרווחה לכלול בתורת ההפעלה התייחסות למחויבותו ולמחויבותן של הרשויות המקומיות לפעול בעיתות משבר וחירום אף ביתר שאת לאיתור ויישוג של הזקוקים לקבלת שירותי רווחה, הנמנעים מלפנות לקבלת סיוע לנוכח מצב המשבר או החירום, ושעלולים להימצא בזמנים אלו בסכנה רבה יותר לפגיעה גופנית מסכנת חיים.</w:t>
      </w:r>
      <w:bookmarkEnd w:id="867"/>
      <w:bookmarkEnd w:id="868"/>
      <w:bookmarkEnd w:id="869"/>
      <w:bookmarkEnd w:id="870"/>
      <w:bookmarkEnd w:id="871"/>
      <w:bookmarkEnd w:id="872"/>
      <w:bookmarkEnd w:id="873"/>
      <w:bookmarkEnd w:id="874"/>
    </w:p>
    <w:p w14:paraId="4F414BB4" w14:textId="77777777" w:rsidR="00817399" w:rsidRPr="002F2BC5" w:rsidRDefault="00817399" w:rsidP="00817399">
      <w:pPr>
        <w:spacing w:line="269" w:lineRule="auto"/>
        <w:rPr>
          <w:rtl/>
        </w:rPr>
      </w:pPr>
    </w:p>
    <w:p w14:paraId="17021F32" w14:textId="77777777" w:rsidR="00817399" w:rsidRPr="002F2BC5" w:rsidRDefault="00817399" w:rsidP="00817399">
      <w:pPr>
        <w:spacing w:line="269" w:lineRule="auto"/>
        <w:ind w:left="312"/>
        <w:rPr>
          <w:rtl/>
        </w:rPr>
      </w:pPr>
      <w:bookmarkStart w:id="875" w:name="_Toc198312226"/>
      <w:bookmarkStart w:id="876" w:name="_Toc198312701"/>
      <w:bookmarkStart w:id="877" w:name="_Toc200636882"/>
      <w:bookmarkStart w:id="878" w:name="_Toc200439881"/>
      <w:bookmarkStart w:id="879" w:name="_Toc201240986"/>
      <w:r w:rsidRPr="002F2BC5">
        <w:rPr>
          <w:rFonts w:hint="cs"/>
          <w:rtl/>
        </w:rPr>
        <w:t xml:space="preserve">משרד הרווחה מסר בתשובתו כי הוא פועל לעדכון ולדיוק של תורת ההפעלה באירועי חירום ומשבר </w:t>
      </w:r>
      <w:r w:rsidRPr="002F2BC5">
        <w:rPr>
          <w:rtl/>
        </w:rPr>
        <w:t xml:space="preserve">בעקבות </w:t>
      </w:r>
      <w:r w:rsidRPr="002F2BC5">
        <w:rPr>
          <w:rFonts w:hint="cs"/>
          <w:rtl/>
        </w:rPr>
        <w:t>תובנותיו מה</w:t>
      </w:r>
      <w:r w:rsidRPr="002F2BC5">
        <w:rPr>
          <w:rtl/>
        </w:rPr>
        <w:t>טיפול באירועי</w:t>
      </w:r>
      <w:r w:rsidRPr="002F2BC5">
        <w:rPr>
          <w:rFonts w:hint="cs"/>
          <w:rtl/>
        </w:rPr>
        <w:t xml:space="preserve"> מלחמת חרבות ברזל, בין השאר לעניין </w:t>
      </w:r>
      <w:r w:rsidRPr="002F2BC5">
        <w:rPr>
          <w:rtl/>
        </w:rPr>
        <w:t>אחריות</w:t>
      </w:r>
      <w:r w:rsidRPr="002F2BC5">
        <w:rPr>
          <w:rFonts w:hint="cs"/>
          <w:rtl/>
        </w:rPr>
        <w:t xml:space="preserve">ו ואחריות </w:t>
      </w:r>
      <w:r w:rsidRPr="002F2BC5">
        <w:rPr>
          <w:rtl/>
        </w:rPr>
        <w:t xml:space="preserve">הרשויות המקומיות למתן </w:t>
      </w:r>
      <w:r w:rsidRPr="002F2BC5">
        <w:rPr>
          <w:rFonts w:hint="cs"/>
          <w:rtl/>
        </w:rPr>
        <w:t>ה</w:t>
      </w:r>
      <w:r w:rsidRPr="002F2BC5">
        <w:rPr>
          <w:rtl/>
        </w:rPr>
        <w:t>מענ</w:t>
      </w:r>
      <w:r w:rsidRPr="002F2BC5">
        <w:rPr>
          <w:rFonts w:hint="cs"/>
          <w:rtl/>
        </w:rPr>
        <w:t>ה</w:t>
      </w:r>
      <w:r w:rsidRPr="002F2BC5">
        <w:rPr>
          <w:rtl/>
        </w:rPr>
        <w:t xml:space="preserve"> לכלל האוכלוסיות</w:t>
      </w:r>
      <w:r w:rsidRPr="002F2BC5">
        <w:rPr>
          <w:rFonts w:hint="cs"/>
          <w:rtl/>
        </w:rPr>
        <w:t>, ובכלל זה לעניין האיתור והיישוג של האוכלוסיות הזקוקות לכך</w:t>
      </w:r>
      <w:r w:rsidRPr="002F2BC5">
        <w:rPr>
          <w:rtl/>
        </w:rPr>
        <w:t>.</w:t>
      </w:r>
      <w:bookmarkEnd w:id="875"/>
      <w:bookmarkEnd w:id="876"/>
      <w:bookmarkEnd w:id="877"/>
      <w:bookmarkEnd w:id="878"/>
      <w:bookmarkEnd w:id="879"/>
    </w:p>
    <w:p w14:paraId="47737CBB" w14:textId="77777777" w:rsidR="00817399" w:rsidRPr="002F2BC5" w:rsidRDefault="00817399" w:rsidP="00817399">
      <w:pPr>
        <w:spacing w:line="269" w:lineRule="auto"/>
        <w:rPr>
          <w:rtl/>
        </w:rPr>
      </w:pPr>
    </w:p>
    <w:p w14:paraId="3484FB49" w14:textId="77777777" w:rsidR="00817399" w:rsidRPr="002F2BC5" w:rsidRDefault="00817399" w:rsidP="00817399">
      <w:pPr>
        <w:spacing w:line="269" w:lineRule="auto"/>
        <w:ind w:left="312"/>
        <w:rPr>
          <w:rtl/>
        </w:rPr>
      </w:pPr>
      <w:bookmarkStart w:id="880" w:name="_Toc198312227"/>
      <w:bookmarkStart w:id="881" w:name="_Toc198312702"/>
      <w:bookmarkStart w:id="882" w:name="_Toc200636883"/>
      <w:bookmarkStart w:id="883" w:name="_Toc200439882"/>
      <w:bookmarkStart w:id="884" w:name="_Toc201240987"/>
      <w:r w:rsidRPr="002F2BC5">
        <w:rPr>
          <w:rFonts w:hint="eastAsia"/>
          <w:rtl/>
        </w:rPr>
        <w:t>מרכז</w:t>
      </w:r>
      <w:r w:rsidRPr="002F2BC5">
        <w:rPr>
          <w:rtl/>
        </w:rPr>
        <w:t xml:space="preserve"> השלטון </w:t>
      </w:r>
      <w:r w:rsidRPr="002F2BC5">
        <w:rPr>
          <w:rFonts w:hint="eastAsia"/>
          <w:rtl/>
        </w:rPr>
        <w:t>המקומי</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eastAsia"/>
          <w:rtl/>
        </w:rPr>
        <w:t>כי</w:t>
      </w:r>
      <w:r w:rsidRPr="002F2BC5">
        <w:rPr>
          <w:rtl/>
        </w:rPr>
        <w:t xml:space="preserve"> </w:t>
      </w:r>
      <w:r w:rsidRPr="002F2BC5">
        <w:rPr>
          <w:rFonts w:hint="eastAsia"/>
          <w:rtl/>
        </w:rPr>
        <w:t>הוא</w:t>
      </w:r>
      <w:r w:rsidRPr="002F2BC5">
        <w:rPr>
          <w:rtl/>
        </w:rPr>
        <w:t xml:space="preserve"> </w:t>
      </w:r>
      <w:r w:rsidRPr="002F2BC5">
        <w:rPr>
          <w:rFonts w:hint="eastAsia"/>
          <w:rtl/>
        </w:rPr>
        <w:t>מכיר</w:t>
      </w:r>
      <w:r w:rsidRPr="002F2BC5">
        <w:rPr>
          <w:rtl/>
        </w:rPr>
        <w:t xml:space="preserve"> </w:t>
      </w:r>
      <w:r w:rsidRPr="002F2BC5">
        <w:rPr>
          <w:rFonts w:hint="eastAsia"/>
          <w:rtl/>
        </w:rPr>
        <w:t>ב</w:t>
      </w:r>
      <w:r w:rsidRPr="002F2BC5">
        <w:rPr>
          <w:rtl/>
        </w:rPr>
        <w:t xml:space="preserve">חשיבות </w:t>
      </w:r>
      <w:r w:rsidRPr="002F2BC5">
        <w:rPr>
          <w:rFonts w:hint="eastAsia"/>
          <w:rtl/>
        </w:rPr>
        <w:t>ה</w:t>
      </w:r>
      <w:r w:rsidRPr="002F2BC5">
        <w:rPr>
          <w:rtl/>
        </w:rPr>
        <w:t xml:space="preserve">רבה </w:t>
      </w:r>
      <w:r w:rsidRPr="002F2BC5">
        <w:rPr>
          <w:rFonts w:hint="eastAsia"/>
          <w:rtl/>
        </w:rPr>
        <w:t>של</w:t>
      </w:r>
      <w:r w:rsidRPr="002F2BC5">
        <w:rPr>
          <w:rtl/>
        </w:rPr>
        <w:t xml:space="preserve"> </w:t>
      </w:r>
      <w:r w:rsidRPr="002F2BC5">
        <w:rPr>
          <w:rFonts w:hint="eastAsia"/>
          <w:rtl/>
        </w:rPr>
        <w:t>פעולות</w:t>
      </w:r>
      <w:r w:rsidRPr="002F2BC5">
        <w:rPr>
          <w:rtl/>
        </w:rPr>
        <w:t xml:space="preserve"> יזומות לאיתור </w:t>
      </w:r>
      <w:r w:rsidRPr="002F2BC5">
        <w:rPr>
          <w:rFonts w:hint="eastAsia"/>
          <w:rtl/>
        </w:rPr>
        <w:t>ול</w:t>
      </w:r>
      <w:r w:rsidRPr="002F2BC5">
        <w:rPr>
          <w:rtl/>
        </w:rPr>
        <w:t xml:space="preserve">יישוג, </w:t>
      </w:r>
      <w:r w:rsidRPr="002F2BC5">
        <w:rPr>
          <w:rFonts w:hint="eastAsia"/>
          <w:rtl/>
        </w:rPr>
        <w:t>בפרט</w:t>
      </w:r>
      <w:r w:rsidRPr="002F2BC5">
        <w:rPr>
          <w:rtl/>
        </w:rPr>
        <w:t xml:space="preserve"> </w:t>
      </w:r>
      <w:r w:rsidRPr="002F2BC5">
        <w:rPr>
          <w:rFonts w:hint="eastAsia"/>
          <w:rtl/>
        </w:rPr>
        <w:t>במצב</w:t>
      </w:r>
      <w:r w:rsidRPr="002F2BC5">
        <w:rPr>
          <w:rtl/>
        </w:rPr>
        <w:t xml:space="preserve"> </w:t>
      </w:r>
      <w:r w:rsidRPr="002F2BC5">
        <w:rPr>
          <w:rFonts w:hint="eastAsia"/>
          <w:rtl/>
        </w:rPr>
        <w:t>משבר</w:t>
      </w:r>
      <w:r w:rsidRPr="002F2BC5">
        <w:rPr>
          <w:rtl/>
        </w:rPr>
        <w:t xml:space="preserve"> </w:t>
      </w:r>
      <w:r w:rsidRPr="002F2BC5">
        <w:rPr>
          <w:rFonts w:hint="eastAsia"/>
          <w:rtl/>
        </w:rPr>
        <w:t>או</w:t>
      </w:r>
      <w:r w:rsidRPr="002F2BC5">
        <w:rPr>
          <w:rtl/>
        </w:rPr>
        <w:t xml:space="preserve"> </w:t>
      </w:r>
      <w:r w:rsidRPr="002F2BC5">
        <w:rPr>
          <w:rFonts w:hint="eastAsia"/>
          <w:rtl/>
        </w:rPr>
        <w:t>חירום</w:t>
      </w:r>
      <w:r w:rsidRPr="002F2BC5">
        <w:rPr>
          <w:rtl/>
        </w:rPr>
        <w:t xml:space="preserve">, </w:t>
      </w:r>
      <w:r w:rsidRPr="002F2BC5">
        <w:rPr>
          <w:rFonts w:hint="eastAsia"/>
          <w:rtl/>
        </w:rPr>
        <w:t>וכי</w:t>
      </w:r>
      <w:r w:rsidRPr="002F2BC5">
        <w:rPr>
          <w:rtl/>
        </w:rPr>
        <w:t xml:space="preserve"> </w:t>
      </w:r>
      <w:r w:rsidRPr="002F2BC5">
        <w:rPr>
          <w:rFonts w:hint="eastAsia"/>
          <w:rtl/>
        </w:rPr>
        <w:t>עובדי</w:t>
      </w:r>
      <w:r w:rsidRPr="002F2BC5">
        <w:rPr>
          <w:rtl/>
        </w:rPr>
        <w:t xml:space="preserve"> </w:t>
      </w:r>
      <w:r w:rsidRPr="002F2BC5">
        <w:rPr>
          <w:rFonts w:hint="eastAsia"/>
          <w:rtl/>
        </w:rPr>
        <w:t>המחלקות</w:t>
      </w:r>
      <w:r w:rsidRPr="002F2BC5">
        <w:rPr>
          <w:rtl/>
        </w:rPr>
        <w:t xml:space="preserve"> לשירותים חברתיים מיומנים </w:t>
      </w:r>
      <w:r w:rsidRPr="002F2BC5">
        <w:rPr>
          <w:rFonts w:hint="eastAsia"/>
          <w:rtl/>
        </w:rPr>
        <w:t>לבצע</w:t>
      </w:r>
      <w:r w:rsidRPr="002F2BC5">
        <w:rPr>
          <w:rtl/>
        </w:rPr>
        <w:t xml:space="preserve"> </w:t>
      </w:r>
      <w:r w:rsidRPr="002F2BC5">
        <w:rPr>
          <w:rFonts w:hint="eastAsia"/>
          <w:rtl/>
        </w:rPr>
        <w:t>פעולות</w:t>
      </w:r>
      <w:r w:rsidRPr="002F2BC5">
        <w:rPr>
          <w:rtl/>
        </w:rPr>
        <w:t xml:space="preserve"> </w:t>
      </w:r>
      <w:r w:rsidRPr="002F2BC5">
        <w:rPr>
          <w:rFonts w:hint="eastAsia"/>
          <w:rtl/>
        </w:rPr>
        <w:t>אלו</w:t>
      </w:r>
      <w:r w:rsidRPr="002F2BC5">
        <w:rPr>
          <w:rtl/>
        </w:rPr>
        <w:t xml:space="preserve">, אך זאת בכפוף לזמינותם </w:t>
      </w:r>
      <w:r w:rsidRPr="002F2BC5">
        <w:rPr>
          <w:rFonts w:hint="eastAsia"/>
          <w:rtl/>
        </w:rPr>
        <w:t>ולפניוּתם</w:t>
      </w:r>
      <w:r w:rsidRPr="002F2BC5">
        <w:rPr>
          <w:rtl/>
        </w:rPr>
        <w:t xml:space="preserve"> ו</w:t>
      </w:r>
      <w:r w:rsidRPr="002F2BC5">
        <w:rPr>
          <w:rFonts w:hint="eastAsia"/>
          <w:rtl/>
        </w:rPr>
        <w:t>לכך</w:t>
      </w:r>
      <w:r w:rsidRPr="002F2BC5">
        <w:rPr>
          <w:rtl/>
        </w:rPr>
        <w:t xml:space="preserve"> שיובטח </w:t>
      </w:r>
      <w:r w:rsidRPr="002F2BC5">
        <w:rPr>
          <w:rFonts w:hint="eastAsia"/>
          <w:rtl/>
        </w:rPr>
        <w:t>כי</w:t>
      </w:r>
      <w:r w:rsidRPr="002F2BC5">
        <w:rPr>
          <w:rtl/>
        </w:rPr>
        <w:t xml:space="preserve"> יועמדו לרשותם משאבים ומענים שיידרשו בעקבות פעולות אלו ובעקבות הצרכים </w:t>
      </w:r>
      <w:r w:rsidRPr="002F2BC5">
        <w:rPr>
          <w:rFonts w:hint="eastAsia"/>
          <w:rtl/>
        </w:rPr>
        <w:t>הנוספים</w:t>
      </w:r>
      <w:r w:rsidRPr="002F2BC5">
        <w:rPr>
          <w:rtl/>
        </w:rPr>
        <w:t xml:space="preserve"> </w:t>
      </w:r>
      <w:r w:rsidRPr="002F2BC5">
        <w:rPr>
          <w:rFonts w:hint="eastAsia"/>
          <w:rtl/>
        </w:rPr>
        <w:t>שיאותרו</w:t>
      </w:r>
      <w:r w:rsidRPr="002F2BC5">
        <w:rPr>
          <w:rtl/>
        </w:rPr>
        <w:t xml:space="preserve"> על ידם.</w:t>
      </w:r>
      <w:bookmarkEnd w:id="880"/>
      <w:bookmarkEnd w:id="881"/>
      <w:bookmarkEnd w:id="882"/>
      <w:bookmarkEnd w:id="883"/>
      <w:r w:rsidRPr="002F2BC5">
        <w:rPr>
          <w:rtl/>
        </w:rPr>
        <w:t xml:space="preserve"> </w:t>
      </w:r>
      <w:bookmarkEnd w:id="884"/>
    </w:p>
    <w:p w14:paraId="6CA8E1D4" w14:textId="77777777" w:rsidR="00817399" w:rsidRPr="002F2BC5" w:rsidRDefault="00817399" w:rsidP="00817399">
      <w:pPr>
        <w:spacing w:line="269" w:lineRule="auto"/>
        <w:rPr>
          <w:rtl/>
        </w:rPr>
      </w:pPr>
    </w:p>
    <w:p w14:paraId="25EC78B4" w14:textId="77777777" w:rsidR="00817399" w:rsidRPr="002F2BC5" w:rsidRDefault="00817399" w:rsidP="00817399">
      <w:pPr>
        <w:pStyle w:val="afa"/>
        <w:numPr>
          <w:ilvl w:val="0"/>
          <w:numId w:val="30"/>
        </w:numPr>
        <w:spacing w:line="269" w:lineRule="auto"/>
        <w:rPr>
          <w:rtl/>
        </w:rPr>
      </w:pPr>
      <w:bookmarkStart w:id="885" w:name="_Toc191986998"/>
      <w:r w:rsidRPr="002F2BC5">
        <w:rPr>
          <w:rStyle w:val="70"/>
          <w:rFonts w:hint="eastAsia"/>
          <w:rtl/>
        </w:rPr>
        <w:t>ניטור</w:t>
      </w:r>
      <w:r w:rsidRPr="002F2BC5">
        <w:rPr>
          <w:rStyle w:val="70"/>
          <w:rtl/>
        </w:rPr>
        <w:t xml:space="preserve"> </w:t>
      </w:r>
      <w:r w:rsidRPr="002F2BC5">
        <w:rPr>
          <w:rStyle w:val="70"/>
          <w:rFonts w:hint="cs"/>
          <w:rtl/>
        </w:rPr>
        <w:t xml:space="preserve">היקף </w:t>
      </w:r>
      <w:r w:rsidRPr="002F2BC5">
        <w:rPr>
          <w:rStyle w:val="70"/>
          <w:rFonts w:hint="eastAsia"/>
          <w:rtl/>
        </w:rPr>
        <w:t>התופעה</w:t>
      </w:r>
      <w:r w:rsidRPr="002F2BC5">
        <w:rPr>
          <w:rStyle w:val="70"/>
          <w:rtl/>
        </w:rPr>
        <w:t xml:space="preserve"> </w:t>
      </w:r>
      <w:r w:rsidRPr="002F2BC5">
        <w:rPr>
          <w:rStyle w:val="70"/>
          <w:rFonts w:hint="eastAsia"/>
          <w:rtl/>
        </w:rPr>
        <w:t>המדווחת</w:t>
      </w:r>
      <w:r w:rsidRPr="002F2BC5">
        <w:rPr>
          <w:rStyle w:val="70"/>
          <w:rtl/>
        </w:rPr>
        <w:t xml:space="preserve"> </w:t>
      </w:r>
      <w:r w:rsidRPr="002F2BC5">
        <w:rPr>
          <w:rStyle w:val="70"/>
          <w:rFonts w:hint="eastAsia"/>
          <w:rtl/>
        </w:rPr>
        <w:t>של</w:t>
      </w:r>
      <w:r w:rsidRPr="002F2BC5">
        <w:rPr>
          <w:rStyle w:val="70"/>
          <w:rtl/>
        </w:rPr>
        <w:t xml:space="preserve"> האלימות במשפחה </w:t>
      </w:r>
      <w:r w:rsidRPr="002F2BC5">
        <w:rPr>
          <w:rStyle w:val="70"/>
          <w:rFonts w:hint="eastAsia"/>
          <w:rtl/>
        </w:rPr>
        <w:t>והיקפה</w:t>
      </w:r>
      <w:r w:rsidRPr="002F2BC5">
        <w:rPr>
          <w:rStyle w:val="70"/>
          <w:rtl/>
        </w:rPr>
        <w:t xml:space="preserve"> בפועל </w:t>
      </w:r>
      <w:r w:rsidRPr="002F2BC5">
        <w:rPr>
          <w:rStyle w:val="70"/>
          <w:rFonts w:hint="eastAsia"/>
          <w:rtl/>
        </w:rPr>
        <w:t>במהלך</w:t>
      </w:r>
      <w:r w:rsidRPr="002F2BC5">
        <w:rPr>
          <w:rStyle w:val="70"/>
          <w:rtl/>
        </w:rPr>
        <w:t xml:space="preserve"> </w:t>
      </w:r>
      <w:r w:rsidRPr="002F2BC5">
        <w:rPr>
          <w:rStyle w:val="70"/>
          <w:rFonts w:hint="eastAsia"/>
          <w:rtl/>
        </w:rPr>
        <w:t>מלחמת</w:t>
      </w:r>
      <w:r w:rsidRPr="002F2BC5">
        <w:rPr>
          <w:rStyle w:val="70"/>
          <w:rtl/>
        </w:rPr>
        <w:t xml:space="preserve"> </w:t>
      </w:r>
      <w:r w:rsidRPr="002F2BC5">
        <w:rPr>
          <w:rStyle w:val="70"/>
          <w:rFonts w:hint="eastAsia"/>
          <w:rtl/>
        </w:rPr>
        <w:t>חרבות</w:t>
      </w:r>
      <w:r w:rsidRPr="002F2BC5">
        <w:rPr>
          <w:rStyle w:val="70"/>
          <w:rtl/>
        </w:rPr>
        <w:t xml:space="preserve"> </w:t>
      </w:r>
      <w:r w:rsidRPr="002F2BC5">
        <w:rPr>
          <w:rStyle w:val="70"/>
          <w:rFonts w:hint="eastAsia"/>
          <w:rtl/>
        </w:rPr>
        <w:t>ברזל</w:t>
      </w:r>
      <w:r w:rsidRPr="002F2BC5">
        <w:rPr>
          <w:rStyle w:val="70"/>
          <w:rtl/>
        </w:rPr>
        <w:t xml:space="preserve"> לצורך הערכת המדיניות</w:t>
      </w:r>
      <w:r w:rsidRPr="002F2BC5">
        <w:rPr>
          <w:rStyle w:val="70"/>
          <w:rFonts w:hint="cs"/>
          <w:rtl/>
        </w:rPr>
        <w:t>:</w:t>
      </w:r>
      <w:bookmarkEnd w:id="885"/>
      <w:r w:rsidRPr="002F2BC5">
        <w:rPr>
          <w:rStyle w:val="70"/>
          <w:rFonts w:hint="cs"/>
          <w:rtl/>
        </w:rPr>
        <w:t xml:space="preserve"> </w:t>
      </w:r>
      <w:r w:rsidRPr="002F2BC5">
        <w:rPr>
          <w:rFonts w:hint="cs"/>
          <w:rtl/>
        </w:rPr>
        <w:t>כארבעה חודשים לאחר פרוץ מלחמת חרבות ברזל, בינואר 2024, יזמה הוועדה הבין-משרדית הקבועה סקר בזק מקוון למדידת השפעתה של המלחמה על היקף תופעת האלימות במשפחה ועל מאפייניה (</w:t>
      </w:r>
      <w:bookmarkStart w:id="886" w:name="_Hlk202109716"/>
      <w:r w:rsidRPr="002F2BC5">
        <w:rPr>
          <w:rFonts w:hint="cs"/>
          <w:rtl/>
        </w:rPr>
        <w:t>להלן - הסקר המקוון</w:t>
      </w:r>
      <w:bookmarkEnd w:id="886"/>
      <w:r w:rsidRPr="002F2BC5">
        <w:rPr>
          <w:rFonts w:hint="cs"/>
          <w:rtl/>
        </w:rPr>
        <w:t>)</w:t>
      </w:r>
      <w:r w:rsidRPr="002F2BC5">
        <w:rPr>
          <w:rStyle w:val="af9"/>
          <w:rtl/>
        </w:rPr>
        <w:footnoteReference w:id="201"/>
      </w:r>
      <w:r w:rsidRPr="002F2BC5">
        <w:rPr>
          <w:rtl/>
        </w:rPr>
        <w:t>.</w:t>
      </w:r>
      <w:r w:rsidRPr="002F2BC5">
        <w:rPr>
          <w:rFonts w:hint="cs"/>
          <w:rtl/>
        </w:rPr>
        <w:t xml:space="preserve"> ממצאי הסקר המקוון הצביעו על כך שתופעת האלימות במשפחה לא התגברה בחודשיה הראשונים של המלחמה, וזאת בהשוואה לעלייה שהתרחשה בהיקף התופעה בעת משבר הקורונה. עורכי הסקר ציינו כי הסיבה לכך עשויה להיות עיתוי המדידה, שנעשתה בקרבה רבה יותר לתחילתו של המשבר, וכן הגיוס הנרחב לשירות מילואים, כך שייתכן שהתגברות התופעה תורגש בחלוף הזמן, עם שובם של הלוחמים מהלחימה. </w:t>
      </w:r>
    </w:p>
    <w:p w14:paraId="7BDF6070" w14:textId="77777777" w:rsidR="00817399" w:rsidRPr="002F2BC5" w:rsidRDefault="00817399" w:rsidP="00817399">
      <w:pPr>
        <w:spacing w:line="269" w:lineRule="auto"/>
        <w:rPr>
          <w:rtl/>
        </w:rPr>
      </w:pPr>
    </w:p>
    <w:p w14:paraId="43839ABA" w14:textId="77777777" w:rsidR="00817399" w:rsidRPr="002F2BC5" w:rsidRDefault="00817399" w:rsidP="00817399">
      <w:pPr>
        <w:spacing w:line="269" w:lineRule="auto"/>
        <w:ind w:left="312"/>
        <w:rPr>
          <w:b/>
          <w:bCs/>
          <w:rtl/>
        </w:rPr>
      </w:pPr>
      <w:r w:rsidRPr="002F2BC5">
        <w:rPr>
          <w:rFonts w:hint="eastAsia"/>
          <w:b/>
          <w:bCs/>
          <w:rtl/>
        </w:rPr>
        <w:t>לצד</w:t>
      </w:r>
      <w:r w:rsidRPr="002F2BC5">
        <w:rPr>
          <w:b/>
          <w:bCs/>
          <w:rtl/>
        </w:rPr>
        <w:t xml:space="preserve"> </w:t>
      </w:r>
      <w:r w:rsidRPr="002F2BC5">
        <w:rPr>
          <w:rFonts w:hint="eastAsia"/>
          <w:b/>
          <w:bCs/>
          <w:rtl/>
        </w:rPr>
        <w:t>זאת</w:t>
      </w:r>
      <w:r w:rsidRPr="002F2BC5">
        <w:rPr>
          <w:b/>
          <w:bCs/>
          <w:rtl/>
        </w:rPr>
        <w:t xml:space="preserve">, ממצאי הסקר </w:t>
      </w:r>
      <w:r w:rsidRPr="002F2BC5">
        <w:rPr>
          <w:rFonts w:hint="eastAsia"/>
          <w:b/>
          <w:bCs/>
          <w:rtl/>
        </w:rPr>
        <w:t>הצביעו</w:t>
      </w:r>
      <w:r w:rsidRPr="002F2BC5">
        <w:rPr>
          <w:b/>
          <w:bCs/>
          <w:rtl/>
        </w:rPr>
        <w:t xml:space="preserve"> </w:t>
      </w:r>
      <w:r w:rsidRPr="002F2BC5">
        <w:rPr>
          <w:rFonts w:hint="eastAsia"/>
          <w:b/>
          <w:bCs/>
          <w:rtl/>
        </w:rPr>
        <w:t>על</w:t>
      </w:r>
      <w:r w:rsidRPr="002F2BC5">
        <w:rPr>
          <w:b/>
          <w:bCs/>
          <w:rtl/>
        </w:rPr>
        <w:t xml:space="preserve"> תופעה </w:t>
      </w:r>
      <w:r w:rsidRPr="002F2BC5">
        <w:rPr>
          <w:rFonts w:hint="eastAsia"/>
          <w:b/>
          <w:bCs/>
          <w:rtl/>
        </w:rPr>
        <w:t>בולטת</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תת</w:t>
      </w:r>
      <w:r w:rsidRPr="002F2BC5">
        <w:rPr>
          <w:b/>
          <w:bCs/>
          <w:rtl/>
        </w:rPr>
        <w:t>-</w:t>
      </w:r>
      <w:r w:rsidRPr="002F2BC5">
        <w:rPr>
          <w:rFonts w:hint="eastAsia"/>
          <w:b/>
          <w:bCs/>
          <w:rtl/>
        </w:rPr>
        <w:t>דיווח</w:t>
      </w:r>
      <w:r w:rsidRPr="002F2BC5">
        <w:rPr>
          <w:b/>
          <w:bCs/>
          <w:rtl/>
        </w:rPr>
        <w:t xml:space="preserve"> - </w:t>
      </w:r>
      <w:r w:rsidRPr="002F2BC5">
        <w:rPr>
          <w:rFonts w:hint="eastAsia"/>
          <w:b/>
          <w:bCs/>
          <w:rtl/>
        </w:rPr>
        <w:t>כ</w:t>
      </w:r>
      <w:r w:rsidRPr="002F2BC5">
        <w:rPr>
          <w:b/>
          <w:bCs/>
          <w:rtl/>
        </w:rPr>
        <w:t xml:space="preserve">-70% </w:t>
      </w:r>
      <w:r w:rsidRPr="002F2BC5">
        <w:rPr>
          <w:rFonts w:hint="eastAsia"/>
          <w:b/>
          <w:bCs/>
          <w:rtl/>
        </w:rPr>
        <w:t>מבין</w:t>
      </w:r>
      <w:r w:rsidRPr="002F2BC5">
        <w:rPr>
          <w:b/>
          <w:bCs/>
          <w:rtl/>
        </w:rPr>
        <w:t xml:space="preserve"> </w:t>
      </w:r>
      <w:r w:rsidRPr="002F2BC5">
        <w:rPr>
          <w:rFonts w:hint="eastAsia"/>
          <w:b/>
          <w:bCs/>
          <w:rtl/>
        </w:rPr>
        <w:t>המשיבים</w:t>
      </w:r>
      <w:r w:rsidRPr="002F2BC5">
        <w:rPr>
          <w:b/>
          <w:bCs/>
          <w:rtl/>
        </w:rPr>
        <w:t xml:space="preserve"> </w:t>
      </w:r>
      <w:r w:rsidRPr="002F2BC5">
        <w:rPr>
          <w:rFonts w:hint="eastAsia"/>
          <w:b/>
          <w:bCs/>
          <w:rtl/>
        </w:rPr>
        <w:t>שדיווחו</w:t>
      </w:r>
      <w:r w:rsidRPr="002F2BC5">
        <w:rPr>
          <w:b/>
          <w:bCs/>
          <w:rtl/>
        </w:rPr>
        <w:t xml:space="preserve"> </w:t>
      </w:r>
      <w:r w:rsidRPr="002F2BC5">
        <w:rPr>
          <w:rFonts w:hint="eastAsia"/>
          <w:b/>
          <w:bCs/>
          <w:rtl/>
        </w:rPr>
        <w:t>בסקר</w:t>
      </w:r>
      <w:r w:rsidRPr="002F2BC5">
        <w:rPr>
          <w:b/>
          <w:bCs/>
          <w:rtl/>
        </w:rPr>
        <w:t xml:space="preserve"> </w:t>
      </w:r>
      <w:r w:rsidRPr="002F2BC5">
        <w:rPr>
          <w:rFonts w:hint="eastAsia"/>
          <w:b/>
          <w:bCs/>
          <w:rtl/>
        </w:rPr>
        <w:t>שהיו</w:t>
      </w:r>
      <w:r w:rsidRPr="002F2BC5">
        <w:rPr>
          <w:b/>
          <w:bCs/>
          <w:rtl/>
        </w:rPr>
        <w:t xml:space="preserve"> </w:t>
      </w:r>
      <w:r w:rsidRPr="002F2BC5">
        <w:rPr>
          <w:rFonts w:hint="eastAsia"/>
          <w:b/>
          <w:bCs/>
          <w:rtl/>
        </w:rPr>
        <w:t>קורבנות</w:t>
      </w:r>
      <w:r w:rsidRPr="002F2BC5">
        <w:rPr>
          <w:b/>
          <w:bCs/>
          <w:rtl/>
        </w:rPr>
        <w:t xml:space="preserve"> </w:t>
      </w:r>
      <w:r w:rsidRPr="002F2BC5">
        <w:rPr>
          <w:rFonts w:hint="eastAsia"/>
          <w:b/>
          <w:bCs/>
          <w:rtl/>
        </w:rPr>
        <w:t>לאלימות</w:t>
      </w:r>
      <w:r w:rsidRPr="002F2BC5">
        <w:rPr>
          <w:b/>
          <w:bCs/>
          <w:rtl/>
        </w:rPr>
        <w:t xml:space="preserve"> </w:t>
      </w:r>
      <w:r w:rsidRPr="002F2BC5">
        <w:rPr>
          <w:rFonts w:hint="eastAsia"/>
          <w:b/>
          <w:bCs/>
          <w:rtl/>
        </w:rPr>
        <w:t>במשפחתם</w:t>
      </w:r>
      <w:r w:rsidRPr="002F2BC5">
        <w:rPr>
          <w:b/>
          <w:bCs/>
          <w:rtl/>
        </w:rPr>
        <w:t xml:space="preserve"> </w:t>
      </w:r>
      <w:r w:rsidRPr="002F2BC5">
        <w:rPr>
          <w:rFonts w:hint="eastAsia"/>
          <w:b/>
          <w:bCs/>
          <w:rtl/>
        </w:rPr>
        <w:t>או</w:t>
      </w:r>
      <w:r w:rsidRPr="002F2BC5">
        <w:rPr>
          <w:b/>
          <w:bCs/>
          <w:rtl/>
        </w:rPr>
        <w:t xml:space="preserve"> </w:t>
      </w:r>
      <w:r w:rsidRPr="002F2BC5">
        <w:rPr>
          <w:rFonts w:hint="eastAsia"/>
          <w:b/>
          <w:bCs/>
          <w:rtl/>
        </w:rPr>
        <w:t>עדים</w:t>
      </w:r>
      <w:r w:rsidRPr="002F2BC5">
        <w:rPr>
          <w:b/>
          <w:bCs/>
          <w:rtl/>
        </w:rPr>
        <w:t xml:space="preserve"> </w:t>
      </w:r>
      <w:r w:rsidRPr="002F2BC5">
        <w:rPr>
          <w:rFonts w:hint="eastAsia"/>
          <w:b/>
          <w:bCs/>
          <w:rtl/>
        </w:rPr>
        <w:t>לה</w:t>
      </w:r>
      <w:r w:rsidRPr="002F2BC5">
        <w:rPr>
          <w:b/>
          <w:bCs/>
          <w:rtl/>
        </w:rPr>
        <w:t>, ציינו שלא פנו לגורמי סיוע, ובקרב המשיבים שדיווחו בסקר כי הם נוהגים באלימות כלפי משפחתם היה שיעור זה גבוה יותר (כ-83%)</w:t>
      </w:r>
      <w:r w:rsidRPr="002F2BC5">
        <w:rPr>
          <w:rStyle w:val="af9"/>
          <w:b/>
          <w:bCs/>
          <w:rtl/>
        </w:rPr>
        <w:footnoteReference w:id="202"/>
      </w:r>
      <w:r w:rsidRPr="002F2BC5">
        <w:rPr>
          <w:b/>
          <w:bCs/>
          <w:rtl/>
        </w:rPr>
        <w:t xml:space="preserve">. </w:t>
      </w:r>
    </w:p>
    <w:p w14:paraId="2AD3BD18" w14:textId="77777777" w:rsidR="00817399" w:rsidRPr="002F2BC5" w:rsidRDefault="00817399" w:rsidP="00817399">
      <w:pPr>
        <w:spacing w:line="269" w:lineRule="auto"/>
        <w:rPr>
          <w:rtl/>
        </w:rPr>
      </w:pPr>
    </w:p>
    <w:p w14:paraId="180A0E4C" w14:textId="77777777" w:rsidR="00817399" w:rsidRPr="002F2BC5" w:rsidRDefault="00817399" w:rsidP="00817399">
      <w:pPr>
        <w:spacing w:line="269" w:lineRule="auto"/>
        <w:ind w:left="312"/>
        <w:rPr>
          <w:rtl/>
        </w:rPr>
      </w:pPr>
      <w:r w:rsidRPr="002F2BC5">
        <w:rPr>
          <w:rFonts w:hint="cs"/>
          <w:rtl/>
        </w:rPr>
        <w:t xml:space="preserve">יש לציין כי במסגרת הסקר המקוון נבדקו גם השפעתם של ההקלות שניתנו בקריטריונים לקבלת רישיון נשק פרטי והשינויים בהיקף המחזיקים ברישיון נשק פרטי על תחושת הביטחון האישי של המשיבים לסקר בשל הימצאות נשק בבית. ממצאי הסקר הצביעו על כך שבקרב רוב המשיבים לא חל שינוי בתחושת הביטחון האישית בעקבות הימצאות נשק בבית או </w:t>
      </w:r>
      <w:r w:rsidRPr="002F2BC5">
        <w:rPr>
          <w:rFonts w:hint="cs"/>
          <w:rtl/>
        </w:rPr>
        <w:lastRenderedPageBreak/>
        <w:t>בעקבות הגשת בקשה לקבלת רישיון נשק פרטי. יתרה מזו, לא נמצא כי הימצאות נשק בבית השפיעה באופן מובהק על החשיפה לאלימות במשפחה של המשיבים על הסקר</w:t>
      </w:r>
      <w:r w:rsidRPr="002F2BC5">
        <w:rPr>
          <w:rStyle w:val="af9"/>
          <w:rtl/>
        </w:rPr>
        <w:footnoteReference w:id="203"/>
      </w:r>
      <w:r w:rsidRPr="002F2BC5">
        <w:rPr>
          <w:rFonts w:hint="cs"/>
          <w:rtl/>
        </w:rPr>
        <w:t>.</w:t>
      </w:r>
      <w:r w:rsidRPr="002F2BC5">
        <w:rPr>
          <w:rtl/>
        </w:rPr>
        <w:t xml:space="preserve"> </w:t>
      </w:r>
      <w:r w:rsidRPr="002F2BC5">
        <w:rPr>
          <w:rFonts w:hint="cs"/>
          <w:rtl/>
        </w:rPr>
        <w:t>זאת אף כי במהלך המלחמה חלה עלייה של פי שלושה במספר הפונים לממונה על הערכת מסוכנות כלי ירייה במשרד הרווחה (להלן - ממונה על הערכת מסוכנות) בנוגע להחזקת נשק בידי מי שמצוי במעגל האלימות - משש פניות בכל שנת 2022 ל-18 פניות בחודש נובמבר 2023 בלבד</w:t>
      </w:r>
      <w:r w:rsidRPr="002F2BC5">
        <w:rPr>
          <w:rStyle w:val="af9"/>
          <w:rtl/>
        </w:rPr>
        <w:footnoteReference w:id="204"/>
      </w:r>
      <w:r w:rsidRPr="002F2BC5">
        <w:rPr>
          <w:rFonts w:hint="cs"/>
          <w:rtl/>
        </w:rPr>
        <w:t xml:space="preserve">. </w:t>
      </w:r>
      <w:r w:rsidRPr="002F2BC5">
        <w:rPr>
          <w:rFonts w:hint="eastAsia"/>
          <w:rtl/>
        </w:rPr>
        <w:t>זאת</w:t>
      </w:r>
      <w:r w:rsidRPr="002F2BC5">
        <w:rPr>
          <w:rtl/>
        </w:rPr>
        <w:t xml:space="preserve"> </w:t>
      </w:r>
      <w:r w:rsidRPr="002F2BC5">
        <w:rPr>
          <w:rFonts w:hint="eastAsia"/>
          <w:rtl/>
        </w:rPr>
        <w:t>גם</w:t>
      </w:r>
      <w:r w:rsidRPr="002F2BC5">
        <w:rPr>
          <w:rtl/>
        </w:rPr>
        <w:t xml:space="preserve"> </w:t>
      </w:r>
      <w:r w:rsidRPr="002F2BC5">
        <w:rPr>
          <w:rFonts w:hint="eastAsia"/>
          <w:rtl/>
        </w:rPr>
        <w:t>בזמן</w:t>
      </w:r>
      <w:r w:rsidRPr="002F2BC5">
        <w:rPr>
          <w:rtl/>
        </w:rPr>
        <w:t xml:space="preserve"> </w:t>
      </w:r>
      <w:r w:rsidRPr="002F2BC5">
        <w:rPr>
          <w:rFonts w:hint="eastAsia"/>
          <w:rtl/>
        </w:rPr>
        <w:t>שמספר</w:t>
      </w:r>
      <w:r w:rsidRPr="002F2BC5">
        <w:rPr>
          <w:rtl/>
        </w:rPr>
        <w:t xml:space="preserve"> </w:t>
      </w:r>
      <w:r w:rsidRPr="002F2BC5">
        <w:rPr>
          <w:rFonts w:hint="eastAsia"/>
          <w:rtl/>
        </w:rPr>
        <w:t>הבקשות</w:t>
      </w:r>
      <w:r w:rsidRPr="002F2BC5">
        <w:rPr>
          <w:rtl/>
        </w:rPr>
        <w:t xml:space="preserve"> </w:t>
      </w:r>
      <w:r w:rsidRPr="002F2BC5">
        <w:rPr>
          <w:rFonts w:hint="eastAsia"/>
          <w:rtl/>
        </w:rPr>
        <w:t>לרישיון</w:t>
      </w:r>
      <w:r w:rsidRPr="002F2BC5">
        <w:rPr>
          <w:rtl/>
        </w:rPr>
        <w:t xml:space="preserve"> </w:t>
      </w:r>
      <w:r w:rsidRPr="002F2BC5">
        <w:rPr>
          <w:rFonts w:hint="eastAsia"/>
          <w:rtl/>
        </w:rPr>
        <w:t>נשק</w:t>
      </w:r>
      <w:r w:rsidRPr="002F2BC5">
        <w:rPr>
          <w:rtl/>
        </w:rPr>
        <w:t xml:space="preserve"> </w:t>
      </w:r>
      <w:r w:rsidRPr="002F2BC5">
        <w:rPr>
          <w:rFonts w:hint="eastAsia"/>
          <w:rtl/>
        </w:rPr>
        <w:t>עלה</w:t>
      </w:r>
      <w:r w:rsidRPr="002F2BC5">
        <w:rPr>
          <w:rtl/>
        </w:rPr>
        <w:t xml:space="preserve"> פי שמונה </w:t>
      </w:r>
      <w:r w:rsidRPr="002F2BC5">
        <w:rPr>
          <w:rFonts w:hint="eastAsia"/>
          <w:rtl/>
        </w:rPr>
        <w:t>בעקבות</w:t>
      </w:r>
      <w:r w:rsidRPr="002F2BC5">
        <w:rPr>
          <w:rtl/>
        </w:rPr>
        <w:t xml:space="preserve"> פרוץ מלחמת חרבות ברזל (מ-42,452 </w:t>
      </w:r>
      <w:r w:rsidRPr="002F2BC5">
        <w:rPr>
          <w:rFonts w:hint="eastAsia"/>
          <w:rtl/>
        </w:rPr>
        <w:t>בקשות</w:t>
      </w:r>
      <w:r w:rsidRPr="002F2BC5">
        <w:rPr>
          <w:rtl/>
        </w:rPr>
        <w:t xml:space="preserve"> בשנה שלפני פרוץ </w:t>
      </w:r>
      <w:r w:rsidRPr="002F2BC5">
        <w:rPr>
          <w:rFonts w:hint="eastAsia"/>
          <w:rtl/>
        </w:rPr>
        <w:t>המלחמה</w:t>
      </w:r>
      <w:r w:rsidRPr="002F2BC5">
        <w:rPr>
          <w:rtl/>
        </w:rPr>
        <w:t xml:space="preserve"> </w:t>
      </w:r>
      <w:r w:rsidRPr="002F2BC5">
        <w:rPr>
          <w:rFonts w:hint="eastAsia"/>
          <w:rtl/>
        </w:rPr>
        <w:t>ל</w:t>
      </w:r>
      <w:r w:rsidRPr="002F2BC5">
        <w:rPr>
          <w:rtl/>
        </w:rPr>
        <w:t xml:space="preserve">-349,851 </w:t>
      </w:r>
      <w:r w:rsidRPr="002F2BC5">
        <w:rPr>
          <w:rFonts w:hint="eastAsia"/>
          <w:rtl/>
        </w:rPr>
        <w:t>בקשות</w:t>
      </w:r>
      <w:r w:rsidRPr="002F2BC5">
        <w:rPr>
          <w:rtl/>
        </w:rPr>
        <w:t xml:space="preserve"> בשנה שלאחר</w:t>
      </w:r>
      <w:r w:rsidRPr="002F2BC5">
        <w:rPr>
          <w:rFonts w:hint="eastAsia"/>
          <w:rtl/>
        </w:rPr>
        <w:t>יה</w:t>
      </w:r>
      <w:r w:rsidRPr="002F2BC5">
        <w:rPr>
          <w:rtl/>
        </w:rPr>
        <w:t xml:space="preserve">, </w:t>
      </w:r>
      <w:r w:rsidRPr="002F2BC5">
        <w:rPr>
          <w:rFonts w:hint="eastAsia"/>
          <w:rtl/>
        </w:rPr>
        <w:t>בהתאמה</w:t>
      </w:r>
      <w:r w:rsidRPr="002F2BC5">
        <w:rPr>
          <w:rtl/>
        </w:rPr>
        <w:t>)</w:t>
      </w:r>
      <w:r w:rsidRPr="002F2BC5">
        <w:rPr>
          <w:rStyle w:val="af9"/>
          <w:rtl/>
        </w:rPr>
        <w:footnoteReference w:id="205"/>
      </w:r>
      <w:r w:rsidRPr="002F2BC5">
        <w:rPr>
          <w:rtl/>
        </w:rPr>
        <w:t>.</w:t>
      </w:r>
      <w:r w:rsidRPr="002F2BC5">
        <w:rPr>
          <w:rFonts w:hint="cs"/>
          <w:rtl/>
        </w:rPr>
        <w:t xml:space="preserve"> </w:t>
      </w:r>
    </w:p>
    <w:p w14:paraId="54D34583" w14:textId="77777777" w:rsidR="00817399" w:rsidRPr="002F2BC5" w:rsidRDefault="00817399" w:rsidP="00817399">
      <w:pPr>
        <w:spacing w:line="269" w:lineRule="auto"/>
        <w:rPr>
          <w:rtl/>
        </w:rPr>
      </w:pPr>
    </w:p>
    <w:p w14:paraId="481E8C81" w14:textId="77777777" w:rsidR="00817399" w:rsidRPr="002F2BC5" w:rsidRDefault="00817399" w:rsidP="00817399">
      <w:pPr>
        <w:spacing w:line="269" w:lineRule="auto"/>
        <w:ind w:left="312"/>
        <w:rPr>
          <w:b/>
          <w:bCs/>
          <w:rtl/>
        </w:rPr>
      </w:pPr>
      <w:r w:rsidRPr="002F2BC5">
        <w:rPr>
          <w:rFonts w:hint="eastAsia"/>
          <w:b/>
          <w:bCs/>
          <w:rtl/>
        </w:rPr>
        <w:t>הימנעותם</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נפגעי</w:t>
      </w:r>
      <w:r w:rsidRPr="002F2BC5">
        <w:rPr>
          <w:b/>
          <w:bCs/>
          <w:rtl/>
        </w:rPr>
        <w:t xml:space="preserve"> </w:t>
      </w:r>
      <w:r w:rsidRPr="002F2BC5">
        <w:rPr>
          <w:rFonts w:hint="eastAsia"/>
          <w:b/>
          <w:bCs/>
          <w:rtl/>
        </w:rPr>
        <w:t>האלימות</w:t>
      </w:r>
      <w:r w:rsidRPr="002F2BC5">
        <w:rPr>
          <w:b/>
          <w:bCs/>
          <w:rtl/>
        </w:rPr>
        <w:t xml:space="preserve"> </w:t>
      </w:r>
      <w:r w:rsidRPr="002F2BC5">
        <w:rPr>
          <w:rFonts w:hint="eastAsia"/>
          <w:b/>
          <w:bCs/>
          <w:rtl/>
        </w:rPr>
        <w:t>במשפחה</w:t>
      </w:r>
      <w:r w:rsidRPr="002F2BC5">
        <w:rPr>
          <w:b/>
          <w:bCs/>
          <w:rtl/>
        </w:rPr>
        <w:t xml:space="preserve"> </w:t>
      </w:r>
      <w:r w:rsidRPr="002F2BC5">
        <w:rPr>
          <w:rFonts w:hint="eastAsia"/>
          <w:b/>
          <w:bCs/>
          <w:rtl/>
        </w:rPr>
        <w:t>מפנייה</w:t>
      </w:r>
      <w:r w:rsidRPr="002F2BC5">
        <w:rPr>
          <w:b/>
          <w:bCs/>
          <w:rtl/>
        </w:rPr>
        <w:t xml:space="preserve"> </w:t>
      </w:r>
      <w:r w:rsidRPr="002F2BC5">
        <w:rPr>
          <w:rFonts w:hint="eastAsia"/>
          <w:b/>
          <w:bCs/>
          <w:rtl/>
        </w:rPr>
        <w:t>לסיוע</w:t>
      </w:r>
      <w:r w:rsidRPr="002F2BC5">
        <w:rPr>
          <w:b/>
          <w:bCs/>
          <w:rtl/>
        </w:rPr>
        <w:t xml:space="preserve"> </w:t>
      </w:r>
      <w:r w:rsidRPr="002F2BC5">
        <w:rPr>
          <w:rFonts w:hint="eastAsia"/>
          <w:b/>
          <w:bCs/>
          <w:rtl/>
        </w:rPr>
        <w:t>במהלך</w:t>
      </w:r>
      <w:r w:rsidRPr="002F2BC5">
        <w:rPr>
          <w:b/>
          <w:bCs/>
          <w:rtl/>
        </w:rPr>
        <w:t xml:space="preserve"> </w:t>
      </w:r>
      <w:r w:rsidRPr="002F2BC5">
        <w:rPr>
          <w:rFonts w:hint="eastAsia"/>
          <w:b/>
          <w:bCs/>
          <w:rtl/>
        </w:rPr>
        <w:t>חודשי</w:t>
      </w:r>
      <w:r w:rsidRPr="002F2BC5">
        <w:rPr>
          <w:b/>
          <w:bCs/>
          <w:rtl/>
        </w:rPr>
        <w:t xml:space="preserve"> </w:t>
      </w:r>
      <w:r w:rsidRPr="002F2BC5">
        <w:rPr>
          <w:rFonts w:hint="eastAsia"/>
          <w:b/>
          <w:bCs/>
          <w:rtl/>
        </w:rPr>
        <w:t>המלחמה</w:t>
      </w:r>
      <w:r w:rsidRPr="002F2BC5">
        <w:rPr>
          <w:b/>
          <w:bCs/>
          <w:rtl/>
        </w:rPr>
        <w:t xml:space="preserve"> </w:t>
      </w:r>
      <w:r w:rsidRPr="002F2BC5">
        <w:rPr>
          <w:rFonts w:hint="eastAsia"/>
          <w:b/>
          <w:bCs/>
          <w:rtl/>
        </w:rPr>
        <w:t>באה</w:t>
      </w:r>
      <w:r w:rsidRPr="002F2BC5">
        <w:rPr>
          <w:b/>
          <w:bCs/>
          <w:rtl/>
        </w:rPr>
        <w:t xml:space="preserve"> </w:t>
      </w:r>
      <w:r w:rsidRPr="002F2BC5">
        <w:rPr>
          <w:rFonts w:hint="eastAsia"/>
          <w:b/>
          <w:bCs/>
          <w:rtl/>
        </w:rPr>
        <w:t>לידי</w:t>
      </w:r>
      <w:r w:rsidRPr="002F2BC5">
        <w:rPr>
          <w:b/>
          <w:bCs/>
          <w:rtl/>
        </w:rPr>
        <w:t xml:space="preserve"> </w:t>
      </w:r>
      <w:r w:rsidRPr="002F2BC5">
        <w:rPr>
          <w:rFonts w:hint="eastAsia"/>
          <w:b/>
          <w:bCs/>
          <w:rtl/>
        </w:rPr>
        <w:t>ביטוי</w:t>
      </w:r>
      <w:r w:rsidRPr="002F2BC5">
        <w:rPr>
          <w:b/>
          <w:bCs/>
          <w:rtl/>
        </w:rPr>
        <w:t xml:space="preserve"> </w:t>
      </w:r>
      <w:r w:rsidRPr="002F2BC5">
        <w:rPr>
          <w:rFonts w:hint="eastAsia"/>
          <w:b/>
          <w:bCs/>
          <w:rtl/>
        </w:rPr>
        <w:t>בתפוסה</w:t>
      </w:r>
      <w:r w:rsidRPr="002F2BC5">
        <w:rPr>
          <w:b/>
          <w:bCs/>
          <w:rtl/>
        </w:rPr>
        <w:t xml:space="preserve"> נמוכה יותר במקלטים לנשים נפגעות אלימות וילדיהן. כך, בכל שנת 2023 נרשמו 530 פניות למקלטים לעומת 609 פניות בשנת 2022 (ירידה של </w:t>
      </w:r>
      <w:r w:rsidRPr="002F2BC5">
        <w:rPr>
          <w:rFonts w:hint="eastAsia"/>
          <w:b/>
          <w:bCs/>
          <w:rtl/>
        </w:rPr>
        <w:t>כ</w:t>
      </w:r>
      <w:r w:rsidRPr="002F2BC5">
        <w:rPr>
          <w:b/>
          <w:bCs/>
          <w:rtl/>
        </w:rPr>
        <w:t xml:space="preserve">-13%) ו-588 </w:t>
      </w:r>
      <w:r w:rsidRPr="002F2BC5">
        <w:rPr>
          <w:rFonts w:hint="eastAsia"/>
          <w:b/>
          <w:bCs/>
          <w:rtl/>
        </w:rPr>
        <w:t>פניות</w:t>
      </w:r>
      <w:r w:rsidRPr="002F2BC5">
        <w:rPr>
          <w:b/>
          <w:bCs/>
          <w:rtl/>
        </w:rPr>
        <w:t xml:space="preserve"> </w:t>
      </w:r>
      <w:r w:rsidRPr="002F2BC5">
        <w:rPr>
          <w:rFonts w:hint="eastAsia"/>
          <w:b/>
          <w:bCs/>
          <w:rtl/>
        </w:rPr>
        <w:t>בשנת</w:t>
      </w:r>
      <w:r w:rsidRPr="002F2BC5">
        <w:rPr>
          <w:b/>
          <w:bCs/>
          <w:rtl/>
        </w:rPr>
        <w:t xml:space="preserve"> 2021 (ירידה של כ-10%). </w:t>
      </w:r>
      <w:r w:rsidRPr="002F2BC5">
        <w:rPr>
          <w:rFonts w:hint="eastAsia"/>
          <w:b/>
          <w:bCs/>
          <w:rtl/>
        </w:rPr>
        <w:t>ירידה</w:t>
      </w:r>
      <w:r w:rsidRPr="002F2BC5">
        <w:rPr>
          <w:b/>
          <w:bCs/>
          <w:rtl/>
        </w:rPr>
        <w:t xml:space="preserve"> </w:t>
      </w:r>
      <w:r w:rsidRPr="002F2BC5">
        <w:rPr>
          <w:rFonts w:hint="eastAsia"/>
          <w:b/>
          <w:bCs/>
          <w:rtl/>
        </w:rPr>
        <w:t>נרשמה</w:t>
      </w:r>
      <w:r w:rsidRPr="002F2BC5">
        <w:rPr>
          <w:b/>
          <w:bCs/>
          <w:rtl/>
        </w:rPr>
        <w:t xml:space="preserve"> גם </w:t>
      </w:r>
      <w:r w:rsidRPr="002F2BC5">
        <w:rPr>
          <w:rFonts w:hint="eastAsia"/>
          <w:b/>
          <w:bCs/>
          <w:rtl/>
        </w:rPr>
        <w:t>במספר</w:t>
      </w:r>
      <w:r w:rsidRPr="002F2BC5">
        <w:rPr>
          <w:b/>
          <w:bCs/>
          <w:rtl/>
        </w:rPr>
        <w:t xml:space="preserve"> הפניות </w:t>
      </w:r>
      <w:r w:rsidRPr="002F2BC5">
        <w:rPr>
          <w:rFonts w:hint="eastAsia"/>
          <w:b/>
          <w:bCs/>
          <w:rtl/>
        </w:rPr>
        <w:t>על</w:t>
      </w:r>
      <w:r w:rsidRPr="002F2BC5">
        <w:rPr>
          <w:b/>
          <w:bCs/>
          <w:rtl/>
        </w:rPr>
        <w:t xml:space="preserve"> רקע אלימות במערכת היחסים הזוגית </w:t>
      </w:r>
      <w:r w:rsidRPr="002F2BC5">
        <w:rPr>
          <w:rFonts w:hint="eastAsia"/>
          <w:b/>
          <w:bCs/>
          <w:rtl/>
        </w:rPr>
        <w:t>שהתקבלו</w:t>
      </w:r>
      <w:r w:rsidRPr="002F2BC5">
        <w:rPr>
          <w:b/>
          <w:bCs/>
          <w:rtl/>
        </w:rPr>
        <w:t xml:space="preserve"> במוקד הסיוע הארצי </w:t>
      </w:r>
      <w:r w:rsidRPr="002F2BC5">
        <w:rPr>
          <w:rFonts w:hint="eastAsia"/>
          <w:b/>
          <w:bCs/>
          <w:rtl/>
        </w:rPr>
        <w:t>שהפעיל</w:t>
      </w:r>
      <w:r w:rsidRPr="002F2BC5">
        <w:rPr>
          <w:b/>
          <w:bCs/>
          <w:rtl/>
        </w:rPr>
        <w:t xml:space="preserve"> </w:t>
      </w:r>
      <w:r w:rsidRPr="002F2BC5">
        <w:rPr>
          <w:rFonts w:hint="eastAsia"/>
          <w:b/>
          <w:bCs/>
          <w:rtl/>
        </w:rPr>
        <w:t>משרד</w:t>
      </w:r>
      <w:r w:rsidRPr="002F2BC5">
        <w:rPr>
          <w:b/>
          <w:bCs/>
          <w:rtl/>
        </w:rPr>
        <w:t xml:space="preserve"> </w:t>
      </w:r>
      <w:r w:rsidRPr="002F2BC5">
        <w:rPr>
          <w:rFonts w:hint="eastAsia"/>
          <w:b/>
          <w:bCs/>
          <w:rtl/>
        </w:rPr>
        <w:t>הרווחה</w:t>
      </w:r>
      <w:r w:rsidRPr="002F2BC5">
        <w:rPr>
          <w:b/>
          <w:bCs/>
          <w:rtl/>
        </w:rPr>
        <w:t xml:space="preserve"> </w:t>
      </w:r>
      <w:r w:rsidRPr="002F2BC5">
        <w:rPr>
          <w:rFonts w:hint="eastAsia"/>
          <w:b/>
          <w:bCs/>
          <w:rtl/>
        </w:rPr>
        <w:t>לאחר</w:t>
      </w:r>
      <w:r w:rsidRPr="002F2BC5">
        <w:rPr>
          <w:b/>
          <w:bCs/>
          <w:rtl/>
        </w:rPr>
        <w:t xml:space="preserve"> </w:t>
      </w:r>
      <w:r w:rsidRPr="002F2BC5">
        <w:rPr>
          <w:rFonts w:hint="eastAsia"/>
          <w:b/>
          <w:bCs/>
          <w:rtl/>
        </w:rPr>
        <w:t>פרוץ</w:t>
      </w:r>
      <w:r w:rsidRPr="002F2BC5">
        <w:rPr>
          <w:b/>
          <w:bCs/>
          <w:rtl/>
        </w:rPr>
        <w:t xml:space="preserve"> </w:t>
      </w:r>
      <w:r w:rsidRPr="002F2BC5">
        <w:rPr>
          <w:rFonts w:hint="eastAsia"/>
          <w:b/>
          <w:bCs/>
          <w:rtl/>
        </w:rPr>
        <w:t>המלחמה</w:t>
      </w:r>
      <w:r w:rsidRPr="002F2BC5">
        <w:rPr>
          <w:b/>
          <w:bCs/>
          <w:rtl/>
        </w:rPr>
        <w:t xml:space="preserve">: </w:t>
      </w:r>
      <w:r w:rsidRPr="002F2BC5">
        <w:rPr>
          <w:rFonts w:hint="eastAsia"/>
          <w:b/>
          <w:bCs/>
          <w:rtl/>
        </w:rPr>
        <w:t>בחודשים</w:t>
      </w:r>
      <w:r w:rsidRPr="002F2BC5">
        <w:rPr>
          <w:b/>
          <w:bCs/>
          <w:rtl/>
        </w:rPr>
        <w:t xml:space="preserve"> </w:t>
      </w:r>
      <w:r w:rsidRPr="002F2BC5">
        <w:rPr>
          <w:rFonts w:hint="eastAsia"/>
          <w:b/>
          <w:bCs/>
          <w:rtl/>
        </w:rPr>
        <w:t>ינואר</w:t>
      </w:r>
      <w:r w:rsidRPr="002F2BC5">
        <w:rPr>
          <w:b/>
          <w:bCs/>
          <w:rtl/>
        </w:rPr>
        <w:t xml:space="preserve"> </w:t>
      </w:r>
      <w:r w:rsidRPr="002F2BC5">
        <w:rPr>
          <w:rFonts w:hint="eastAsia"/>
          <w:b/>
          <w:bCs/>
          <w:rtl/>
        </w:rPr>
        <w:t>עד</w:t>
      </w:r>
      <w:r w:rsidRPr="002F2BC5">
        <w:rPr>
          <w:b/>
          <w:bCs/>
          <w:rtl/>
        </w:rPr>
        <w:t xml:space="preserve"> </w:t>
      </w:r>
      <w:r w:rsidRPr="002F2BC5">
        <w:rPr>
          <w:rFonts w:hint="eastAsia"/>
          <w:b/>
          <w:bCs/>
          <w:rtl/>
        </w:rPr>
        <w:t>אוגוסט</w:t>
      </w:r>
      <w:r w:rsidRPr="002F2BC5">
        <w:rPr>
          <w:b/>
          <w:bCs/>
          <w:rtl/>
        </w:rPr>
        <w:t xml:space="preserve"> 2023 </w:t>
      </w:r>
      <w:r w:rsidRPr="002F2BC5">
        <w:rPr>
          <w:rFonts w:hint="eastAsia"/>
          <w:b/>
          <w:bCs/>
          <w:rtl/>
        </w:rPr>
        <w:t>התקבלו</w:t>
      </w:r>
      <w:r w:rsidRPr="002F2BC5">
        <w:rPr>
          <w:b/>
          <w:bCs/>
          <w:rtl/>
        </w:rPr>
        <w:t xml:space="preserve"> במצטבר 2,617 פניות לעומת 1,757 פניות שהתקבלו בתקופה המקבילה בשנת 2024, במהלך חודשי המלחמה (ירידה של כ-33%). </w:t>
      </w:r>
      <w:r w:rsidRPr="002F2BC5">
        <w:rPr>
          <w:rFonts w:hint="eastAsia"/>
          <w:b/>
          <w:bCs/>
          <w:rtl/>
        </w:rPr>
        <w:t>נוסף</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כך</w:t>
      </w:r>
      <w:r w:rsidRPr="002F2BC5">
        <w:rPr>
          <w:b/>
          <w:bCs/>
          <w:rtl/>
        </w:rPr>
        <w:t xml:space="preserve">, לפי נתוני משטרת ישראל, </w:t>
      </w:r>
      <w:r w:rsidRPr="002F2BC5">
        <w:rPr>
          <w:rFonts w:hint="eastAsia"/>
          <w:b/>
          <w:bCs/>
          <w:rtl/>
        </w:rPr>
        <w:t>עם</w:t>
      </w:r>
      <w:r w:rsidRPr="002F2BC5">
        <w:rPr>
          <w:b/>
          <w:bCs/>
          <w:rtl/>
        </w:rPr>
        <w:t xml:space="preserve"> פרוץ מלחמת חרבות ברזל חלה ירידה של כ-10% </w:t>
      </w:r>
      <w:r w:rsidRPr="002F2BC5">
        <w:rPr>
          <w:rFonts w:hint="eastAsia"/>
          <w:b/>
          <w:bCs/>
          <w:rtl/>
        </w:rPr>
        <w:t>בממוצע</w:t>
      </w:r>
      <w:r w:rsidRPr="002F2BC5">
        <w:rPr>
          <w:b/>
          <w:bCs/>
          <w:rtl/>
        </w:rPr>
        <w:t xml:space="preserve"> </w:t>
      </w:r>
      <w:r w:rsidRPr="002F2BC5">
        <w:rPr>
          <w:rFonts w:hint="eastAsia"/>
          <w:b/>
          <w:bCs/>
          <w:rtl/>
        </w:rPr>
        <w:t>במספר</w:t>
      </w:r>
      <w:r w:rsidRPr="002F2BC5">
        <w:rPr>
          <w:b/>
          <w:bCs/>
          <w:rtl/>
        </w:rPr>
        <w:t xml:space="preserve"> תיקי החקירה שנפתחו במשטרה בגין עבירות אלימות במשפחה: בתקופה שבין אוקטובר 2022 </w:t>
      </w:r>
      <w:r w:rsidRPr="002F2BC5">
        <w:rPr>
          <w:rFonts w:hint="eastAsia"/>
          <w:b/>
          <w:bCs/>
          <w:rtl/>
        </w:rPr>
        <w:t>לפברואר</w:t>
      </w:r>
      <w:r w:rsidRPr="002F2BC5">
        <w:rPr>
          <w:b/>
          <w:bCs/>
          <w:rtl/>
        </w:rPr>
        <w:t xml:space="preserve"> 2023 נפתחו 20,421 תיקי חקירה לעומת 18,386 בתקופה המקבילה, בין אוקטובר 2023 </w:t>
      </w:r>
      <w:r w:rsidRPr="002F2BC5">
        <w:rPr>
          <w:rFonts w:hint="eastAsia"/>
          <w:b/>
          <w:bCs/>
          <w:rtl/>
        </w:rPr>
        <w:t>לפברואר</w:t>
      </w:r>
      <w:r w:rsidRPr="002F2BC5">
        <w:rPr>
          <w:b/>
          <w:bCs/>
          <w:rtl/>
        </w:rPr>
        <w:t xml:space="preserve"> 2024. </w:t>
      </w:r>
      <w:r w:rsidRPr="002F2BC5">
        <w:rPr>
          <w:rFonts w:hint="eastAsia"/>
          <w:b/>
          <w:bCs/>
          <w:rtl/>
        </w:rPr>
        <w:t>בתיקי</w:t>
      </w:r>
      <w:r w:rsidRPr="002F2BC5">
        <w:rPr>
          <w:b/>
          <w:bCs/>
          <w:rtl/>
        </w:rPr>
        <w:t xml:space="preserve"> </w:t>
      </w:r>
      <w:r w:rsidRPr="002F2BC5">
        <w:rPr>
          <w:rFonts w:hint="eastAsia"/>
          <w:b/>
          <w:bCs/>
          <w:rtl/>
        </w:rPr>
        <w:t>חקירה</w:t>
      </w:r>
      <w:r w:rsidRPr="002F2BC5">
        <w:rPr>
          <w:b/>
          <w:bCs/>
          <w:rtl/>
        </w:rPr>
        <w:t xml:space="preserve"> </w:t>
      </w:r>
      <w:r w:rsidRPr="002F2BC5">
        <w:rPr>
          <w:rFonts w:hint="eastAsia"/>
          <w:b/>
          <w:bCs/>
          <w:rtl/>
        </w:rPr>
        <w:t>בעבירות</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בין</w:t>
      </w:r>
      <w:r w:rsidRPr="002F2BC5">
        <w:rPr>
          <w:b/>
          <w:bCs/>
          <w:rtl/>
        </w:rPr>
        <w:t xml:space="preserve"> </w:t>
      </w:r>
      <w:r w:rsidRPr="002F2BC5">
        <w:rPr>
          <w:rFonts w:hint="eastAsia"/>
          <w:b/>
          <w:bCs/>
          <w:rtl/>
        </w:rPr>
        <w:t>בני</w:t>
      </w:r>
      <w:r w:rsidRPr="002F2BC5">
        <w:rPr>
          <w:b/>
          <w:bCs/>
          <w:rtl/>
        </w:rPr>
        <w:t xml:space="preserve"> </w:t>
      </w:r>
      <w:r w:rsidRPr="002F2BC5">
        <w:rPr>
          <w:rFonts w:hint="eastAsia"/>
          <w:b/>
          <w:bCs/>
          <w:rtl/>
        </w:rPr>
        <w:t>זוג</w:t>
      </w:r>
      <w:r w:rsidRPr="002F2BC5">
        <w:rPr>
          <w:b/>
          <w:bCs/>
          <w:rtl/>
        </w:rPr>
        <w:t xml:space="preserve"> </w:t>
      </w:r>
      <w:r w:rsidRPr="002F2BC5">
        <w:rPr>
          <w:rFonts w:hint="eastAsia"/>
          <w:b/>
          <w:bCs/>
          <w:rtl/>
        </w:rPr>
        <w:t>נרשמה</w:t>
      </w:r>
      <w:r w:rsidRPr="002F2BC5">
        <w:rPr>
          <w:b/>
          <w:bCs/>
          <w:rtl/>
        </w:rPr>
        <w:t xml:space="preserve"> </w:t>
      </w:r>
      <w:r w:rsidRPr="002F2BC5">
        <w:rPr>
          <w:rFonts w:hint="eastAsia"/>
          <w:b/>
          <w:bCs/>
          <w:rtl/>
        </w:rPr>
        <w:t>ירידה</w:t>
      </w:r>
      <w:r w:rsidRPr="002F2BC5">
        <w:rPr>
          <w:b/>
          <w:bCs/>
          <w:rtl/>
        </w:rPr>
        <w:t xml:space="preserve"> </w:t>
      </w:r>
      <w:r w:rsidRPr="002F2BC5">
        <w:rPr>
          <w:rFonts w:hint="eastAsia"/>
          <w:b/>
          <w:bCs/>
          <w:rtl/>
        </w:rPr>
        <w:t>גדולה</w:t>
      </w:r>
      <w:r w:rsidRPr="002F2BC5">
        <w:rPr>
          <w:b/>
          <w:bCs/>
          <w:rtl/>
        </w:rPr>
        <w:t xml:space="preserve"> </w:t>
      </w:r>
      <w:r w:rsidRPr="002F2BC5">
        <w:rPr>
          <w:rFonts w:hint="eastAsia"/>
          <w:b/>
          <w:bCs/>
          <w:rtl/>
        </w:rPr>
        <w:t>יותר</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כ</w:t>
      </w:r>
      <w:r w:rsidRPr="002F2BC5">
        <w:rPr>
          <w:b/>
          <w:bCs/>
          <w:rtl/>
        </w:rPr>
        <w:t xml:space="preserve">-14%, מ-16,351 ל-14,015. </w:t>
      </w:r>
    </w:p>
    <w:p w14:paraId="57010981" w14:textId="77777777" w:rsidR="00817399" w:rsidRPr="002F2BC5" w:rsidRDefault="00817399" w:rsidP="00817399">
      <w:pPr>
        <w:spacing w:line="269" w:lineRule="auto"/>
        <w:rPr>
          <w:rtl/>
        </w:rPr>
      </w:pPr>
    </w:p>
    <w:p w14:paraId="5DD66F21" w14:textId="46C38980" w:rsidR="00817399" w:rsidRPr="002F2BC5" w:rsidRDefault="00817399" w:rsidP="00817399">
      <w:pPr>
        <w:spacing w:line="269" w:lineRule="auto"/>
        <w:ind w:left="312"/>
        <w:rPr>
          <w:rtl/>
        </w:rPr>
      </w:pPr>
      <w:r w:rsidRPr="002F2BC5">
        <w:rPr>
          <w:rFonts w:hint="cs"/>
          <w:rtl/>
        </w:rPr>
        <w:t>ריכוז הנתונים על תיקי החקירה שנפתחו בגין עבירות אלימות בין בני זוג בתקופה שבין אוקטובר 2022 לפברואר 2023 ובתקופה המקבילה, שבין אוקטובר 2023 לפברואר 2024, בכלל הרשויות המקומיות וברשויות מקומיות שפונו באופן חלקי או מלא, מוצג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Ref186976703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8</w:t>
      </w:r>
      <w:r w:rsidRPr="002F2BC5">
        <w:rPr>
          <w:rtl/>
        </w:rPr>
        <w:fldChar w:fldCharType="end"/>
      </w:r>
      <w:r w:rsidRPr="002F2BC5">
        <w:rPr>
          <w:rFonts w:hint="cs"/>
          <w:rtl/>
        </w:rPr>
        <w:t xml:space="preserve"> וב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Ref186977339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9</w:t>
      </w:r>
      <w:r w:rsidRPr="002F2BC5">
        <w:rPr>
          <w:rtl/>
        </w:rPr>
        <w:fldChar w:fldCharType="end"/>
      </w:r>
      <w:r w:rsidRPr="002F2BC5">
        <w:rPr>
          <w:rFonts w:hint="cs"/>
          <w:rtl/>
        </w:rPr>
        <w:t xml:space="preserve"> שלהלן.</w:t>
      </w:r>
    </w:p>
    <w:p w14:paraId="067239F5" w14:textId="77777777" w:rsidR="00817399" w:rsidRPr="002F2BC5" w:rsidRDefault="00817399" w:rsidP="00817399">
      <w:pPr>
        <w:spacing w:line="269" w:lineRule="auto"/>
        <w:rPr>
          <w:rtl/>
        </w:rPr>
      </w:pPr>
    </w:p>
    <w:p w14:paraId="67260DDF" w14:textId="77777777" w:rsidR="00817399" w:rsidRPr="002F2BC5" w:rsidRDefault="00817399" w:rsidP="00817399">
      <w:pPr>
        <w:pStyle w:val="a0"/>
        <w:spacing w:line="269" w:lineRule="auto"/>
        <w:rPr>
          <w:rtl/>
        </w:rPr>
      </w:pPr>
      <w:bookmarkStart w:id="887" w:name="_Ref186976703"/>
      <w:bookmarkStart w:id="888" w:name="_Toc192674053"/>
      <w:r w:rsidRPr="002F2BC5">
        <w:rPr>
          <w:rFonts w:hint="cs"/>
          <w:b w:val="0"/>
          <w:bCs w:val="0"/>
          <w:rtl/>
        </w:rPr>
        <w:t xml:space="preserve">: </w:t>
      </w:r>
      <w:r w:rsidRPr="002F2BC5">
        <w:rPr>
          <w:rFonts w:hint="cs"/>
          <w:rtl/>
        </w:rPr>
        <w:t>ריכוז הנתונים על תיקי החקירה שנפתחו בגין עבירות אלימות בין בני זוג מאוקטובר 2022 עד פברואר 2023, ובתקופה המקבילה - מאוקטובר 2023 עד פברואר 2024</w:t>
      </w:r>
      <w:bookmarkEnd w:id="887"/>
      <w:bookmarkEnd w:id="888"/>
      <w:r w:rsidRPr="002F2BC5">
        <w:rPr>
          <w:rFonts w:hint="cs"/>
          <w:rtl/>
        </w:rPr>
        <w:t>,</w:t>
      </w:r>
      <w:r w:rsidRPr="002F2BC5">
        <w:rPr>
          <w:rtl/>
        </w:rPr>
        <w:br/>
      </w:r>
      <w:r w:rsidRPr="002F2BC5">
        <w:rPr>
          <w:rFonts w:hint="cs"/>
          <w:rtl/>
        </w:rPr>
        <w:t>לפי מקום מגוריו של המתלונן</w:t>
      </w:r>
    </w:p>
    <w:tbl>
      <w:tblPr>
        <w:bidiVisual/>
        <w:tblW w:w="8164" w:type="dxa"/>
        <w:tblLook w:val="04A0" w:firstRow="1" w:lastRow="0" w:firstColumn="1" w:lastColumn="0" w:noHBand="0" w:noVBand="1"/>
      </w:tblPr>
      <w:tblGrid>
        <w:gridCol w:w="4309"/>
        <w:gridCol w:w="1304"/>
        <w:gridCol w:w="1304"/>
        <w:gridCol w:w="1247"/>
      </w:tblGrid>
      <w:tr w:rsidR="00817399" w:rsidRPr="002F2BC5" w14:paraId="1CE3FA92" w14:textId="77777777" w:rsidTr="00B14D2A">
        <w:trPr>
          <w:trHeight w:val="170"/>
        </w:trPr>
        <w:tc>
          <w:tcPr>
            <w:tcW w:w="4309" w:type="dxa"/>
            <w:tcBorders>
              <w:top w:val="nil"/>
              <w:left w:val="nil"/>
              <w:bottom w:val="single" w:sz="4" w:space="0" w:color="auto"/>
              <w:right w:val="nil"/>
            </w:tcBorders>
            <w:shd w:val="clear" w:color="auto" w:fill="auto"/>
            <w:noWrap/>
            <w:vAlign w:val="bottom"/>
            <w:hideMark/>
          </w:tcPr>
          <w:p w14:paraId="39EF01BF" w14:textId="77777777" w:rsidR="00817399" w:rsidRPr="002F2BC5" w:rsidRDefault="00817399" w:rsidP="00B14D2A">
            <w:pPr>
              <w:bidi w:val="0"/>
              <w:spacing w:line="269" w:lineRule="auto"/>
              <w:jc w:val="left"/>
              <w:rPr>
                <w:rFonts w:ascii="David" w:eastAsia="Times New Roman" w:hAnsi="David"/>
                <w:color w:val="000000"/>
                <w:sz w:val="18"/>
                <w:szCs w:val="18"/>
              </w:rPr>
            </w:pPr>
            <w:r w:rsidRPr="002F2BC5">
              <w:rPr>
                <w:rFonts w:ascii="David" w:eastAsia="Times New Roman" w:hAnsi="David"/>
                <w:color w:val="000000"/>
                <w:sz w:val="18"/>
                <w:szCs w:val="18"/>
              </w:rPr>
              <w:t> </w:t>
            </w:r>
          </w:p>
        </w:tc>
        <w:tc>
          <w:tcPr>
            <w:tcW w:w="1304" w:type="dxa"/>
            <w:tcBorders>
              <w:top w:val="nil"/>
              <w:left w:val="nil"/>
              <w:bottom w:val="single" w:sz="4" w:space="0" w:color="auto"/>
              <w:right w:val="nil"/>
            </w:tcBorders>
            <w:shd w:val="clear" w:color="auto" w:fill="auto"/>
            <w:noWrap/>
            <w:vAlign w:val="bottom"/>
            <w:hideMark/>
          </w:tcPr>
          <w:p w14:paraId="2122DF25" w14:textId="77777777" w:rsidR="00817399" w:rsidRPr="002F2BC5" w:rsidRDefault="00817399" w:rsidP="00B14D2A">
            <w:pPr>
              <w:spacing w:line="269" w:lineRule="auto"/>
              <w:jc w:val="left"/>
              <w:rPr>
                <w:rFonts w:ascii="David" w:eastAsia="Times New Roman" w:hAnsi="David"/>
                <w:color w:val="000000"/>
                <w:sz w:val="18"/>
                <w:szCs w:val="18"/>
                <w:rtl/>
              </w:rPr>
            </w:pPr>
            <w:r w:rsidRPr="002F2BC5">
              <w:rPr>
                <w:rFonts w:ascii="David" w:eastAsia="Times New Roman" w:hAnsi="David"/>
                <w:color w:val="000000"/>
                <w:sz w:val="18"/>
                <w:szCs w:val="18"/>
                <w:rtl/>
              </w:rPr>
              <w:t>אוקטובר 2022</w:t>
            </w:r>
          </w:p>
          <w:p w14:paraId="51D7515A" w14:textId="77777777" w:rsidR="00817399" w:rsidRPr="002F2BC5" w:rsidRDefault="00817399" w:rsidP="00B14D2A">
            <w:pPr>
              <w:spacing w:line="269" w:lineRule="auto"/>
              <w:jc w:val="left"/>
              <w:rPr>
                <w:rFonts w:ascii="David" w:eastAsia="Times New Roman" w:hAnsi="David"/>
                <w:color w:val="000000"/>
                <w:sz w:val="18"/>
                <w:szCs w:val="18"/>
              </w:rPr>
            </w:pPr>
            <w:r w:rsidRPr="002F2BC5">
              <w:rPr>
                <w:rFonts w:ascii="David" w:eastAsia="Times New Roman" w:hAnsi="David"/>
                <w:color w:val="000000"/>
                <w:sz w:val="18"/>
                <w:szCs w:val="18"/>
                <w:rtl/>
              </w:rPr>
              <w:t>עד פברואר 2023</w:t>
            </w:r>
          </w:p>
        </w:tc>
        <w:tc>
          <w:tcPr>
            <w:tcW w:w="1304" w:type="dxa"/>
            <w:tcBorders>
              <w:top w:val="nil"/>
              <w:left w:val="nil"/>
              <w:bottom w:val="single" w:sz="4" w:space="0" w:color="auto"/>
              <w:right w:val="nil"/>
            </w:tcBorders>
            <w:shd w:val="clear" w:color="auto" w:fill="auto"/>
            <w:noWrap/>
            <w:vAlign w:val="bottom"/>
            <w:hideMark/>
          </w:tcPr>
          <w:p w14:paraId="4C58CB67" w14:textId="77777777" w:rsidR="00817399" w:rsidRPr="002F2BC5" w:rsidRDefault="00817399" w:rsidP="00B14D2A">
            <w:pPr>
              <w:spacing w:line="269" w:lineRule="auto"/>
              <w:jc w:val="left"/>
              <w:rPr>
                <w:rFonts w:ascii="David" w:eastAsia="Times New Roman" w:hAnsi="David"/>
                <w:color w:val="000000"/>
                <w:sz w:val="18"/>
                <w:szCs w:val="18"/>
                <w:rtl/>
              </w:rPr>
            </w:pPr>
            <w:r w:rsidRPr="002F2BC5">
              <w:rPr>
                <w:rFonts w:ascii="David" w:eastAsia="Times New Roman" w:hAnsi="David"/>
                <w:color w:val="000000"/>
                <w:sz w:val="18"/>
                <w:szCs w:val="18"/>
                <w:rtl/>
              </w:rPr>
              <w:t xml:space="preserve">אוקטובר 2023 </w:t>
            </w:r>
          </w:p>
          <w:p w14:paraId="058002DE" w14:textId="77777777" w:rsidR="00817399" w:rsidRPr="002F2BC5" w:rsidRDefault="00817399" w:rsidP="00B14D2A">
            <w:pPr>
              <w:spacing w:line="269" w:lineRule="auto"/>
              <w:jc w:val="left"/>
              <w:rPr>
                <w:rFonts w:ascii="David" w:eastAsia="Times New Roman" w:hAnsi="David"/>
                <w:color w:val="000000"/>
                <w:sz w:val="18"/>
                <w:szCs w:val="18"/>
                <w:rtl/>
              </w:rPr>
            </w:pPr>
            <w:r w:rsidRPr="002F2BC5">
              <w:rPr>
                <w:rFonts w:ascii="David" w:eastAsia="Times New Roman" w:hAnsi="David"/>
                <w:color w:val="000000"/>
                <w:sz w:val="18"/>
                <w:szCs w:val="18"/>
                <w:rtl/>
              </w:rPr>
              <w:t>עד פברואר 2024</w:t>
            </w:r>
          </w:p>
        </w:tc>
        <w:tc>
          <w:tcPr>
            <w:tcW w:w="1247" w:type="dxa"/>
            <w:tcBorders>
              <w:top w:val="nil"/>
              <w:left w:val="nil"/>
              <w:bottom w:val="single" w:sz="4" w:space="0" w:color="auto"/>
              <w:right w:val="nil"/>
            </w:tcBorders>
            <w:shd w:val="clear" w:color="auto" w:fill="auto"/>
            <w:noWrap/>
            <w:vAlign w:val="bottom"/>
            <w:hideMark/>
          </w:tcPr>
          <w:p w14:paraId="1AFAA6F6" w14:textId="77777777" w:rsidR="00817399" w:rsidRPr="002F2BC5" w:rsidRDefault="00817399" w:rsidP="00B14D2A">
            <w:pPr>
              <w:spacing w:line="269" w:lineRule="auto"/>
              <w:jc w:val="left"/>
              <w:rPr>
                <w:rFonts w:ascii="David" w:eastAsia="Times New Roman" w:hAnsi="David"/>
                <w:color w:val="000000"/>
                <w:sz w:val="18"/>
                <w:szCs w:val="18"/>
                <w:rtl/>
              </w:rPr>
            </w:pPr>
            <w:r w:rsidRPr="002F2BC5">
              <w:rPr>
                <w:rFonts w:ascii="David" w:eastAsia="Times New Roman" w:hAnsi="David"/>
                <w:color w:val="000000"/>
                <w:sz w:val="18"/>
                <w:szCs w:val="18"/>
                <w:rtl/>
              </w:rPr>
              <w:t>שינוי (ב-%) ביחס לתקופה קודמת</w:t>
            </w:r>
          </w:p>
        </w:tc>
      </w:tr>
      <w:tr w:rsidR="00817399" w:rsidRPr="002F2BC5" w14:paraId="54DB0065" w14:textId="77777777" w:rsidTr="00B14D2A">
        <w:trPr>
          <w:trHeight w:val="170"/>
        </w:trPr>
        <w:tc>
          <w:tcPr>
            <w:tcW w:w="4309" w:type="dxa"/>
            <w:tcBorders>
              <w:top w:val="nil"/>
              <w:left w:val="nil"/>
              <w:bottom w:val="nil"/>
              <w:right w:val="nil"/>
            </w:tcBorders>
            <w:shd w:val="clear" w:color="auto" w:fill="auto"/>
            <w:noWrap/>
            <w:vAlign w:val="bottom"/>
            <w:hideMark/>
          </w:tcPr>
          <w:p w14:paraId="7110664A" w14:textId="77777777" w:rsidR="00817399" w:rsidRPr="002F2BC5" w:rsidRDefault="00817399" w:rsidP="00B14D2A">
            <w:pPr>
              <w:spacing w:line="269" w:lineRule="auto"/>
              <w:jc w:val="left"/>
              <w:rPr>
                <w:rFonts w:ascii="David" w:eastAsia="Times New Roman" w:hAnsi="David"/>
                <w:color w:val="000000"/>
                <w:sz w:val="18"/>
                <w:szCs w:val="18"/>
              </w:rPr>
            </w:pPr>
            <w:r w:rsidRPr="002F2BC5">
              <w:rPr>
                <w:rFonts w:ascii="David" w:eastAsia="Times New Roman" w:hAnsi="David"/>
                <w:color w:val="000000"/>
                <w:sz w:val="18"/>
                <w:szCs w:val="18"/>
                <w:rtl/>
              </w:rPr>
              <w:t>רשויות מקומיות שקלטו מפונים</w:t>
            </w:r>
          </w:p>
        </w:tc>
        <w:tc>
          <w:tcPr>
            <w:tcW w:w="1304" w:type="dxa"/>
            <w:tcBorders>
              <w:top w:val="nil"/>
              <w:left w:val="nil"/>
              <w:bottom w:val="nil"/>
              <w:right w:val="nil"/>
            </w:tcBorders>
            <w:shd w:val="clear" w:color="auto" w:fill="auto"/>
            <w:noWrap/>
            <w:vAlign w:val="bottom"/>
            <w:hideMark/>
          </w:tcPr>
          <w:p w14:paraId="1D310804" w14:textId="77777777" w:rsidR="00817399" w:rsidRPr="002F2BC5" w:rsidRDefault="00817399" w:rsidP="00B14D2A">
            <w:pPr>
              <w:bidi w:val="0"/>
              <w:spacing w:line="269" w:lineRule="auto"/>
              <w:jc w:val="right"/>
              <w:rPr>
                <w:rFonts w:ascii="David" w:eastAsia="Times New Roman" w:hAnsi="David"/>
                <w:color w:val="000000"/>
                <w:sz w:val="18"/>
                <w:szCs w:val="18"/>
                <w:rtl/>
              </w:rPr>
            </w:pPr>
            <w:r w:rsidRPr="002F2BC5">
              <w:rPr>
                <w:rFonts w:ascii="David" w:eastAsia="Times New Roman" w:hAnsi="David"/>
                <w:color w:val="000000"/>
                <w:sz w:val="18"/>
                <w:szCs w:val="18"/>
              </w:rPr>
              <w:t>5,112</w:t>
            </w:r>
          </w:p>
        </w:tc>
        <w:tc>
          <w:tcPr>
            <w:tcW w:w="1304" w:type="dxa"/>
            <w:tcBorders>
              <w:top w:val="nil"/>
              <w:left w:val="nil"/>
              <w:bottom w:val="nil"/>
              <w:right w:val="nil"/>
            </w:tcBorders>
            <w:shd w:val="clear" w:color="auto" w:fill="auto"/>
            <w:noWrap/>
            <w:vAlign w:val="bottom"/>
            <w:hideMark/>
          </w:tcPr>
          <w:p w14:paraId="7D0D40EA" w14:textId="77777777" w:rsidR="00817399" w:rsidRPr="002F2BC5" w:rsidRDefault="00817399" w:rsidP="00B14D2A">
            <w:pPr>
              <w:bidi w:val="0"/>
              <w:spacing w:line="269" w:lineRule="auto"/>
              <w:jc w:val="right"/>
              <w:rPr>
                <w:rFonts w:ascii="David" w:eastAsia="Times New Roman" w:hAnsi="David"/>
                <w:color w:val="000000"/>
                <w:sz w:val="18"/>
                <w:szCs w:val="18"/>
              </w:rPr>
            </w:pPr>
            <w:r w:rsidRPr="002F2BC5">
              <w:rPr>
                <w:rFonts w:ascii="David" w:eastAsia="Times New Roman" w:hAnsi="David"/>
                <w:color w:val="000000"/>
                <w:sz w:val="18"/>
                <w:szCs w:val="18"/>
              </w:rPr>
              <w:t>4,520</w:t>
            </w:r>
          </w:p>
        </w:tc>
        <w:tc>
          <w:tcPr>
            <w:tcW w:w="1247" w:type="dxa"/>
            <w:tcBorders>
              <w:top w:val="nil"/>
              <w:left w:val="nil"/>
              <w:bottom w:val="nil"/>
              <w:right w:val="nil"/>
            </w:tcBorders>
            <w:shd w:val="clear" w:color="auto" w:fill="auto"/>
            <w:noWrap/>
            <w:vAlign w:val="bottom"/>
            <w:hideMark/>
          </w:tcPr>
          <w:p w14:paraId="00804B72" w14:textId="77777777" w:rsidR="00817399" w:rsidRPr="002F2BC5" w:rsidRDefault="00817399" w:rsidP="00B14D2A">
            <w:pPr>
              <w:bidi w:val="0"/>
              <w:spacing w:line="269" w:lineRule="auto"/>
              <w:jc w:val="right"/>
              <w:rPr>
                <w:rFonts w:ascii="David" w:eastAsia="Times New Roman" w:hAnsi="David"/>
                <w:color w:val="C00000"/>
                <w:sz w:val="18"/>
                <w:szCs w:val="18"/>
              </w:rPr>
            </w:pPr>
            <w:r w:rsidRPr="002F2BC5">
              <w:rPr>
                <w:rFonts w:ascii="David" w:eastAsia="Times New Roman" w:hAnsi="David"/>
                <w:color w:val="C00000"/>
                <w:sz w:val="18"/>
                <w:szCs w:val="18"/>
              </w:rPr>
              <w:t>-12%</w:t>
            </w:r>
          </w:p>
        </w:tc>
      </w:tr>
      <w:tr w:rsidR="00817399" w:rsidRPr="002F2BC5" w14:paraId="141F331E" w14:textId="77777777" w:rsidTr="00B14D2A">
        <w:trPr>
          <w:trHeight w:val="170"/>
        </w:trPr>
        <w:tc>
          <w:tcPr>
            <w:tcW w:w="4309" w:type="dxa"/>
            <w:tcBorders>
              <w:top w:val="nil"/>
              <w:left w:val="nil"/>
              <w:bottom w:val="nil"/>
              <w:right w:val="nil"/>
            </w:tcBorders>
            <w:shd w:val="clear" w:color="auto" w:fill="auto"/>
            <w:noWrap/>
            <w:vAlign w:val="bottom"/>
            <w:hideMark/>
          </w:tcPr>
          <w:p w14:paraId="70AB146E" w14:textId="77777777" w:rsidR="00817399" w:rsidRPr="002F2BC5" w:rsidRDefault="00817399" w:rsidP="00B14D2A">
            <w:pPr>
              <w:spacing w:line="269" w:lineRule="auto"/>
              <w:jc w:val="left"/>
              <w:rPr>
                <w:rFonts w:ascii="David" w:eastAsia="Times New Roman" w:hAnsi="David"/>
                <w:color w:val="000000"/>
                <w:sz w:val="18"/>
                <w:szCs w:val="18"/>
              </w:rPr>
            </w:pPr>
            <w:r w:rsidRPr="002F2BC5">
              <w:rPr>
                <w:rFonts w:ascii="David" w:eastAsia="Times New Roman" w:hAnsi="David"/>
                <w:color w:val="000000"/>
                <w:sz w:val="18"/>
                <w:szCs w:val="18"/>
                <w:rtl/>
              </w:rPr>
              <w:t>רשויות מקומיות שתושביהן פונו או התפנו באופן חלקי או מלא*</w:t>
            </w:r>
          </w:p>
        </w:tc>
        <w:tc>
          <w:tcPr>
            <w:tcW w:w="1304" w:type="dxa"/>
            <w:tcBorders>
              <w:top w:val="nil"/>
              <w:left w:val="nil"/>
              <w:bottom w:val="nil"/>
              <w:right w:val="nil"/>
            </w:tcBorders>
            <w:shd w:val="clear" w:color="auto" w:fill="auto"/>
            <w:noWrap/>
            <w:vAlign w:val="bottom"/>
            <w:hideMark/>
          </w:tcPr>
          <w:p w14:paraId="6E3BC149" w14:textId="77777777" w:rsidR="00817399" w:rsidRPr="002F2BC5" w:rsidRDefault="00817399" w:rsidP="00B14D2A">
            <w:pPr>
              <w:bidi w:val="0"/>
              <w:spacing w:line="269" w:lineRule="auto"/>
              <w:jc w:val="right"/>
              <w:rPr>
                <w:rFonts w:ascii="David" w:eastAsia="Times New Roman" w:hAnsi="David"/>
                <w:color w:val="000000"/>
                <w:sz w:val="18"/>
                <w:szCs w:val="18"/>
                <w:rtl/>
              </w:rPr>
            </w:pPr>
            <w:r w:rsidRPr="002F2BC5">
              <w:rPr>
                <w:rFonts w:ascii="David" w:eastAsia="Times New Roman" w:hAnsi="David"/>
                <w:color w:val="000000"/>
                <w:sz w:val="18"/>
                <w:szCs w:val="18"/>
              </w:rPr>
              <w:t>577</w:t>
            </w:r>
          </w:p>
        </w:tc>
        <w:tc>
          <w:tcPr>
            <w:tcW w:w="1304" w:type="dxa"/>
            <w:tcBorders>
              <w:top w:val="nil"/>
              <w:left w:val="nil"/>
              <w:bottom w:val="nil"/>
              <w:right w:val="nil"/>
            </w:tcBorders>
            <w:shd w:val="clear" w:color="auto" w:fill="auto"/>
            <w:noWrap/>
            <w:vAlign w:val="bottom"/>
            <w:hideMark/>
          </w:tcPr>
          <w:p w14:paraId="0572FB25" w14:textId="77777777" w:rsidR="00817399" w:rsidRPr="002F2BC5" w:rsidRDefault="00817399" w:rsidP="00B14D2A">
            <w:pPr>
              <w:bidi w:val="0"/>
              <w:spacing w:line="269" w:lineRule="auto"/>
              <w:jc w:val="right"/>
              <w:rPr>
                <w:rFonts w:ascii="David" w:eastAsia="Times New Roman" w:hAnsi="David"/>
                <w:color w:val="000000"/>
                <w:sz w:val="18"/>
                <w:szCs w:val="18"/>
              </w:rPr>
            </w:pPr>
            <w:r w:rsidRPr="002F2BC5">
              <w:rPr>
                <w:rFonts w:ascii="David" w:eastAsia="Times New Roman" w:hAnsi="David"/>
                <w:color w:val="000000"/>
                <w:sz w:val="18"/>
                <w:szCs w:val="18"/>
              </w:rPr>
              <w:t>388</w:t>
            </w:r>
          </w:p>
        </w:tc>
        <w:tc>
          <w:tcPr>
            <w:tcW w:w="1247" w:type="dxa"/>
            <w:tcBorders>
              <w:top w:val="nil"/>
              <w:left w:val="nil"/>
              <w:bottom w:val="nil"/>
              <w:right w:val="nil"/>
            </w:tcBorders>
            <w:shd w:val="clear" w:color="auto" w:fill="auto"/>
            <w:noWrap/>
            <w:vAlign w:val="bottom"/>
            <w:hideMark/>
          </w:tcPr>
          <w:p w14:paraId="27196407" w14:textId="77777777" w:rsidR="00817399" w:rsidRPr="002F2BC5" w:rsidRDefault="00817399" w:rsidP="00B14D2A">
            <w:pPr>
              <w:bidi w:val="0"/>
              <w:spacing w:line="269" w:lineRule="auto"/>
              <w:jc w:val="right"/>
              <w:rPr>
                <w:rFonts w:ascii="David" w:eastAsia="Times New Roman" w:hAnsi="David"/>
                <w:color w:val="C00000"/>
                <w:sz w:val="18"/>
                <w:szCs w:val="18"/>
              </w:rPr>
            </w:pPr>
            <w:r w:rsidRPr="002F2BC5">
              <w:rPr>
                <w:rFonts w:ascii="David" w:eastAsia="Times New Roman" w:hAnsi="David"/>
                <w:color w:val="C00000"/>
                <w:sz w:val="18"/>
                <w:szCs w:val="18"/>
              </w:rPr>
              <w:t>-33%</w:t>
            </w:r>
          </w:p>
        </w:tc>
      </w:tr>
      <w:tr w:rsidR="00817399" w:rsidRPr="002F2BC5" w14:paraId="0F019FCF" w14:textId="77777777" w:rsidTr="00B14D2A">
        <w:trPr>
          <w:trHeight w:val="170"/>
        </w:trPr>
        <w:tc>
          <w:tcPr>
            <w:tcW w:w="4309" w:type="dxa"/>
            <w:tcBorders>
              <w:top w:val="nil"/>
              <w:left w:val="nil"/>
              <w:right w:val="nil"/>
            </w:tcBorders>
            <w:shd w:val="clear" w:color="auto" w:fill="auto"/>
            <w:noWrap/>
            <w:vAlign w:val="bottom"/>
            <w:hideMark/>
          </w:tcPr>
          <w:p w14:paraId="0BF8BFD2" w14:textId="77777777" w:rsidR="00817399" w:rsidRPr="002F2BC5" w:rsidRDefault="00817399" w:rsidP="00B14D2A">
            <w:pPr>
              <w:spacing w:line="269" w:lineRule="auto"/>
              <w:jc w:val="left"/>
              <w:rPr>
                <w:rFonts w:ascii="David" w:eastAsia="Times New Roman" w:hAnsi="David"/>
                <w:color w:val="000000"/>
                <w:sz w:val="18"/>
                <w:szCs w:val="18"/>
                <w:rtl/>
              </w:rPr>
            </w:pPr>
            <w:r w:rsidRPr="002F2BC5">
              <w:rPr>
                <w:rFonts w:ascii="David" w:eastAsia="Times New Roman" w:hAnsi="David"/>
                <w:color w:val="000000"/>
                <w:sz w:val="18"/>
                <w:szCs w:val="18"/>
                <w:rtl/>
              </w:rPr>
              <w:t>רשויות מקומיות שפונו באופן מלא</w:t>
            </w:r>
          </w:p>
        </w:tc>
        <w:tc>
          <w:tcPr>
            <w:tcW w:w="1304" w:type="dxa"/>
            <w:tcBorders>
              <w:top w:val="nil"/>
              <w:left w:val="nil"/>
              <w:right w:val="nil"/>
            </w:tcBorders>
            <w:shd w:val="clear" w:color="auto" w:fill="auto"/>
            <w:noWrap/>
            <w:vAlign w:val="bottom"/>
            <w:hideMark/>
          </w:tcPr>
          <w:p w14:paraId="60E39E6C" w14:textId="77777777" w:rsidR="00817399" w:rsidRPr="002F2BC5" w:rsidRDefault="00817399" w:rsidP="00B14D2A">
            <w:pPr>
              <w:bidi w:val="0"/>
              <w:spacing w:line="269" w:lineRule="auto"/>
              <w:jc w:val="right"/>
              <w:rPr>
                <w:rFonts w:ascii="David" w:eastAsia="Times New Roman" w:hAnsi="David"/>
                <w:color w:val="000000"/>
                <w:sz w:val="18"/>
                <w:szCs w:val="18"/>
                <w:rtl/>
              </w:rPr>
            </w:pPr>
            <w:r w:rsidRPr="002F2BC5">
              <w:rPr>
                <w:rFonts w:ascii="David" w:eastAsia="Times New Roman" w:hAnsi="David"/>
                <w:color w:val="000000"/>
                <w:sz w:val="18"/>
                <w:szCs w:val="18"/>
                <w:rtl/>
              </w:rPr>
              <w:t>144</w:t>
            </w:r>
          </w:p>
        </w:tc>
        <w:tc>
          <w:tcPr>
            <w:tcW w:w="1304" w:type="dxa"/>
            <w:tcBorders>
              <w:top w:val="nil"/>
              <w:left w:val="nil"/>
              <w:right w:val="nil"/>
            </w:tcBorders>
            <w:shd w:val="clear" w:color="auto" w:fill="auto"/>
            <w:noWrap/>
            <w:vAlign w:val="bottom"/>
            <w:hideMark/>
          </w:tcPr>
          <w:p w14:paraId="17418BD9" w14:textId="77777777" w:rsidR="00817399" w:rsidRPr="002F2BC5" w:rsidRDefault="00817399" w:rsidP="00B14D2A">
            <w:pPr>
              <w:bidi w:val="0"/>
              <w:spacing w:line="269" w:lineRule="auto"/>
              <w:jc w:val="right"/>
              <w:rPr>
                <w:rFonts w:ascii="David" w:eastAsia="Times New Roman" w:hAnsi="David"/>
                <w:color w:val="000000"/>
                <w:sz w:val="18"/>
                <w:szCs w:val="18"/>
              </w:rPr>
            </w:pPr>
            <w:r w:rsidRPr="002F2BC5">
              <w:rPr>
                <w:rFonts w:ascii="David" w:eastAsia="Times New Roman" w:hAnsi="David"/>
                <w:color w:val="000000"/>
                <w:sz w:val="18"/>
                <w:szCs w:val="18"/>
                <w:rtl/>
              </w:rPr>
              <w:t>81</w:t>
            </w:r>
          </w:p>
        </w:tc>
        <w:tc>
          <w:tcPr>
            <w:tcW w:w="1247" w:type="dxa"/>
            <w:tcBorders>
              <w:top w:val="nil"/>
              <w:left w:val="nil"/>
              <w:right w:val="nil"/>
            </w:tcBorders>
            <w:shd w:val="clear" w:color="auto" w:fill="auto"/>
            <w:noWrap/>
            <w:vAlign w:val="bottom"/>
            <w:hideMark/>
          </w:tcPr>
          <w:p w14:paraId="489ECBEA" w14:textId="77777777" w:rsidR="00817399" w:rsidRPr="002F2BC5" w:rsidRDefault="00817399" w:rsidP="00B14D2A">
            <w:pPr>
              <w:bidi w:val="0"/>
              <w:spacing w:line="269" w:lineRule="auto"/>
              <w:jc w:val="right"/>
              <w:rPr>
                <w:rFonts w:ascii="David" w:eastAsia="Times New Roman" w:hAnsi="David"/>
                <w:color w:val="C00000"/>
                <w:sz w:val="18"/>
                <w:szCs w:val="18"/>
              </w:rPr>
            </w:pPr>
            <w:r w:rsidRPr="002F2BC5">
              <w:rPr>
                <w:rFonts w:ascii="David" w:eastAsia="Times New Roman" w:hAnsi="David"/>
                <w:color w:val="C00000"/>
                <w:sz w:val="18"/>
                <w:szCs w:val="18"/>
              </w:rPr>
              <w:t>-44%</w:t>
            </w:r>
          </w:p>
        </w:tc>
      </w:tr>
      <w:tr w:rsidR="00817399" w:rsidRPr="002F2BC5" w14:paraId="1F988970" w14:textId="77777777" w:rsidTr="00B14D2A">
        <w:trPr>
          <w:trHeight w:val="88"/>
        </w:trPr>
        <w:tc>
          <w:tcPr>
            <w:tcW w:w="4309" w:type="dxa"/>
            <w:tcBorders>
              <w:left w:val="nil"/>
              <w:bottom w:val="single" w:sz="4" w:space="0" w:color="auto"/>
              <w:right w:val="nil"/>
            </w:tcBorders>
            <w:shd w:val="clear" w:color="auto" w:fill="auto"/>
            <w:noWrap/>
            <w:vAlign w:val="bottom"/>
          </w:tcPr>
          <w:p w14:paraId="4C5C8CD5" w14:textId="77777777" w:rsidR="00817399" w:rsidRPr="002F2BC5" w:rsidRDefault="00817399" w:rsidP="00B14D2A">
            <w:pPr>
              <w:spacing w:line="269" w:lineRule="auto"/>
              <w:jc w:val="left"/>
              <w:rPr>
                <w:rFonts w:ascii="David" w:hAnsi="David"/>
                <w:color w:val="000000"/>
                <w:sz w:val="18"/>
                <w:szCs w:val="18"/>
                <w:rtl/>
              </w:rPr>
            </w:pPr>
            <w:r w:rsidRPr="002F2BC5">
              <w:rPr>
                <w:rFonts w:ascii="David" w:hAnsi="David"/>
                <w:color w:val="000000"/>
                <w:sz w:val="18"/>
                <w:szCs w:val="18"/>
                <w:rtl/>
              </w:rPr>
              <w:t>כלל הרשויות המקומיות</w:t>
            </w:r>
          </w:p>
        </w:tc>
        <w:tc>
          <w:tcPr>
            <w:tcW w:w="1304" w:type="dxa"/>
            <w:tcBorders>
              <w:left w:val="nil"/>
              <w:bottom w:val="single" w:sz="4" w:space="0" w:color="auto"/>
              <w:right w:val="nil"/>
            </w:tcBorders>
            <w:shd w:val="clear" w:color="auto" w:fill="auto"/>
            <w:noWrap/>
            <w:vAlign w:val="bottom"/>
          </w:tcPr>
          <w:p w14:paraId="1593AFE8" w14:textId="77777777" w:rsidR="00817399" w:rsidRPr="002F2BC5" w:rsidRDefault="00817399" w:rsidP="00B14D2A">
            <w:pPr>
              <w:bidi w:val="0"/>
              <w:spacing w:line="269" w:lineRule="auto"/>
              <w:jc w:val="right"/>
              <w:rPr>
                <w:rFonts w:ascii="David" w:hAnsi="David"/>
                <w:color w:val="000000"/>
                <w:sz w:val="18"/>
                <w:szCs w:val="18"/>
              </w:rPr>
            </w:pPr>
            <w:r w:rsidRPr="002F2BC5">
              <w:rPr>
                <w:rFonts w:ascii="David" w:hAnsi="David"/>
                <w:color w:val="000000"/>
                <w:sz w:val="18"/>
                <w:szCs w:val="18"/>
              </w:rPr>
              <w:t>16,351</w:t>
            </w:r>
          </w:p>
        </w:tc>
        <w:tc>
          <w:tcPr>
            <w:tcW w:w="1304" w:type="dxa"/>
            <w:tcBorders>
              <w:left w:val="nil"/>
              <w:bottom w:val="single" w:sz="4" w:space="0" w:color="auto"/>
              <w:right w:val="nil"/>
            </w:tcBorders>
            <w:shd w:val="clear" w:color="auto" w:fill="auto"/>
            <w:noWrap/>
            <w:vAlign w:val="bottom"/>
          </w:tcPr>
          <w:p w14:paraId="5DD019AB" w14:textId="77777777" w:rsidR="00817399" w:rsidRPr="002F2BC5" w:rsidRDefault="00817399" w:rsidP="00B14D2A">
            <w:pPr>
              <w:bidi w:val="0"/>
              <w:spacing w:line="269" w:lineRule="auto"/>
              <w:jc w:val="right"/>
              <w:rPr>
                <w:rFonts w:ascii="David" w:hAnsi="David"/>
                <w:color w:val="000000"/>
                <w:sz w:val="18"/>
                <w:szCs w:val="18"/>
              </w:rPr>
            </w:pPr>
            <w:r w:rsidRPr="002F2BC5">
              <w:rPr>
                <w:rFonts w:ascii="David" w:hAnsi="David"/>
                <w:color w:val="000000"/>
                <w:sz w:val="18"/>
                <w:szCs w:val="18"/>
              </w:rPr>
              <w:t>14,015</w:t>
            </w:r>
          </w:p>
        </w:tc>
        <w:tc>
          <w:tcPr>
            <w:tcW w:w="1247" w:type="dxa"/>
            <w:tcBorders>
              <w:left w:val="nil"/>
              <w:bottom w:val="single" w:sz="4" w:space="0" w:color="auto"/>
              <w:right w:val="nil"/>
            </w:tcBorders>
            <w:shd w:val="clear" w:color="auto" w:fill="auto"/>
            <w:noWrap/>
            <w:vAlign w:val="bottom"/>
          </w:tcPr>
          <w:p w14:paraId="13758C6A" w14:textId="77777777" w:rsidR="00817399" w:rsidRPr="002F2BC5" w:rsidRDefault="00817399" w:rsidP="00B14D2A">
            <w:pPr>
              <w:bidi w:val="0"/>
              <w:spacing w:line="269" w:lineRule="auto"/>
              <w:jc w:val="right"/>
              <w:rPr>
                <w:rFonts w:ascii="David" w:hAnsi="David"/>
                <w:color w:val="C00000"/>
                <w:sz w:val="18"/>
                <w:szCs w:val="18"/>
              </w:rPr>
            </w:pPr>
            <w:r w:rsidRPr="002F2BC5">
              <w:rPr>
                <w:rFonts w:ascii="David" w:hAnsi="David"/>
                <w:color w:val="C00000"/>
                <w:sz w:val="18"/>
                <w:szCs w:val="18"/>
              </w:rPr>
              <w:t>-14%</w:t>
            </w:r>
          </w:p>
        </w:tc>
      </w:tr>
    </w:tbl>
    <w:p w14:paraId="39DD59BE" w14:textId="77777777" w:rsidR="00817399" w:rsidRPr="002F2BC5" w:rsidRDefault="00817399" w:rsidP="00817399">
      <w:pPr>
        <w:pStyle w:val="afffffff1"/>
        <w:bidi/>
        <w:spacing w:line="269" w:lineRule="auto"/>
        <w:rPr>
          <w:rtl/>
        </w:rPr>
      </w:pPr>
      <w:r w:rsidRPr="002F2BC5">
        <w:rPr>
          <w:rFonts w:hint="cs"/>
          <w:rtl/>
        </w:rPr>
        <w:t>על פי נתוני משטרת ישראל על תיקי החקירה שנפתחו בגין עבירות אלימות בין בני זוג בתקופה שבין אוקטובר 2022 לפברואר 2023, ובתקופה המקבילה, שבין אוקטובר 2023 לפברואר 2024, בעיבוד משרד מבקר המדינה.</w:t>
      </w:r>
    </w:p>
    <w:p w14:paraId="7BC88F82" w14:textId="77777777" w:rsidR="00817399" w:rsidRPr="002F2BC5" w:rsidRDefault="00817399" w:rsidP="00817399">
      <w:pPr>
        <w:pStyle w:val="afffffff1"/>
        <w:bidi/>
        <w:spacing w:line="269" w:lineRule="auto"/>
        <w:rPr>
          <w:rtl/>
        </w:rPr>
      </w:pPr>
      <w:r w:rsidRPr="002F2BC5">
        <w:rPr>
          <w:rFonts w:hint="cs"/>
          <w:rtl/>
        </w:rPr>
        <w:t xml:space="preserve">* רשויות שהתקבלה החלטה או המלצה על פינוין באופן חלקי או מלא או שתושביהן התפנו באופן עצמאי או חלקי. ברשימה זו כלולות </w:t>
      </w:r>
      <w:r w:rsidRPr="002F2BC5">
        <w:rPr>
          <w:rtl/>
        </w:rPr>
        <w:t>העיריות אופקים, אשקלון, קריית שמונה</w:t>
      </w:r>
      <w:r w:rsidRPr="002F2BC5">
        <w:rPr>
          <w:rFonts w:hint="cs"/>
          <w:rtl/>
        </w:rPr>
        <w:t xml:space="preserve"> (פינוי מלא)</w:t>
      </w:r>
      <w:r w:rsidRPr="002F2BC5">
        <w:rPr>
          <w:rtl/>
        </w:rPr>
        <w:t xml:space="preserve"> ושדרות</w:t>
      </w:r>
      <w:r w:rsidRPr="002F2BC5">
        <w:rPr>
          <w:rFonts w:hint="cs"/>
          <w:rtl/>
        </w:rPr>
        <w:t xml:space="preserve"> (פינוי מלא)</w:t>
      </w:r>
      <w:r w:rsidRPr="002F2BC5">
        <w:rPr>
          <w:rtl/>
        </w:rPr>
        <w:t>; המועצות המקומיות מטולה (פינוי מלא), ר'ג'ר (פינוי מלא) ושלומי (פינוי מלא); המועצות האזוריות אשכול, הגליל העליון, חוף אשקלון, מבואות החרמון, מטה אשר, מעלה יוסף, מרום הגליל, שדות נגב ושער הנגב</w:t>
      </w:r>
      <w:r w:rsidRPr="002F2BC5">
        <w:rPr>
          <w:rStyle w:val="af9"/>
          <w:sz w:val="16"/>
          <w:rtl/>
        </w:rPr>
        <w:footnoteReference w:id="206"/>
      </w:r>
      <w:r w:rsidRPr="002F2BC5">
        <w:rPr>
          <w:rtl/>
        </w:rPr>
        <w:t>.</w:t>
      </w:r>
    </w:p>
    <w:p w14:paraId="583664FD" w14:textId="77777777" w:rsidR="00817399" w:rsidRPr="002F2BC5" w:rsidRDefault="00817399" w:rsidP="00817399">
      <w:pPr>
        <w:spacing w:line="269" w:lineRule="auto"/>
        <w:rPr>
          <w:rtl/>
        </w:rPr>
      </w:pPr>
    </w:p>
    <w:p w14:paraId="39CD1401" w14:textId="77777777" w:rsidR="00817399" w:rsidRPr="002F2BC5" w:rsidRDefault="00817399" w:rsidP="00817399">
      <w:pPr>
        <w:pStyle w:val="a0"/>
        <w:spacing w:line="269" w:lineRule="auto"/>
        <w:rPr>
          <w:rtl/>
        </w:rPr>
      </w:pPr>
      <w:bookmarkStart w:id="889" w:name="_Ref186977339"/>
      <w:bookmarkStart w:id="890" w:name="_Toc192674054"/>
      <w:r w:rsidRPr="002F2BC5">
        <w:rPr>
          <w:rFonts w:hint="cs"/>
          <w:b w:val="0"/>
          <w:bCs w:val="0"/>
          <w:rtl/>
        </w:rPr>
        <w:lastRenderedPageBreak/>
        <w:t xml:space="preserve">: </w:t>
      </w:r>
      <w:r w:rsidRPr="002F2BC5">
        <w:rPr>
          <w:rFonts w:hint="cs"/>
          <w:rtl/>
        </w:rPr>
        <w:t>ריכוז הנתונים על תיקי החקירה שנפתחו בגין עבירות אלימות בין בני זוג ברשויות מקומיות שתושביהן פונו או התפנו באופן חלקי או מלא מאוקטובר 2022 עד פברואר 2023, ובתקופה המקבילה - מאוקטובר 2023 עד פברואר 2024, לפי מקום מגוריו של המתלונן</w:t>
      </w:r>
      <w:bookmarkEnd w:id="889"/>
      <w:bookmarkEnd w:id="890"/>
    </w:p>
    <w:p w14:paraId="0B8538E4" w14:textId="77777777" w:rsidR="00817399" w:rsidRPr="002F2BC5" w:rsidRDefault="00817399" w:rsidP="00817399">
      <w:pPr>
        <w:pStyle w:val="afffffff4"/>
        <w:bidi/>
        <w:spacing w:before="0" w:after="0" w:line="269" w:lineRule="auto"/>
      </w:pPr>
      <w:r w:rsidRPr="002F2BC5">
        <w:rPr>
          <w:noProof/>
        </w:rPr>
        <w:drawing>
          <wp:inline distT="0" distB="0" distL="0" distR="0" wp14:anchorId="625407CE" wp14:editId="4CBC4A45">
            <wp:extent cx="5220335" cy="3267710"/>
            <wp:effectExtent l="0" t="0" r="0" b="8890"/>
            <wp:docPr id="2052770986" name="תמונה 205277098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0335" cy="3267710"/>
                    </a:xfrm>
                    <a:prstGeom prst="rect">
                      <a:avLst/>
                    </a:prstGeom>
                  </pic:spPr>
                </pic:pic>
              </a:graphicData>
            </a:graphic>
          </wp:inline>
        </w:drawing>
      </w:r>
    </w:p>
    <w:p w14:paraId="10E44418" w14:textId="77777777" w:rsidR="00817399" w:rsidRPr="002F2BC5" w:rsidRDefault="00817399" w:rsidP="00817399">
      <w:pPr>
        <w:pStyle w:val="afffffff1"/>
        <w:bidi/>
        <w:spacing w:line="269" w:lineRule="auto"/>
        <w:rPr>
          <w:rtl/>
        </w:rPr>
      </w:pPr>
      <w:r w:rsidRPr="002F2BC5">
        <w:rPr>
          <w:rFonts w:hint="cs"/>
          <w:rtl/>
        </w:rPr>
        <w:t>על פי נתוני משטרת ישראל על תיקי החקירה שנפתחו בגין עבירות אלימות בין בני זוג בתקופה שבין אוקטובר 2022 לפברואר 2023, ובתקופה המקבילה, שבין אוקטובר 2023 ועד פברואר 2024, לפי מקום מגוריו של המתלונן, בעיבוד משרד מבקר המדינה.</w:t>
      </w:r>
    </w:p>
    <w:p w14:paraId="20150837" w14:textId="77777777" w:rsidR="00817399" w:rsidRPr="002F2BC5" w:rsidRDefault="00817399" w:rsidP="00817399">
      <w:pPr>
        <w:spacing w:line="269" w:lineRule="auto"/>
        <w:rPr>
          <w:rtl/>
        </w:rPr>
      </w:pPr>
    </w:p>
    <w:p w14:paraId="61E8E1FF" w14:textId="53523CC9" w:rsidR="00817399" w:rsidRPr="002F2BC5" w:rsidRDefault="00817399" w:rsidP="00817399">
      <w:pPr>
        <w:spacing w:line="269" w:lineRule="auto"/>
        <w:ind w:left="312"/>
        <w:rPr>
          <w:b/>
          <w:bCs/>
          <w:rtl/>
        </w:rPr>
      </w:pPr>
      <w:r w:rsidRPr="002F2BC5">
        <w:rPr>
          <w:rFonts w:hint="cs"/>
          <w:b/>
          <w:bCs/>
          <w:rtl/>
        </w:rPr>
        <w:t>מהנתונים המוצגים 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Ref186976703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8</w:t>
      </w:r>
      <w:r w:rsidRPr="002F2BC5">
        <w:rPr>
          <w:b/>
          <w:bCs/>
          <w:rtl/>
        </w:rPr>
        <w:fldChar w:fldCharType="end"/>
      </w:r>
      <w:r w:rsidRPr="002F2BC5">
        <w:rPr>
          <w:rFonts w:hint="cs"/>
          <w:b/>
          <w:bCs/>
          <w:rtl/>
        </w:rPr>
        <w:t xml:space="preserve"> וב</w:t>
      </w:r>
      <w:r w:rsidRPr="002F2BC5">
        <w:rPr>
          <w:b/>
          <w:bCs/>
          <w:rtl/>
        </w:rPr>
        <w:fldChar w:fldCharType="begin"/>
      </w:r>
      <w:r w:rsidRPr="002F2BC5">
        <w:rPr>
          <w:b/>
          <w:bCs/>
          <w:rtl/>
        </w:rPr>
        <w:instrText xml:space="preserve"> </w:instrText>
      </w:r>
      <w:r w:rsidRPr="002F2BC5">
        <w:rPr>
          <w:rFonts w:hint="cs"/>
          <w:b/>
          <w:bCs/>
        </w:rPr>
        <w:instrText>REF</w:instrText>
      </w:r>
      <w:r w:rsidRPr="002F2BC5">
        <w:rPr>
          <w:rFonts w:hint="cs"/>
          <w:b/>
          <w:bCs/>
          <w:rtl/>
        </w:rPr>
        <w:instrText xml:space="preserve"> _</w:instrText>
      </w:r>
      <w:r w:rsidRPr="002F2BC5">
        <w:rPr>
          <w:rFonts w:hint="cs"/>
          <w:b/>
          <w:bCs/>
        </w:rPr>
        <w:instrText>Ref186977339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9</w:t>
      </w:r>
      <w:r w:rsidRPr="002F2BC5">
        <w:rPr>
          <w:b/>
          <w:bCs/>
          <w:rtl/>
        </w:rPr>
        <w:fldChar w:fldCharType="end"/>
      </w:r>
      <w:r w:rsidRPr="002F2BC5">
        <w:rPr>
          <w:rFonts w:hint="cs"/>
          <w:b/>
          <w:bCs/>
          <w:rtl/>
        </w:rPr>
        <w:t xml:space="preserve"> עולה כי ברשויות מקומיות שתושביהן פונו או התפנו בעקבות המלחמה, פינוי חלקי או מלא, נרשמה ירידה גדולה יותר של כ-33% בממוצע במספר תיקי החקירה הללו, מ-577 תיקי חקירה ל-388</w:t>
      </w:r>
      <w:r w:rsidRPr="002F2BC5">
        <w:rPr>
          <w:rStyle w:val="af9"/>
          <w:b/>
          <w:bCs/>
          <w:rtl/>
        </w:rPr>
        <w:footnoteReference w:id="207"/>
      </w:r>
      <w:r w:rsidRPr="002F2BC5">
        <w:rPr>
          <w:rFonts w:hint="cs"/>
          <w:b/>
          <w:bCs/>
          <w:rtl/>
        </w:rPr>
        <w:t xml:space="preserve">. כך לדוגמה, בשדרות נרשמה ירידה של כ-51% במספר התיקים שנפתחו (מ-88 ל-43), ובאופקים, שתושביה התפנו באופן עצמאי וחלקי, נרשמה ירידה של כ-31% במספר התיקים שנפתחו (מ-64 ל-44). באשקלון, שפונתה פינוי חלקי, נרשמה ירידה של כ-35% (מ-317 ל-207). </w:t>
      </w:r>
      <w:r w:rsidRPr="002F2BC5">
        <w:rPr>
          <w:rFonts w:hint="eastAsia"/>
          <w:b/>
          <w:bCs/>
          <w:rtl/>
        </w:rPr>
        <w:t>ייתכן</w:t>
      </w:r>
      <w:r w:rsidRPr="002F2BC5">
        <w:rPr>
          <w:b/>
          <w:bCs/>
          <w:rtl/>
        </w:rPr>
        <w:t xml:space="preserve"> שאחד הגורמים לכך הוא </w:t>
      </w:r>
      <w:r w:rsidRPr="002F2BC5">
        <w:rPr>
          <w:rFonts w:hint="eastAsia"/>
          <w:b/>
          <w:bCs/>
          <w:rtl/>
        </w:rPr>
        <w:t>הימנעותם</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נפגעי</w:t>
      </w:r>
      <w:r w:rsidRPr="002F2BC5">
        <w:rPr>
          <w:b/>
          <w:bCs/>
          <w:rtl/>
        </w:rPr>
        <w:t xml:space="preserve"> </w:t>
      </w:r>
      <w:r w:rsidRPr="002F2BC5">
        <w:rPr>
          <w:rFonts w:hint="eastAsia"/>
          <w:b/>
          <w:bCs/>
          <w:rtl/>
        </w:rPr>
        <w:t>האלימות</w:t>
      </w:r>
      <w:r w:rsidRPr="002F2BC5">
        <w:rPr>
          <w:b/>
          <w:bCs/>
          <w:rtl/>
        </w:rPr>
        <w:t xml:space="preserve"> </w:t>
      </w:r>
      <w:r w:rsidRPr="002F2BC5">
        <w:rPr>
          <w:rFonts w:hint="eastAsia"/>
          <w:b/>
          <w:bCs/>
          <w:rtl/>
        </w:rPr>
        <w:t>במשפחה</w:t>
      </w:r>
      <w:r w:rsidRPr="002F2BC5">
        <w:rPr>
          <w:b/>
          <w:bCs/>
          <w:rtl/>
        </w:rPr>
        <w:t xml:space="preserve"> </w:t>
      </w:r>
      <w:r w:rsidRPr="002F2BC5">
        <w:rPr>
          <w:rFonts w:hint="eastAsia"/>
          <w:b/>
          <w:bCs/>
          <w:rtl/>
        </w:rPr>
        <w:t>מפנייה</w:t>
      </w:r>
      <w:r w:rsidRPr="002F2BC5">
        <w:rPr>
          <w:b/>
          <w:bCs/>
          <w:rtl/>
        </w:rPr>
        <w:t xml:space="preserve"> </w:t>
      </w:r>
      <w:r w:rsidRPr="002F2BC5">
        <w:rPr>
          <w:rFonts w:hint="eastAsia"/>
          <w:b/>
          <w:bCs/>
          <w:rtl/>
        </w:rPr>
        <w:t>לסיוע</w:t>
      </w:r>
      <w:r w:rsidRPr="002F2BC5">
        <w:rPr>
          <w:b/>
          <w:bCs/>
          <w:rtl/>
        </w:rPr>
        <w:t xml:space="preserve"> </w:t>
      </w:r>
      <w:r w:rsidRPr="002F2BC5">
        <w:rPr>
          <w:rFonts w:hint="eastAsia"/>
          <w:b/>
          <w:bCs/>
          <w:rtl/>
        </w:rPr>
        <w:t>במהלך</w:t>
      </w:r>
      <w:r w:rsidRPr="002F2BC5">
        <w:rPr>
          <w:b/>
          <w:bCs/>
          <w:rtl/>
        </w:rPr>
        <w:t xml:space="preserve"> </w:t>
      </w:r>
      <w:r w:rsidRPr="002F2BC5">
        <w:rPr>
          <w:rFonts w:hint="eastAsia"/>
          <w:b/>
          <w:bCs/>
          <w:rtl/>
        </w:rPr>
        <w:t>חודשי</w:t>
      </w:r>
      <w:r w:rsidRPr="002F2BC5">
        <w:rPr>
          <w:b/>
          <w:bCs/>
          <w:rtl/>
        </w:rPr>
        <w:t xml:space="preserve"> </w:t>
      </w:r>
      <w:r w:rsidRPr="002F2BC5">
        <w:rPr>
          <w:rFonts w:hint="eastAsia"/>
          <w:b/>
          <w:bCs/>
          <w:rtl/>
        </w:rPr>
        <w:t>המלחמה</w:t>
      </w:r>
      <w:r w:rsidRPr="002F2BC5">
        <w:rPr>
          <w:b/>
          <w:bCs/>
          <w:rtl/>
        </w:rPr>
        <w:t xml:space="preserve">, שבאה לידי ביטוי כאמור גם </w:t>
      </w:r>
      <w:r w:rsidRPr="002F2BC5">
        <w:rPr>
          <w:rFonts w:hint="eastAsia"/>
          <w:b/>
          <w:bCs/>
          <w:rtl/>
        </w:rPr>
        <w:t>בתפוסה</w:t>
      </w:r>
      <w:r w:rsidRPr="002F2BC5">
        <w:rPr>
          <w:b/>
          <w:bCs/>
          <w:rtl/>
        </w:rPr>
        <w:t xml:space="preserve"> נמוכה יותר במקלטים לנשים נפגעות אלימות ו</w:t>
      </w:r>
      <w:r w:rsidRPr="002F2BC5">
        <w:rPr>
          <w:rFonts w:hint="cs"/>
          <w:b/>
          <w:bCs/>
          <w:rtl/>
        </w:rPr>
        <w:t>ל</w:t>
      </w:r>
      <w:r w:rsidRPr="002F2BC5">
        <w:rPr>
          <w:b/>
          <w:bCs/>
          <w:rtl/>
        </w:rPr>
        <w:t>ילדיהן.</w:t>
      </w:r>
    </w:p>
    <w:p w14:paraId="3E32E06F" w14:textId="77777777" w:rsidR="00817399" w:rsidRPr="002F2BC5" w:rsidRDefault="00817399" w:rsidP="00817399">
      <w:pPr>
        <w:spacing w:line="269" w:lineRule="auto"/>
        <w:rPr>
          <w:rtl/>
        </w:rPr>
      </w:pPr>
    </w:p>
    <w:p w14:paraId="40D8D246" w14:textId="77777777" w:rsidR="00817399" w:rsidRPr="002F2BC5" w:rsidRDefault="00817399" w:rsidP="00817399">
      <w:pPr>
        <w:spacing w:line="269" w:lineRule="auto"/>
        <w:ind w:left="312"/>
        <w:rPr>
          <w:rtl/>
        </w:rPr>
      </w:pPr>
      <w:r w:rsidRPr="002F2BC5">
        <w:rPr>
          <w:rFonts w:hint="cs"/>
          <w:rtl/>
        </w:rPr>
        <w:t xml:space="preserve">יש לציין כי על אף הירידה במספר תיקי החקירה בגין עבירות אלימות במשפחה במהלך חודשי המלחמה, ירידה הנוגעת להיקף התופעה המדווחת אך לא להיקפה בפועל, לפי נתוני משטרת ישראל לא חלה ירידה דומה בתקופה זו במספר תיקי החקירה שנפתחו בגין עבירות של הפרת צו הגנה. נתון זה עשוי להצביע על כך שתקופת המלחמה לא השפיעה - או השפיעה במידה מועטה - על הדיווח על מקרים חמורים של אלימות במשפחה שכבר היו מצויים בטיפול רשויות אכיפת החוק. </w:t>
      </w:r>
    </w:p>
    <w:p w14:paraId="59079A00" w14:textId="77777777" w:rsidR="00817399" w:rsidRPr="002F2BC5" w:rsidRDefault="00817399" w:rsidP="00817399">
      <w:pPr>
        <w:spacing w:line="269" w:lineRule="auto"/>
        <w:rPr>
          <w:rtl/>
        </w:rPr>
      </w:pPr>
    </w:p>
    <w:p w14:paraId="13ABD249" w14:textId="77777777" w:rsidR="00817399" w:rsidRPr="002F2BC5" w:rsidRDefault="00817399" w:rsidP="00817399">
      <w:pPr>
        <w:spacing w:line="269" w:lineRule="auto"/>
        <w:ind w:left="312"/>
        <w:rPr>
          <w:rtl/>
        </w:rPr>
      </w:pPr>
      <w:r w:rsidRPr="002F2BC5">
        <w:rPr>
          <w:rFonts w:hint="cs"/>
          <w:rtl/>
        </w:rPr>
        <w:t xml:space="preserve">לצד איסוף נתונים בעיתות משבר וחירום על צורכיהן של אוכלוסיות שאינן בהכרח מוכרות לגורמי הטיפול או לגורמי אכיפת החוק, קיימת חשיבות רבה גם לאיסוף נתונים בזמן אמת על </w:t>
      </w:r>
      <w:r w:rsidRPr="002F2BC5">
        <w:rPr>
          <w:rFonts w:hint="cs"/>
          <w:rtl/>
        </w:rPr>
        <w:lastRenderedPageBreak/>
        <w:t>הפונים לקבלת שירות בפועל</w:t>
      </w:r>
      <w:r w:rsidRPr="002F2BC5">
        <w:rPr>
          <w:rStyle w:val="af9"/>
          <w:rtl/>
        </w:rPr>
        <w:footnoteReference w:id="208"/>
      </w:r>
      <w:r w:rsidRPr="002F2BC5">
        <w:rPr>
          <w:rFonts w:hint="cs"/>
          <w:rtl/>
        </w:rPr>
        <w:t>. אלא שנמצא כי במהלך חודשי המלחמה הרשויות המקומיות לא התבקשו לדווח למשרד הרווחה באופן חודשי ובזמן אמת נתונים על היקף הפניות שהתקבלו אצלן במחלקות לשירותים חברתיים או במרכזים לטיפול ומניעת אלימות במשפחה. נמצא עוד כי מערכות המחשוב של חלק מהרשויות המקומיות אינן מאפשרות לשלוף נתונים בפילוח חודשי, וחלקן מאפשרות לשלוף את הנתונים בפילוח חודשי אך רק עבור שנים שהסתיימו, כך שגם אם הן היו מתבקשות להעביר נתונים כאמור, ייתכן שלא היה באפשרותן לעשות כן. נוסף על כך נמצא כי משרד הרווחה לא אסף באופן סדור נתונים גם על מקרי אלימות במשפחה שדווחו במרכזי הפינוי וכי במועד סיום ביקורת המעקב, בדצמבר 2024, לא היו בידיו נתונים בנושא זה.</w:t>
      </w:r>
    </w:p>
    <w:p w14:paraId="41AEFDA8" w14:textId="77777777" w:rsidR="00817399" w:rsidRPr="002F2BC5" w:rsidRDefault="00817399" w:rsidP="00817399">
      <w:pPr>
        <w:spacing w:line="269" w:lineRule="auto"/>
        <w:rPr>
          <w:rtl/>
        </w:rPr>
      </w:pPr>
    </w:p>
    <w:p w14:paraId="7145E647" w14:textId="77777777" w:rsidR="00817399" w:rsidRPr="002F2BC5" w:rsidRDefault="00817399" w:rsidP="00817399">
      <w:pPr>
        <w:spacing w:line="269" w:lineRule="auto"/>
        <w:ind w:left="312"/>
        <w:rPr>
          <w:rtl/>
        </w:rPr>
      </w:pPr>
      <w:bookmarkStart w:id="891" w:name="_Hlk192064816"/>
      <w:r w:rsidRPr="002F2BC5">
        <w:rPr>
          <w:rFonts w:hint="cs"/>
          <w:rtl/>
        </w:rPr>
        <w:t xml:space="preserve">במועד סיום ביקורת המעקב, בדצמבר 2024, היו בידי משרד הרווחה נתונים בפילוח חודשי על מספר היחידים והמשפחות שפנו למחלקות לשירותים חברתיים ברשויות המקומיות בתחום האלימות במשפחה בתקופה שקדמה לפרוץ המלחמה ולאחריה. </w:t>
      </w:r>
      <w:r w:rsidRPr="002F2BC5">
        <w:rPr>
          <w:rFonts w:hint="eastAsia"/>
          <w:rtl/>
        </w:rPr>
        <w:t>מנתוני</w:t>
      </w:r>
      <w:r w:rsidRPr="002F2BC5">
        <w:rPr>
          <w:rtl/>
        </w:rPr>
        <w:t xml:space="preserve"> משרד הרווחה על מספר </w:t>
      </w:r>
      <w:r w:rsidRPr="002F2BC5">
        <w:rPr>
          <w:rFonts w:hint="eastAsia"/>
          <w:rtl/>
        </w:rPr>
        <w:t>המשפחות</w:t>
      </w:r>
      <w:r w:rsidRPr="002F2BC5">
        <w:rPr>
          <w:rtl/>
        </w:rPr>
        <w:t xml:space="preserve"> </w:t>
      </w:r>
      <w:r w:rsidRPr="002F2BC5">
        <w:rPr>
          <w:rFonts w:hint="eastAsia"/>
          <w:rtl/>
        </w:rPr>
        <w:t>שפנו</w:t>
      </w:r>
      <w:r w:rsidRPr="002F2BC5">
        <w:rPr>
          <w:rtl/>
        </w:rPr>
        <w:t xml:space="preserve"> </w:t>
      </w:r>
      <w:r w:rsidRPr="002F2BC5">
        <w:rPr>
          <w:rFonts w:hint="eastAsia"/>
          <w:rtl/>
        </w:rPr>
        <w:t>לראשונה</w:t>
      </w:r>
      <w:r w:rsidRPr="002F2BC5">
        <w:rPr>
          <w:rtl/>
        </w:rPr>
        <w:t xml:space="preserve"> </w:t>
      </w:r>
      <w:r w:rsidRPr="002F2BC5">
        <w:rPr>
          <w:rFonts w:hint="eastAsia"/>
          <w:rtl/>
        </w:rPr>
        <w:t>לקבלת</w:t>
      </w:r>
      <w:r w:rsidRPr="002F2BC5">
        <w:rPr>
          <w:rtl/>
        </w:rPr>
        <w:t xml:space="preserve"> </w:t>
      </w:r>
      <w:r w:rsidRPr="002F2BC5">
        <w:rPr>
          <w:rFonts w:hint="eastAsia"/>
          <w:rtl/>
        </w:rPr>
        <w:t>סיוע</w:t>
      </w:r>
      <w:r w:rsidRPr="002F2BC5">
        <w:rPr>
          <w:rtl/>
        </w:rPr>
        <w:t xml:space="preserve"> </w:t>
      </w:r>
      <w:r w:rsidRPr="002F2BC5">
        <w:rPr>
          <w:rFonts w:hint="eastAsia"/>
          <w:rtl/>
        </w:rPr>
        <w:t>מהמחלקות</w:t>
      </w:r>
      <w:r w:rsidRPr="002F2BC5">
        <w:rPr>
          <w:rtl/>
        </w:rPr>
        <w:t xml:space="preserve"> לשירותים חברתיים בתקופה שקדמה למלחמה ובתקופה המקבילה לאחר פרוץ המלחמה </w:t>
      </w:r>
      <w:r w:rsidRPr="002F2BC5">
        <w:rPr>
          <w:rFonts w:hint="eastAsia"/>
          <w:rtl/>
        </w:rPr>
        <w:t>עלה</w:t>
      </w:r>
      <w:r w:rsidRPr="002F2BC5">
        <w:rPr>
          <w:rtl/>
        </w:rPr>
        <w:t xml:space="preserve"> כי </w:t>
      </w:r>
      <w:r w:rsidRPr="002F2BC5">
        <w:rPr>
          <w:rFonts w:hint="eastAsia"/>
          <w:rtl/>
        </w:rPr>
        <w:t>לא</w:t>
      </w:r>
      <w:r w:rsidRPr="002F2BC5">
        <w:rPr>
          <w:rtl/>
        </w:rPr>
        <w:t xml:space="preserve"> </w:t>
      </w:r>
      <w:r w:rsidRPr="002F2BC5">
        <w:rPr>
          <w:rFonts w:hint="eastAsia"/>
          <w:rtl/>
        </w:rPr>
        <w:t>חל</w:t>
      </w:r>
      <w:r w:rsidRPr="002F2BC5">
        <w:rPr>
          <w:rtl/>
        </w:rPr>
        <w:t xml:space="preserve"> </w:t>
      </w:r>
      <w:r w:rsidRPr="002F2BC5">
        <w:rPr>
          <w:rFonts w:hint="eastAsia"/>
          <w:rtl/>
        </w:rPr>
        <w:t>שינוי</w:t>
      </w:r>
      <w:r w:rsidRPr="002F2BC5">
        <w:rPr>
          <w:rtl/>
        </w:rPr>
        <w:t xml:space="preserve"> </w:t>
      </w:r>
      <w:r w:rsidRPr="002F2BC5">
        <w:rPr>
          <w:rFonts w:hint="eastAsia"/>
          <w:rtl/>
        </w:rPr>
        <w:t>ניכר</w:t>
      </w:r>
      <w:r w:rsidRPr="002F2BC5">
        <w:rPr>
          <w:rtl/>
        </w:rPr>
        <w:t xml:space="preserve"> </w:t>
      </w:r>
      <w:r w:rsidRPr="002F2BC5">
        <w:rPr>
          <w:rFonts w:hint="eastAsia"/>
          <w:rtl/>
        </w:rPr>
        <w:t>במספר</w:t>
      </w:r>
      <w:r w:rsidRPr="002F2BC5">
        <w:rPr>
          <w:rtl/>
        </w:rPr>
        <w:t xml:space="preserve"> </w:t>
      </w:r>
      <w:r w:rsidRPr="002F2BC5">
        <w:rPr>
          <w:rFonts w:hint="eastAsia"/>
          <w:rtl/>
        </w:rPr>
        <w:t>המשפחות</w:t>
      </w:r>
      <w:r w:rsidRPr="002F2BC5">
        <w:rPr>
          <w:rtl/>
        </w:rPr>
        <w:t xml:space="preserve"> </w:t>
      </w:r>
      <w:r w:rsidRPr="002F2BC5">
        <w:rPr>
          <w:rFonts w:hint="eastAsia"/>
          <w:rtl/>
        </w:rPr>
        <w:t>שפנו</w:t>
      </w:r>
      <w:r w:rsidRPr="002F2BC5">
        <w:rPr>
          <w:rtl/>
        </w:rPr>
        <w:t xml:space="preserve"> </w:t>
      </w:r>
      <w:r w:rsidRPr="002F2BC5">
        <w:rPr>
          <w:rFonts w:hint="eastAsia"/>
          <w:rtl/>
        </w:rPr>
        <w:t>לקבלת</w:t>
      </w:r>
      <w:r w:rsidRPr="002F2BC5">
        <w:rPr>
          <w:rtl/>
        </w:rPr>
        <w:t xml:space="preserve"> </w:t>
      </w:r>
      <w:r w:rsidRPr="002F2BC5">
        <w:rPr>
          <w:rFonts w:hint="eastAsia"/>
          <w:rtl/>
        </w:rPr>
        <w:t>סיוע</w:t>
      </w:r>
      <w:r w:rsidRPr="002F2BC5">
        <w:rPr>
          <w:rtl/>
        </w:rPr>
        <w:t xml:space="preserve"> </w:t>
      </w:r>
      <w:r w:rsidRPr="002F2BC5">
        <w:rPr>
          <w:rFonts w:hint="eastAsia"/>
          <w:rtl/>
        </w:rPr>
        <w:t>כאמור</w:t>
      </w:r>
      <w:r w:rsidRPr="002F2BC5">
        <w:rPr>
          <w:rtl/>
        </w:rPr>
        <w:t xml:space="preserve">: בתקופה שבין אוקטובר 2022 </w:t>
      </w:r>
      <w:r w:rsidRPr="002F2BC5">
        <w:rPr>
          <w:rFonts w:hint="eastAsia"/>
          <w:rtl/>
        </w:rPr>
        <w:t>לפברואר</w:t>
      </w:r>
      <w:r w:rsidRPr="002F2BC5">
        <w:rPr>
          <w:rtl/>
        </w:rPr>
        <w:t xml:space="preserve"> 2023 </w:t>
      </w:r>
      <w:r w:rsidRPr="002F2BC5">
        <w:rPr>
          <w:rFonts w:hint="eastAsia"/>
          <w:rtl/>
        </w:rPr>
        <w:t>פנו</w:t>
      </w:r>
      <w:r w:rsidRPr="002F2BC5">
        <w:rPr>
          <w:rtl/>
        </w:rPr>
        <w:t xml:space="preserve"> </w:t>
      </w:r>
      <w:r w:rsidRPr="002F2BC5">
        <w:rPr>
          <w:rFonts w:hint="eastAsia"/>
          <w:rtl/>
        </w:rPr>
        <w:t>לראשונה</w:t>
      </w:r>
      <w:r w:rsidRPr="002F2BC5">
        <w:rPr>
          <w:rtl/>
        </w:rPr>
        <w:t xml:space="preserve"> 1,672 </w:t>
      </w:r>
      <w:r w:rsidRPr="002F2BC5">
        <w:rPr>
          <w:rFonts w:hint="eastAsia"/>
          <w:rtl/>
        </w:rPr>
        <w:t>משפחות</w:t>
      </w:r>
      <w:r w:rsidRPr="002F2BC5">
        <w:rPr>
          <w:rtl/>
        </w:rPr>
        <w:t xml:space="preserve"> </w:t>
      </w:r>
      <w:r w:rsidRPr="002F2BC5">
        <w:rPr>
          <w:rFonts w:hint="eastAsia"/>
          <w:rtl/>
        </w:rPr>
        <w:t>לקבלת</w:t>
      </w:r>
      <w:r w:rsidRPr="002F2BC5">
        <w:rPr>
          <w:rtl/>
        </w:rPr>
        <w:t xml:space="preserve"> </w:t>
      </w:r>
      <w:r w:rsidRPr="002F2BC5">
        <w:rPr>
          <w:rFonts w:hint="eastAsia"/>
          <w:rtl/>
        </w:rPr>
        <w:t>סיוע</w:t>
      </w:r>
      <w:r w:rsidRPr="002F2BC5">
        <w:rPr>
          <w:rtl/>
        </w:rPr>
        <w:t xml:space="preserve"> </w:t>
      </w:r>
      <w:r w:rsidRPr="002F2BC5">
        <w:rPr>
          <w:rFonts w:hint="eastAsia"/>
          <w:rtl/>
        </w:rPr>
        <w:t>בתחום</w:t>
      </w:r>
      <w:r w:rsidRPr="002F2BC5">
        <w:rPr>
          <w:rtl/>
        </w:rPr>
        <w:t xml:space="preserve"> האלימות במשפחה לעומת 1,576 בתקופה המקבילה, בין אוקטובר 2023 </w:t>
      </w:r>
      <w:r w:rsidRPr="002F2BC5">
        <w:rPr>
          <w:rFonts w:hint="eastAsia"/>
          <w:rtl/>
        </w:rPr>
        <w:t>לפברואר</w:t>
      </w:r>
      <w:r w:rsidRPr="002F2BC5">
        <w:rPr>
          <w:rtl/>
        </w:rPr>
        <w:t xml:space="preserve"> 2024 - ירידה </w:t>
      </w:r>
      <w:r w:rsidRPr="002F2BC5">
        <w:rPr>
          <w:rFonts w:hint="eastAsia"/>
          <w:rtl/>
        </w:rPr>
        <w:t>מצטברת</w:t>
      </w:r>
      <w:r w:rsidRPr="002F2BC5">
        <w:rPr>
          <w:rtl/>
        </w:rPr>
        <w:t xml:space="preserve"> </w:t>
      </w:r>
      <w:r w:rsidRPr="002F2BC5">
        <w:rPr>
          <w:rFonts w:hint="eastAsia"/>
          <w:rtl/>
        </w:rPr>
        <w:t>של</w:t>
      </w:r>
      <w:r w:rsidRPr="002F2BC5">
        <w:rPr>
          <w:rtl/>
        </w:rPr>
        <w:t xml:space="preserve"> כ-6%. עם זאת, בבחינת הנתונים הללו בקרב </w:t>
      </w:r>
      <w:r w:rsidRPr="002F2BC5">
        <w:rPr>
          <w:rFonts w:hint="eastAsia"/>
          <w:rtl/>
        </w:rPr>
        <w:t>ה</w:t>
      </w:r>
      <w:r w:rsidRPr="002F2BC5">
        <w:rPr>
          <w:rtl/>
        </w:rPr>
        <w:t xml:space="preserve">רשויות </w:t>
      </w:r>
      <w:r w:rsidRPr="002F2BC5">
        <w:rPr>
          <w:rFonts w:hint="eastAsia"/>
          <w:rtl/>
        </w:rPr>
        <w:t>ה</w:t>
      </w:r>
      <w:r w:rsidRPr="002F2BC5">
        <w:rPr>
          <w:rtl/>
        </w:rPr>
        <w:t xml:space="preserve">מקומיות שפונו </w:t>
      </w:r>
      <w:r w:rsidRPr="002F2BC5">
        <w:rPr>
          <w:rFonts w:hint="cs"/>
          <w:rtl/>
        </w:rPr>
        <w:t xml:space="preserve">או התפנו </w:t>
      </w:r>
      <w:r w:rsidRPr="002F2BC5">
        <w:rPr>
          <w:rtl/>
        </w:rPr>
        <w:t xml:space="preserve">בעקבות המלחמה, פינוי חלקי או מלא, נרשמה ירידה </w:t>
      </w:r>
      <w:r w:rsidRPr="002F2BC5">
        <w:rPr>
          <w:rFonts w:hint="eastAsia"/>
          <w:rtl/>
        </w:rPr>
        <w:t>מצטברת</w:t>
      </w:r>
      <w:r w:rsidRPr="002F2BC5">
        <w:rPr>
          <w:rtl/>
        </w:rPr>
        <w:t xml:space="preserve"> גדולה יותר של כ-47% במספר </w:t>
      </w:r>
      <w:r w:rsidRPr="002F2BC5">
        <w:rPr>
          <w:rFonts w:hint="eastAsia"/>
          <w:rtl/>
        </w:rPr>
        <w:t>המשפחות</w:t>
      </w:r>
      <w:r w:rsidRPr="002F2BC5">
        <w:rPr>
          <w:rtl/>
        </w:rPr>
        <w:t xml:space="preserve"> </w:t>
      </w:r>
      <w:r w:rsidRPr="002F2BC5">
        <w:rPr>
          <w:rFonts w:hint="eastAsia"/>
          <w:rtl/>
        </w:rPr>
        <w:t>שפנו</w:t>
      </w:r>
      <w:r w:rsidRPr="002F2BC5">
        <w:rPr>
          <w:rtl/>
        </w:rPr>
        <w:t xml:space="preserve"> </w:t>
      </w:r>
      <w:r w:rsidRPr="002F2BC5">
        <w:rPr>
          <w:rFonts w:hint="eastAsia"/>
          <w:rtl/>
        </w:rPr>
        <w:t>לראשונה</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מ-88 </w:t>
      </w:r>
      <w:r w:rsidRPr="002F2BC5">
        <w:rPr>
          <w:rFonts w:hint="eastAsia"/>
          <w:rtl/>
        </w:rPr>
        <w:t>משפחות</w:t>
      </w:r>
      <w:r w:rsidRPr="002F2BC5">
        <w:rPr>
          <w:rtl/>
        </w:rPr>
        <w:t xml:space="preserve"> ל-47.</w:t>
      </w:r>
    </w:p>
    <w:p w14:paraId="21A0203D" w14:textId="77777777" w:rsidR="00817399" w:rsidRPr="002F2BC5" w:rsidRDefault="00817399" w:rsidP="00817399">
      <w:pPr>
        <w:spacing w:line="269" w:lineRule="auto"/>
        <w:rPr>
          <w:rtl/>
        </w:rPr>
      </w:pPr>
    </w:p>
    <w:p w14:paraId="1701941D" w14:textId="77777777" w:rsidR="00817399" w:rsidRPr="002F2BC5" w:rsidRDefault="00817399" w:rsidP="00817399">
      <w:pPr>
        <w:spacing w:line="269" w:lineRule="auto"/>
        <w:ind w:left="312"/>
        <w:rPr>
          <w:rtl/>
        </w:rPr>
      </w:pPr>
      <w:r w:rsidRPr="002F2BC5">
        <w:rPr>
          <w:rFonts w:hint="cs"/>
          <w:rtl/>
        </w:rPr>
        <w:t xml:space="preserve">נוסף על כך, </w:t>
      </w:r>
      <w:r w:rsidRPr="002F2BC5">
        <w:rPr>
          <w:rFonts w:hint="eastAsia"/>
          <w:rtl/>
        </w:rPr>
        <w:t>מנתוני</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עלה</w:t>
      </w:r>
      <w:r w:rsidRPr="002F2BC5">
        <w:rPr>
          <w:rtl/>
        </w:rPr>
        <w:t xml:space="preserve"> </w:t>
      </w:r>
      <w:r w:rsidRPr="002F2BC5">
        <w:rPr>
          <w:rFonts w:hint="eastAsia"/>
          <w:rtl/>
        </w:rPr>
        <w:t>כי</w:t>
      </w:r>
      <w:r w:rsidRPr="002F2BC5">
        <w:rPr>
          <w:rtl/>
        </w:rPr>
        <w:t xml:space="preserve"> </w:t>
      </w:r>
      <w:r w:rsidRPr="002F2BC5">
        <w:rPr>
          <w:rFonts w:hint="eastAsia"/>
          <w:rtl/>
        </w:rPr>
        <w:t>לא</w:t>
      </w:r>
      <w:r w:rsidRPr="002F2BC5">
        <w:rPr>
          <w:rtl/>
        </w:rPr>
        <w:t xml:space="preserve"> </w:t>
      </w:r>
      <w:r w:rsidRPr="002F2BC5">
        <w:rPr>
          <w:rFonts w:hint="eastAsia"/>
          <w:rtl/>
        </w:rPr>
        <w:t>חל</w:t>
      </w:r>
      <w:r w:rsidRPr="002F2BC5">
        <w:rPr>
          <w:rtl/>
        </w:rPr>
        <w:t xml:space="preserve"> </w:t>
      </w:r>
      <w:r w:rsidRPr="002F2BC5">
        <w:rPr>
          <w:rFonts w:hint="eastAsia"/>
          <w:rtl/>
        </w:rPr>
        <w:t>שינוי</w:t>
      </w:r>
      <w:r w:rsidRPr="002F2BC5">
        <w:rPr>
          <w:rtl/>
        </w:rPr>
        <w:t xml:space="preserve"> </w:t>
      </w:r>
      <w:r w:rsidRPr="002F2BC5">
        <w:rPr>
          <w:rFonts w:hint="eastAsia"/>
          <w:rtl/>
        </w:rPr>
        <w:t>ניכר</w:t>
      </w:r>
      <w:r w:rsidRPr="002F2BC5">
        <w:rPr>
          <w:rtl/>
        </w:rPr>
        <w:t xml:space="preserve"> </w:t>
      </w:r>
      <w:r w:rsidRPr="002F2BC5">
        <w:rPr>
          <w:rFonts w:hint="eastAsia"/>
          <w:rtl/>
        </w:rPr>
        <w:t>במספר</w:t>
      </w:r>
      <w:r w:rsidRPr="002F2BC5">
        <w:rPr>
          <w:rtl/>
        </w:rPr>
        <w:t xml:space="preserve"> </w:t>
      </w:r>
      <w:r w:rsidRPr="002F2BC5">
        <w:rPr>
          <w:rFonts w:hint="eastAsia"/>
          <w:rtl/>
        </w:rPr>
        <w:t>המשפחות</w:t>
      </w:r>
      <w:r w:rsidRPr="002F2BC5">
        <w:rPr>
          <w:rtl/>
        </w:rPr>
        <w:t xml:space="preserve"> </w:t>
      </w:r>
      <w:r w:rsidRPr="002F2BC5">
        <w:rPr>
          <w:rFonts w:hint="eastAsia"/>
          <w:rtl/>
        </w:rPr>
        <w:t>שפנו</w:t>
      </w:r>
      <w:r w:rsidRPr="002F2BC5">
        <w:rPr>
          <w:rtl/>
        </w:rPr>
        <w:t xml:space="preserve"> </w:t>
      </w:r>
      <w:r w:rsidRPr="002F2BC5">
        <w:rPr>
          <w:rFonts w:hint="eastAsia"/>
          <w:rtl/>
        </w:rPr>
        <w:t>לקבלת</w:t>
      </w:r>
      <w:r w:rsidRPr="002F2BC5">
        <w:rPr>
          <w:rtl/>
        </w:rPr>
        <w:t xml:space="preserve"> </w:t>
      </w:r>
      <w:r w:rsidRPr="002F2BC5">
        <w:rPr>
          <w:rFonts w:hint="eastAsia"/>
          <w:rtl/>
        </w:rPr>
        <w:t>סיוע</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גם</w:t>
      </w:r>
      <w:r w:rsidRPr="002F2BC5">
        <w:rPr>
          <w:rtl/>
        </w:rPr>
        <w:t xml:space="preserve"> בחלוף חודשים נוספים מאז פרוץ המלחמה: בתקופה שבין </w:t>
      </w:r>
      <w:r w:rsidRPr="002F2BC5">
        <w:rPr>
          <w:rFonts w:hint="eastAsia"/>
          <w:rtl/>
        </w:rPr>
        <w:t>פברואר</w:t>
      </w:r>
      <w:r w:rsidRPr="002F2BC5">
        <w:rPr>
          <w:rtl/>
        </w:rPr>
        <w:t xml:space="preserve"> 2023 </w:t>
      </w:r>
      <w:r w:rsidRPr="002F2BC5">
        <w:rPr>
          <w:rFonts w:hint="eastAsia"/>
          <w:rtl/>
        </w:rPr>
        <w:t>לספטמבר</w:t>
      </w:r>
      <w:r w:rsidRPr="002F2BC5">
        <w:rPr>
          <w:rtl/>
        </w:rPr>
        <w:t xml:space="preserve"> 2023 </w:t>
      </w:r>
      <w:r w:rsidRPr="002F2BC5">
        <w:rPr>
          <w:rFonts w:hint="eastAsia"/>
          <w:rtl/>
        </w:rPr>
        <w:t>פנו</w:t>
      </w:r>
      <w:r w:rsidRPr="002F2BC5">
        <w:rPr>
          <w:rtl/>
        </w:rPr>
        <w:t xml:space="preserve"> </w:t>
      </w:r>
      <w:r w:rsidRPr="002F2BC5">
        <w:rPr>
          <w:rFonts w:hint="eastAsia"/>
          <w:rtl/>
        </w:rPr>
        <w:t>לראשונה</w:t>
      </w:r>
      <w:r w:rsidRPr="002F2BC5">
        <w:rPr>
          <w:rtl/>
        </w:rPr>
        <w:t xml:space="preserve"> 2,227 </w:t>
      </w:r>
      <w:r w:rsidRPr="002F2BC5">
        <w:rPr>
          <w:rFonts w:hint="eastAsia"/>
          <w:rtl/>
        </w:rPr>
        <w:t>משפחות</w:t>
      </w:r>
      <w:r w:rsidRPr="002F2BC5">
        <w:rPr>
          <w:rtl/>
        </w:rPr>
        <w:t xml:space="preserve"> </w:t>
      </w:r>
      <w:r w:rsidRPr="002F2BC5">
        <w:rPr>
          <w:rFonts w:hint="eastAsia"/>
          <w:rtl/>
        </w:rPr>
        <w:t>לקבלת</w:t>
      </w:r>
      <w:r w:rsidRPr="002F2BC5">
        <w:rPr>
          <w:rtl/>
        </w:rPr>
        <w:t xml:space="preserve"> </w:t>
      </w:r>
      <w:r w:rsidRPr="002F2BC5">
        <w:rPr>
          <w:rFonts w:hint="eastAsia"/>
          <w:rtl/>
        </w:rPr>
        <w:t>סיוע</w:t>
      </w:r>
      <w:r w:rsidRPr="002F2BC5">
        <w:rPr>
          <w:rtl/>
        </w:rPr>
        <w:t xml:space="preserve"> </w:t>
      </w:r>
      <w:r w:rsidRPr="002F2BC5">
        <w:rPr>
          <w:rFonts w:hint="eastAsia"/>
          <w:rtl/>
        </w:rPr>
        <w:t>בתחום</w:t>
      </w:r>
      <w:r w:rsidRPr="002F2BC5">
        <w:rPr>
          <w:rtl/>
        </w:rPr>
        <w:t xml:space="preserve"> האלימות במשפחה לעומת 2,142 בתקופה המקבילה, בין </w:t>
      </w:r>
      <w:r w:rsidRPr="002F2BC5">
        <w:rPr>
          <w:rFonts w:hint="eastAsia"/>
          <w:rtl/>
        </w:rPr>
        <w:t>פברואר</w:t>
      </w:r>
      <w:r w:rsidRPr="002F2BC5">
        <w:rPr>
          <w:rtl/>
        </w:rPr>
        <w:t xml:space="preserve"> 2024 </w:t>
      </w:r>
      <w:r w:rsidRPr="002F2BC5">
        <w:rPr>
          <w:rFonts w:hint="eastAsia"/>
          <w:rtl/>
        </w:rPr>
        <w:t>לספטמבר</w:t>
      </w:r>
      <w:r w:rsidRPr="002F2BC5">
        <w:rPr>
          <w:rtl/>
        </w:rPr>
        <w:t xml:space="preserve"> 2024 - ירידה מצטברת של כ-4%. </w:t>
      </w:r>
      <w:r w:rsidRPr="002F2BC5">
        <w:rPr>
          <w:rFonts w:hint="cs"/>
          <w:rtl/>
        </w:rPr>
        <w:t>עם</w:t>
      </w:r>
      <w:r w:rsidRPr="002F2BC5">
        <w:rPr>
          <w:rtl/>
        </w:rPr>
        <w:t xml:space="preserve"> זאת, </w:t>
      </w:r>
      <w:r w:rsidRPr="002F2BC5">
        <w:rPr>
          <w:rFonts w:hint="eastAsia"/>
          <w:rtl/>
        </w:rPr>
        <w:t>בבחינת</w:t>
      </w:r>
      <w:r w:rsidRPr="002F2BC5">
        <w:rPr>
          <w:rtl/>
        </w:rPr>
        <w:t xml:space="preserve"> </w:t>
      </w:r>
      <w:r w:rsidRPr="002F2BC5">
        <w:rPr>
          <w:rFonts w:hint="eastAsia"/>
          <w:rtl/>
        </w:rPr>
        <w:t>הנתונים</w:t>
      </w:r>
      <w:r w:rsidRPr="002F2BC5">
        <w:rPr>
          <w:rtl/>
        </w:rPr>
        <w:t xml:space="preserve"> </w:t>
      </w:r>
      <w:r w:rsidRPr="002F2BC5">
        <w:rPr>
          <w:rFonts w:hint="eastAsia"/>
          <w:rtl/>
        </w:rPr>
        <w:t>הללו</w:t>
      </w:r>
      <w:r w:rsidRPr="002F2BC5">
        <w:rPr>
          <w:rtl/>
        </w:rPr>
        <w:t xml:space="preserve"> </w:t>
      </w:r>
      <w:r w:rsidRPr="002F2BC5">
        <w:rPr>
          <w:rFonts w:hint="eastAsia"/>
          <w:rtl/>
        </w:rPr>
        <w:t>בקרב</w:t>
      </w:r>
      <w:r w:rsidRPr="002F2BC5">
        <w:rPr>
          <w:rtl/>
        </w:rPr>
        <w:t xml:space="preserve"> </w:t>
      </w:r>
      <w:r w:rsidRPr="002F2BC5">
        <w:rPr>
          <w:rFonts w:hint="eastAsia"/>
          <w:rtl/>
        </w:rPr>
        <w:t>ה</w:t>
      </w:r>
      <w:r w:rsidRPr="002F2BC5">
        <w:rPr>
          <w:rtl/>
        </w:rPr>
        <w:t xml:space="preserve">רשויות </w:t>
      </w:r>
      <w:r w:rsidRPr="002F2BC5">
        <w:rPr>
          <w:rFonts w:hint="eastAsia"/>
          <w:rtl/>
        </w:rPr>
        <w:t>ה</w:t>
      </w:r>
      <w:r w:rsidRPr="002F2BC5">
        <w:rPr>
          <w:rtl/>
        </w:rPr>
        <w:t xml:space="preserve">מקומיות שפונו </w:t>
      </w:r>
      <w:r w:rsidRPr="002F2BC5">
        <w:rPr>
          <w:rFonts w:hint="cs"/>
          <w:rtl/>
        </w:rPr>
        <w:t xml:space="preserve">או התפנו </w:t>
      </w:r>
      <w:r w:rsidRPr="002F2BC5">
        <w:rPr>
          <w:rtl/>
        </w:rPr>
        <w:t>בעקבות המלחמה, פינוי חלקי או מלא,</w:t>
      </w:r>
      <w:r w:rsidRPr="002F2BC5">
        <w:rPr>
          <w:rFonts w:hint="cs"/>
          <w:rtl/>
        </w:rPr>
        <w:t xml:space="preserve"> </w:t>
      </w:r>
      <w:r w:rsidRPr="002F2BC5">
        <w:rPr>
          <w:rtl/>
        </w:rPr>
        <w:t xml:space="preserve">נרשמה </w:t>
      </w:r>
      <w:r w:rsidRPr="002F2BC5">
        <w:rPr>
          <w:rFonts w:hint="eastAsia"/>
          <w:rtl/>
        </w:rPr>
        <w:t>עלייה</w:t>
      </w:r>
      <w:r w:rsidRPr="002F2BC5">
        <w:rPr>
          <w:rtl/>
        </w:rPr>
        <w:t xml:space="preserve"> </w:t>
      </w:r>
      <w:r w:rsidRPr="002F2BC5">
        <w:rPr>
          <w:rFonts w:hint="eastAsia"/>
          <w:rtl/>
        </w:rPr>
        <w:t>מצטברת</w:t>
      </w:r>
      <w:r w:rsidRPr="002F2BC5">
        <w:rPr>
          <w:rtl/>
        </w:rPr>
        <w:t xml:space="preserve"> של כ-34% במספר </w:t>
      </w:r>
      <w:r w:rsidRPr="002F2BC5">
        <w:rPr>
          <w:rFonts w:hint="eastAsia"/>
          <w:rtl/>
        </w:rPr>
        <w:t>המשפחות</w:t>
      </w:r>
      <w:r w:rsidRPr="002F2BC5">
        <w:rPr>
          <w:rtl/>
        </w:rPr>
        <w:t xml:space="preserve"> </w:t>
      </w:r>
      <w:r w:rsidRPr="002F2BC5">
        <w:rPr>
          <w:rFonts w:hint="eastAsia"/>
          <w:rtl/>
        </w:rPr>
        <w:t>שפנו</w:t>
      </w:r>
      <w:r w:rsidRPr="002F2BC5">
        <w:rPr>
          <w:rtl/>
        </w:rPr>
        <w:t xml:space="preserve"> </w:t>
      </w:r>
      <w:r w:rsidRPr="002F2BC5">
        <w:rPr>
          <w:rFonts w:hint="eastAsia"/>
          <w:rtl/>
        </w:rPr>
        <w:t>לראשונה</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מ-96 </w:t>
      </w:r>
      <w:r w:rsidRPr="002F2BC5">
        <w:rPr>
          <w:rFonts w:hint="eastAsia"/>
          <w:rtl/>
        </w:rPr>
        <w:t>משפחות</w:t>
      </w:r>
      <w:r w:rsidRPr="002F2BC5">
        <w:rPr>
          <w:rtl/>
        </w:rPr>
        <w:t xml:space="preserve"> ל-129</w:t>
      </w:r>
      <w:r w:rsidRPr="002F2BC5">
        <w:rPr>
          <w:rStyle w:val="af9"/>
          <w:rtl/>
        </w:rPr>
        <w:footnoteReference w:id="209"/>
      </w:r>
      <w:r w:rsidRPr="002F2BC5">
        <w:rPr>
          <w:rtl/>
        </w:rPr>
        <w:t>.</w:t>
      </w:r>
      <w:r w:rsidRPr="002F2BC5">
        <w:rPr>
          <w:rFonts w:hint="cs"/>
          <w:rtl/>
        </w:rPr>
        <w:t xml:space="preserve"> </w:t>
      </w:r>
    </w:p>
    <w:p w14:paraId="329BC8BE" w14:textId="77777777" w:rsidR="00817399" w:rsidRPr="002F2BC5" w:rsidRDefault="00817399" w:rsidP="00817399">
      <w:pPr>
        <w:spacing w:line="269" w:lineRule="auto"/>
        <w:rPr>
          <w:rtl/>
        </w:rPr>
      </w:pPr>
    </w:p>
    <w:p w14:paraId="1D71014F" w14:textId="44764F8E" w:rsidR="00817399" w:rsidRPr="002F2BC5" w:rsidRDefault="00817399" w:rsidP="00817399">
      <w:pPr>
        <w:spacing w:line="269" w:lineRule="auto"/>
        <w:ind w:left="312"/>
        <w:rPr>
          <w:rtl/>
        </w:rPr>
      </w:pPr>
      <w:r w:rsidRPr="002F2BC5">
        <w:rPr>
          <w:rFonts w:hint="eastAsia"/>
          <w:rtl/>
        </w:rPr>
        <w:t>הנתונים</w:t>
      </w:r>
      <w:r w:rsidRPr="002F2BC5">
        <w:rPr>
          <w:rtl/>
        </w:rPr>
        <w:t xml:space="preserve"> על מספר המשפחות שפנו למחלקות לשירותים חברתיים ברשויות המקומיות בתחום האלימות במשפחה בתקופה שקדמה לפרוץ המלחמה ולאחריה מובאים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Ref192675082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13</w:t>
      </w:r>
      <w:r w:rsidRPr="002F2BC5">
        <w:rPr>
          <w:rtl/>
        </w:rPr>
        <w:fldChar w:fldCharType="end"/>
      </w:r>
      <w:r w:rsidRPr="002F2BC5">
        <w:rPr>
          <w:rtl/>
        </w:rPr>
        <w:t xml:space="preserve"> </w:t>
      </w:r>
      <w:r w:rsidRPr="002F2BC5">
        <w:rPr>
          <w:rFonts w:hint="cs"/>
          <w:rtl/>
        </w:rPr>
        <w:t>ש</w:t>
      </w:r>
      <w:r w:rsidRPr="002F2BC5">
        <w:rPr>
          <w:rtl/>
        </w:rPr>
        <w:t>להלן.</w:t>
      </w:r>
    </w:p>
    <w:p w14:paraId="134BF6D7" w14:textId="77777777" w:rsidR="00817399" w:rsidRPr="002F2BC5" w:rsidRDefault="00817399" w:rsidP="00817399">
      <w:pPr>
        <w:spacing w:line="269" w:lineRule="auto"/>
        <w:rPr>
          <w:rtl/>
        </w:rPr>
      </w:pPr>
    </w:p>
    <w:p w14:paraId="64493FFD" w14:textId="77777777" w:rsidR="00817399" w:rsidRPr="002F2BC5" w:rsidRDefault="00817399" w:rsidP="00817399">
      <w:pPr>
        <w:pStyle w:val="a9"/>
        <w:spacing w:line="269" w:lineRule="auto"/>
        <w:rPr>
          <w:rtl/>
        </w:rPr>
      </w:pPr>
      <w:bookmarkStart w:id="892" w:name="_Ref192675082"/>
      <w:r w:rsidRPr="002F2BC5">
        <w:rPr>
          <w:rtl/>
        </w:rPr>
        <w:lastRenderedPageBreak/>
        <w:t>:</w:t>
      </w:r>
      <w:bookmarkEnd w:id="892"/>
      <w:r w:rsidRPr="002F2BC5">
        <w:rPr>
          <w:rtl/>
        </w:rPr>
        <w:t xml:space="preserve"> </w:t>
      </w:r>
      <w:r w:rsidRPr="002F2BC5">
        <w:rPr>
          <w:b w:val="0"/>
          <w:bCs/>
          <w:rtl/>
        </w:rPr>
        <w:t xml:space="preserve">מספר המשפחות שפנו </w:t>
      </w:r>
      <w:r w:rsidRPr="002F2BC5">
        <w:rPr>
          <w:rFonts w:hint="cs"/>
          <w:b w:val="0"/>
          <w:bCs/>
          <w:rtl/>
        </w:rPr>
        <w:t xml:space="preserve">לראשונה </w:t>
      </w:r>
      <w:r w:rsidRPr="002F2BC5">
        <w:rPr>
          <w:b w:val="0"/>
          <w:bCs/>
          <w:rtl/>
        </w:rPr>
        <w:t>למחלקות לשירותים חברתיים ברשויות המקומיות בתחום האלימות במשפחה בתקופה שקדמה לפרוץ המלחמה ולאחריה</w:t>
      </w:r>
    </w:p>
    <w:p w14:paraId="6928BB5A"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6E7A0A23" wp14:editId="5AE3CF15">
            <wp:extent cx="5220335" cy="5096900"/>
            <wp:effectExtent l="0" t="0" r="0" b="8890"/>
            <wp:docPr id="2052770944" name="תמונה 205277094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5724"/>
                    <a:stretch/>
                  </pic:blipFill>
                  <pic:spPr bwMode="auto">
                    <a:xfrm>
                      <a:off x="0" y="0"/>
                      <a:ext cx="5220335" cy="5096900"/>
                    </a:xfrm>
                    <a:prstGeom prst="rect">
                      <a:avLst/>
                    </a:prstGeom>
                    <a:ln>
                      <a:noFill/>
                    </a:ln>
                    <a:extLst>
                      <a:ext uri="{53640926-AAD7-44D8-BBD7-CCE9431645EC}">
                        <a14:shadowObscured xmlns:a14="http://schemas.microsoft.com/office/drawing/2010/main"/>
                      </a:ext>
                    </a:extLst>
                  </pic:spPr>
                </pic:pic>
              </a:graphicData>
            </a:graphic>
          </wp:inline>
        </w:drawing>
      </w:r>
    </w:p>
    <w:bookmarkEnd w:id="891"/>
    <w:p w14:paraId="5AA861DB" w14:textId="77777777" w:rsidR="00817399" w:rsidRPr="002F2BC5" w:rsidRDefault="00817399" w:rsidP="00817399">
      <w:pPr>
        <w:pStyle w:val="afffffff1"/>
        <w:bidi/>
        <w:spacing w:line="269" w:lineRule="auto"/>
        <w:rPr>
          <w:rtl/>
        </w:rPr>
      </w:pPr>
      <w:r w:rsidRPr="002F2BC5">
        <w:rPr>
          <w:rFonts w:hint="eastAsia"/>
          <w:rtl/>
        </w:rPr>
        <w:t>על</w:t>
      </w:r>
      <w:r w:rsidRPr="002F2BC5">
        <w:rPr>
          <w:rtl/>
        </w:rPr>
        <w:t xml:space="preserve"> פי נתוני משרד הרווחה </w:t>
      </w:r>
      <w:r w:rsidRPr="002F2BC5">
        <w:rPr>
          <w:rFonts w:hint="eastAsia"/>
          <w:rtl/>
        </w:rPr>
        <w:t>על</w:t>
      </w:r>
      <w:r w:rsidRPr="002F2BC5">
        <w:rPr>
          <w:rtl/>
        </w:rPr>
        <w:t xml:space="preserve"> </w:t>
      </w:r>
      <w:r w:rsidRPr="002F2BC5">
        <w:rPr>
          <w:rFonts w:hint="eastAsia"/>
          <w:rtl/>
        </w:rPr>
        <w:t>משפחות</w:t>
      </w:r>
      <w:r w:rsidRPr="002F2BC5">
        <w:rPr>
          <w:rtl/>
        </w:rPr>
        <w:t xml:space="preserve"> </w:t>
      </w:r>
      <w:r w:rsidRPr="002F2BC5">
        <w:rPr>
          <w:rFonts w:hint="eastAsia"/>
          <w:rtl/>
        </w:rPr>
        <w:t>חדשות</w:t>
      </w:r>
      <w:r w:rsidRPr="002F2BC5">
        <w:rPr>
          <w:rtl/>
        </w:rPr>
        <w:t xml:space="preserve"> </w:t>
      </w:r>
      <w:r w:rsidRPr="002F2BC5">
        <w:rPr>
          <w:rFonts w:hint="eastAsia"/>
          <w:rtl/>
        </w:rPr>
        <w:t>שפנו</w:t>
      </w:r>
      <w:r w:rsidRPr="002F2BC5">
        <w:rPr>
          <w:rtl/>
        </w:rPr>
        <w:t xml:space="preserve"> </w:t>
      </w:r>
      <w:r w:rsidRPr="002F2BC5">
        <w:rPr>
          <w:rFonts w:hint="eastAsia"/>
          <w:rtl/>
        </w:rPr>
        <w:t>לסיוע</w:t>
      </w:r>
      <w:r w:rsidRPr="002F2BC5">
        <w:rPr>
          <w:rtl/>
        </w:rPr>
        <w:t xml:space="preserve"> </w:t>
      </w:r>
      <w:r w:rsidRPr="002F2BC5">
        <w:rPr>
          <w:rFonts w:hint="eastAsia"/>
          <w:rtl/>
        </w:rPr>
        <w:t>בתחום</w:t>
      </w:r>
      <w:r w:rsidRPr="002F2BC5">
        <w:rPr>
          <w:rtl/>
        </w:rPr>
        <w:t xml:space="preserve"> האלימות במשפחה מהמחלקות לשירותים חברתיים ברשויות המקומיות ב</w:t>
      </w:r>
      <w:r w:rsidRPr="002F2BC5">
        <w:rPr>
          <w:rFonts w:hint="eastAsia"/>
          <w:rtl/>
        </w:rPr>
        <w:t>חודשים</w:t>
      </w:r>
      <w:r w:rsidRPr="002F2BC5">
        <w:rPr>
          <w:rtl/>
        </w:rPr>
        <w:t xml:space="preserve"> </w:t>
      </w:r>
      <w:r w:rsidRPr="002F2BC5">
        <w:rPr>
          <w:rFonts w:hint="eastAsia"/>
          <w:rtl/>
        </w:rPr>
        <w:t>אוקטובר</w:t>
      </w:r>
      <w:r w:rsidRPr="002F2BC5">
        <w:rPr>
          <w:rtl/>
        </w:rPr>
        <w:t xml:space="preserve"> 2022 עד ספטמבר 2024, בעיבוד משרד מבקר המדינה.</w:t>
      </w:r>
    </w:p>
    <w:p w14:paraId="08BEF98F" w14:textId="77777777" w:rsidR="00817399" w:rsidRPr="002F2BC5" w:rsidRDefault="00817399" w:rsidP="00817399">
      <w:pPr>
        <w:spacing w:line="269" w:lineRule="auto"/>
        <w:rPr>
          <w:rtl/>
        </w:rPr>
      </w:pPr>
    </w:p>
    <w:p w14:paraId="2178A51D" w14:textId="77777777" w:rsidR="00817399" w:rsidRPr="002F2BC5" w:rsidRDefault="00817399" w:rsidP="00817399">
      <w:pPr>
        <w:pStyle w:val="afffffff9"/>
        <w:spacing w:line="269" w:lineRule="auto"/>
        <w:ind w:left="312"/>
        <w:rPr>
          <w:rtl/>
        </w:rPr>
      </w:pPr>
      <w:bookmarkStart w:id="893" w:name="_Toc191986999"/>
      <w:bookmarkStart w:id="894" w:name="_Toc192093089"/>
      <w:bookmarkStart w:id="895" w:name="_Toc192612797"/>
      <w:bookmarkStart w:id="896" w:name="_Toc198312228"/>
      <w:bookmarkStart w:id="897" w:name="_Toc198312703"/>
      <w:bookmarkStart w:id="898" w:name="_Toc200636884"/>
      <w:bookmarkStart w:id="899" w:name="_Toc200439883"/>
      <w:bookmarkStart w:id="900" w:name="_Toc201240988"/>
      <w:r w:rsidRPr="002F2BC5">
        <w:rPr>
          <w:rFonts w:hint="cs"/>
          <w:rtl/>
        </w:rPr>
        <w:t xml:space="preserve">יוצא מן האמור כי במועד סיום הביקורת הנוכחית, בדצמבר 2024, </w:t>
      </w:r>
      <w:r w:rsidRPr="002F2BC5">
        <w:rPr>
          <w:rtl/>
        </w:rPr>
        <w:t>בהיעדרה של הסדרה חוקית מספקת של העברת המידע בין גורמי הטיפול לאכיפת החוק ובהיעדרה של מערכת ממוחשבת מרכזית לניהול הנתונים על תופעת האלימות במשפחה</w:t>
      </w:r>
      <w:r w:rsidRPr="002F2BC5">
        <w:rPr>
          <w:rStyle w:val="af9"/>
          <w:rtl/>
        </w:rPr>
        <w:footnoteReference w:id="210"/>
      </w:r>
      <w:r w:rsidRPr="002F2BC5">
        <w:rPr>
          <w:rFonts w:hint="cs"/>
          <w:rtl/>
        </w:rPr>
        <w:t>, לא היו בידי משרד הרווחה נתונים עדכניים ומלאים על מספרם של מקבלי השירות בפועל בתחום האלימות במשפחה, וכן לא היה באפשרותו לאמוד במדויק את השפעותיה הישירות והעקיפות של המלחמה על ההיקף המדווח של תופעת האלימות במשפחה בכלל ובתוך מערכת היחסים הזוגית בפרט. משרד הרווחה החזיק בנתונים חלקיים גם בנוגע למספר הפונים לממונה על הערכת מסוכנות, בהיעדרה של מערכת ממוחשבת ייעודית לטובת ניהול הפניות והטיפול בהן.</w:t>
      </w:r>
      <w:bookmarkEnd w:id="893"/>
      <w:bookmarkEnd w:id="894"/>
      <w:bookmarkEnd w:id="895"/>
      <w:bookmarkEnd w:id="896"/>
      <w:bookmarkEnd w:id="897"/>
      <w:bookmarkEnd w:id="898"/>
      <w:bookmarkEnd w:id="899"/>
      <w:bookmarkEnd w:id="900"/>
    </w:p>
    <w:p w14:paraId="2C630BEC" w14:textId="77777777" w:rsidR="00817399" w:rsidRPr="002F2BC5" w:rsidRDefault="00817399" w:rsidP="00817399">
      <w:pPr>
        <w:spacing w:line="269" w:lineRule="auto"/>
        <w:rPr>
          <w:rtl/>
        </w:rPr>
      </w:pPr>
    </w:p>
    <w:p w14:paraId="6ECD3406" w14:textId="77777777" w:rsidR="00817399" w:rsidRPr="002F2BC5" w:rsidRDefault="00817399" w:rsidP="00817399">
      <w:pPr>
        <w:pStyle w:val="afffffff9"/>
        <w:spacing w:line="269" w:lineRule="auto"/>
        <w:ind w:left="312"/>
        <w:rPr>
          <w:rtl/>
        </w:rPr>
      </w:pPr>
      <w:bookmarkStart w:id="901" w:name="_Toc191987000"/>
      <w:bookmarkStart w:id="902" w:name="_Toc192093090"/>
      <w:bookmarkStart w:id="903" w:name="_Toc192612798"/>
      <w:bookmarkStart w:id="904" w:name="_Toc198312229"/>
      <w:bookmarkStart w:id="905" w:name="_Toc198312704"/>
      <w:bookmarkStart w:id="906" w:name="_Toc200636885"/>
      <w:bookmarkStart w:id="907" w:name="_Toc200439884"/>
      <w:bookmarkStart w:id="908" w:name="_Toc201240989"/>
      <w:r w:rsidRPr="002F2BC5">
        <w:rPr>
          <w:rFonts w:hint="eastAsia"/>
          <w:rtl/>
        </w:rPr>
        <w:t>עוד</w:t>
      </w:r>
      <w:r w:rsidRPr="002F2BC5">
        <w:rPr>
          <w:rtl/>
        </w:rPr>
        <w:t xml:space="preserve"> נמצא </w:t>
      </w:r>
      <w:r w:rsidRPr="002F2BC5">
        <w:rPr>
          <w:rFonts w:hint="eastAsia"/>
          <w:rtl/>
        </w:rPr>
        <w:t>כי</w:t>
      </w:r>
      <w:r w:rsidRPr="002F2BC5">
        <w:rPr>
          <w:rtl/>
        </w:rPr>
        <w:t xml:space="preserve"> </w:t>
      </w:r>
      <w:r w:rsidRPr="002F2BC5">
        <w:rPr>
          <w:rFonts w:hint="eastAsia"/>
          <w:rtl/>
        </w:rPr>
        <w:t>אף</w:t>
      </w:r>
      <w:r w:rsidRPr="002F2BC5">
        <w:rPr>
          <w:rtl/>
        </w:rPr>
        <w:t xml:space="preserve"> </w:t>
      </w:r>
      <w:r w:rsidRPr="002F2BC5">
        <w:rPr>
          <w:rFonts w:hint="eastAsia"/>
          <w:rtl/>
        </w:rPr>
        <w:t>ש</w:t>
      </w:r>
      <w:r w:rsidRPr="002F2BC5">
        <w:rPr>
          <w:rFonts w:hint="cs"/>
          <w:rtl/>
        </w:rPr>
        <w:t xml:space="preserve">היו בידי משרד הרווחה נתונים המצביעים על כך שקיים תת-דיווח משמעותי בקרב נפגעי האלימות במשפחה וכי רבים מהם נמנעים מלפנות לקבלת סיוע, </w:t>
      </w:r>
      <w:r w:rsidRPr="002F2BC5">
        <w:rPr>
          <w:rFonts w:hint="cs"/>
          <w:rtl/>
        </w:rPr>
        <w:lastRenderedPageBreak/>
        <w:t>משרד הרווחה לא קיים חשיבה מחודשת במטרה לתכנן את הקצאת משאבי הטיפול והתקציבים ולמצותם באופן מיטבי. זאת בפרט לנוכח התפוסה החלקית במקלטים ומנגנון התשלום, שחייב אותו להמשיך ולממן את הפעלתם של המקלטים גם בנסיבות אלו. משרד הרווחה לא הנחה אפוא את הרשויות המקומיות לקיים חשיבה כאמור ולבחון אם אופן הקצאת המשאבים הטיפוליים והכספיים הוא המיטבי בזיקה לשינויים בהיקף התופעה המדווחת ובמאפייניה.</w:t>
      </w:r>
      <w:bookmarkEnd w:id="901"/>
      <w:bookmarkEnd w:id="902"/>
      <w:bookmarkEnd w:id="903"/>
      <w:bookmarkEnd w:id="904"/>
      <w:bookmarkEnd w:id="905"/>
      <w:bookmarkEnd w:id="906"/>
      <w:bookmarkEnd w:id="907"/>
      <w:bookmarkEnd w:id="908"/>
    </w:p>
    <w:p w14:paraId="5151BB78" w14:textId="77777777" w:rsidR="00817399" w:rsidRPr="002F2BC5" w:rsidRDefault="00817399" w:rsidP="00817399">
      <w:pPr>
        <w:spacing w:line="269" w:lineRule="auto"/>
        <w:rPr>
          <w:rtl/>
        </w:rPr>
      </w:pPr>
    </w:p>
    <w:p w14:paraId="4791DD02" w14:textId="77777777" w:rsidR="00817399" w:rsidRPr="002F2BC5" w:rsidRDefault="00817399" w:rsidP="00817399">
      <w:pPr>
        <w:spacing w:line="269" w:lineRule="auto"/>
        <w:ind w:left="312"/>
        <w:rPr>
          <w:rtl/>
        </w:rPr>
      </w:pPr>
      <w:r w:rsidRPr="002F2BC5">
        <w:rPr>
          <w:rFonts w:hint="cs"/>
          <w:rtl/>
        </w:rPr>
        <w:t xml:space="preserve">מתשובותיהן על השאלונים של הרשויות המקומיות שנבדקו ניכר כי קיימת חוסר אחידות בפעולות ובאופנים שבהם פעלו הרשויות המקומיות הללו במהלך מלחמת חרבות ברזל (עד אוגוסט 2024). מיעוט מהרשויות המקומיות שנבדקו ציינו כי נעשו התאמות בטיפול בתחום האלימות במשפחה למטופלים שהיו זקוקים לכך, לדוגמה על רקע מצוקה או נסיגה במצב הנפשי בשל המלחמה, וכי אלו מומנו מתוך תוספת התקציב הכללית שהקצה משרד הרווחה למחלקות לשירותים חברתיים. כך לדוגמה, מתשובתה של המועצה האזורית </w:t>
      </w:r>
      <w:r w:rsidRPr="002F2BC5">
        <w:rPr>
          <w:rFonts w:hint="cs"/>
          <w:b/>
          <w:bCs/>
          <w:rtl/>
        </w:rPr>
        <w:t>מטה יהודה</w:t>
      </w:r>
      <w:r w:rsidRPr="002F2BC5">
        <w:rPr>
          <w:rFonts w:hint="cs"/>
          <w:rtl/>
        </w:rPr>
        <w:t xml:space="preserve"> על השאלון עלה כי בעקבות המלחמה היא פתחה קבוצה טיפולית המשלבת יוגה וטיפול בטראומה, בהדרכתה של פסיכותרפיסטית בעלת הכשרה ביוגה רגישת טראומה, וזאת בשיתוף מנהלת המרכז לטיפול ומניעת אלימות במשפחה. </w:t>
      </w:r>
    </w:p>
    <w:p w14:paraId="41D87D94" w14:textId="77777777" w:rsidR="00817399" w:rsidRPr="002F2BC5" w:rsidRDefault="00817399" w:rsidP="00817399">
      <w:pPr>
        <w:spacing w:line="269" w:lineRule="auto"/>
        <w:rPr>
          <w:rtl/>
        </w:rPr>
      </w:pPr>
    </w:p>
    <w:p w14:paraId="2956672A" w14:textId="77777777" w:rsidR="00817399" w:rsidRPr="002F2BC5" w:rsidRDefault="00817399" w:rsidP="00817399">
      <w:pPr>
        <w:spacing w:line="269" w:lineRule="auto"/>
        <w:ind w:left="312"/>
        <w:rPr>
          <w:rtl/>
        </w:rPr>
      </w:pPr>
      <w:r w:rsidRPr="002F2BC5">
        <w:rPr>
          <w:rFonts w:hint="cs"/>
          <w:rtl/>
        </w:rPr>
        <w:t>לצד האמור יש לציין כי בכל הנוגע לרשויות המקומיות המפונות, פרסם משרד הרווחה הנחיות לטיפול בנפגעי אלימות במשפחה במרכזי הפינוי, בין שהיו מוכרים עוד קודם לפרוץ המלחמה ובין שלא היו מוכרים עד אז, ובתוך כך הבהיר את חלוקת האחריות בין הרשות המקומית המפונה לרשות המקומית הקולטת לעניין הטיפול והליווי של נפגעי האלימות מקרב האוכלוסייה המפונה</w:t>
      </w:r>
      <w:r w:rsidRPr="002F2BC5">
        <w:rPr>
          <w:rStyle w:val="af9"/>
          <w:rtl/>
        </w:rPr>
        <w:footnoteReference w:id="211"/>
      </w:r>
      <w:r w:rsidRPr="002F2BC5">
        <w:rPr>
          <w:rFonts w:hint="cs"/>
          <w:rtl/>
        </w:rPr>
        <w:t>. נוסף על כך הוא פעל להעלאת המודעות לנושא בקרב האוכלוסייה המפונה וצוותי המלונות באמצעות חלוקת דפי מידע והכשרה ייעודית שקיים עבור חלק מהצוותים הללו</w:t>
      </w:r>
      <w:r w:rsidRPr="002F2BC5">
        <w:rPr>
          <w:rtl/>
        </w:rPr>
        <w:t>.</w:t>
      </w:r>
      <w:r w:rsidRPr="002F2BC5">
        <w:rPr>
          <w:rFonts w:hint="cs"/>
          <w:rtl/>
        </w:rPr>
        <w:t xml:space="preserve"> </w:t>
      </w:r>
    </w:p>
    <w:p w14:paraId="72C08C46" w14:textId="77777777" w:rsidR="00817399" w:rsidRPr="002F2BC5" w:rsidRDefault="00817399" w:rsidP="00817399">
      <w:pPr>
        <w:spacing w:line="269" w:lineRule="auto"/>
        <w:rPr>
          <w:rtl/>
        </w:rPr>
      </w:pPr>
    </w:p>
    <w:p w14:paraId="5FD24759" w14:textId="77777777" w:rsidR="00817399" w:rsidRPr="002F2BC5" w:rsidRDefault="00817399" w:rsidP="00817399">
      <w:pPr>
        <w:spacing w:line="269" w:lineRule="auto"/>
        <w:ind w:left="312"/>
        <w:rPr>
          <w:rtl/>
        </w:rPr>
      </w:pPr>
      <w:r w:rsidRPr="002F2BC5">
        <w:rPr>
          <w:rFonts w:hint="cs"/>
          <w:rtl/>
        </w:rPr>
        <w:t>חשיבותן של פעולות איתור ויישוג של נפגעי אלימות במשפחה, הנמנעים מלפנות לקבלת סיוע לנוכח מצב המשבר או החירום, מקבלת משנה חשיבות בייחוד על רקע השפעותיה האפשריות של המלחמה על מאפייניה ומידת חומרתה של תופעת האלימות במשפחה, כפי שעולה מהתשובות לשאלון המקוון של משרד הרווחה לזיהוי מצבי סיכון (</w:t>
      </w:r>
      <w:r w:rsidRPr="002F2BC5">
        <w:t>I-risk</w:t>
      </w:r>
      <w:r w:rsidRPr="002F2BC5">
        <w:rPr>
          <w:rFonts w:hint="cs"/>
          <w:rtl/>
        </w:rPr>
        <w:t>), שנועד לסייע בזיהוי מצבי סיכון במערכת היחסים הזוגית של ממלא השאלון או של בן משפחתו</w:t>
      </w:r>
      <w:r w:rsidRPr="002F2BC5">
        <w:rPr>
          <w:rStyle w:val="af9"/>
          <w:rtl/>
        </w:rPr>
        <w:footnoteReference w:id="212"/>
      </w:r>
      <w:r w:rsidRPr="002F2BC5">
        <w:rPr>
          <w:rFonts w:hint="cs"/>
          <w:rtl/>
        </w:rPr>
        <w:t>. ניתוח התשובות לשאלון מצביע על שיעור גבוה יותר של אלימות גופנית בקרב המשיבים בשנים 2024 ו-2023 בהשוואה לשנת 2022 (כ-34% וכ-29% לעומת כ-26%, בהתאמה). על פי התשובות לשאלון עולה כי שיעורם של המשיבים המצויים ברמת סיכון בינונית או ברמת סיכון גבוהה ומסכנת חיים - היה גבוה יותר בשנים 2024 ו-2023 בהשוואה לשנת 2022 (כ-51% מהמשיבים וכ-48% לעומת כ-37%, בהתאמה).</w:t>
      </w:r>
    </w:p>
    <w:p w14:paraId="21080D28" w14:textId="77777777" w:rsidR="00817399" w:rsidRPr="002F2BC5" w:rsidRDefault="00817399" w:rsidP="00817399">
      <w:pPr>
        <w:spacing w:line="269" w:lineRule="auto"/>
        <w:rPr>
          <w:rtl/>
        </w:rPr>
      </w:pPr>
    </w:p>
    <w:p w14:paraId="4CED799E" w14:textId="77777777" w:rsidR="00817399" w:rsidRPr="002F2BC5" w:rsidRDefault="00817399" w:rsidP="00817399">
      <w:pPr>
        <w:spacing w:line="269" w:lineRule="auto"/>
        <w:ind w:left="312"/>
        <w:rPr>
          <w:rtl/>
        </w:rPr>
      </w:pPr>
      <w:r w:rsidRPr="002F2BC5">
        <w:rPr>
          <w:rFonts w:hint="cs"/>
          <w:rtl/>
        </w:rPr>
        <w:t xml:space="preserve">המועצה האזורית </w:t>
      </w:r>
      <w:r w:rsidRPr="002F2BC5">
        <w:rPr>
          <w:rFonts w:hint="eastAsia"/>
          <w:b/>
          <w:bCs/>
          <w:rtl/>
        </w:rPr>
        <w:t>מטה</w:t>
      </w:r>
      <w:r w:rsidRPr="002F2BC5">
        <w:rPr>
          <w:b/>
          <w:bCs/>
          <w:rtl/>
        </w:rPr>
        <w:t xml:space="preserve"> </w:t>
      </w:r>
      <w:r w:rsidRPr="002F2BC5">
        <w:rPr>
          <w:rFonts w:hint="eastAsia"/>
          <w:b/>
          <w:bCs/>
          <w:rtl/>
        </w:rPr>
        <w:t>אשר</w:t>
      </w:r>
      <w:r w:rsidRPr="002F2BC5">
        <w:rPr>
          <w:rFonts w:hint="cs"/>
          <w:rtl/>
        </w:rPr>
        <w:t xml:space="preserve"> מסרה בתשובתה מאפריל 2025 כי לאורך התקופה מאז פרוץ מלחמת חרבות ברזל ניתן להבחין בדפוסים שונים שאפיינו את היקף הפניות בנושא אלימות במשפחה ואת רמת חומרתן. עם פרוץ המלחמה ניכר היה כי העיסוק בנושא נדחק הצידה, על רקע עיקר עיסוקן של המשפחות המפונות בהישרדות, בהתארגנות במרכזי הפינוי ובאיתור מקומות תעסוקה ומסגרות חינוך מתאימות לילדיהן - תוך התגברות נטל הטיפול בילדים על נשים שבן זוגן גויס למילואים. בחלוף החודשים הראשונים מפרוץ המלחמה החלו להתקבל </w:t>
      </w:r>
      <w:r w:rsidRPr="002F2BC5">
        <w:rPr>
          <w:rFonts w:hint="cs"/>
          <w:rtl/>
        </w:rPr>
        <w:lastRenderedPageBreak/>
        <w:t xml:space="preserve">פניות חדשות, חלקן פניות ממשפחות שלא היו מוכרות קודם לכן, שהתאפיינו ברובן ברמת מסוכנות גבוהה. בחלוף זמן נוסף, על רקע עזיבה של חלק מהמשפחות המפונות את מרכזי הפינוי ומעבר לדיור עצמאי בקהילה וכן על רקע חלוקת המענקים הכספיים, התמעטו הפניות, ובכלל זה התמעטו הפניות שהתאפיינו ברמת מסוכנות גבוהה. המועצה ציינה כי נכון למועד תשובתה, על רקע חזרתן של המשפחות המפונות לביתן, החזרה לשגרה ולדפוסי ההתנהגות הקודמים וכן על רקע ההשלכות של השהייה הממושכת מחוץ לבית שלא טופלו, ניכרת שוב התגברות הפניות, בפרט פניות המתאפיינות ברמת מסוכנות גבוהה. </w:t>
      </w:r>
    </w:p>
    <w:p w14:paraId="4D5F842E" w14:textId="77777777" w:rsidR="00817399" w:rsidRPr="002F2BC5" w:rsidRDefault="00817399" w:rsidP="00817399">
      <w:pPr>
        <w:spacing w:line="269" w:lineRule="auto"/>
        <w:rPr>
          <w:rtl/>
        </w:rPr>
      </w:pPr>
    </w:p>
    <w:p w14:paraId="645EB41F" w14:textId="77777777" w:rsidR="00817399" w:rsidRPr="002F2BC5" w:rsidRDefault="00817399" w:rsidP="00817399">
      <w:pPr>
        <w:spacing w:line="269" w:lineRule="auto"/>
        <w:ind w:left="312"/>
        <w:rPr>
          <w:rtl/>
        </w:rPr>
      </w:pPr>
      <w:r w:rsidRPr="002F2BC5">
        <w:rPr>
          <w:rFonts w:hint="cs"/>
          <w:rtl/>
        </w:rPr>
        <w:t xml:space="preserve">עיריית </w:t>
      </w:r>
      <w:r w:rsidRPr="002F2BC5">
        <w:rPr>
          <w:rFonts w:hint="cs"/>
          <w:b/>
          <w:bCs/>
          <w:rtl/>
        </w:rPr>
        <w:t>אופקים</w:t>
      </w:r>
      <w:r w:rsidRPr="002F2BC5">
        <w:rPr>
          <w:rFonts w:hint="cs"/>
          <w:rtl/>
        </w:rPr>
        <w:t xml:space="preserve"> מסרה בתשובתה מאפריל 2025 כי תושביה לא פונו באופן מאורגן עם פרוץ המלחמה אלא באופן עצמאי ולתקופה מוגבלת, ובכך יש כדי להשליך במישרין על ההיקף ואופי השירותים שלהם היו זקוקים תושבי העיר במהלך התקופה הנדונה. </w:t>
      </w:r>
    </w:p>
    <w:p w14:paraId="2030FA2E" w14:textId="77777777" w:rsidR="00817399" w:rsidRPr="002F2BC5" w:rsidRDefault="00817399" w:rsidP="00817399">
      <w:pPr>
        <w:spacing w:line="269" w:lineRule="auto"/>
        <w:rPr>
          <w:rtl/>
        </w:rPr>
      </w:pPr>
    </w:p>
    <w:p w14:paraId="11FA864A" w14:textId="77777777" w:rsidR="00817399" w:rsidRPr="002F2BC5" w:rsidRDefault="00817399" w:rsidP="00817399">
      <w:pPr>
        <w:spacing w:line="269" w:lineRule="auto"/>
        <w:ind w:left="312"/>
        <w:rPr>
          <w:rtl/>
        </w:rPr>
      </w:pPr>
      <w:r w:rsidRPr="002F2BC5">
        <w:rPr>
          <w:rFonts w:hint="cs"/>
          <w:rtl/>
        </w:rPr>
        <w:t xml:space="preserve">המועצה האזורית </w:t>
      </w:r>
      <w:r w:rsidRPr="002F2BC5">
        <w:rPr>
          <w:rFonts w:hint="eastAsia"/>
          <w:b/>
          <w:bCs/>
          <w:rtl/>
        </w:rPr>
        <w:t>מרום</w:t>
      </w:r>
      <w:r w:rsidRPr="002F2BC5">
        <w:rPr>
          <w:b/>
          <w:bCs/>
          <w:rtl/>
        </w:rPr>
        <w:t xml:space="preserve"> </w:t>
      </w:r>
      <w:r w:rsidRPr="002F2BC5">
        <w:rPr>
          <w:rFonts w:hint="eastAsia"/>
          <w:b/>
          <w:bCs/>
          <w:rtl/>
        </w:rPr>
        <w:t>הגליל</w:t>
      </w:r>
      <w:r w:rsidRPr="002F2BC5">
        <w:rPr>
          <w:rFonts w:hint="cs"/>
          <w:rtl/>
        </w:rPr>
        <w:t xml:space="preserve"> מסרה בתשובתה מאפריל 2025 כי בשונה מהמגמה הכללית העולה מן הביקורת, בעקבות פרוץ מלחמת חרבות ברזל חלה עלייה בהיקף הפניות למרכז לטיפול ומניעת אלימות במשפחה שבהפעלתה, אם כי ברבעון האחרון של שנת 2024 חלה ירידה חדה שאינה מוסברת בכמות הפניות שהתקבלו, בהשוואה לתקופה המקבילה בשנת 2023 ובשנת 2022. עוד הוסיפה כי להערכתה מגמת העלייה בהיקף הפניות תימשך, והיא אף פנתה למשרד הרווחה בבקשה להקצאת תקן נוסף כדי להבטיח שיועמדו לרשותה המשאבים הנדרשים להתמודדות עם התופעה, ונכון למועד קבלת התשובה היא ממתינה לתשובתו בנושא. </w:t>
      </w:r>
    </w:p>
    <w:p w14:paraId="52FE749C" w14:textId="77777777" w:rsidR="00817399" w:rsidRPr="002F2BC5" w:rsidRDefault="00817399" w:rsidP="00817399">
      <w:pPr>
        <w:spacing w:line="269" w:lineRule="auto"/>
        <w:rPr>
          <w:rtl/>
        </w:rPr>
      </w:pPr>
    </w:p>
    <w:p w14:paraId="06CC7990" w14:textId="77777777" w:rsidR="00817399" w:rsidRPr="002F2BC5" w:rsidRDefault="00817399" w:rsidP="00817399">
      <w:pPr>
        <w:spacing w:line="269" w:lineRule="auto"/>
        <w:ind w:left="312"/>
        <w:rPr>
          <w:rtl/>
        </w:rPr>
      </w:pPr>
      <w:r w:rsidRPr="002F2BC5">
        <w:rPr>
          <w:rFonts w:hint="eastAsia"/>
          <w:rtl/>
        </w:rPr>
        <w:t>עיריית</w:t>
      </w:r>
      <w:r w:rsidRPr="002F2BC5">
        <w:rPr>
          <w:rtl/>
        </w:rPr>
        <w:t xml:space="preserve"> </w:t>
      </w:r>
      <w:r w:rsidRPr="002F2BC5">
        <w:rPr>
          <w:rFonts w:hint="eastAsia"/>
          <w:b/>
          <w:bCs/>
          <w:rtl/>
        </w:rPr>
        <w:t>שדרות</w:t>
      </w:r>
      <w:r w:rsidRPr="002F2BC5">
        <w:rPr>
          <w:rtl/>
        </w:rPr>
        <w:t xml:space="preserve"> מסרה בתשובתה מאפריל 2025 כי </w:t>
      </w:r>
      <w:r w:rsidRPr="002F2BC5">
        <w:rPr>
          <w:rFonts w:hint="eastAsia"/>
          <w:rtl/>
        </w:rPr>
        <w:t>הנסיבות</w:t>
      </w:r>
      <w:r w:rsidRPr="002F2BC5">
        <w:rPr>
          <w:rtl/>
        </w:rPr>
        <w:t xml:space="preserve"> הקשות שהביאה </w:t>
      </w:r>
      <w:r w:rsidRPr="002F2BC5">
        <w:rPr>
          <w:rFonts w:hint="eastAsia"/>
          <w:rtl/>
        </w:rPr>
        <w:t>עימה</w:t>
      </w:r>
      <w:r w:rsidRPr="002F2BC5">
        <w:rPr>
          <w:rtl/>
        </w:rPr>
        <w:t xml:space="preserve"> מלחמ</w:t>
      </w:r>
      <w:r w:rsidRPr="002F2BC5">
        <w:rPr>
          <w:rFonts w:hint="eastAsia"/>
          <w:rtl/>
        </w:rPr>
        <w:t>ת</w:t>
      </w:r>
      <w:r w:rsidRPr="002F2BC5">
        <w:rPr>
          <w:rtl/>
        </w:rPr>
        <w:t xml:space="preserve"> חרבות ברזל - השינוי בשגרת </w:t>
      </w:r>
      <w:r w:rsidRPr="002F2BC5">
        <w:rPr>
          <w:rFonts w:hint="eastAsia"/>
          <w:rtl/>
        </w:rPr>
        <w:t>החיים</w:t>
      </w:r>
      <w:r w:rsidRPr="002F2BC5">
        <w:rPr>
          <w:rtl/>
        </w:rPr>
        <w:t xml:space="preserve"> ובשגרת העבודה והשהות הממושכת בבתי המלון למשך </w:t>
      </w:r>
      <w:r w:rsidRPr="002F2BC5">
        <w:rPr>
          <w:rFonts w:hint="eastAsia"/>
          <w:rtl/>
        </w:rPr>
        <w:t>פרק</w:t>
      </w:r>
      <w:r w:rsidRPr="002F2BC5">
        <w:rPr>
          <w:rtl/>
        </w:rPr>
        <w:t xml:space="preserve"> זמן </w:t>
      </w:r>
      <w:r w:rsidRPr="002F2BC5">
        <w:rPr>
          <w:rFonts w:hint="eastAsia"/>
          <w:rtl/>
        </w:rPr>
        <w:t>שאינו</w:t>
      </w:r>
      <w:r w:rsidRPr="002F2BC5">
        <w:rPr>
          <w:rtl/>
        </w:rPr>
        <w:t xml:space="preserve"> ידוע, לצד המתח הנפשי, החרדה והשכול - יצרו מתח רב בתוך התא המשפחתי, ובפרט בתוך מערכת היחסים הזוגית, ש</w:t>
      </w:r>
      <w:r w:rsidRPr="002F2BC5">
        <w:rPr>
          <w:rFonts w:hint="eastAsia"/>
          <w:rtl/>
        </w:rPr>
        <w:t>לעיתים</w:t>
      </w:r>
      <w:r w:rsidRPr="002F2BC5">
        <w:rPr>
          <w:rtl/>
        </w:rPr>
        <w:t xml:space="preserve"> </w:t>
      </w:r>
      <w:r w:rsidRPr="002F2BC5">
        <w:rPr>
          <w:rFonts w:hint="eastAsia"/>
          <w:rtl/>
        </w:rPr>
        <w:t>התפתח</w:t>
      </w:r>
      <w:r w:rsidRPr="002F2BC5">
        <w:rPr>
          <w:rtl/>
        </w:rPr>
        <w:t xml:space="preserve"> </w:t>
      </w:r>
      <w:r w:rsidRPr="002F2BC5">
        <w:rPr>
          <w:rFonts w:hint="eastAsia"/>
          <w:rtl/>
        </w:rPr>
        <w:t>לכדי</w:t>
      </w:r>
      <w:r w:rsidRPr="002F2BC5">
        <w:rPr>
          <w:rtl/>
        </w:rPr>
        <w:t xml:space="preserve"> </w:t>
      </w:r>
      <w:r w:rsidRPr="002F2BC5">
        <w:rPr>
          <w:rFonts w:hint="eastAsia"/>
          <w:rtl/>
        </w:rPr>
        <w:t>אלימות</w:t>
      </w:r>
      <w:r w:rsidRPr="002F2BC5">
        <w:rPr>
          <w:rtl/>
        </w:rPr>
        <w:t xml:space="preserve"> </w:t>
      </w:r>
      <w:r w:rsidRPr="002F2BC5">
        <w:rPr>
          <w:rFonts w:hint="eastAsia"/>
          <w:rtl/>
        </w:rPr>
        <w:t>על</w:t>
      </w:r>
      <w:r w:rsidRPr="002F2BC5">
        <w:rPr>
          <w:rtl/>
        </w:rPr>
        <w:t xml:space="preserve"> </w:t>
      </w:r>
      <w:r w:rsidRPr="002F2BC5">
        <w:rPr>
          <w:rFonts w:hint="eastAsia"/>
          <w:rtl/>
        </w:rPr>
        <w:t>כלל</w:t>
      </w:r>
      <w:r w:rsidRPr="002F2BC5">
        <w:rPr>
          <w:rtl/>
        </w:rPr>
        <w:t xml:space="preserve"> </w:t>
      </w:r>
      <w:r w:rsidRPr="002F2BC5">
        <w:rPr>
          <w:rFonts w:hint="eastAsia"/>
          <w:rtl/>
        </w:rPr>
        <w:t>סוגיה</w:t>
      </w:r>
      <w:r w:rsidRPr="002F2BC5">
        <w:rPr>
          <w:rtl/>
        </w:rPr>
        <w:t xml:space="preserve">. </w:t>
      </w:r>
      <w:r w:rsidRPr="002F2BC5">
        <w:rPr>
          <w:rFonts w:hint="eastAsia"/>
          <w:rtl/>
        </w:rPr>
        <w:t>מצב</w:t>
      </w:r>
      <w:r w:rsidRPr="002F2BC5">
        <w:rPr>
          <w:rtl/>
        </w:rPr>
        <w:t xml:space="preserve"> </w:t>
      </w:r>
      <w:r w:rsidRPr="002F2BC5">
        <w:rPr>
          <w:rFonts w:hint="eastAsia"/>
          <w:rtl/>
        </w:rPr>
        <w:t>דברים</w:t>
      </w:r>
      <w:r w:rsidRPr="002F2BC5">
        <w:rPr>
          <w:rtl/>
        </w:rPr>
        <w:t xml:space="preserve"> </w:t>
      </w:r>
      <w:r w:rsidRPr="002F2BC5">
        <w:rPr>
          <w:rFonts w:hint="eastAsia"/>
          <w:rtl/>
        </w:rPr>
        <w:t>זה</w:t>
      </w:r>
      <w:r w:rsidRPr="002F2BC5">
        <w:rPr>
          <w:rtl/>
        </w:rPr>
        <w:t xml:space="preserve"> חייב את גורמי הטיפול, </w:t>
      </w:r>
      <w:r w:rsidRPr="002F2BC5">
        <w:rPr>
          <w:rFonts w:hint="eastAsia"/>
          <w:rtl/>
        </w:rPr>
        <w:t>שחלקם</w:t>
      </w:r>
      <w:r w:rsidRPr="002F2BC5">
        <w:rPr>
          <w:rtl/>
        </w:rPr>
        <w:t xml:space="preserve"> </w:t>
      </w:r>
      <w:r w:rsidRPr="002F2BC5">
        <w:rPr>
          <w:rFonts w:hint="eastAsia"/>
          <w:rtl/>
        </w:rPr>
        <w:t>פונו</w:t>
      </w:r>
      <w:r w:rsidRPr="002F2BC5">
        <w:rPr>
          <w:rtl/>
        </w:rPr>
        <w:t xml:space="preserve"> </w:t>
      </w:r>
      <w:r w:rsidRPr="002F2BC5">
        <w:rPr>
          <w:rFonts w:hint="eastAsia"/>
          <w:rtl/>
        </w:rPr>
        <w:t>או</w:t>
      </w:r>
      <w:r w:rsidRPr="002F2BC5">
        <w:rPr>
          <w:rtl/>
        </w:rPr>
        <w:t xml:space="preserve"> </w:t>
      </w:r>
      <w:r w:rsidRPr="002F2BC5">
        <w:rPr>
          <w:rFonts w:hint="eastAsia"/>
          <w:rtl/>
        </w:rPr>
        <w:t>התפנו</w:t>
      </w:r>
      <w:r w:rsidRPr="002F2BC5">
        <w:rPr>
          <w:rtl/>
        </w:rPr>
        <w:t xml:space="preserve"> </w:t>
      </w:r>
      <w:r w:rsidRPr="002F2BC5">
        <w:rPr>
          <w:rFonts w:hint="eastAsia"/>
          <w:rtl/>
        </w:rPr>
        <w:t>בעצמם</w:t>
      </w:r>
      <w:r w:rsidRPr="002F2BC5">
        <w:rPr>
          <w:rtl/>
        </w:rPr>
        <w:t xml:space="preserve"> </w:t>
      </w:r>
      <w:r w:rsidRPr="002F2BC5">
        <w:rPr>
          <w:rFonts w:hint="eastAsia"/>
          <w:rtl/>
        </w:rPr>
        <w:t>בעקבות</w:t>
      </w:r>
      <w:r w:rsidRPr="002F2BC5">
        <w:rPr>
          <w:rtl/>
        </w:rPr>
        <w:t xml:space="preserve"> </w:t>
      </w:r>
      <w:r w:rsidRPr="002F2BC5">
        <w:rPr>
          <w:rFonts w:hint="eastAsia"/>
          <w:rtl/>
        </w:rPr>
        <w:t>המלחמה</w:t>
      </w:r>
      <w:r w:rsidRPr="002F2BC5">
        <w:rPr>
          <w:rtl/>
        </w:rPr>
        <w:t xml:space="preserve">, </w:t>
      </w:r>
      <w:r w:rsidRPr="002F2BC5">
        <w:rPr>
          <w:rFonts w:hint="eastAsia"/>
          <w:rtl/>
        </w:rPr>
        <w:t>להתאים</w:t>
      </w:r>
      <w:r w:rsidRPr="002F2BC5">
        <w:rPr>
          <w:rtl/>
        </w:rPr>
        <w:t xml:space="preserve"> </w:t>
      </w:r>
      <w:r w:rsidRPr="002F2BC5">
        <w:rPr>
          <w:rFonts w:hint="eastAsia"/>
          <w:rtl/>
        </w:rPr>
        <w:t>את</w:t>
      </w:r>
      <w:r w:rsidRPr="002F2BC5">
        <w:rPr>
          <w:rtl/>
        </w:rPr>
        <w:t xml:space="preserve"> </w:t>
      </w:r>
      <w:r w:rsidRPr="002F2BC5">
        <w:rPr>
          <w:rFonts w:hint="eastAsia"/>
          <w:rtl/>
        </w:rPr>
        <w:t>המענה</w:t>
      </w:r>
      <w:r w:rsidRPr="002F2BC5">
        <w:rPr>
          <w:rtl/>
        </w:rPr>
        <w:t xml:space="preserve"> </w:t>
      </w:r>
      <w:r w:rsidRPr="002F2BC5">
        <w:rPr>
          <w:rFonts w:hint="eastAsia"/>
          <w:rtl/>
        </w:rPr>
        <w:t>הטיפולי</w:t>
      </w:r>
      <w:r w:rsidRPr="002F2BC5">
        <w:rPr>
          <w:rtl/>
        </w:rPr>
        <w:t xml:space="preserve">, </w:t>
      </w:r>
      <w:r w:rsidRPr="002F2BC5">
        <w:rPr>
          <w:rFonts w:hint="eastAsia"/>
          <w:rtl/>
        </w:rPr>
        <w:t>וזאת</w:t>
      </w:r>
      <w:r w:rsidRPr="002F2BC5">
        <w:rPr>
          <w:rtl/>
        </w:rPr>
        <w:t xml:space="preserve"> </w:t>
      </w:r>
      <w:r w:rsidRPr="002F2BC5">
        <w:rPr>
          <w:rFonts w:hint="eastAsia"/>
          <w:rtl/>
        </w:rPr>
        <w:t>תוך</w:t>
      </w:r>
      <w:r w:rsidRPr="002F2BC5">
        <w:rPr>
          <w:rtl/>
        </w:rPr>
        <w:t xml:space="preserve"> </w:t>
      </w:r>
      <w:r w:rsidRPr="002F2BC5">
        <w:rPr>
          <w:rFonts w:hint="eastAsia"/>
          <w:rtl/>
        </w:rPr>
        <w:t>שיתוף</w:t>
      </w:r>
      <w:r w:rsidRPr="002F2BC5">
        <w:rPr>
          <w:rtl/>
        </w:rPr>
        <w:t xml:space="preserve"> פעולה עם מרכזים לטיפול ומניעת אלימות במשפחה במרכזי הפינוי ועם ארגוני החברה האזרחית. </w:t>
      </w:r>
      <w:r w:rsidRPr="002F2BC5">
        <w:rPr>
          <w:rFonts w:hint="eastAsia"/>
          <w:rtl/>
        </w:rPr>
        <w:t>עוד</w:t>
      </w:r>
      <w:r w:rsidRPr="002F2BC5">
        <w:rPr>
          <w:rtl/>
        </w:rPr>
        <w:t xml:space="preserve"> ציינה בתשובתה כי ב</w:t>
      </w:r>
      <w:r w:rsidRPr="002F2BC5">
        <w:rPr>
          <w:rFonts w:hint="eastAsia"/>
          <w:rtl/>
        </w:rPr>
        <w:t>כמה</w:t>
      </w:r>
      <w:r w:rsidRPr="002F2BC5">
        <w:rPr>
          <w:rtl/>
        </w:rPr>
        <w:t xml:space="preserve"> מרכזי פינוי הוקמו קבוצות ייעודיות למניעת אלימות בין בני זוג וכן </w:t>
      </w:r>
      <w:r w:rsidRPr="002F2BC5">
        <w:rPr>
          <w:rFonts w:hint="eastAsia"/>
          <w:rtl/>
        </w:rPr>
        <w:t>פורסם</w:t>
      </w:r>
      <w:r w:rsidRPr="002F2BC5">
        <w:rPr>
          <w:rtl/>
        </w:rPr>
        <w:t xml:space="preserve"> קמפיין בנושא מוגנות מינית.</w:t>
      </w:r>
    </w:p>
    <w:p w14:paraId="6D604A93" w14:textId="77777777" w:rsidR="00817399" w:rsidRPr="002F2BC5" w:rsidRDefault="00817399" w:rsidP="00817399">
      <w:pPr>
        <w:spacing w:line="269" w:lineRule="auto"/>
        <w:rPr>
          <w:rtl/>
        </w:rPr>
      </w:pPr>
    </w:p>
    <w:p w14:paraId="2219CB43" w14:textId="77777777" w:rsidR="00817399" w:rsidRPr="002F2BC5" w:rsidRDefault="00817399" w:rsidP="00817399">
      <w:pPr>
        <w:spacing w:line="269" w:lineRule="auto"/>
        <w:ind w:left="312"/>
        <w:rPr>
          <w:rtl/>
        </w:rPr>
      </w:pPr>
      <w:r w:rsidRPr="002F2BC5">
        <w:rPr>
          <w:rFonts w:hint="cs"/>
          <w:rtl/>
        </w:rPr>
        <w:t xml:space="preserve">עיריית </w:t>
      </w:r>
      <w:r w:rsidRPr="002F2BC5">
        <w:rPr>
          <w:rFonts w:hint="eastAsia"/>
          <w:b/>
          <w:bCs/>
          <w:rtl/>
        </w:rPr>
        <w:t>קריית</w:t>
      </w:r>
      <w:r w:rsidRPr="002F2BC5">
        <w:rPr>
          <w:b/>
          <w:bCs/>
          <w:rtl/>
        </w:rPr>
        <w:t xml:space="preserve"> </w:t>
      </w:r>
      <w:r w:rsidRPr="002F2BC5">
        <w:rPr>
          <w:rFonts w:hint="eastAsia"/>
          <w:b/>
          <w:bCs/>
          <w:rtl/>
        </w:rPr>
        <w:t>שמונה</w:t>
      </w:r>
      <w:r w:rsidRPr="002F2BC5">
        <w:rPr>
          <w:rFonts w:hint="cs"/>
          <w:rtl/>
        </w:rPr>
        <w:t xml:space="preserve"> מסרה בתשובתה ממאי 2025 כי אכן חלה ירידה בדיווחים לתחנות המשטרה ולגורמי הרווחה, וזאת להערכתה בשל חסמים פיזיים ורגשיים שהקשו על הנפגעים את הדיווח - ולא בשל ירידה בהיקף התופעה. לצד זאת היא הוסיפה כי מלחמת חרבות ברזל העצימה אתגרים תשתיתיים ומוסדיים בכל הקשור להתמודדות עם תופעת האלימות במשפחה - אתגרים באיסוף הנתונים, באיוש תקני כוח האדם ובהיבטים תקציביים. לפי התשובה, הפיזור הנרחב של האוכלוסייה שפונתה מהעיר הקשה על שמירת רציפות הטיפול ועל זיהוי הנפגעים שנזקקו לסיוע, ולעיתים גם לא הייתה גישה למערכות המידע מהאתרים החלופיים שבהם פעלו העובדים, דבר שהקשה על התיעוד ועל הדיווח של פניות חדשות. עוד מסרה בתשובתה כי אומנם הוקצו תקני כוח אדם נוספים, אך בד בבד מלחמת חרבות ברזל הגבירה את הקושי לאיישם, קושי שהיה קיים עוד קודם לפרוץ המלחמה, וציינה כי עובדים עזבו על רקע המצב הביטחוני או בשל שחיקה ועומס רגשי, לעיתים גם משום שהם עצמם פונו מבתיהם. לפי התשובה, תקינת כוח האדם החסרה לצד הצורך להמשיך ללוות את האוכלוסייה שעודנה מפונה הגבירה עוד יותר את העומס המוטל על העובדים הסוציאליים. בהקשר זה ציינה עוד שלא הייתה היערכות מספקת להעמדת כוח אדם חלופי ו"מילוי שורות" בשעת חירום. עיריית קריית שמונה התייחסה בתשובתה גם לתרומתם האפשרית של שיתופי פעולה אזוריים, באמצעות האשכולות האזוריים, לטובת איגום תקציב וכוח אדם.</w:t>
      </w:r>
    </w:p>
    <w:p w14:paraId="52978582" w14:textId="77777777" w:rsidR="00817399" w:rsidRPr="002F2BC5" w:rsidRDefault="00817399" w:rsidP="00817399">
      <w:pPr>
        <w:spacing w:line="269" w:lineRule="auto"/>
        <w:rPr>
          <w:rtl/>
        </w:rPr>
      </w:pPr>
    </w:p>
    <w:p w14:paraId="19E9A099" w14:textId="77777777" w:rsidR="00817399" w:rsidRPr="002F2BC5" w:rsidRDefault="00817399" w:rsidP="00817399">
      <w:pPr>
        <w:pStyle w:val="afffffffa"/>
        <w:spacing w:line="269" w:lineRule="auto"/>
        <w:ind w:left="312"/>
        <w:rPr>
          <w:rtl/>
        </w:rPr>
      </w:pPr>
      <w:bookmarkStart w:id="909" w:name="_Toc191987001"/>
      <w:bookmarkStart w:id="910" w:name="_Toc192093091"/>
      <w:bookmarkStart w:id="911" w:name="_Toc192612799"/>
      <w:bookmarkStart w:id="912" w:name="_Toc198312230"/>
      <w:bookmarkStart w:id="913" w:name="_Toc198312705"/>
      <w:bookmarkStart w:id="914" w:name="_Toc200636886"/>
      <w:bookmarkStart w:id="915" w:name="_Toc200439885"/>
      <w:bookmarkStart w:id="916" w:name="_Toc201240990"/>
      <w:r w:rsidRPr="002F2BC5">
        <w:rPr>
          <w:rFonts w:hint="cs"/>
          <w:rtl/>
        </w:rPr>
        <w:t>משרד מבקר המדינה מציין את משרד הרווחה שעם פרוץ מלחמת חרבות ברזל יזם סקר בזק למדידת השפעתה של המלחמה על היקף תופעת האלימות במשפחה ומאפייניה.</w:t>
      </w:r>
      <w:bookmarkEnd w:id="909"/>
      <w:bookmarkEnd w:id="910"/>
      <w:bookmarkEnd w:id="911"/>
      <w:bookmarkEnd w:id="912"/>
      <w:bookmarkEnd w:id="913"/>
      <w:bookmarkEnd w:id="914"/>
      <w:bookmarkEnd w:id="915"/>
      <w:bookmarkEnd w:id="916"/>
      <w:r w:rsidRPr="002F2BC5">
        <w:rPr>
          <w:rFonts w:hint="cs"/>
          <w:rtl/>
        </w:rPr>
        <w:t xml:space="preserve"> </w:t>
      </w:r>
    </w:p>
    <w:p w14:paraId="32C2D54A" w14:textId="77777777" w:rsidR="00817399" w:rsidRPr="002F2BC5" w:rsidRDefault="00817399" w:rsidP="00817399">
      <w:pPr>
        <w:spacing w:line="269" w:lineRule="auto"/>
        <w:rPr>
          <w:rtl/>
        </w:rPr>
      </w:pPr>
    </w:p>
    <w:p w14:paraId="777D4B33" w14:textId="77777777" w:rsidR="00817399" w:rsidRPr="002F2BC5" w:rsidRDefault="00817399" w:rsidP="00817399">
      <w:pPr>
        <w:pStyle w:val="afffffffa"/>
        <w:spacing w:line="269" w:lineRule="auto"/>
        <w:ind w:left="312"/>
        <w:rPr>
          <w:rtl/>
        </w:rPr>
      </w:pPr>
      <w:bookmarkStart w:id="917" w:name="_Toc192093092"/>
      <w:bookmarkStart w:id="918" w:name="_Toc191987002"/>
      <w:bookmarkStart w:id="919" w:name="_Toc192612800"/>
      <w:bookmarkStart w:id="920" w:name="_Toc198312231"/>
      <w:bookmarkStart w:id="921" w:name="_Toc198312706"/>
      <w:bookmarkStart w:id="922" w:name="_Toc200636887"/>
      <w:bookmarkStart w:id="923" w:name="_Toc200439886"/>
      <w:bookmarkStart w:id="924" w:name="_Toc201240991"/>
      <w:r w:rsidRPr="002F2BC5">
        <w:rPr>
          <w:rFonts w:hint="cs"/>
          <w:rtl/>
        </w:rPr>
        <w:lastRenderedPageBreak/>
        <w:t>לנוכח ההשפעה שעשויה להיות לעיתוי עריכת הסקר על תוצאותיו, כפי שציינו עורכי הסקר, מומלץ כי משרד הרווחה ישוב ויבצע סקרים נוספים, שייערכו באופן שיטתי ועיתי ובאופן שיאפשר ניטור בזמן אמת, בעיתות שגרה ועל אחת כמה וכמה בשעת חירום, על היקף תופעת האלימות במשפחה המדווחת ועל היקפה בפועל וכן על השינויים במאפייני התופעה. הנתונים הללו יוכלו לשמש אותו להערכת המדיניות וכבסיס לחשיבה מחודשת בכל הקשור לתכנון הקצאת משאבי הטיפול והתקציבים ולניצולם באופן המיטבי.</w:t>
      </w:r>
      <w:bookmarkEnd w:id="917"/>
      <w:bookmarkEnd w:id="918"/>
      <w:bookmarkEnd w:id="919"/>
      <w:bookmarkEnd w:id="920"/>
      <w:bookmarkEnd w:id="921"/>
      <w:bookmarkEnd w:id="922"/>
      <w:bookmarkEnd w:id="923"/>
      <w:bookmarkEnd w:id="924"/>
      <w:r w:rsidRPr="002F2BC5">
        <w:rPr>
          <w:rFonts w:hint="cs"/>
          <w:rtl/>
        </w:rPr>
        <w:t xml:space="preserve"> </w:t>
      </w:r>
    </w:p>
    <w:p w14:paraId="1CBAE322" w14:textId="77777777" w:rsidR="00817399" w:rsidRPr="002F2BC5" w:rsidRDefault="00817399" w:rsidP="00817399">
      <w:pPr>
        <w:spacing w:line="269" w:lineRule="auto"/>
        <w:rPr>
          <w:rtl/>
        </w:rPr>
      </w:pPr>
    </w:p>
    <w:p w14:paraId="48A84FB7" w14:textId="77777777" w:rsidR="00817399" w:rsidRPr="002F2BC5" w:rsidRDefault="00817399" w:rsidP="00817399">
      <w:pPr>
        <w:spacing w:line="269" w:lineRule="auto"/>
        <w:ind w:left="312"/>
        <w:rPr>
          <w:rtl/>
        </w:rPr>
      </w:pPr>
      <w:bookmarkStart w:id="925" w:name="_Toc198312232"/>
      <w:bookmarkStart w:id="926" w:name="_Toc198312707"/>
      <w:bookmarkStart w:id="927" w:name="_Toc200636888"/>
      <w:bookmarkStart w:id="928" w:name="_Toc200439887"/>
      <w:bookmarkStart w:id="929" w:name="_Toc201240992"/>
      <w:r w:rsidRPr="002F2BC5">
        <w:rPr>
          <w:rtl/>
        </w:rPr>
        <w:t xml:space="preserve">משרד הרווחה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eastAsia"/>
          <w:rtl/>
        </w:rPr>
        <w:t>כי</w:t>
      </w:r>
      <w:r w:rsidRPr="002F2BC5">
        <w:rPr>
          <w:rtl/>
        </w:rPr>
        <w:t xml:space="preserve"> </w:t>
      </w:r>
      <w:r w:rsidRPr="002F2BC5">
        <w:rPr>
          <w:rFonts w:hint="eastAsia"/>
          <w:rtl/>
        </w:rPr>
        <w:t>הוא</w:t>
      </w:r>
      <w:r w:rsidRPr="002F2BC5">
        <w:rPr>
          <w:rtl/>
        </w:rPr>
        <w:t xml:space="preserve"> מכיר בחשיבות </w:t>
      </w:r>
      <w:r w:rsidRPr="002F2BC5">
        <w:rPr>
          <w:rFonts w:hint="cs"/>
          <w:rtl/>
        </w:rPr>
        <w:t xml:space="preserve">איסוף הנתונים לשם </w:t>
      </w:r>
      <w:r w:rsidRPr="002F2BC5">
        <w:rPr>
          <w:rtl/>
        </w:rPr>
        <w:t xml:space="preserve">הבנת </w:t>
      </w:r>
      <w:r w:rsidRPr="002F2BC5">
        <w:rPr>
          <w:rFonts w:hint="cs"/>
          <w:rtl/>
        </w:rPr>
        <w:t>תופעת האלימות במשפחה</w:t>
      </w:r>
      <w:r w:rsidRPr="002F2BC5">
        <w:rPr>
          <w:rtl/>
        </w:rPr>
        <w:t>.</w:t>
      </w:r>
      <w:r w:rsidRPr="002F2BC5">
        <w:rPr>
          <w:rFonts w:hint="cs"/>
          <w:rtl/>
        </w:rPr>
        <w:t xml:space="preserve"> לפי התשובה, מסיבה זו הוועדה הבין-משרדית יזמה סקר למדידת התופעה, ובד בבד היא פועלת לקידום מדידה אחידה ורציפה, מדי שנה, בשיתוף הלמ"ס.</w:t>
      </w:r>
      <w:bookmarkEnd w:id="925"/>
      <w:bookmarkEnd w:id="926"/>
      <w:bookmarkEnd w:id="927"/>
      <w:bookmarkEnd w:id="928"/>
      <w:bookmarkEnd w:id="929"/>
    </w:p>
    <w:p w14:paraId="7C06FA71" w14:textId="77777777" w:rsidR="00817399" w:rsidRPr="002F2BC5" w:rsidRDefault="00817399" w:rsidP="00817399">
      <w:pPr>
        <w:spacing w:line="269" w:lineRule="auto"/>
        <w:rPr>
          <w:rtl/>
        </w:rPr>
      </w:pPr>
    </w:p>
    <w:p w14:paraId="32C2AE86" w14:textId="77777777" w:rsidR="00817399" w:rsidRPr="002F2BC5" w:rsidRDefault="00817399" w:rsidP="00817399">
      <w:pPr>
        <w:pStyle w:val="afffffff5"/>
        <w:spacing w:line="269" w:lineRule="auto"/>
        <w:rPr>
          <w:rFonts w:ascii="Arial" w:hAnsi="Arial" w:cs="Arial"/>
          <w:rtl/>
        </w:rPr>
      </w:pPr>
      <w:r w:rsidRPr="002F2BC5">
        <w:rPr>
          <w:rFonts w:hint="cs"/>
          <w:rtl/>
        </w:rPr>
        <w:t>✰</w:t>
      </w:r>
    </w:p>
    <w:p w14:paraId="71AE0CB0" w14:textId="77777777" w:rsidR="00817399" w:rsidRPr="002F2BC5" w:rsidRDefault="00817399" w:rsidP="00817399">
      <w:pPr>
        <w:spacing w:line="269" w:lineRule="auto"/>
        <w:rPr>
          <w:rtl/>
        </w:rPr>
      </w:pPr>
    </w:p>
    <w:p w14:paraId="3D29BD1D" w14:textId="77777777" w:rsidR="00817399" w:rsidRPr="002F2BC5" w:rsidRDefault="00817399" w:rsidP="00817399">
      <w:pPr>
        <w:pStyle w:val="afffffff9"/>
        <w:spacing w:line="269" w:lineRule="auto"/>
        <w:rPr>
          <w:rtl/>
        </w:rPr>
      </w:pPr>
      <w:r w:rsidRPr="002F2BC5">
        <w:rPr>
          <w:rFonts w:hint="cs"/>
          <w:rtl/>
        </w:rPr>
        <w:t xml:space="preserve">זה שנים פועלים </w:t>
      </w:r>
      <w:r w:rsidRPr="002F2BC5">
        <w:rPr>
          <w:rFonts w:hint="eastAsia"/>
          <w:rtl/>
        </w:rPr>
        <w:t>בעלי</w:t>
      </w:r>
      <w:r w:rsidRPr="002F2BC5">
        <w:rPr>
          <w:rtl/>
        </w:rPr>
        <w:t xml:space="preserve"> תפקידים </w:t>
      </w:r>
      <w:r w:rsidRPr="002F2BC5">
        <w:rPr>
          <w:rFonts w:hint="eastAsia"/>
          <w:rtl/>
        </w:rPr>
        <w:t>בגופי</w:t>
      </w:r>
      <w:r w:rsidRPr="002F2BC5">
        <w:rPr>
          <w:rtl/>
        </w:rPr>
        <w:t xml:space="preserve"> השלטון המרכזי, </w:t>
      </w:r>
      <w:r w:rsidRPr="002F2BC5">
        <w:rPr>
          <w:rFonts w:hint="eastAsia"/>
          <w:rtl/>
        </w:rPr>
        <w:t>בשיתוף</w:t>
      </w:r>
      <w:r w:rsidRPr="002F2BC5">
        <w:rPr>
          <w:rtl/>
        </w:rPr>
        <w:t xml:space="preserve"> </w:t>
      </w:r>
      <w:r w:rsidRPr="002F2BC5">
        <w:rPr>
          <w:rFonts w:hint="eastAsia"/>
          <w:rtl/>
        </w:rPr>
        <w:t>עם</w:t>
      </w:r>
      <w:r w:rsidRPr="002F2BC5">
        <w:rPr>
          <w:rtl/>
        </w:rPr>
        <w:t xml:space="preserve"> </w:t>
      </w:r>
      <w:r w:rsidRPr="002F2BC5">
        <w:rPr>
          <w:rFonts w:hint="eastAsia"/>
          <w:rtl/>
        </w:rPr>
        <w:t>עמיתיהם</w:t>
      </w:r>
      <w:r w:rsidRPr="002F2BC5">
        <w:rPr>
          <w:rtl/>
        </w:rPr>
        <w:t xml:space="preserve"> </w:t>
      </w:r>
      <w:r w:rsidRPr="002F2BC5">
        <w:rPr>
          <w:rFonts w:hint="eastAsia"/>
          <w:rtl/>
        </w:rPr>
        <w:t>בשלטון</w:t>
      </w:r>
      <w:r w:rsidRPr="002F2BC5">
        <w:rPr>
          <w:rtl/>
        </w:rPr>
        <w:t xml:space="preserve"> </w:t>
      </w:r>
      <w:r w:rsidRPr="002F2BC5">
        <w:rPr>
          <w:rFonts w:hint="eastAsia"/>
          <w:rtl/>
        </w:rPr>
        <w:t>המקומי</w:t>
      </w:r>
      <w:r w:rsidRPr="002F2BC5">
        <w:rPr>
          <w:rtl/>
        </w:rPr>
        <w:t>,</w:t>
      </w:r>
      <w:r w:rsidRPr="002F2BC5">
        <w:rPr>
          <w:rFonts w:hint="cs"/>
          <w:rtl/>
        </w:rPr>
        <w:t xml:space="preserve"> למיגור התופעה החמורה של אלימות בתוך התא המשפחתי, ובתוך כך אלימות במערכת היחסים הזוגית, וניכר כי הם עושים זאת במסירות ומתוך תחושת שליחות ציבורית ואישית. אלא שכל עוד נעשות פעולות אלו בערוצים מקבילים, ללא תיאום מערכתי וללא שיתוף פעולה מלא, יכולתם של בעלי התפקידים הללו למצות את המשאבים, הידע והמידע המצויים בידם - מוגבלת. על כך שבו ועמדו לאורך השנים ועדות בין-משרדיות שעסקו בדרכי ההתמודדות עם תופעת האלימות במשפחה. עוד בשנת 1989 עמדה הוועדה הציבורית-מקצועית לבדיקה כוללת של שירות המדינה וגופים הנתמכים מתקציב המדינה (ועדת קוברסקי) על כך שאחת מחולשותיו הבולטות של השירות הציבורי היא היעדרו של תיאום בעבודת משרדי הממשלה</w:t>
      </w:r>
      <w:r w:rsidRPr="002F2BC5">
        <w:rPr>
          <w:rStyle w:val="af9"/>
          <w:b w:val="0"/>
          <w:bCs w:val="0"/>
          <w:rtl/>
        </w:rPr>
        <w:footnoteReference w:id="213"/>
      </w:r>
      <w:r w:rsidRPr="002F2BC5">
        <w:rPr>
          <w:rFonts w:hint="cs"/>
          <w:rtl/>
        </w:rPr>
        <w:t>.</w:t>
      </w:r>
    </w:p>
    <w:p w14:paraId="0548E113" w14:textId="77777777" w:rsidR="00817399" w:rsidRPr="002F2BC5" w:rsidRDefault="00817399" w:rsidP="00817399">
      <w:pPr>
        <w:spacing w:line="269" w:lineRule="auto"/>
        <w:rPr>
          <w:rtl/>
        </w:rPr>
      </w:pPr>
    </w:p>
    <w:p w14:paraId="57EF39B8" w14:textId="77777777" w:rsidR="00817399" w:rsidRPr="002F2BC5" w:rsidRDefault="00817399" w:rsidP="00817399">
      <w:pPr>
        <w:pStyle w:val="afffffffa"/>
        <w:spacing w:line="269" w:lineRule="auto"/>
        <w:rPr>
          <w:rtl/>
        </w:rPr>
      </w:pPr>
      <w:r w:rsidRPr="002F2BC5">
        <w:rPr>
          <w:rFonts w:hint="eastAsia"/>
          <w:rtl/>
        </w:rPr>
        <w:t>מומלץ</w:t>
      </w:r>
      <w:r w:rsidRPr="002F2BC5">
        <w:rPr>
          <w:rtl/>
        </w:rPr>
        <w:t xml:space="preserve"> למשרד הרווחה, </w:t>
      </w:r>
      <w:r w:rsidRPr="002F2BC5">
        <w:rPr>
          <w:rFonts w:hint="eastAsia"/>
          <w:rtl/>
        </w:rPr>
        <w:t>העומד</w:t>
      </w:r>
      <w:r w:rsidRPr="002F2BC5">
        <w:rPr>
          <w:rtl/>
        </w:rPr>
        <w:t xml:space="preserve"> </w:t>
      </w:r>
      <w:r w:rsidRPr="002F2BC5">
        <w:rPr>
          <w:rFonts w:hint="eastAsia"/>
          <w:rtl/>
        </w:rPr>
        <w:t>בראשות</w:t>
      </w:r>
      <w:r w:rsidRPr="002F2BC5">
        <w:rPr>
          <w:rtl/>
        </w:rPr>
        <w:t xml:space="preserve"> </w:t>
      </w:r>
      <w:r w:rsidRPr="002F2BC5">
        <w:rPr>
          <w:rFonts w:hint="eastAsia"/>
          <w:rtl/>
        </w:rPr>
        <w:t>הוועדה</w:t>
      </w:r>
      <w:r w:rsidRPr="002F2BC5">
        <w:rPr>
          <w:rtl/>
        </w:rPr>
        <w:t xml:space="preserve"> </w:t>
      </w:r>
      <w:r w:rsidRPr="002F2BC5">
        <w:rPr>
          <w:rFonts w:hint="eastAsia"/>
          <w:rtl/>
        </w:rPr>
        <w:t>הבין</w:t>
      </w:r>
      <w:r w:rsidRPr="002F2BC5">
        <w:rPr>
          <w:rtl/>
        </w:rPr>
        <w:t xml:space="preserve">-משרדית </w:t>
      </w:r>
      <w:r w:rsidRPr="002F2BC5">
        <w:rPr>
          <w:rFonts w:hint="eastAsia"/>
          <w:rtl/>
        </w:rPr>
        <w:t>הקבועה</w:t>
      </w:r>
      <w:r w:rsidRPr="002F2BC5">
        <w:rPr>
          <w:rtl/>
        </w:rPr>
        <w:t xml:space="preserve">, </w:t>
      </w:r>
      <w:r w:rsidRPr="002F2BC5">
        <w:rPr>
          <w:rFonts w:hint="eastAsia"/>
          <w:rtl/>
        </w:rPr>
        <w:t>בשיתוף</w:t>
      </w:r>
      <w:r w:rsidRPr="002F2BC5">
        <w:rPr>
          <w:rtl/>
        </w:rPr>
        <w:t xml:space="preserve"> </w:t>
      </w:r>
      <w:r w:rsidRPr="002F2BC5">
        <w:rPr>
          <w:rFonts w:hint="eastAsia"/>
          <w:rtl/>
        </w:rPr>
        <w:t>כלל</w:t>
      </w:r>
      <w:r w:rsidRPr="002F2BC5">
        <w:rPr>
          <w:rtl/>
        </w:rPr>
        <w:t xml:space="preserve"> </w:t>
      </w:r>
      <w:r w:rsidRPr="002F2BC5">
        <w:rPr>
          <w:rFonts w:hint="eastAsia"/>
          <w:rtl/>
        </w:rPr>
        <w:t>הגורמים</w:t>
      </w:r>
      <w:r w:rsidRPr="002F2BC5">
        <w:rPr>
          <w:rtl/>
        </w:rPr>
        <w:t xml:space="preserve"> </w:t>
      </w:r>
      <w:r w:rsidRPr="002F2BC5">
        <w:rPr>
          <w:rFonts w:hint="eastAsia"/>
          <w:rtl/>
        </w:rPr>
        <w:t>המעורבים</w:t>
      </w:r>
      <w:r w:rsidRPr="002F2BC5">
        <w:rPr>
          <w:rtl/>
        </w:rPr>
        <w:t xml:space="preserve"> </w:t>
      </w:r>
      <w:r w:rsidRPr="002F2BC5">
        <w:rPr>
          <w:rFonts w:hint="eastAsia"/>
          <w:rtl/>
        </w:rPr>
        <w:t>בהתמודדות</w:t>
      </w:r>
      <w:r w:rsidRPr="002F2BC5">
        <w:rPr>
          <w:rtl/>
        </w:rPr>
        <w:t xml:space="preserve"> </w:t>
      </w:r>
      <w:r w:rsidRPr="002F2BC5">
        <w:rPr>
          <w:rFonts w:hint="eastAsia"/>
          <w:rtl/>
        </w:rPr>
        <w:t>עם</w:t>
      </w:r>
      <w:r w:rsidRPr="002F2BC5">
        <w:rPr>
          <w:rtl/>
        </w:rPr>
        <w:t xml:space="preserve"> </w:t>
      </w:r>
      <w:r w:rsidRPr="002F2BC5">
        <w:rPr>
          <w:rFonts w:hint="eastAsia"/>
          <w:rtl/>
        </w:rPr>
        <w:t>תופעת</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 ובהם המשרד לביטחון לאומי, </w:t>
      </w:r>
      <w:r w:rsidRPr="002F2BC5">
        <w:rPr>
          <w:rFonts w:hint="eastAsia"/>
          <w:rtl/>
        </w:rPr>
        <w:t>משרד</w:t>
      </w:r>
      <w:r w:rsidRPr="002F2BC5">
        <w:rPr>
          <w:rtl/>
        </w:rPr>
        <w:t xml:space="preserve"> הבריאות, </w:t>
      </w:r>
      <w:r w:rsidRPr="002F2BC5">
        <w:rPr>
          <w:rFonts w:hint="eastAsia"/>
          <w:rtl/>
        </w:rPr>
        <w:t>משרד</w:t>
      </w:r>
      <w:r w:rsidRPr="002F2BC5">
        <w:rPr>
          <w:rtl/>
        </w:rPr>
        <w:t xml:space="preserve"> </w:t>
      </w:r>
      <w:r w:rsidRPr="002F2BC5">
        <w:rPr>
          <w:rFonts w:hint="eastAsia"/>
          <w:rtl/>
        </w:rPr>
        <w:t>החינוך</w:t>
      </w:r>
      <w:r w:rsidRPr="002F2BC5">
        <w:rPr>
          <w:rtl/>
        </w:rPr>
        <w:t xml:space="preserve">, </w:t>
      </w:r>
      <w:r w:rsidRPr="002F2BC5">
        <w:rPr>
          <w:rFonts w:hint="eastAsia"/>
          <w:rtl/>
        </w:rPr>
        <w:t>משטרת</w:t>
      </w:r>
      <w:r w:rsidRPr="002F2BC5">
        <w:rPr>
          <w:rtl/>
        </w:rPr>
        <w:t xml:space="preserve"> </w:t>
      </w:r>
      <w:r w:rsidRPr="002F2BC5">
        <w:rPr>
          <w:rFonts w:hint="eastAsia"/>
          <w:rtl/>
        </w:rPr>
        <w:t>ישראל</w:t>
      </w:r>
      <w:r w:rsidRPr="002F2BC5">
        <w:rPr>
          <w:rtl/>
        </w:rPr>
        <w:t xml:space="preserve">, </w:t>
      </w:r>
      <w:r w:rsidRPr="002F2BC5">
        <w:rPr>
          <w:rFonts w:hint="eastAsia"/>
          <w:rtl/>
        </w:rPr>
        <w:t>הרשות</w:t>
      </w:r>
      <w:r w:rsidRPr="002F2BC5">
        <w:rPr>
          <w:rtl/>
        </w:rPr>
        <w:t xml:space="preserve"> </w:t>
      </w:r>
      <w:r w:rsidRPr="002F2BC5">
        <w:rPr>
          <w:rFonts w:hint="eastAsia"/>
          <w:rtl/>
        </w:rPr>
        <w:t>לשיקום</w:t>
      </w:r>
      <w:r w:rsidRPr="002F2BC5">
        <w:rPr>
          <w:rtl/>
        </w:rPr>
        <w:t xml:space="preserve"> </w:t>
      </w:r>
      <w:r w:rsidRPr="002F2BC5">
        <w:rPr>
          <w:rFonts w:hint="eastAsia"/>
          <w:rtl/>
        </w:rPr>
        <w:t>האסיר</w:t>
      </w:r>
      <w:r w:rsidRPr="002F2BC5">
        <w:rPr>
          <w:rtl/>
        </w:rPr>
        <w:t xml:space="preserve">, </w:t>
      </w:r>
      <w:r w:rsidRPr="002F2BC5">
        <w:rPr>
          <w:rFonts w:hint="eastAsia"/>
          <w:rtl/>
        </w:rPr>
        <w:t>משרד</w:t>
      </w:r>
      <w:r w:rsidRPr="002F2BC5">
        <w:rPr>
          <w:rtl/>
        </w:rPr>
        <w:t xml:space="preserve"> </w:t>
      </w:r>
      <w:r w:rsidRPr="002F2BC5">
        <w:rPr>
          <w:rFonts w:hint="eastAsia"/>
          <w:rtl/>
        </w:rPr>
        <w:t>העלייה</w:t>
      </w:r>
      <w:r w:rsidRPr="002F2BC5">
        <w:rPr>
          <w:rtl/>
        </w:rPr>
        <w:t xml:space="preserve">, </w:t>
      </w:r>
      <w:r w:rsidRPr="002F2BC5">
        <w:rPr>
          <w:rFonts w:hint="eastAsia"/>
          <w:rtl/>
        </w:rPr>
        <w:t>משרד</w:t>
      </w:r>
      <w:r w:rsidRPr="002F2BC5">
        <w:rPr>
          <w:rtl/>
        </w:rPr>
        <w:t xml:space="preserve"> </w:t>
      </w:r>
      <w:r w:rsidRPr="002F2BC5">
        <w:rPr>
          <w:rFonts w:hint="eastAsia"/>
          <w:rtl/>
        </w:rPr>
        <w:t>המשפטים</w:t>
      </w:r>
      <w:r w:rsidRPr="002F2BC5">
        <w:rPr>
          <w:rtl/>
        </w:rPr>
        <w:t xml:space="preserve">, </w:t>
      </w:r>
      <w:r w:rsidRPr="002F2BC5">
        <w:rPr>
          <w:rFonts w:hint="eastAsia"/>
          <w:rtl/>
        </w:rPr>
        <w:t>משרד</w:t>
      </w:r>
      <w:r w:rsidRPr="002F2BC5">
        <w:rPr>
          <w:rtl/>
        </w:rPr>
        <w:t xml:space="preserve"> </w:t>
      </w:r>
      <w:r w:rsidRPr="002F2BC5">
        <w:rPr>
          <w:rFonts w:hint="eastAsia"/>
          <w:rtl/>
        </w:rPr>
        <w:t>הבינוי</w:t>
      </w:r>
      <w:r w:rsidRPr="002F2BC5">
        <w:rPr>
          <w:rtl/>
        </w:rPr>
        <w:t xml:space="preserve"> </w:t>
      </w:r>
      <w:r w:rsidRPr="002F2BC5">
        <w:rPr>
          <w:rFonts w:hint="eastAsia"/>
          <w:rtl/>
        </w:rPr>
        <w:t>והשיכון</w:t>
      </w:r>
      <w:r w:rsidRPr="002F2BC5">
        <w:rPr>
          <w:rtl/>
        </w:rPr>
        <w:t xml:space="preserve">, </w:t>
      </w:r>
      <w:r w:rsidRPr="002F2BC5">
        <w:rPr>
          <w:rFonts w:hint="eastAsia"/>
          <w:rtl/>
        </w:rPr>
        <w:t>משרד</w:t>
      </w:r>
      <w:r w:rsidRPr="002F2BC5">
        <w:rPr>
          <w:rtl/>
        </w:rPr>
        <w:t xml:space="preserve"> </w:t>
      </w:r>
      <w:r w:rsidRPr="002F2BC5">
        <w:rPr>
          <w:rFonts w:hint="eastAsia"/>
          <w:rtl/>
        </w:rPr>
        <w:t>הפנים</w:t>
      </w:r>
      <w:r w:rsidRPr="002F2BC5">
        <w:rPr>
          <w:rtl/>
        </w:rPr>
        <w:t xml:space="preserve">, </w:t>
      </w:r>
      <w:r w:rsidRPr="002F2BC5">
        <w:rPr>
          <w:rFonts w:hint="eastAsia"/>
          <w:rtl/>
        </w:rPr>
        <w:t>משרד</w:t>
      </w:r>
      <w:r w:rsidRPr="002F2BC5">
        <w:rPr>
          <w:rtl/>
        </w:rPr>
        <w:t xml:space="preserve"> </w:t>
      </w:r>
      <w:r w:rsidRPr="002F2BC5">
        <w:rPr>
          <w:rFonts w:hint="eastAsia"/>
          <w:rtl/>
        </w:rPr>
        <w:t>האוצר</w:t>
      </w:r>
      <w:r w:rsidRPr="002F2BC5">
        <w:rPr>
          <w:rFonts w:hint="cs"/>
          <w:rtl/>
        </w:rPr>
        <w:t xml:space="preserve"> ו</w:t>
      </w:r>
      <w:r w:rsidRPr="002F2BC5">
        <w:rPr>
          <w:rFonts w:hint="eastAsia"/>
          <w:rtl/>
        </w:rPr>
        <w:t>הרשות</w:t>
      </w:r>
      <w:r w:rsidRPr="002F2BC5">
        <w:rPr>
          <w:rtl/>
        </w:rPr>
        <w:t xml:space="preserve"> </w:t>
      </w:r>
      <w:r w:rsidRPr="002F2BC5">
        <w:rPr>
          <w:rFonts w:hint="eastAsia"/>
          <w:rtl/>
        </w:rPr>
        <w:t>לקידום</w:t>
      </w:r>
      <w:r w:rsidRPr="002F2BC5">
        <w:rPr>
          <w:rtl/>
        </w:rPr>
        <w:t xml:space="preserve"> </w:t>
      </w:r>
      <w:r w:rsidRPr="002F2BC5">
        <w:rPr>
          <w:rFonts w:hint="eastAsia"/>
          <w:rtl/>
        </w:rPr>
        <w:t>מעמד</w:t>
      </w:r>
      <w:r w:rsidRPr="002F2BC5">
        <w:rPr>
          <w:rtl/>
        </w:rPr>
        <w:t xml:space="preserve"> </w:t>
      </w:r>
      <w:r w:rsidRPr="002F2BC5">
        <w:rPr>
          <w:rFonts w:hint="eastAsia"/>
          <w:rtl/>
        </w:rPr>
        <w:t>האישה</w:t>
      </w:r>
      <w:r w:rsidRPr="002F2BC5">
        <w:rPr>
          <w:rFonts w:hint="cs"/>
          <w:rtl/>
        </w:rPr>
        <w:t xml:space="preserve"> ולצידם גופי השלטון המקומי, להשלים את הקמתו של המערך הלאומי להתמודדות עם תופעת האלימות במשפחה במתכונת שעליה המליצה ועדת המנכ"לים. זאת תוך הבהרת אחריותו ומחויבותו של המערך בכל הקשור לקביעת המדיניות, ההובלה התהליכית והמקצועית והבקרה על יישום המדיניות שנקבעה, לרבות הערכתה והתאמתה בעיתות משבר וחירום; קביעת מנגנונים ממוחשבים סדורים ושיטתיים להעברה של נתונים ומידע בין הגורמים השונים המעורבים בתהליך, תוך הבטחת שקיפות מרבית ויצירת תשתית מידע מלאה, מקיפה ומהימנה; וכן קביעת מנגנוני בקרה והערכה, בחינת מידת העמידה ביעדים ובתוצאות וכן בחינת ההקצאה והניצול של התקציבים הייעודיים והחסמים האפשריים העומדים בפני ניצולם המיטבי כדי לפעול לשיפור מתמיד באספקת השירותים.</w:t>
      </w:r>
    </w:p>
    <w:p w14:paraId="0F861AF1" w14:textId="77777777" w:rsidR="00817399" w:rsidRPr="002F2BC5" w:rsidRDefault="00817399" w:rsidP="00817399">
      <w:pPr>
        <w:spacing w:line="269" w:lineRule="auto"/>
        <w:rPr>
          <w:rtl/>
        </w:rPr>
      </w:pPr>
    </w:p>
    <w:p w14:paraId="26C453E3" w14:textId="77777777" w:rsidR="00817399" w:rsidRPr="002F2BC5" w:rsidRDefault="00817399" w:rsidP="00817399">
      <w:pPr>
        <w:spacing w:line="269" w:lineRule="auto"/>
        <w:rPr>
          <w:rtl/>
        </w:rPr>
      </w:pPr>
      <w:r w:rsidRPr="002F2BC5">
        <w:rPr>
          <w:rFonts w:hint="cs"/>
          <w:rtl/>
        </w:rPr>
        <w:t>משרד הרווחה מסר בתשובתו כי ההתמודדות עם תופעת האלימות במשפחה היא מבין מוקדי הפעילות החשובים והוסיף כי מדיניותו בנושא מכוונת למיגור התופעה על כל היבטיה, החל משלב המניעה ודרך האיתור והטיפול, בשגרה ובחירום. עוד מסר שהוא מכיר באחריות ובמחויבות להתמודדות עם התופעה, וכי בכוונתו להמשיך ולפעול בעניין זה בהתאם לאחריותו המקצועית ובהתאם להמלצות הביקורת. זאת,</w:t>
      </w:r>
      <w:r w:rsidRPr="002F2BC5">
        <w:rPr>
          <w:rtl/>
        </w:rPr>
        <w:t xml:space="preserve"> תוך הובל</w:t>
      </w:r>
      <w:r w:rsidRPr="002F2BC5">
        <w:rPr>
          <w:rFonts w:hint="cs"/>
          <w:rtl/>
        </w:rPr>
        <w:t>ה של</w:t>
      </w:r>
      <w:r w:rsidRPr="002F2BC5">
        <w:rPr>
          <w:rtl/>
        </w:rPr>
        <w:t xml:space="preserve"> תהליכים מקצועיים, בקרה </w:t>
      </w:r>
      <w:r w:rsidRPr="002F2BC5">
        <w:rPr>
          <w:rFonts w:hint="cs"/>
          <w:rtl/>
        </w:rPr>
        <w:t>על יישום</w:t>
      </w:r>
      <w:r w:rsidRPr="002F2BC5">
        <w:rPr>
          <w:rtl/>
        </w:rPr>
        <w:t xml:space="preserve"> המדיניות</w:t>
      </w:r>
      <w:r w:rsidRPr="002F2BC5">
        <w:rPr>
          <w:rFonts w:hint="cs"/>
          <w:rtl/>
        </w:rPr>
        <w:t xml:space="preserve"> והתאמתה וכן </w:t>
      </w:r>
      <w:r w:rsidRPr="002F2BC5">
        <w:rPr>
          <w:rtl/>
        </w:rPr>
        <w:t>קביעת מנגנונים ודרכי עבודה סדורות</w:t>
      </w:r>
      <w:r w:rsidRPr="002F2BC5">
        <w:rPr>
          <w:rFonts w:hint="cs"/>
          <w:rtl/>
        </w:rPr>
        <w:t xml:space="preserve"> -</w:t>
      </w:r>
      <w:r w:rsidRPr="002F2BC5">
        <w:rPr>
          <w:rtl/>
        </w:rPr>
        <w:t xml:space="preserve"> משרדיות ובין</w:t>
      </w:r>
      <w:r w:rsidRPr="002F2BC5">
        <w:rPr>
          <w:rFonts w:hint="cs"/>
          <w:rtl/>
        </w:rPr>
        <w:t>-</w:t>
      </w:r>
      <w:r w:rsidRPr="002F2BC5">
        <w:rPr>
          <w:rtl/>
        </w:rPr>
        <w:t>משרדיות.</w:t>
      </w:r>
    </w:p>
    <w:p w14:paraId="54D2F81E" w14:textId="77777777" w:rsidR="00817399" w:rsidRPr="002F2BC5" w:rsidRDefault="00817399" w:rsidP="00817399">
      <w:pPr>
        <w:spacing w:line="269" w:lineRule="auto"/>
        <w:rPr>
          <w:rtl/>
        </w:rPr>
      </w:pPr>
    </w:p>
    <w:p w14:paraId="3C8569C5" w14:textId="77777777" w:rsidR="00817399" w:rsidRPr="002F2BC5" w:rsidRDefault="00817399" w:rsidP="00817399">
      <w:pPr>
        <w:spacing w:line="269" w:lineRule="auto"/>
        <w:rPr>
          <w:rtl/>
        </w:rPr>
      </w:pPr>
      <w:r w:rsidRPr="002F2BC5">
        <w:rPr>
          <w:rFonts w:hint="cs"/>
          <w:rtl/>
        </w:rPr>
        <w:lastRenderedPageBreak/>
        <w:t>המשרד לביטחון לאומי מסר בתשובתו כי הוועדה הבין-משרדית הקבועה פועלת לתיאום הפעולות ברמת המטה וברמת השטח, וכחלק מכך מתווה את המדיניות המשותפת, את התוכניות ואת המענים שיש לפתח, את תיקוני החקיקה שיש לקדם ואת ההיערכות לחירום. לצד זאת, נדרש להסדיר את העברת המידע וליצור תשתית ממוחשבת לצורך כך וכן לקבוע מנגנוני בקרה והערכה, לרבות לעניין ההיבטים התקציביים של הפעולות שננקטות.</w:t>
      </w:r>
    </w:p>
    <w:p w14:paraId="6537805B" w14:textId="77777777" w:rsidR="00817399" w:rsidRPr="002F2BC5" w:rsidRDefault="00817399" w:rsidP="00817399">
      <w:pPr>
        <w:spacing w:line="269" w:lineRule="auto"/>
        <w:rPr>
          <w:rtl/>
        </w:rPr>
      </w:pPr>
    </w:p>
    <w:p w14:paraId="1D442270" w14:textId="77777777" w:rsidR="00817399" w:rsidRPr="002F2BC5" w:rsidRDefault="00817399" w:rsidP="00817399">
      <w:pPr>
        <w:spacing w:line="269" w:lineRule="auto"/>
        <w:rPr>
          <w:rtl/>
        </w:rPr>
      </w:pPr>
      <w:r w:rsidRPr="002F2BC5">
        <w:rPr>
          <w:rFonts w:hint="cs"/>
          <w:rtl/>
        </w:rPr>
        <w:t xml:space="preserve">משרד הבריאות מסר בתשובתו כי הוא רואה חשיבות רבה ביצירת </w:t>
      </w:r>
      <w:r w:rsidRPr="002F2BC5">
        <w:rPr>
          <w:rtl/>
        </w:rPr>
        <w:t xml:space="preserve">שותפות </w:t>
      </w:r>
      <w:r w:rsidRPr="002F2BC5">
        <w:rPr>
          <w:rFonts w:hint="cs"/>
          <w:rtl/>
        </w:rPr>
        <w:t>בין-משרדית בתחום האלימות במשפחה וכי לאורך השנים לקח חלק פעיל בעבודתה של הוועדה הבין-משרדית הקבועה וועדות המשנה שלה</w:t>
      </w:r>
      <w:r w:rsidRPr="002F2BC5">
        <w:rPr>
          <w:rtl/>
        </w:rPr>
        <w:t>.</w:t>
      </w:r>
      <w:r w:rsidRPr="002F2BC5">
        <w:rPr>
          <w:rFonts w:hint="cs"/>
          <w:rtl/>
        </w:rPr>
        <w:t xml:space="preserve"> לצד זאת יזם בחלק ממחוזותיו פורומים מקצועיים, בשיתוף נציגיו ונציגי גורמי רווחה מקומיים, ובהם מתקיים שיח בין-משרדי בכל הנוגע לאתגרי ההתמודדות עם מקרים מורכבים המערבים את תחום האלימות במשפחה ותחום בריאות הנפש. הוא הוסיף כי במהלך השנה הקרובה תיבחן האפשרות להרחיב פעילות זו למחוזות נוספים.</w:t>
      </w:r>
    </w:p>
    <w:p w14:paraId="59E9F46F" w14:textId="77777777" w:rsidR="00817399" w:rsidRPr="002F2BC5" w:rsidRDefault="00817399" w:rsidP="00817399">
      <w:pPr>
        <w:spacing w:line="269" w:lineRule="auto"/>
        <w:rPr>
          <w:rtl/>
        </w:rPr>
      </w:pPr>
    </w:p>
    <w:p w14:paraId="7F5326AE" w14:textId="77777777" w:rsidR="00817399" w:rsidRPr="002F2BC5" w:rsidRDefault="00817399" w:rsidP="00817399">
      <w:pPr>
        <w:spacing w:line="269" w:lineRule="auto"/>
        <w:rPr>
          <w:rtl/>
        </w:rPr>
      </w:pPr>
      <w:r w:rsidRPr="002F2BC5">
        <w:rPr>
          <w:rFonts w:hint="cs"/>
          <w:rtl/>
        </w:rPr>
        <w:t>הרשות לקידום מעמד האישה מסרה בתשובתה כי אכן קיים אתגר רב בתיאום הפעילות הממשלתית בתחום ההתמודדות עם תופעת האלימות במשפחה כמו גם עם תופעת האלימות כלפי נשים, וזאת לנוכח ריבוי תחומי הפעילות וריבוי הגורמים המעורבים. היא ציינה כי לצד השתתפותה בדיוני הוועדה הבין-משרדית הקבועה, היא מקדמת בתחומי הפעילות שבאחריותה שיתוף בידע, ובמסגרת זו היא מקיימת סמינרים מקוונים עבור היועצות לקידום מעמד האישה ברשויות המקומיות, בשיתוף משרדי ממשלה נוספים. עוד מסרה כי היא נכונה להגביר את מעורבותה, אך הדבר מותנה בהעמדת כוח אדם ומשאבים תקציביים</w:t>
      </w:r>
      <w:r w:rsidRPr="002F2BC5">
        <w:rPr>
          <w:rtl/>
        </w:rPr>
        <w:t>.</w:t>
      </w:r>
    </w:p>
    <w:p w14:paraId="33FFD1AE" w14:textId="77777777" w:rsidR="00817399" w:rsidRPr="002F2BC5" w:rsidRDefault="00817399" w:rsidP="00817399">
      <w:pPr>
        <w:spacing w:line="269" w:lineRule="auto"/>
        <w:rPr>
          <w:b/>
          <w:bCs/>
          <w:rtl/>
        </w:rPr>
      </w:pPr>
    </w:p>
    <w:p w14:paraId="781BCC69" w14:textId="77777777" w:rsidR="00817399" w:rsidRPr="002F2BC5" w:rsidRDefault="00817399" w:rsidP="00817399">
      <w:pPr>
        <w:pStyle w:val="20"/>
        <w:spacing w:before="0" w:line="269" w:lineRule="auto"/>
        <w:rPr>
          <w:rtl/>
        </w:rPr>
      </w:pPr>
      <w:bookmarkStart w:id="930" w:name="_Toc189072229"/>
      <w:bookmarkStart w:id="931" w:name="_Toc191987003"/>
      <w:bookmarkStart w:id="932" w:name="_Toc191891392"/>
      <w:bookmarkStart w:id="933" w:name="_Toc192093093"/>
      <w:bookmarkStart w:id="934" w:name="_Toc193110608"/>
      <w:bookmarkStart w:id="935" w:name="_Toc192612801"/>
      <w:bookmarkStart w:id="936" w:name="_Toc192778826"/>
      <w:bookmarkStart w:id="937" w:name="_Toc198312233"/>
      <w:bookmarkStart w:id="938" w:name="_Toc198312708"/>
      <w:bookmarkStart w:id="939" w:name="_Toc200636804"/>
      <w:bookmarkStart w:id="940" w:name="_Toc200636889"/>
      <w:bookmarkStart w:id="941" w:name="_Toc200439803"/>
      <w:bookmarkStart w:id="942" w:name="_Toc200439888"/>
      <w:bookmarkStart w:id="943" w:name="_Toc201240993"/>
      <w:bookmarkStart w:id="944" w:name="_Toc192784380"/>
      <w:bookmarkStart w:id="945" w:name="_Toc201759366"/>
      <w:bookmarkStart w:id="946" w:name="_Toc203488002"/>
      <w:r w:rsidRPr="002F2BC5">
        <w:rPr>
          <w:rFonts w:hint="cs"/>
          <w:rtl/>
        </w:rPr>
        <w:t>דרכי ההתמודדות עם תופעת האלימות בין בני זוג</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D7DCDEE" w14:textId="77777777" w:rsidR="00817399" w:rsidRPr="002F2BC5" w:rsidRDefault="00817399" w:rsidP="00817399">
      <w:pPr>
        <w:spacing w:line="269" w:lineRule="auto"/>
        <w:rPr>
          <w:rtl/>
        </w:rPr>
      </w:pPr>
    </w:p>
    <w:p w14:paraId="3E5211FB" w14:textId="77777777" w:rsidR="00817399" w:rsidRPr="002F2BC5" w:rsidRDefault="00817399" w:rsidP="00817399">
      <w:pPr>
        <w:pStyle w:val="31"/>
        <w:spacing w:before="0" w:line="269" w:lineRule="auto"/>
        <w:rPr>
          <w:rtl/>
        </w:rPr>
      </w:pPr>
      <w:bookmarkStart w:id="947" w:name="_Toc189072230"/>
      <w:bookmarkStart w:id="948" w:name="_Toc191987004"/>
      <w:bookmarkStart w:id="949" w:name="_Toc191891393"/>
      <w:bookmarkStart w:id="950" w:name="_Toc192093094"/>
      <w:bookmarkStart w:id="951" w:name="_Toc193110609"/>
      <w:bookmarkStart w:id="952" w:name="_Toc192612802"/>
      <w:bookmarkStart w:id="953" w:name="_Toc192778827"/>
      <w:bookmarkStart w:id="954" w:name="_Toc198312234"/>
      <w:bookmarkStart w:id="955" w:name="_Toc198312709"/>
      <w:bookmarkStart w:id="956" w:name="_Toc200636805"/>
      <w:bookmarkStart w:id="957" w:name="_Toc200636890"/>
      <w:bookmarkStart w:id="958" w:name="_Toc200439804"/>
      <w:bookmarkStart w:id="959" w:name="_Toc200439889"/>
      <w:bookmarkStart w:id="960" w:name="_Toc201240994"/>
      <w:bookmarkStart w:id="961" w:name="_Toc192784381"/>
      <w:bookmarkStart w:id="962" w:name="_Toc201759367"/>
      <w:bookmarkStart w:id="963" w:name="_Toc203488003"/>
      <w:r w:rsidRPr="002F2BC5">
        <w:rPr>
          <w:rFonts w:hint="cs"/>
          <w:rtl/>
        </w:rPr>
        <w:t>מניעה ראשונית: חינוך והסברה</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6D88A0F3" w14:textId="77777777" w:rsidR="00817399" w:rsidRPr="002F2BC5" w:rsidRDefault="00817399" w:rsidP="00817399">
      <w:pPr>
        <w:spacing w:line="269" w:lineRule="auto"/>
        <w:rPr>
          <w:rtl/>
        </w:rPr>
      </w:pPr>
    </w:p>
    <w:p w14:paraId="2D937128" w14:textId="77777777" w:rsidR="00817399" w:rsidRPr="002F2BC5" w:rsidRDefault="00817399" w:rsidP="00817399">
      <w:pPr>
        <w:spacing w:line="269" w:lineRule="auto"/>
        <w:rPr>
          <w:rtl/>
        </w:rPr>
      </w:pPr>
      <w:r w:rsidRPr="002F2BC5">
        <w:rPr>
          <w:rFonts w:hint="cs"/>
          <w:rtl/>
        </w:rPr>
        <w:t>עד לשנות התשעים המאוחרות של המאה ה-20, המדיניות הממשלתית בישראל ובמדינות נוספות בעולם בכל הקשור להתמודדות עם תופעת האלימות במשפחה התמקדה במודל התערבות במשבר (</w:t>
      </w:r>
      <w:r w:rsidRPr="002F2BC5">
        <w:t>Crisis Intervention</w:t>
      </w:r>
      <w:r w:rsidRPr="002F2BC5">
        <w:rPr>
          <w:rFonts w:hint="cs"/>
          <w:rtl/>
        </w:rPr>
        <w:t>). במודל כזה ההתערבות מכוונת למניעת המשך הפגיעה באדם הנתון לאלימות מצד בן משפחתו. מודל ההתערבות במשבר נמנה עם מעגלי המניעה השניונית והמניעה השלישונית, והוא נחשב למודל שעלותו הכספית גבוהה והצלחתו מוגבלת במניעת המשך האלימות בטווח הארוך</w:t>
      </w:r>
      <w:r w:rsidRPr="002F2BC5">
        <w:rPr>
          <w:rStyle w:val="af9"/>
          <w:rtl/>
        </w:rPr>
        <w:footnoteReference w:id="214"/>
      </w:r>
      <w:r w:rsidRPr="002F2BC5">
        <w:rPr>
          <w:rFonts w:hint="cs"/>
          <w:rtl/>
        </w:rPr>
        <w:t xml:space="preserve">. </w:t>
      </w:r>
    </w:p>
    <w:p w14:paraId="0C68CE25" w14:textId="77777777" w:rsidR="00817399" w:rsidRPr="002F2BC5" w:rsidRDefault="00817399" w:rsidP="00817399">
      <w:pPr>
        <w:spacing w:line="269" w:lineRule="auto"/>
        <w:rPr>
          <w:rtl/>
        </w:rPr>
      </w:pPr>
    </w:p>
    <w:p w14:paraId="2BB92747" w14:textId="77777777" w:rsidR="00817399" w:rsidRPr="002F2BC5" w:rsidRDefault="00817399" w:rsidP="00817399">
      <w:pPr>
        <w:spacing w:line="269" w:lineRule="auto"/>
        <w:rPr>
          <w:rtl/>
        </w:rPr>
      </w:pPr>
      <w:r w:rsidRPr="002F2BC5">
        <w:rPr>
          <w:rFonts w:hint="cs"/>
          <w:rtl/>
        </w:rPr>
        <w:t>החשיבות והצורך בהתערבות בשלבים מוקדמים יותר של התופעה - ואף עוד בטרם התרחשות מעשה האלימות הראשון - הוכרה כבר על ידי ועדת בן-שלום. כך התייחסה הוועדה בהמלצותיה להשקעת משאבים בהסברה ובחינוך כדרך ההתערבות "היעילה והמשתלמת יותר" למניעה מראש של מצבי אלימות</w:t>
      </w:r>
      <w:r w:rsidRPr="002F2BC5">
        <w:rPr>
          <w:rStyle w:val="af9"/>
          <w:rtl/>
        </w:rPr>
        <w:footnoteReference w:id="215"/>
      </w:r>
      <w:r w:rsidRPr="002F2BC5">
        <w:rPr>
          <w:rFonts w:hint="cs"/>
          <w:rtl/>
        </w:rPr>
        <w:t>. בהקשר זה אפשר להבחין בין פעולות המכוונות להעלאת המודעות לתופעה, למאפייניה ולחומרתה וכן לשינוי "האקלים החברתי" (פעולות הסברה) ובין פעולות המכוונות להקניית כלים ומיומנויות מגיל צעיר להתמודדות עם עימותים וכעסים וכן לזוגיות שוויונית ומכבדת (פעולות חינוך)</w:t>
      </w:r>
      <w:r w:rsidRPr="002F2BC5">
        <w:rPr>
          <w:rStyle w:val="af9"/>
          <w:rtl/>
        </w:rPr>
        <w:footnoteReference w:id="216"/>
      </w:r>
      <w:r w:rsidRPr="002F2BC5">
        <w:rPr>
          <w:rFonts w:hint="cs"/>
          <w:rtl/>
        </w:rPr>
        <w:t>. פעולות הסברה וחינוך חשובות בין השאר גם לשם התמודדות יעילה עם נורמות ותפיסות חברתיות המשמרות או מעודדות את תופעת האלימות במשפחה בכלל ובתוך מערכת היחסים הזוגית בפרט, ועלולות להביא להימנעות של נפגעי האלימות מפנייה לסיוע</w:t>
      </w:r>
      <w:r w:rsidRPr="002F2BC5">
        <w:rPr>
          <w:rStyle w:val="af9"/>
          <w:rtl/>
        </w:rPr>
        <w:footnoteReference w:id="217"/>
      </w:r>
      <w:r w:rsidRPr="002F2BC5">
        <w:rPr>
          <w:rFonts w:hint="cs"/>
          <w:rtl/>
        </w:rPr>
        <w:t xml:space="preserve">. כן הן חשובות לצמצום היקף מעגל האלימות הבין-דורי. </w:t>
      </w:r>
    </w:p>
    <w:bookmarkEnd w:id="620"/>
    <w:bookmarkEnd w:id="621"/>
    <w:p w14:paraId="79248D5B" w14:textId="77777777" w:rsidR="00817399" w:rsidRPr="002F2BC5" w:rsidRDefault="00817399" w:rsidP="00817399">
      <w:pPr>
        <w:spacing w:line="269" w:lineRule="auto"/>
        <w:rPr>
          <w:rtl/>
        </w:rPr>
      </w:pPr>
      <w:r w:rsidRPr="002F2BC5">
        <w:rPr>
          <w:rFonts w:hint="cs"/>
          <w:rtl/>
        </w:rPr>
        <w:lastRenderedPageBreak/>
        <w:t>לצד פעולות הסברה וחינוך בקרב האוכלוסייה הכללית, המצויות באחריותם של כלל הגופים המעורבים בהתמודדות עם תופעת האלימות במשפחה, ישנה חשיבות מיוחדת לקידום פעולות אלו דווקא בגילים הצעירים, שאז מתגבשת זהותם העצמית של נערות ונערים. משכך, למערכת החינוך תפקיד מרכזי בכל הקשור למניעה ראשונית של התופעה ובהקניית ידע, מודעות ומיומנות בקרב התלמידות והתלמידים. לצד מערכת החינוך, גם למעסיקים במקומות העבודה תפקיד חשוב בהעלאת המודעות וכן במתן סיוע לעובדות ולעובדים החווים אלימות מצד בן משפחתם. להלן יפורטו ממצאי ביקורת המעקב בכל הנוגע לפעולות המניעה הראשונית במערכת החינוך ובאוכלוסייה הכללית; כן יפורטו ממצאי הביקורת הנוכחית בכל הנוגע לנקיטת פעולות מניעה ראשונית על ידי מעסיקים במקומות העבודה.</w:t>
      </w:r>
    </w:p>
    <w:p w14:paraId="0A4FCF9A" w14:textId="77777777" w:rsidR="00817399" w:rsidRPr="002F2BC5" w:rsidRDefault="00817399" w:rsidP="00817399">
      <w:pPr>
        <w:spacing w:line="269" w:lineRule="auto"/>
        <w:rPr>
          <w:rtl/>
        </w:rPr>
      </w:pPr>
    </w:p>
    <w:p w14:paraId="32DBFE05" w14:textId="77777777" w:rsidR="00817399" w:rsidRPr="002F2BC5" w:rsidRDefault="00817399" w:rsidP="00817399">
      <w:pPr>
        <w:pStyle w:val="4"/>
        <w:spacing w:before="0" w:line="269" w:lineRule="auto"/>
        <w:rPr>
          <w:rtl/>
        </w:rPr>
      </w:pPr>
      <w:bookmarkStart w:id="965" w:name="_Toc189072231"/>
      <w:bookmarkStart w:id="966" w:name="_Toc191987005"/>
      <w:bookmarkStart w:id="967" w:name="_Toc191891394"/>
      <w:bookmarkStart w:id="968" w:name="_Toc192093095"/>
      <w:bookmarkStart w:id="969" w:name="_Toc193110610"/>
      <w:bookmarkStart w:id="970" w:name="_Toc192612803"/>
      <w:bookmarkStart w:id="971" w:name="_Toc192778828"/>
      <w:bookmarkStart w:id="972" w:name="_Toc198312235"/>
      <w:bookmarkStart w:id="973" w:name="_Toc198312710"/>
      <w:bookmarkStart w:id="974" w:name="_Toc200636806"/>
      <w:bookmarkStart w:id="975" w:name="_Toc200636891"/>
      <w:bookmarkStart w:id="976" w:name="_Toc200439805"/>
      <w:bookmarkStart w:id="977" w:name="_Toc200439890"/>
      <w:bookmarkStart w:id="978" w:name="_Toc201240995"/>
      <w:bookmarkStart w:id="979" w:name="_Toc192784382"/>
      <w:bookmarkStart w:id="980" w:name="_Toc201759368"/>
      <w:bookmarkStart w:id="981" w:name="_Toc203488004"/>
      <w:r w:rsidRPr="002F2BC5">
        <w:rPr>
          <w:rFonts w:hint="cs"/>
          <w:rtl/>
        </w:rPr>
        <w:t>פעולות מניעה ראשונית במערכת החינוך</w:t>
      </w:r>
      <w:r w:rsidRPr="002F2BC5">
        <w:rPr>
          <w:rStyle w:val="af9"/>
          <w:rtl/>
        </w:rPr>
        <w:footnoteReference w:id="218"/>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3CACCCB3" w14:textId="77777777" w:rsidR="00817399" w:rsidRPr="002F2BC5" w:rsidRDefault="00817399" w:rsidP="00817399">
      <w:pPr>
        <w:spacing w:line="269" w:lineRule="auto"/>
        <w:rPr>
          <w:rtl/>
        </w:rPr>
      </w:pPr>
    </w:p>
    <w:p w14:paraId="4C35C26C" w14:textId="77777777" w:rsidR="00817399" w:rsidRPr="002F2BC5" w:rsidRDefault="00817399" w:rsidP="00817399">
      <w:pPr>
        <w:spacing w:line="269" w:lineRule="auto"/>
        <w:rPr>
          <w:rtl/>
        </w:rPr>
      </w:pPr>
      <w:r w:rsidRPr="002F2BC5">
        <w:rPr>
          <w:rFonts w:hint="cs"/>
          <w:rtl/>
        </w:rPr>
        <w:t>החל מהעשור הראשון של שנות האלפיים פועלת במערכת החינוך הרשמית</w:t>
      </w:r>
      <w:r w:rsidRPr="002F2BC5">
        <w:rPr>
          <w:rStyle w:val="af9"/>
          <w:rtl/>
        </w:rPr>
        <w:footnoteReference w:id="219"/>
      </w:r>
      <w:r w:rsidRPr="002F2BC5">
        <w:rPr>
          <w:rFonts w:hint="cs"/>
          <w:rtl/>
        </w:rPr>
        <w:t xml:space="preserve"> תוכנית חובה מתמשכת, המותאמת לצורכי הגיל והתרבות, ועוסקת במצבי חיים, בהקניית מיומנויות רגשיות וחברתיות ובתרגול שלהן (תוכנית "הכוחות שבדרך", ובשמה הקודם "כישורי חיים"). בבתי הספר היסודיים התוכנית מתרכזת בחיזוק ההערכה העצמית, בפיתוח מודעות לרגשות ובהתמודדות עימם וכן במניעת אלימות במרחב הפיזי והדיגיטלי. בחטיבות הביניים הדגש מושם על דיאלוג במצבי עימות, על הבחנה בין חיזור להטרדה ועל סיום קשר זוגי באופן הוגן. בחטיבות העליונות מתרכזת התוכנית ב</w:t>
      </w:r>
      <w:r w:rsidRPr="002F2BC5">
        <w:rPr>
          <w:rtl/>
        </w:rPr>
        <w:t>תקשורת ושוויון בין המינים</w:t>
      </w:r>
      <w:r w:rsidRPr="002F2BC5">
        <w:rPr>
          <w:rFonts w:hint="cs"/>
          <w:rtl/>
        </w:rPr>
        <w:t>, ב</w:t>
      </w:r>
      <w:r w:rsidRPr="002F2BC5">
        <w:rPr>
          <w:rtl/>
        </w:rPr>
        <w:t xml:space="preserve">מערכת יחסים פתולוגית ואלימה </w:t>
      </w:r>
      <w:r w:rsidRPr="002F2BC5">
        <w:rPr>
          <w:rFonts w:hint="eastAsia"/>
          <w:rtl/>
        </w:rPr>
        <w:t>ו</w:t>
      </w:r>
      <w:r w:rsidRPr="002F2BC5">
        <w:rPr>
          <w:rFonts w:hint="cs"/>
          <w:rtl/>
        </w:rPr>
        <w:t xml:space="preserve">באותות אזהרה מוקדמים המעידים שבמערכת היחסים זוגית דפוסים שאינם בריאים (להלן - התוכנית "חברות וזוגיות"). </w:t>
      </w:r>
    </w:p>
    <w:p w14:paraId="45708971" w14:textId="77777777" w:rsidR="00817399" w:rsidRPr="002F2BC5" w:rsidRDefault="00817399" w:rsidP="00817399">
      <w:pPr>
        <w:spacing w:line="269" w:lineRule="auto"/>
        <w:rPr>
          <w:rtl/>
        </w:rPr>
      </w:pPr>
    </w:p>
    <w:p w14:paraId="09559696" w14:textId="77777777" w:rsidR="00817399" w:rsidRPr="002F2BC5" w:rsidRDefault="00817399" w:rsidP="00817399">
      <w:pPr>
        <w:spacing w:line="269" w:lineRule="auto"/>
        <w:rPr>
          <w:rtl/>
        </w:rPr>
      </w:pPr>
      <w:bookmarkStart w:id="982" w:name="_Hlk198480020"/>
      <w:r w:rsidRPr="002F2BC5">
        <w:rPr>
          <w:rFonts w:hint="eastAsia"/>
          <w:rtl/>
        </w:rPr>
        <w:t>מטרתן</w:t>
      </w:r>
      <w:r w:rsidRPr="002F2BC5">
        <w:rPr>
          <w:rtl/>
        </w:rPr>
        <w:t xml:space="preserve"> של </w:t>
      </w:r>
      <w:r w:rsidRPr="002F2BC5">
        <w:rPr>
          <w:rFonts w:hint="eastAsia"/>
          <w:rtl/>
        </w:rPr>
        <w:t>פעולות</w:t>
      </w:r>
      <w:r w:rsidRPr="002F2BC5">
        <w:rPr>
          <w:rtl/>
        </w:rPr>
        <w:t xml:space="preserve"> המניעה </w:t>
      </w:r>
      <w:r w:rsidRPr="002F2BC5">
        <w:rPr>
          <w:rFonts w:hint="eastAsia"/>
          <w:rtl/>
        </w:rPr>
        <w:t>במערכת</w:t>
      </w:r>
      <w:r w:rsidRPr="002F2BC5">
        <w:rPr>
          <w:rtl/>
        </w:rPr>
        <w:t xml:space="preserve"> החינוך </w:t>
      </w:r>
      <w:r w:rsidRPr="002F2BC5">
        <w:rPr>
          <w:rFonts w:hint="eastAsia"/>
          <w:rtl/>
        </w:rPr>
        <w:t>הן</w:t>
      </w:r>
      <w:r w:rsidRPr="002F2BC5">
        <w:rPr>
          <w:rtl/>
        </w:rPr>
        <w:t xml:space="preserve"> "להפגיש את התלמיד עם מצבים שהוא עשוי להיתקל בהם במהלך חייו, ולאפשר לו להכין את עצמו להתמודדות בצורה בונה במצבים אלה בהווה ובעתיד", </w:t>
      </w:r>
      <w:r w:rsidRPr="002F2BC5">
        <w:rPr>
          <w:rFonts w:hint="eastAsia"/>
          <w:rtl/>
        </w:rPr>
        <w:t>כהגדרתו</w:t>
      </w:r>
      <w:r w:rsidRPr="002F2BC5">
        <w:rPr>
          <w:rtl/>
        </w:rPr>
        <w:t xml:space="preserve"> </w:t>
      </w:r>
      <w:r w:rsidRPr="002F2BC5">
        <w:rPr>
          <w:rFonts w:hint="eastAsia"/>
          <w:rtl/>
        </w:rPr>
        <w:t>של</w:t>
      </w:r>
      <w:r w:rsidRPr="002F2BC5">
        <w:rPr>
          <w:rtl/>
        </w:rPr>
        <w:t xml:space="preserve"> </w:t>
      </w:r>
      <w:r w:rsidRPr="002F2BC5">
        <w:rPr>
          <w:rFonts w:hint="eastAsia"/>
          <w:rtl/>
        </w:rPr>
        <w:t>משרד</w:t>
      </w:r>
      <w:r w:rsidRPr="002F2BC5">
        <w:rPr>
          <w:rtl/>
        </w:rPr>
        <w:t xml:space="preserve"> </w:t>
      </w:r>
      <w:r w:rsidRPr="002F2BC5">
        <w:rPr>
          <w:rFonts w:hint="eastAsia"/>
          <w:rtl/>
        </w:rPr>
        <w:t>החינוך</w:t>
      </w:r>
      <w:r w:rsidRPr="002F2BC5">
        <w:rPr>
          <w:rStyle w:val="af9"/>
          <w:rtl/>
        </w:rPr>
        <w:footnoteReference w:id="220"/>
      </w:r>
      <w:r w:rsidRPr="002F2BC5">
        <w:rPr>
          <w:rtl/>
        </w:rPr>
        <w:t xml:space="preserve">. </w:t>
      </w:r>
      <w:r w:rsidRPr="002F2BC5">
        <w:rPr>
          <w:rFonts w:hint="eastAsia"/>
          <w:rtl/>
        </w:rPr>
        <w:t>פעולות</w:t>
      </w:r>
      <w:r w:rsidRPr="002F2BC5">
        <w:rPr>
          <w:rtl/>
        </w:rPr>
        <w:t xml:space="preserve"> </w:t>
      </w:r>
      <w:r w:rsidRPr="002F2BC5">
        <w:rPr>
          <w:rFonts w:hint="eastAsia"/>
          <w:rtl/>
        </w:rPr>
        <w:t>אלו</w:t>
      </w:r>
      <w:r w:rsidRPr="002F2BC5">
        <w:rPr>
          <w:rtl/>
        </w:rPr>
        <w:t xml:space="preserve"> </w:t>
      </w:r>
      <w:r w:rsidRPr="002F2BC5">
        <w:rPr>
          <w:rFonts w:hint="eastAsia"/>
          <w:rtl/>
        </w:rPr>
        <w:t>מעצם</w:t>
      </w:r>
      <w:r w:rsidRPr="002F2BC5">
        <w:rPr>
          <w:rtl/>
        </w:rPr>
        <w:t xml:space="preserve"> טיבן </w:t>
      </w:r>
      <w:r w:rsidRPr="002F2BC5">
        <w:rPr>
          <w:rFonts w:hint="eastAsia"/>
          <w:rtl/>
        </w:rPr>
        <w:t>הן</w:t>
      </w:r>
      <w:r w:rsidRPr="002F2BC5">
        <w:rPr>
          <w:rtl/>
        </w:rPr>
        <w:t xml:space="preserve"> </w:t>
      </w:r>
      <w:r w:rsidRPr="002F2BC5">
        <w:rPr>
          <w:rFonts w:hint="eastAsia"/>
          <w:rtl/>
        </w:rPr>
        <w:t>צופות</w:t>
      </w:r>
      <w:r w:rsidRPr="002F2BC5">
        <w:rPr>
          <w:rtl/>
        </w:rPr>
        <w:t xml:space="preserve"> </w:t>
      </w:r>
      <w:r w:rsidRPr="002F2BC5">
        <w:rPr>
          <w:rFonts w:hint="eastAsia"/>
          <w:rtl/>
        </w:rPr>
        <w:t>פני</w:t>
      </w:r>
      <w:r w:rsidRPr="002F2BC5">
        <w:rPr>
          <w:rtl/>
        </w:rPr>
        <w:t xml:space="preserve"> </w:t>
      </w:r>
      <w:r w:rsidRPr="002F2BC5">
        <w:rPr>
          <w:rFonts w:hint="eastAsia"/>
          <w:rtl/>
        </w:rPr>
        <w:t>עתיד</w:t>
      </w:r>
      <w:r w:rsidRPr="002F2BC5">
        <w:rPr>
          <w:rtl/>
        </w:rPr>
        <w:t xml:space="preserve"> </w:t>
      </w:r>
      <w:r w:rsidRPr="002F2BC5">
        <w:rPr>
          <w:rFonts w:hint="eastAsia"/>
          <w:rtl/>
        </w:rPr>
        <w:t>ומכוונות</w:t>
      </w:r>
      <w:r w:rsidRPr="002F2BC5">
        <w:rPr>
          <w:rtl/>
        </w:rPr>
        <w:t xml:space="preserve"> </w:t>
      </w:r>
      <w:r w:rsidRPr="002F2BC5">
        <w:rPr>
          <w:rFonts w:hint="eastAsia"/>
          <w:rtl/>
        </w:rPr>
        <w:t>לבני</w:t>
      </w:r>
      <w:r w:rsidRPr="002F2BC5">
        <w:rPr>
          <w:rtl/>
        </w:rPr>
        <w:t xml:space="preserve"> נוער </w:t>
      </w:r>
      <w:r w:rsidRPr="002F2BC5">
        <w:rPr>
          <w:rFonts w:hint="eastAsia"/>
          <w:rtl/>
        </w:rPr>
        <w:t>שטרם</w:t>
      </w:r>
      <w:r w:rsidRPr="002F2BC5">
        <w:rPr>
          <w:rtl/>
        </w:rPr>
        <w:t xml:space="preserve"> </w:t>
      </w:r>
      <w:r w:rsidRPr="002F2BC5">
        <w:rPr>
          <w:rFonts w:hint="eastAsia"/>
          <w:rtl/>
        </w:rPr>
        <w:t>חוו</w:t>
      </w:r>
      <w:r w:rsidRPr="002F2BC5">
        <w:rPr>
          <w:rtl/>
        </w:rPr>
        <w:t xml:space="preserve"> במישרין </w:t>
      </w:r>
      <w:r w:rsidRPr="002F2BC5">
        <w:rPr>
          <w:rFonts w:hint="eastAsia"/>
          <w:rtl/>
        </w:rPr>
        <w:t>אלימות</w:t>
      </w:r>
      <w:r w:rsidRPr="002F2BC5">
        <w:rPr>
          <w:rtl/>
        </w:rPr>
        <w:t xml:space="preserve"> </w:t>
      </w:r>
      <w:r w:rsidRPr="002F2BC5">
        <w:rPr>
          <w:rFonts w:hint="eastAsia"/>
          <w:rtl/>
        </w:rPr>
        <w:t>בתוך</w:t>
      </w:r>
      <w:r w:rsidRPr="002F2BC5">
        <w:rPr>
          <w:rtl/>
        </w:rPr>
        <w:t xml:space="preserve"> </w:t>
      </w:r>
      <w:r w:rsidRPr="002F2BC5">
        <w:rPr>
          <w:rFonts w:hint="eastAsia"/>
          <w:rtl/>
        </w:rPr>
        <w:t>מערכת</w:t>
      </w:r>
      <w:r w:rsidRPr="002F2BC5">
        <w:rPr>
          <w:rtl/>
        </w:rPr>
        <w:t xml:space="preserve"> היחסים הזוגית. </w:t>
      </w:r>
      <w:r w:rsidRPr="002F2BC5">
        <w:rPr>
          <w:rFonts w:hint="cs"/>
          <w:rtl/>
        </w:rPr>
        <w:t xml:space="preserve">עם זאת, מחקרים מצביעים על כך שכבר בגיל 15 מתחילים ניצניה של האלימות הזוגית. </w:t>
      </w:r>
      <w:r w:rsidRPr="002F2BC5">
        <w:rPr>
          <w:rFonts w:hint="eastAsia"/>
          <w:rtl/>
        </w:rPr>
        <w:t>ה</w:t>
      </w:r>
      <w:r w:rsidRPr="002F2BC5">
        <w:rPr>
          <w:rFonts w:hint="cs"/>
          <w:rtl/>
        </w:rPr>
        <w:t>מחקרי</w:t>
      </w:r>
      <w:r w:rsidRPr="002F2BC5">
        <w:rPr>
          <w:rFonts w:hint="eastAsia"/>
          <w:rtl/>
        </w:rPr>
        <w:t>ם</w:t>
      </w:r>
      <w:r w:rsidRPr="002F2BC5">
        <w:rPr>
          <w:rtl/>
        </w:rPr>
        <w:t xml:space="preserve"> </w:t>
      </w:r>
      <w:r w:rsidRPr="002F2BC5">
        <w:rPr>
          <w:rFonts w:hint="cs"/>
          <w:rtl/>
        </w:rPr>
        <w:t>מראים עוד</w:t>
      </w:r>
      <w:r w:rsidRPr="002F2BC5">
        <w:rPr>
          <w:rtl/>
        </w:rPr>
        <w:t xml:space="preserve"> </w:t>
      </w:r>
      <w:r w:rsidRPr="002F2BC5">
        <w:rPr>
          <w:rFonts w:hint="eastAsia"/>
          <w:rtl/>
        </w:rPr>
        <w:t>שלעיתוי</w:t>
      </w:r>
      <w:r w:rsidRPr="002F2BC5">
        <w:rPr>
          <w:rtl/>
        </w:rPr>
        <w:t xml:space="preserve"> פעולות המניעה </w:t>
      </w:r>
      <w:r w:rsidRPr="002F2BC5">
        <w:rPr>
          <w:rFonts w:hint="cs"/>
          <w:rtl/>
        </w:rPr>
        <w:t xml:space="preserve">עשויה להיות השפעה על </w:t>
      </w:r>
      <w:r w:rsidRPr="002F2BC5">
        <w:rPr>
          <w:rFonts w:hint="eastAsia"/>
          <w:rtl/>
        </w:rPr>
        <w:t>מועילותן</w:t>
      </w:r>
      <w:r w:rsidRPr="002F2BC5">
        <w:rPr>
          <w:rtl/>
        </w:rPr>
        <w:t xml:space="preserve"> ב</w:t>
      </w:r>
      <w:r w:rsidRPr="002F2BC5">
        <w:rPr>
          <w:rFonts w:hint="cs"/>
          <w:rtl/>
        </w:rPr>
        <w:t>כל הקשור ל</w:t>
      </w:r>
      <w:r w:rsidRPr="002F2BC5">
        <w:rPr>
          <w:rtl/>
        </w:rPr>
        <w:t xml:space="preserve">שינוי עמדות </w:t>
      </w:r>
      <w:r w:rsidRPr="002F2BC5">
        <w:rPr>
          <w:rFonts w:hint="eastAsia"/>
          <w:rtl/>
        </w:rPr>
        <w:t>ותפיסות</w:t>
      </w:r>
      <w:r w:rsidRPr="002F2BC5">
        <w:rPr>
          <w:rtl/>
        </w:rPr>
        <w:t xml:space="preserve"> </w:t>
      </w:r>
      <w:r w:rsidRPr="002F2BC5">
        <w:rPr>
          <w:rFonts w:hint="eastAsia"/>
          <w:rtl/>
        </w:rPr>
        <w:t>כמו</w:t>
      </w:r>
      <w:r w:rsidRPr="002F2BC5">
        <w:rPr>
          <w:rtl/>
        </w:rPr>
        <w:t xml:space="preserve"> </w:t>
      </w:r>
      <w:r w:rsidRPr="002F2BC5">
        <w:rPr>
          <w:rFonts w:hint="eastAsia"/>
          <w:rtl/>
        </w:rPr>
        <w:t>גם</w:t>
      </w:r>
      <w:r w:rsidRPr="002F2BC5">
        <w:rPr>
          <w:rtl/>
        </w:rPr>
        <w:t xml:space="preserve"> </w:t>
      </w:r>
      <w:r w:rsidRPr="002F2BC5">
        <w:rPr>
          <w:rFonts w:hint="eastAsia"/>
          <w:rtl/>
        </w:rPr>
        <w:t>במניעת</w:t>
      </w:r>
      <w:r w:rsidRPr="002F2BC5">
        <w:rPr>
          <w:rtl/>
        </w:rPr>
        <w:t xml:space="preserve"> </w:t>
      </w:r>
      <w:r w:rsidRPr="002F2BC5">
        <w:rPr>
          <w:rFonts w:hint="eastAsia"/>
          <w:rtl/>
        </w:rPr>
        <w:t>התופעה</w:t>
      </w:r>
      <w:r w:rsidRPr="002F2BC5">
        <w:rPr>
          <w:rStyle w:val="af9"/>
          <w:rtl/>
        </w:rPr>
        <w:footnoteReference w:id="221"/>
      </w:r>
      <w:r w:rsidRPr="002F2BC5">
        <w:rPr>
          <w:rFonts w:hint="cs"/>
          <w:rtl/>
        </w:rPr>
        <w:t>. לפי מחקרים משנות השמונים המאוחרות ומשנות התשעים שבחנו את שכיחות התופעה של אלימות בזוגיות בין בני נוער, שיעורם של בני הנוער החווים אלימות זוגית, ובפרט התנהגות אלימה בתקופת החיזור (</w:t>
      </w:r>
      <w:r w:rsidRPr="002F2BC5">
        <w:t>Dating Violence</w:t>
      </w:r>
      <w:r w:rsidRPr="002F2BC5">
        <w:rPr>
          <w:rFonts w:hint="cs"/>
          <w:rtl/>
        </w:rPr>
        <w:t xml:space="preserve">) (להלן גם - חיזור אלים) נעה בין 9% ל-65% וכי שכיחות התופעה בבתי הספר התיכוניים נעה בין 9% ל-42%. לפי מחקר עדכני שפורסם בשנת 2023 והמתייחס לנתוני סקר שנערך בשנת 2021, </w:t>
      </w:r>
      <w:r w:rsidRPr="002F2BC5">
        <w:rPr>
          <w:rtl/>
        </w:rPr>
        <w:t xml:space="preserve">כ-13.6% מהתלמידים בבתי הספר התיכוניים </w:t>
      </w:r>
      <w:r w:rsidRPr="002F2BC5">
        <w:rPr>
          <w:rFonts w:hint="cs"/>
          <w:rtl/>
        </w:rPr>
        <w:t xml:space="preserve">בארצות הברית </w:t>
      </w:r>
      <w:r w:rsidRPr="002F2BC5">
        <w:rPr>
          <w:rtl/>
        </w:rPr>
        <w:t xml:space="preserve">חוו סוג כלשהו של אלימות </w:t>
      </w:r>
      <w:r w:rsidRPr="002F2BC5">
        <w:rPr>
          <w:rFonts w:hint="cs"/>
          <w:rtl/>
        </w:rPr>
        <w:t>במערכת היחסים ה</w:t>
      </w:r>
      <w:r w:rsidRPr="002F2BC5">
        <w:rPr>
          <w:rtl/>
        </w:rPr>
        <w:t>זוגית (גופנית, מינית או אחרת)</w:t>
      </w:r>
      <w:r w:rsidRPr="002F2BC5">
        <w:rPr>
          <w:rStyle w:val="af9"/>
          <w:rtl/>
        </w:rPr>
        <w:footnoteReference w:id="222"/>
      </w:r>
      <w:r w:rsidRPr="002F2BC5">
        <w:rPr>
          <w:rFonts w:hint="cs"/>
          <w:rtl/>
        </w:rPr>
        <w:t>.</w:t>
      </w:r>
      <w:bookmarkEnd w:id="982"/>
      <w:r w:rsidRPr="002F2BC5">
        <w:rPr>
          <w:rFonts w:hint="cs"/>
          <w:rtl/>
        </w:rPr>
        <w:t xml:space="preserve"> </w:t>
      </w:r>
    </w:p>
    <w:p w14:paraId="337EA680" w14:textId="77777777" w:rsidR="00817399" w:rsidRPr="002F2BC5" w:rsidRDefault="00817399" w:rsidP="00817399">
      <w:pPr>
        <w:spacing w:line="269" w:lineRule="auto"/>
        <w:rPr>
          <w:rtl/>
        </w:rPr>
      </w:pPr>
      <w:r w:rsidRPr="002F2BC5">
        <w:rPr>
          <w:rFonts w:hint="cs"/>
          <w:rtl/>
        </w:rPr>
        <w:lastRenderedPageBreak/>
        <w:t>בממצאי המחקרים הללו יש כדי להעיד על כך שתופעת האלימות הזוגית בגיל ההתבגרות אינה נופלת בחומרתה או בהיקפה מתופעת האלימות הזוגית בגיל הבגרות. לצד זאת, יש לציין כי בדומה לאתגרים הכרוכים במדידתה של תופעת האלימות בתוך התא המשפחתי ובמערכת היחסים הזוגית בכללותן, כך גם מדידתה של התופעה בקרב מתבגרים מורכבת בשל ההבדלים בהגדרת התופעה, בכלי המדידה בהם נעשה שימוש ובתקופה שלגביה מתבצעת המדידה</w:t>
      </w:r>
      <w:r w:rsidRPr="002F2BC5">
        <w:rPr>
          <w:rStyle w:val="af9"/>
          <w:rtl/>
        </w:rPr>
        <w:footnoteReference w:id="223"/>
      </w:r>
      <w:r w:rsidRPr="002F2BC5">
        <w:rPr>
          <w:rFonts w:hint="cs"/>
          <w:rtl/>
        </w:rPr>
        <w:t xml:space="preserve">. </w:t>
      </w:r>
    </w:p>
    <w:p w14:paraId="1CC64435" w14:textId="77777777" w:rsidR="00817399" w:rsidRPr="002F2BC5" w:rsidRDefault="00817399" w:rsidP="00817399">
      <w:pPr>
        <w:spacing w:line="269" w:lineRule="auto"/>
        <w:rPr>
          <w:rtl/>
        </w:rPr>
      </w:pPr>
    </w:p>
    <w:p w14:paraId="7D337892" w14:textId="77777777" w:rsidR="00817399" w:rsidRPr="002F2BC5" w:rsidRDefault="00817399" w:rsidP="00817399">
      <w:pPr>
        <w:spacing w:line="269" w:lineRule="auto"/>
        <w:rPr>
          <w:rtl/>
        </w:rPr>
      </w:pPr>
      <w:bookmarkStart w:id="984" w:name="_Toc191987006"/>
      <w:r w:rsidRPr="002F2BC5">
        <w:rPr>
          <w:rStyle w:val="70"/>
          <w:rFonts w:hint="cs"/>
          <w:rtl/>
        </w:rPr>
        <w:t>הביקורת הקודמת:</w:t>
      </w:r>
      <w:bookmarkEnd w:id="984"/>
      <w:r w:rsidRPr="002F2BC5">
        <w:rPr>
          <w:rStyle w:val="70"/>
          <w:rFonts w:hint="cs"/>
          <w:rtl/>
        </w:rPr>
        <w:t xml:space="preserve"> </w:t>
      </w:r>
      <w:r w:rsidRPr="002F2BC5">
        <w:rPr>
          <w:rFonts w:hint="cs"/>
          <w:rtl/>
        </w:rPr>
        <w:t xml:space="preserve">במהלך הביקורת הקודמת הופעלה התוכנית בשני מודלים: באמצעות יועצים חינוכיים בבתי הספר ובמעורבותו של המרכז לטיפול ומניעת אלימות במשפחה (להלן - המודל בהפעלה משולבת), או באמצעות יועצים חינוכיים ללא מעורבות המרכז (להלן - המודל בהפעלת משרד החינוך). הביקורת הקודמת העלתה כי בידי משרד החינוך לא היו נתונים מלאים על היקף פריסת התוכנית, על מספר בתי הספר שבהן הופעלה ועל מספר התלמידים שנחשפו אליה, וכן לא הוצגו אמות המידה שלפיהן הוחלט באילו רשויות מקומיות ובתי ספר היא תופעל. לפי הנתונים החלקיים שהיו בידי משרד החינוך, התוכנית הופעלה בשנת 2019 בבתי ספר תיכונים בכ-150 רשויות. במודל ההפעלה המשולבת הופעלה התוכנית בשנה זו בכ-12% מכלל בתי הספר התיכונים (כ-200 מתוך כ-1,650) ב-28 רשויות מקומיות ונחשפו אליה כ-1.6% </w:t>
      </w:r>
      <w:bookmarkStart w:id="985" w:name="_Hlk184121940"/>
      <w:r w:rsidRPr="002F2BC5">
        <w:rPr>
          <w:rFonts w:hint="cs"/>
          <w:rtl/>
        </w:rPr>
        <w:t xml:space="preserve">מתלמידי כיתות י"א וי"ב </w:t>
      </w:r>
      <w:bookmarkEnd w:id="985"/>
      <w:r w:rsidRPr="002F2BC5">
        <w:rPr>
          <w:rFonts w:hint="cs"/>
          <w:rtl/>
        </w:rPr>
        <w:t>(כ-4,000 מתוך כ-252,684). בחינת מאפייניהן של הרשויות המקומיות שבהן הופעלה התוכנית במודל ההפעלה המשולבת העלתה כי רובן השתייכו למדד חברתי-כלכלי בינוני, אף כי התופעה נפוצה יותר בקרב רשויות מקומיות שרמתן החברתית-כלכלית נמוכה.</w:t>
      </w:r>
    </w:p>
    <w:p w14:paraId="3AA578A5" w14:textId="77777777" w:rsidR="00817399" w:rsidRPr="002F2BC5" w:rsidRDefault="00817399" w:rsidP="00817399">
      <w:pPr>
        <w:spacing w:line="269" w:lineRule="auto"/>
        <w:rPr>
          <w:rtl/>
        </w:rPr>
      </w:pPr>
    </w:p>
    <w:p w14:paraId="7912124D" w14:textId="77777777" w:rsidR="00817399" w:rsidRPr="002F2BC5" w:rsidRDefault="00817399" w:rsidP="00817399">
      <w:pPr>
        <w:spacing w:line="269" w:lineRule="auto"/>
        <w:rPr>
          <w:rtl/>
        </w:rPr>
      </w:pPr>
      <w:r w:rsidRPr="002F2BC5">
        <w:rPr>
          <w:rFonts w:hint="cs"/>
          <w:rtl/>
        </w:rPr>
        <w:t>הביקורת הקודמת העלתה עוד כי התכנים של התוכנית לא עודכנו זה יותר מעשור וכי התקציב בסך של כ-2.2 מיליון ש"ח שיועד לצורך כך טרם הועבר ממשרד הרווחה למשרד החינוך. כך גם נמצא כי לא נבחנה מועילותה של התוכנית בהשגת יעדיה</w:t>
      </w:r>
      <w:r w:rsidRPr="002F2BC5">
        <w:rPr>
          <w:rtl/>
        </w:rPr>
        <w:t>.</w:t>
      </w:r>
      <w:r w:rsidRPr="002F2BC5">
        <w:rPr>
          <w:rFonts w:hint="cs"/>
          <w:rtl/>
        </w:rPr>
        <w:t xml:space="preserve"> </w:t>
      </w:r>
    </w:p>
    <w:p w14:paraId="4555154D" w14:textId="77777777" w:rsidR="00817399" w:rsidRPr="002F2BC5" w:rsidRDefault="00817399" w:rsidP="00817399">
      <w:pPr>
        <w:spacing w:line="269" w:lineRule="auto"/>
        <w:rPr>
          <w:rtl/>
        </w:rPr>
      </w:pPr>
    </w:p>
    <w:p w14:paraId="6C1EF23A" w14:textId="77777777" w:rsidR="00817399" w:rsidRPr="002F2BC5" w:rsidRDefault="00817399" w:rsidP="00817399">
      <w:pPr>
        <w:spacing w:line="269" w:lineRule="auto"/>
        <w:rPr>
          <w:rtl/>
        </w:rPr>
      </w:pPr>
      <w:r w:rsidRPr="002F2BC5">
        <w:rPr>
          <w:rFonts w:hint="cs"/>
          <w:rtl/>
        </w:rPr>
        <w:t xml:space="preserve">משרד מבקר המדינה המליץ למשרד הרווחה ולמשרד החינוך </w:t>
      </w:r>
      <w:r w:rsidRPr="002F2BC5">
        <w:rPr>
          <w:rtl/>
        </w:rPr>
        <w:t xml:space="preserve">לקדם מדיניות אחידה </w:t>
      </w:r>
      <w:r w:rsidRPr="002F2BC5">
        <w:rPr>
          <w:rFonts w:hint="cs"/>
          <w:rtl/>
        </w:rPr>
        <w:t>ומתואמת בכל הנוגע לפעולות המניעה הראשונית במערכת החינוך. כן הציע לפעול לבחינת מועילות התוכנית "חברות וזוגיות" ולהרחבת פריסתה לרשויות מקומיות ולבתי ספר נוספים. זאת על פי סדרי עדיפויות שייקבע משרד החינוך ובהלימה לצורכי הרשויות המקומיות</w:t>
      </w:r>
      <w:r w:rsidRPr="002F2BC5">
        <w:rPr>
          <w:rtl/>
        </w:rPr>
        <w:t>.</w:t>
      </w:r>
      <w:r w:rsidRPr="002F2BC5">
        <w:rPr>
          <w:rFonts w:hint="cs"/>
          <w:rtl/>
        </w:rPr>
        <w:t xml:space="preserve"> לצד האמור הומלץ לבחון את הרחבת התוכנית לגילים הצעירים ועדכון התכנים הלימודיים בהתאם לכך. </w:t>
      </w:r>
    </w:p>
    <w:p w14:paraId="7A3F914E" w14:textId="77777777" w:rsidR="00817399" w:rsidRPr="002F2BC5" w:rsidRDefault="00817399" w:rsidP="00817399">
      <w:pPr>
        <w:spacing w:line="269" w:lineRule="auto"/>
        <w:rPr>
          <w:rtl/>
        </w:rPr>
      </w:pPr>
    </w:p>
    <w:p w14:paraId="73B64F73" w14:textId="77777777" w:rsidR="00817399" w:rsidRPr="002F2BC5" w:rsidRDefault="00817399" w:rsidP="00817399">
      <w:pPr>
        <w:spacing w:line="269" w:lineRule="auto"/>
        <w:rPr>
          <w:rtl/>
        </w:rPr>
      </w:pPr>
      <w:r w:rsidRPr="002F2BC5">
        <w:rPr>
          <w:rFonts w:hint="cs"/>
          <w:rtl/>
        </w:rPr>
        <w:t xml:space="preserve">משרד הרווחה ומשרד החינוך מסרו בתשובותיהם לביקורת הקודמת מפברואר וממרץ 2021 כי לפי המלצתה של ועדת רוזנבאום, האחריות להובלת התוכנית תועבר למשרד החינוך בשיתוף משרד הרווחה. עוד מסרו כי תוכנית הלימודים מצויה בשלבי עדכון, והיא מתוכננת לפעול בפריסה ארצית בחטיבות העליונות במערכת החינוך הרשמית. משרד הרווחה הוסיף כי הוא מסכים לכך שיש לגבש מחקר מלווה למדידת מועילות התוכנית. משרד החינוך מסר עוד כי נתונים על הפעלת התוכנית נאספים באמצעות סקר שממלאות היועצות החינוכיות בבתי הספר וכי צוות ההיגוי המלווה באופן קבוע את התוכנית יפעל לבחינת הצורך בקביעת מדדים תוצאתיים נוספים לבחינת מועילות התוכנית. אשר לפריסה הגיאוגרפית של התוכנית, משרד החינוך מסר כי לא היה מעורב בהחלטת משרד הרווחה באילו רשויות מקומיות תופעל התוכנית. </w:t>
      </w:r>
    </w:p>
    <w:p w14:paraId="3412E132" w14:textId="77777777" w:rsidR="00817399" w:rsidRPr="002F2BC5" w:rsidRDefault="00817399" w:rsidP="00817399">
      <w:pPr>
        <w:spacing w:line="269" w:lineRule="auto"/>
        <w:rPr>
          <w:rtl/>
        </w:rPr>
      </w:pPr>
    </w:p>
    <w:p w14:paraId="5355FCBA" w14:textId="20DE1253" w:rsidR="00817399" w:rsidRPr="002F2BC5" w:rsidRDefault="00817399" w:rsidP="00817399">
      <w:pPr>
        <w:spacing w:line="269" w:lineRule="auto"/>
        <w:rPr>
          <w:color w:val="000000" w:themeColor="text1"/>
          <w:rtl/>
        </w:rPr>
      </w:pPr>
      <w:bookmarkStart w:id="986" w:name="_Toc191987007"/>
      <w:r w:rsidRPr="002F2BC5">
        <w:rPr>
          <w:rStyle w:val="70"/>
          <w:rFonts w:hint="cs"/>
          <w:rtl/>
        </w:rPr>
        <w:t>ביקורת המעקב:</w:t>
      </w:r>
      <w:bookmarkEnd w:id="986"/>
      <w:r w:rsidRPr="002F2BC5">
        <w:rPr>
          <w:rStyle w:val="70"/>
          <w:rFonts w:hint="cs"/>
          <w:rtl/>
        </w:rPr>
        <w:t xml:space="preserve"> </w:t>
      </w:r>
      <w:r w:rsidRPr="002F2BC5">
        <w:rPr>
          <w:rFonts w:hint="cs"/>
          <w:color w:val="000000" w:themeColor="text1"/>
          <w:rtl/>
        </w:rPr>
        <w:t>נמצא כי בשנת 2023 הושלם המהלך להעברת האחריות להובלת התוכנית "חברות וזוגיות" למשרד החינוך (המודל בהפעלת משרד החינוך)</w:t>
      </w:r>
      <w:r w:rsidRPr="002F2BC5">
        <w:rPr>
          <w:color w:val="000000" w:themeColor="text1"/>
          <w:rtl/>
        </w:rPr>
        <w:t xml:space="preserve">. </w:t>
      </w:r>
      <w:r w:rsidRPr="002F2BC5">
        <w:rPr>
          <w:rFonts w:hint="cs"/>
          <w:color w:val="000000" w:themeColor="text1"/>
          <w:rtl/>
        </w:rPr>
        <w:t xml:space="preserve">במועד סיום ביקורת המעקב, בדצמבר 2024, הופעלה התוכנית בכ-79% מבתי הספר בחינוך הרשמי הרגיל (663 מתוך 839), ובשנה זו נחשפו אליה כ-73% </w:t>
      </w:r>
      <w:r w:rsidRPr="002F2BC5">
        <w:rPr>
          <w:color w:val="000000" w:themeColor="text1"/>
          <w:rtl/>
        </w:rPr>
        <w:t>מתלמידי כיתות י"א</w:t>
      </w:r>
      <w:r w:rsidRPr="002F2BC5">
        <w:rPr>
          <w:rFonts w:hint="cs"/>
          <w:color w:val="000000" w:themeColor="text1"/>
          <w:rtl/>
        </w:rPr>
        <w:t xml:space="preserve"> בחינוך הרשמי</w:t>
      </w:r>
      <w:r w:rsidRPr="002F2BC5">
        <w:rPr>
          <w:color w:val="000000" w:themeColor="text1"/>
          <w:rtl/>
        </w:rPr>
        <w:t xml:space="preserve"> </w:t>
      </w:r>
      <w:r w:rsidRPr="002F2BC5">
        <w:rPr>
          <w:rFonts w:hint="cs"/>
          <w:color w:val="000000" w:themeColor="text1"/>
          <w:rtl/>
        </w:rPr>
        <w:t xml:space="preserve">הרגיל (71,093 מתוך 97,615). יצוין כי שיעורם של תלמידי כיתות י"א שנחשפו לתוכנית מכלל הנערים והנערות בשכבת גיל זו, </w:t>
      </w:r>
      <w:r w:rsidRPr="002F2BC5">
        <w:rPr>
          <w:rFonts w:hint="cs"/>
          <w:color w:val="000000" w:themeColor="text1"/>
          <w:rtl/>
        </w:rPr>
        <w:lastRenderedPageBreak/>
        <w:t>לפי נתוני הלמ"ס, היה נמוך יותר ועמד על כ-47% (71,093 מתוך 151,475)</w:t>
      </w:r>
      <w:r w:rsidRPr="002F2BC5">
        <w:rPr>
          <w:rStyle w:val="af9"/>
          <w:color w:val="000000" w:themeColor="text1"/>
          <w:rtl/>
        </w:rPr>
        <w:footnoteReference w:id="224"/>
      </w:r>
      <w:r w:rsidRPr="002F2BC5">
        <w:rPr>
          <w:rFonts w:hint="cs"/>
          <w:color w:val="000000" w:themeColor="text1"/>
          <w:rtl/>
        </w:rPr>
        <w:t>. ריכוז הנתונים מובא ב</w:t>
      </w:r>
      <w:r w:rsidRPr="002F2BC5">
        <w:rPr>
          <w:color w:val="000000" w:themeColor="text1"/>
          <w:rtl/>
        </w:rPr>
        <w:fldChar w:fldCharType="begin"/>
      </w:r>
      <w:r w:rsidRPr="002F2BC5">
        <w:rPr>
          <w:color w:val="000000" w:themeColor="text1"/>
          <w:rtl/>
        </w:rPr>
        <w:instrText xml:space="preserve"> </w:instrText>
      </w:r>
      <w:r w:rsidRPr="002F2BC5">
        <w:rPr>
          <w:rFonts w:hint="cs"/>
          <w:color w:val="000000" w:themeColor="text1"/>
        </w:rPr>
        <w:instrText>REF</w:instrText>
      </w:r>
      <w:r w:rsidRPr="002F2BC5">
        <w:rPr>
          <w:rFonts w:hint="cs"/>
          <w:color w:val="000000" w:themeColor="text1"/>
          <w:rtl/>
        </w:rPr>
        <w:instrText xml:space="preserve"> _</w:instrText>
      </w:r>
      <w:r w:rsidRPr="002F2BC5">
        <w:rPr>
          <w:rFonts w:hint="cs"/>
          <w:color w:val="000000" w:themeColor="text1"/>
        </w:rPr>
        <w:instrText>Ref186543488 \n \h</w:instrText>
      </w:r>
      <w:r w:rsidRPr="002F2BC5">
        <w:rPr>
          <w:color w:val="000000" w:themeColor="text1"/>
          <w:rtl/>
        </w:rPr>
        <w:instrText xml:space="preserve">  \* </w:instrText>
      </w:r>
      <w:r w:rsidRPr="002F2BC5">
        <w:rPr>
          <w:color w:val="000000" w:themeColor="text1"/>
        </w:rPr>
        <w:instrText>MERGEFORMAT</w:instrText>
      </w:r>
      <w:r w:rsidRPr="002F2BC5">
        <w:rPr>
          <w:color w:val="000000" w:themeColor="text1"/>
          <w:rtl/>
        </w:rPr>
        <w:instrText xml:space="preserve"> </w:instrText>
      </w:r>
      <w:r w:rsidRPr="002F2BC5">
        <w:rPr>
          <w:color w:val="000000" w:themeColor="text1"/>
          <w:rtl/>
        </w:rPr>
      </w:r>
      <w:r w:rsidRPr="002F2BC5">
        <w:rPr>
          <w:color w:val="000000" w:themeColor="text1"/>
          <w:rtl/>
        </w:rPr>
        <w:fldChar w:fldCharType="separate"/>
      </w:r>
      <w:r w:rsidR="00BB5E31">
        <w:rPr>
          <w:color w:val="000000" w:themeColor="text1"/>
          <w:cs/>
        </w:rPr>
        <w:t>‎</w:t>
      </w:r>
      <w:r w:rsidR="00BB5E31">
        <w:rPr>
          <w:color w:val="000000" w:themeColor="text1"/>
          <w:rtl/>
        </w:rPr>
        <w:t>תרשים 14</w:t>
      </w:r>
      <w:r w:rsidRPr="002F2BC5">
        <w:rPr>
          <w:color w:val="000000" w:themeColor="text1"/>
          <w:rtl/>
        </w:rPr>
        <w:fldChar w:fldCharType="end"/>
      </w:r>
      <w:r w:rsidRPr="002F2BC5">
        <w:rPr>
          <w:rFonts w:hint="cs"/>
          <w:color w:val="000000" w:themeColor="text1"/>
          <w:rtl/>
        </w:rPr>
        <w:t xml:space="preserve"> שלהלן.</w:t>
      </w:r>
    </w:p>
    <w:p w14:paraId="24CD42F0" w14:textId="77777777" w:rsidR="00817399" w:rsidRPr="002F2BC5" w:rsidRDefault="00817399" w:rsidP="00817399">
      <w:pPr>
        <w:spacing w:line="269" w:lineRule="auto"/>
        <w:rPr>
          <w:rtl/>
        </w:rPr>
      </w:pPr>
    </w:p>
    <w:p w14:paraId="718DC315" w14:textId="77777777" w:rsidR="00817399" w:rsidRPr="002F2BC5" w:rsidRDefault="00817399" w:rsidP="00817399">
      <w:pPr>
        <w:pStyle w:val="a9"/>
        <w:spacing w:line="269" w:lineRule="auto"/>
        <w:rPr>
          <w:rtl/>
        </w:rPr>
      </w:pPr>
      <w:bookmarkStart w:id="987" w:name="_Ref186543488"/>
      <w:bookmarkStart w:id="988" w:name="_Toc192672906"/>
      <w:r w:rsidRPr="002F2BC5">
        <w:rPr>
          <w:rFonts w:hint="cs"/>
          <w:rtl/>
        </w:rPr>
        <w:t>:</w:t>
      </w:r>
      <w:bookmarkEnd w:id="987"/>
      <w:r w:rsidRPr="002F2BC5">
        <w:rPr>
          <w:rFonts w:hint="cs"/>
          <w:rtl/>
        </w:rPr>
        <w:t xml:space="preserve"> </w:t>
      </w:r>
      <w:r w:rsidRPr="002F2BC5">
        <w:rPr>
          <w:rFonts w:hint="cs"/>
          <w:b w:val="0"/>
          <w:bCs/>
          <w:rtl/>
        </w:rPr>
        <w:t xml:space="preserve">שיעורם של בתי הספר והתלמידים בכיתות י"א בחינוך הרשמי הרגיל </w:t>
      </w:r>
      <w:r w:rsidRPr="002F2BC5">
        <w:rPr>
          <w:b w:val="0"/>
          <w:bCs/>
          <w:rtl/>
        </w:rPr>
        <w:br/>
      </w:r>
      <w:r w:rsidRPr="002F2BC5">
        <w:rPr>
          <w:rFonts w:hint="cs"/>
          <w:b w:val="0"/>
          <w:bCs/>
          <w:rtl/>
        </w:rPr>
        <w:t>שנחשפו לתוכנית "חברות וזוגיות", 2023, ושיעורם של התלמידים שנחשפו לתוכנית</w:t>
      </w:r>
      <w:r w:rsidRPr="002F2BC5">
        <w:rPr>
          <w:b w:val="0"/>
          <w:bCs/>
          <w:rtl/>
        </w:rPr>
        <w:br/>
      </w:r>
      <w:r w:rsidRPr="002F2BC5">
        <w:rPr>
          <w:rFonts w:hint="cs"/>
          <w:b w:val="0"/>
          <w:bCs/>
          <w:rtl/>
        </w:rPr>
        <w:t>מכלל הנערים והנערות בשכבת גיל זו, 2022</w:t>
      </w:r>
      <w:bookmarkEnd w:id="988"/>
    </w:p>
    <w:p w14:paraId="6681EAEC" w14:textId="77777777" w:rsidR="00817399" w:rsidRPr="002F2BC5" w:rsidRDefault="00817399" w:rsidP="00817399">
      <w:pPr>
        <w:pStyle w:val="afffffff4"/>
        <w:bidi/>
        <w:spacing w:before="0" w:after="0" w:line="269" w:lineRule="auto"/>
      </w:pPr>
      <w:r w:rsidRPr="002F2BC5">
        <w:rPr>
          <w:noProof/>
        </w:rPr>
        <w:drawing>
          <wp:inline distT="0" distB="0" distL="0" distR="0" wp14:anchorId="708C47E5" wp14:editId="50AF1247">
            <wp:extent cx="4320000" cy="1700465"/>
            <wp:effectExtent l="0" t="0" r="4445" b="0"/>
            <wp:docPr id="51" name="תמונה 5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700465"/>
                    </a:xfrm>
                    <a:prstGeom prst="rect">
                      <a:avLst/>
                    </a:prstGeom>
                  </pic:spPr>
                </pic:pic>
              </a:graphicData>
            </a:graphic>
          </wp:inline>
        </w:drawing>
      </w:r>
      <w:r w:rsidRPr="002F2BC5">
        <w:rPr>
          <w:rtl/>
        </w:rPr>
        <w:t xml:space="preserve"> </w:t>
      </w:r>
      <w:r w:rsidRPr="002F2BC5">
        <w:rPr>
          <w:noProof/>
        </w:rPr>
        <w:t xml:space="preserve"> </w:t>
      </w:r>
    </w:p>
    <w:p w14:paraId="211E47F6" w14:textId="77777777" w:rsidR="00817399" w:rsidRPr="002F2BC5" w:rsidRDefault="00817399" w:rsidP="00817399">
      <w:pPr>
        <w:pStyle w:val="afffffff1"/>
        <w:bidi/>
        <w:spacing w:line="269" w:lineRule="auto"/>
        <w:rPr>
          <w:rtl/>
        </w:rPr>
      </w:pPr>
      <w:r w:rsidRPr="002F2BC5">
        <w:rPr>
          <w:rFonts w:hint="cs"/>
          <w:rtl/>
        </w:rPr>
        <w:t>על פי נתוני משרד החינוך על הפעלת התוכנית "חברות וזוגיות" בשנת 2023 ונתוני הלמ"ס על נערים ונערות בני 16 בשנת 2022, בעיבוד משרד מבקר המדינה.</w:t>
      </w:r>
    </w:p>
    <w:p w14:paraId="21BB753F" w14:textId="77777777" w:rsidR="00817399" w:rsidRPr="002F2BC5" w:rsidRDefault="00817399" w:rsidP="00817399">
      <w:pPr>
        <w:spacing w:line="269" w:lineRule="auto"/>
        <w:rPr>
          <w:rtl/>
        </w:rPr>
      </w:pPr>
    </w:p>
    <w:p w14:paraId="2F8DB34D" w14:textId="77777777" w:rsidR="00817399" w:rsidRPr="002F2BC5" w:rsidRDefault="00817399" w:rsidP="00817399">
      <w:pPr>
        <w:spacing w:line="269" w:lineRule="auto"/>
      </w:pPr>
      <w:r w:rsidRPr="002F2BC5">
        <w:rPr>
          <w:rFonts w:hint="eastAsia"/>
          <w:rtl/>
        </w:rPr>
        <w:t>עוד</w:t>
      </w:r>
      <w:r w:rsidRPr="002F2BC5">
        <w:rPr>
          <w:rtl/>
        </w:rPr>
        <w:t xml:space="preserve"> </w:t>
      </w:r>
      <w:r w:rsidRPr="002F2BC5">
        <w:rPr>
          <w:rFonts w:hint="eastAsia"/>
          <w:rtl/>
        </w:rPr>
        <w:t>הועלה</w:t>
      </w:r>
      <w:r w:rsidRPr="002F2BC5">
        <w:rPr>
          <w:rtl/>
        </w:rPr>
        <w:t xml:space="preserve"> </w:t>
      </w:r>
      <w:r w:rsidRPr="002F2BC5">
        <w:rPr>
          <w:rFonts w:hint="eastAsia"/>
          <w:rtl/>
        </w:rPr>
        <w:t>בביקורת</w:t>
      </w:r>
      <w:r w:rsidRPr="002F2BC5">
        <w:rPr>
          <w:rtl/>
        </w:rPr>
        <w:t xml:space="preserve"> </w:t>
      </w:r>
      <w:r w:rsidRPr="002F2BC5">
        <w:rPr>
          <w:rFonts w:hint="eastAsia"/>
          <w:rtl/>
        </w:rPr>
        <w:t>המעקב</w:t>
      </w:r>
      <w:r w:rsidRPr="002F2BC5">
        <w:rPr>
          <w:rtl/>
        </w:rPr>
        <w:t xml:space="preserve"> כי </w:t>
      </w:r>
      <w:r w:rsidRPr="002F2BC5">
        <w:rPr>
          <w:rFonts w:hint="eastAsia"/>
          <w:rtl/>
        </w:rPr>
        <w:t>באוקטובר</w:t>
      </w:r>
      <w:r w:rsidRPr="002F2BC5">
        <w:rPr>
          <w:rtl/>
        </w:rPr>
        <w:t xml:space="preserve"> 2024 </w:t>
      </w:r>
      <w:r w:rsidRPr="002F2BC5">
        <w:rPr>
          <w:rFonts w:hint="eastAsia"/>
          <w:rtl/>
        </w:rPr>
        <w:t>החל</w:t>
      </w:r>
      <w:r w:rsidRPr="002F2BC5">
        <w:rPr>
          <w:rtl/>
        </w:rPr>
        <w:t xml:space="preserve"> </w:t>
      </w:r>
      <w:r w:rsidRPr="002F2BC5">
        <w:rPr>
          <w:rFonts w:hint="eastAsia"/>
          <w:rtl/>
        </w:rPr>
        <w:t>משרד</w:t>
      </w:r>
      <w:r w:rsidRPr="002F2BC5">
        <w:rPr>
          <w:rtl/>
        </w:rPr>
        <w:t xml:space="preserve"> </w:t>
      </w:r>
      <w:r w:rsidRPr="002F2BC5">
        <w:rPr>
          <w:rFonts w:hint="eastAsia"/>
          <w:rtl/>
        </w:rPr>
        <w:t>החינוך</w:t>
      </w:r>
      <w:r w:rsidRPr="002F2BC5">
        <w:rPr>
          <w:rtl/>
        </w:rPr>
        <w:t xml:space="preserve"> </w:t>
      </w:r>
      <w:r w:rsidRPr="002F2BC5">
        <w:rPr>
          <w:rFonts w:hint="eastAsia"/>
          <w:rtl/>
        </w:rPr>
        <w:t>בביצועו</w:t>
      </w:r>
      <w:r w:rsidRPr="002F2BC5">
        <w:rPr>
          <w:rtl/>
        </w:rPr>
        <w:t xml:space="preserve"> </w:t>
      </w:r>
      <w:r w:rsidRPr="002F2BC5">
        <w:rPr>
          <w:rFonts w:hint="eastAsia"/>
          <w:rtl/>
        </w:rPr>
        <w:t>של</w:t>
      </w:r>
      <w:r w:rsidRPr="002F2BC5">
        <w:rPr>
          <w:rtl/>
        </w:rPr>
        <w:t xml:space="preserve"> מחקר מלווה על </w:t>
      </w:r>
      <w:r w:rsidRPr="002F2BC5">
        <w:rPr>
          <w:rFonts w:hint="cs"/>
          <w:rtl/>
        </w:rPr>
        <w:t>ה</w:t>
      </w:r>
      <w:r w:rsidRPr="002F2BC5">
        <w:rPr>
          <w:rtl/>
        </w:rPr>
        <w:t xml:space="preserve">תוכנית "חברות וזוגיות" ועל מועילותה בהתמודדות עם תופעת האלימות במשפחה באמצעות שאלוני דיווח עצמי </w:t>
      </w:r>
      <w:r w:rsidRPr="002F2BC5">
        <w:rPr>
          <w:rFonts w:hint="eastAsia"/>
          <w:rtl/>
        </w:rPr>
        <w:t>וראיונות</w:t>
      </w:r>
      <w:r w:rsidRPr="002F2BC5">
        <w:rPr>
          <w:rtl/>
        </w:rPr>
        <w:t xml:space="preserve"> עומק. </w:t>
      </w:r>
      <w:r w:rsidRPr="002F2BC5">
        <w:rPr>
          <w:rFonts w:hint="eastAsia"/>
          <w:rtl/>
        </w:rPr>
        <w:t>המחקר</w:t>
      </w:r>
      <w:r w:rsidRPr="002F2BC5">
        <w:rPr>
          <w:rtl/>
        </w:rPr>
        <w:t xml:space="preserve"> </w:t>
      </w:r>
      <w:r w:rsidRPr="002F2BC5">
        <w:rPr>
          <w:rFonts w:hint="eastAsia"/>
          <w:rtl/>
        </w:rPr>
        <w:t>מתבצע</w:t>
      </w:r>
      <w:r w:rsidRPr="002F2BC5">
        <w:rPr>
          <w:rtl/>
        </w:rPr>
        <w:t xml:space="preserve"> בליווי לשכת המדען הראשי והיחידה המקצועית האחראית </w:t>
      </w:r>
      <w:r w:rsidRPr="002F2BC5">
        <w:rPr>
          <w:rFonts w:hint="cs"/>
          <w:rtl/>
        </w:rPr>
        <w:t>ל</w:t>
      </w:r>
      <w:r w:rsidRPr="002F2BC5">
        <w:rPr>
          <w:rtl/>
        </w:rPr>
        <w:t>תוכנית במשרד החינוך</w:t>
      </w:r>
      <w:r w:rsidRPr="002F2BC5">
        <w:rPr>
          <w:rFonts w:hint="cs"/>
          <w:rtl/>
        </w:rPr>
        <w:t>,</w:t>
      </w:r>
      <w:r w:rsidRPr="002F2BC5">
        <w:rPr>
          <w:rtl/>
        </w:rPr>
        <w:t xml:space="preserve"> </w:t>
      </w:r>
      <w:r w:rsidRPr="002F2BC5">
        <w:rPr>
          <w:rFonts w:hint="eastAsia"/>
          <w:rtl/>
        </w:rPr>
        <w:t>והוא</w:t>
      </w:r>
      <w:r w:rsidRPr="002F2BC5">
        <w:rPr>
          <w:rtl/>
        </w:rPr>
        <w:t xml:space="preserve"> </w:t>
      </w:r>
      <w:r w:rsidRPr="002F2BC5">
        <w:rPr>
          <w:rFonts w:hint="eastAsia"/>
          <w:rtl/>
        </w:rPr>
        <w:t>צפוי</w:t>
      </w:r>
      <w:r w:rsidRPr="002F2BC5">
        <w:rPr>
          <w:rtl/>
        </w:rPr>
        <w:t xml:space="preserve"> </w:t>
      </w:r>
      <w:r w:rsidRPr="002F2BC5">
        <w:rPr>
          <w:rFonts w:hint="eastAsia"/>
          <w:rtl/>
        </w:rPr>
        <w:t>להסתיים</w:t>
      </w:r>
      <w:r w:rsidRPr="002F2BC5">
        <w:rPr>
          <w:rtl/>
        </w:rPr>
        <w:t xml:space="preserve"> </w:t>
      </w:r>
      <w:r w:rsidRPr="002F2BC5">
        <w:rPr>
          <w:rFonts w:hint="eastAsia"/>
          <w:rtl/>
        </w:rPr>
        <w:t>בספטמבר</w:t>
      </w:r>
      <w:r w:rsidRPr="002F2BC5">
        <w:rPr>
          <w:rtl/>
        </w:rPr>
        <w:t xml:space="preserve"> 2025.</w:t>
      </w:r>
    </w:p>
    <w:p w14:paraId="6A245A66" w14:textId="77777777" w:rsidR="00817399" w:rsidRPr="002F2BC5" w:rsidRDefault="00817399" w:rsidP="00817399">
      <w:pPr>
        <w:spacing w:line="269" w:lineRule="auto"/>
        <w:rPr>
          <w:rtl/>
        </w:rPr>
      </w:pPr>
    </w:p>
    <w:p w14:paraId="0FACFB8F" w14:textId="77777777" w:rsidR="00817399" w:rsidRPr="002F2BC5" w:rsidRDefault="00817399" w:rsidP="00817399">
      <w:pPr>
        <w:pStyle w:val="afffffff9"/>
        <w:spacing w:line="269" w:lineRule="auto"/>
        <w:rPr>
          <w:rtl/>
        </w:rPr>
      </w:pPr>
      <w:bookmarkStart w:id="989" w:name="_Toc198312236"/>
      <w:bookmarkStart w:id="990" w:name="_Toc198312711"/>
      <w:bookmarkStart w:id="991" w:name="_Toc200636892"/>
      <w:bookmarkStart w:id="992" w:name="_Toc200439891"/>
      <w:bookmarkStart w:id="993" w:name="_Toc201240996"/>
      <w:bookmarkStart w:id="994" w:name="_Toc191987008"/>
      <w:bookmarkStart w:id="995" w:name="_Toc192093096"/>
      <w:bookmarkStart w:id="996" w:name="_Toc192612804"/>
      <w:r w:rsidRPr="002F2BC5">
        <w:rPr>
          <w:rtl/>
        </w:rPr>
        <w:t xml:space="preserve">הביקורת הקודמת העלתה כי בידי משרד החינוך לא היו נתונים מלאים על היקף פריסת </w:t>
      </w:r>
      <w:r w:rsidRPr="002F2BC5">
        <w:rPr>
          <w:rFonts w:hint="eastAsia"/>
          <w:rtl/>
        </w:rPr>
        <w:t>התוכנית</w:t>
      </w:r>
      <w:r w:rsidRPr="002F2BC5">
        <w:rPr>
          <w:rtl/>
        </w:rPr>
        <w:t xml:space="preserve"> "חברות </w:t>
      </w:r>
      <w:r w:rsidRPr="002F2BC5">
        <w:rPr>
          <w:rFonts w:hint="eastAsia"/>
          <w:rtl/>
        </w:rPr>
        <w:t>וזוגיות</w:t>
      </w:r>
      <w:r w:rsidRPr="002F2BC5">
        <w:rPr>
          <w:rtl/>
        </w:rPr>
        <w:t>"</w:t>
      </w:r>
      <w:r w:rsidRPr="002F2BC5">
        <w:rPr>
          <w:rFonts w:hint="cs"/>
          <w:rtl/>
        </w:rPr>
        <w:t>,</w:t>
      </w:r>
      <w:r w:rsidRPr="002F2BC5">
        <w:rPr>
          <w:rtl/>
        </w:rPr>
        <w:t xml:space="preserve"> ובמודל ההפעלה המשולבת</w:t>
      </w:r>
      <w:r w:rsidRPr="002F2BC5">
        <w:rPr>
          <w:rFonts w:hint="cs"/>
          <w:rtl/>
        </w:rPr>
        <w:t xml:space="preserve"> הופעלה</w:t>
      </w:r>
      <w:r w:rsidRPr="002F2BC5">
        <w:rPr>
          <w:rtl/>
        </w:rPr>
        <w:t xml:space="preserve"> </w:t>
      </w:r>
      <w:r w:rsidRPr="002F2BC5">
        <w:rPr>
          <w:rFonts w:hint="cs"/>
          <w:rtl/>
        </w:rPr>
        <w:t xml:space="preserve">התוכנית </w:t>
      </w:r>
      <w:r w:rsidRPr="002F2BC5">
        <w:rPr>
          <w:rFonts w:hint="eastAsia"/>
          <w:rtl/>
        </w:rPr>
        <w:t>בכ</w:t>
      </w:r>
      <w:r w:rsidRPr="002F2BC5">
        <w:rPr>
          <w:rtl/>
        </w:rPr>
        <w:t xml:space="preserve">-12% מכלל בתי הספר </w:t>
      </w:r>
      <w:r w:rsidRPr="002F2BC5">
        <w:rPr>
          <w:rFonts w:hint="eastAsia"/>
          <w:rtl/>
        </w:rPr>
        <w:t>התיכוני</w:t>
      </w:r>
      <w:r w:rsidRPr="002F2BC5">
        <w:rPr>
          <w:rFonts w:hint="cs"/>
          <w:rtl/>
        </w:rPr>
        <w:t>י</w:t>
      </w:r>
      <w:r w:rsidRPr="002F2BC5">
        <w:rPr>
          <w:rFonts w:hint="eastAsia"/>
          <w:rtl/>
        </w:rPr>
        <w:t>ם</w:t>
      </w:r>
      <w:r w:rsidRPr="002F2BC5">
        <w:rPr>
          <w:rtl/>
        </w:rPr>
        <w:t xml:space="preserve"> </w:t>
      </w:r>
      <w:r w:rsidRPr="002F2BC5">
        <w:rPr>
          <w:rFonts w:hint="eastAsia"/>
          <w:rtl/>
        </w:rPr>
        <w:t>ונחשפו</w:t>
      </w:r>
      <w:r w:rsidRPr="002F2BC5">
        <w:rPr>
          <w:rtl/>
        </w:rPr>
        <w:t xml:space="preserve"> </w:t>
      </w:r>
      <w:r w:rsidRPr="002F2BC5">
        <w:rPr>
          <w:rFonts w:hint="eastAsia"/>
          <w:rtl/>
        </w:rPr>
        <w:t>אליה</w:t>
      </w:r>
      <w:r w:rsidRPr="002F2BC5">
        <w:rPr>
          <w:rtl/>
        </w:rPr>
        <w:t xml:space="preserve"> </w:t>
      </w:r>
      <w:r w:rsidRPr="002F2BC5">
        <w:rPr>
          <w:rFonts w:hint="eastAsia"/>
          <w:rtl/>
        </w:rPr>
        <w:t>כ</w:t>
      </w:r>
      <w:r w:rsidRPr="002F2BC5">
        <w:rPr>
          <w:rtl/>
        </w:rPr>
        <w:t xml:space="preserve">-1.6% </w:t>
      </w:r>
      <w:r w:rsidRPr="002F2BC5">
        <w:rPr>
          <w:rFonts w:hint="eastAsia"/>
          <w:rtl/>
        </w:rPr>
        <w:t>מתלמידי</w:t>
      </w:r>
      <w:r w:rsidRPr="002F2BC5">
        <w:rPr>
          <w:rtl/>
        </w:rPr>
        <w:t xml:space="preserve"> </w:t>
      </w:r>
      <w:r w:rsidRPr="002F2BC5">
        <w:rPr>
          <w:rFonts w:hint="eastAsia"/>
          <w:rtl/>
        </w:rPr>
        <w:t>כיתות</w:t>
      </w:r>
      <w:r w:rsidRPr="002F2BC5">
        <w:rPr>
          <w:rtl/>
        </w:rPr>
        <w:t xml:space="preserve"> </w:t>
      </w:r>
      <w:r w:rsidRPr="002F2BC5">
        <w:rPr>
          <w:rFonts w:hint="eastAsia"/>
          <w:rtl/>
        </w:rPr>
        <w:t>י</w:t>
      </w:r>
      <w:r w:rsidRPr="002F2BC5">
        <w:rPr>
          <w:rtl/>
        </w:rPr>
        <w:t xml:space="preserve">"א </w:t>
      </w:r>
      <w:r w:rsidRPr="002F2BC5">
        <w:rPr>
          <w:rFonts w:hint="eastAsia"/>
          <w:rtl/>
        </w:rPr>
        <w:t>וי</w:t>
      </w:r>
      <w:r w:rsidRPr="002F2BC5">
        <w:rPr>
          <w:rtl/>
        </w:rPr>
        <w:t xml:space="preserve">"ב. כך גם נמצא כי לא נבחנה </w:t>
      </w:r>
      <w:r w:rsidRPr="002F2BC5">
        <w:rPr>
          <w:rFonts w:hint="cs"/>
          <w:rtl/>
        </w:rPr>
        <w:t>מועילותה</w:t>
      </w:r>
      <w:r w:rsidRPr="002F2BC5">
        <w:rPr>
          <w:rtl/>
        </w:rPr>
        <w:t xml:space="preserve"> של התוכנית בהשגת יעדיה.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רבה</w:t>
      </w:r>
      <w:r w:rsidRPr="002F2BC5">
        <w:rPr>
          <w:rFonts w:hint="cs"/>
          <w:rtl/>
        </w:rPr>
        <w:t>. במועד סיומה הופעלה התוכנית בכיתות י"א ברובם הגדול של בתי הספר התיכוניים במערכת החינוך הרשמי הרגיל (כ-79% מבתי הספר</w:t>
      </w:r>
      <w:r w:rsidRPr="002F2BC5">
        <w:rPr>
          <w:rtl/>
        </w:rPr>
        <w:t>)</w:t>
      </w:r>
      <w:r w:rsidRPr="002F2BC5">
        <w:rPr>
          <w:rStyle w:val="af9"/>
          <w:rtl/>
        </w:rPr>
        <w:footnoteReference w:id="225"/>
      </w:r>
      <w:r w:rsidRPr="002F2BC5">
        <w:rPr>
          <w:rtl/>
        </w:rPr>
        <w:t>.</w:t>
      </w:r>
      <w:r w:rsidRPr="002F2BC5">
        <w:rPr>
          <w:rFonts w:hint="cs"/>
          <w:rtl/>
        </w:rPr>
        <w:t xml:space="preserve"> עם זאת, בבחינת כלל הנערים והנערות בשכבת הגיל שבה מופעלת התוכנית הועלה, כי פחות ממחצית מהנערים והנערות בשכבת גיל זו (כ-47% מהם) נחשפו לתכניה של התוכנית. עוד הועלה כי במועד סיום ביקורת המעקב הופעלה התוכנית במערכת החינוך הרשמי הרגיל בלבד, הכוללת את </w:t>
      </w:r>
      <w:r w:rsidRPr="002F2BC5">
        <w:rPr>
          <w:rFonts w:hint="eastAsia"/>
          <w:rtl/>
        </w:rPr>
        <w:t>החינוך</w:t>
      </w:r>
      <w:r w:rsidRPr="002F2BC5">
        <w:rPr>
          <w:rtl/>
        </w:rPr>
        <w:t xml:space="preserve"> </w:t>
      </w:r>
      <w:r w:rsidRPr="002F2BC5">
        <w:rPr>
          <w:rFonts w:hint="eastAsia"/>
          <w:rtl/>
        </w:rPr>
        <w:t>הממלכתי</w:t>
      </w:r>
      <w:r w:rsidRPr="002F2BC5">
        <w:rPr>
          <w:rtl/>
        </w:rPr>
        <w:t xml:space="preserve">, </w:t>
      </w:r>
      <w:r w:rsidRPr="002F2BC5">
        <w:rPr>
          <w:rFonts w:hint="eastAsia"/>
          <w:rtl/>
        </w:rPr>
        <w:t>החינוך</w:t>
      </w:r>
      <w:r w:rsidRPr="002F2BC5">
        <w:rPr>
          <w:rtl/>
        </w:rPr>
        <w:t xml:space="preserve"> </w:t>
      </w:r>
      <w:r w:rsidRPr="002F2BC5">
        <w:rPr>
          <w:rFonts w:hint="eastAsia"/>
          <w:rtl/>
        </w:rPr>
        <w:t>הממלכתי</w:t>
      </w:r>
      <w:r w:rsidRPr="002F2BC5">
        <w:rPr>
          <w:rtl/>
        </w:rPr>
        <w:t xml:space="preserve">-דתי, </w:t>
      </w:r>
      <w:r w:rsidRPr="002F2BC5">
        <w:rPr>
          <w:rFonts w:hint="eastAsia"/>
          <w:rtl/>
        </w:rPr>
        <w:t>החינוך</w:t>
      </w:r>
      <w:r w:rsidRPr="002F2BC5">
        <w:rPr>
          <w:rtl/>
        </w:rPr>
        <w:t xml:space="preserve"> </w:t>
      </w:r>
      <w:r w:rsidRPr="002F2BC5">
        <w:rPr>
          <w:rFonts w:hint="eastAsia"/>
          <w:rtl/>
        </w:rPr>
        <w:t>הממלכתי</w:t>
      </w:r>
      <w:r w:rsidRPr="002F2BC5">
        <w:rPr>
          <w:rtl/>
        </w:rPr>
        <w:t xml:space="preserve"> </w:t>
      </w:r>
      <w:r w:rsidRPr="002F2BC5">
        <w:rPr>
          <w:rFonts w:hint="eastAsia"/>
          <w:rtl/>
        </w:rPr>
        <w:t>ערבי</w:t>
      </w:r>
      <w:r w:rsidRPr="002F2BC5">
        <w:rPr>
          <w:rtl/>
        </w:rPr>
        <w:t xml:space="preserve"> </w:t>
      </w:r>
      <w:r w:rsidRPr="002F2BC5">
        <w:rPr>
          <w:rFonts w:hint="eastAsia"/>
          <w:rtl/>
        </w:rPr>
        <w:t>והחינוך</w:t>
      </w:r>
      <w:r w:rsidRPr="002F2BC5">
        <w:rPr>
          <w:rtl/>
        </w:rPr>
        <w:t xml:space="preserve"> </w:t>
      </w:r>
      <w:r w:rsidRPr="002F2BC5">
        <w:rPr>
          <w:rFonts w:hint="eastAsia"/>
          <w:rtl/>
        </w:rPr>
        <w:t>ההתיישבותי</w:t>
      </w:r>
      <w:r w:rsidRPr="002F2BC5">
        <w:rPr>
          <w:rFonts w:hint="cs"/>
          <w:rtl/>
        </w:rPr>
        <w:t>, אך היא לא הופעלה במוסדות החינוך הלא-רשמי, ובכלל זה בבתי ספר ומוסדות חינוך לא-רשמיים בחברה החרדית והערבית. אשר לבחינת מועילותה של התוכנית בהשגת יעדיה הועלה כי משרד החינוך החל במחקר מלווה, הצפוי להסתיים בספטמבר 2025.</w:t>
      </w:r>
      <w:bookmarkEnd w:id="989"/>
      <w:bookmarkEnd w:id="990"/>
      <w:bookmarkEnd w:id="991"/>
      <w:bookmarkEnd w:id="992"/>
      <w:bookmarkEnd w:id="993"/>
      <w:r w:rsidRPr="002F2BC5">
        <w:rPr>
          <w:rFonts w:hint="cs"/>
          <w:rtl/>
        </w:rPr>
        <w:t xml:space="preserve"> </w:t>
      </w:r>
      <w:bookmarkEnd w:id="994"/>
      <w:bookmarkEnd w:id="995"/>
      <w:bookmarkEnd w:id="996"/>
    </w:p>
    <w:p w14:paraId="7A3B6421" w14:textId="77777777" w:rsidR="00817399" w:rsidRPr="002F2BC5" w:rsidRDefault="00817399" w:rsidP="00817399">
      <w:pPr>
        <w:spacing w:line="269" w:lineRule="auto"/>
        <w:rPr>
          <w:rtl/>
        </w:rPr>
      </w:pPr>
    </w:p>
    <w:p w14:paraId="537D3542" w14:textId="77777777" w:rsidR="00817399" w:rsidRPr="002F2BC5" w:rsidRDefault="00817399" w:rsidP="00817399">
      <w:pPr>
        <w:spacing w:line="269" w:lineRule="auto"/>
        <w:rPr>
          <w:rtl/>
        </w:rPr>
      </w:pPr>
      <w:bookmarkStart w:id="997" w:name="_Hlk198480211"/>
      <w:r w:rsidRPr="002F2BC5">
        <w:rPr>
          <w:rFonts w:hint="cs"/>
          <w:rtl/>
        </w:rPr>
        <w:t>משרד החינוך מסר במהלך ביקורת המעקב, בינואר 2025, כי הוא פועל להתאמת התכנים של התוכנית "חברות וזוגיות" גם למוסדות החינוך של החברה החרדית ומוסדות החינוך המיוחד, וכי בשנת תשפ"ה החל בפיילוט במוסדות החינוך המיוחד (ב-20 בתי ספר ובקרב כ-500 תלמידים) לבחינה של חלק מהתכנים המותאמים במסגרת התוכנית ולתיקופם</w:t>
      </w:r>
      <w:r w:rsidRPr="002F2BC5">
        <w:rPr>
          <w:rtl/>
        </w:rPr>
        <w:t>.</w:t>
      </w:r>
      <w:r w:rsidRPr="002F2BC5">
        <w:rPr>
          <w:rFonts w:hint="cs"/>
          <w:rtl/>
        </w:rPr>
        <w:t xml:space="preserve"> </w:t>
      </w:r>
      <w:bookmarkEnd w:id="997"/>
    </w:p>
    <w:p w14:paraId="0570F4C7" w14:textId="77777777" w:rsidR="00817399" w:rsidRPr="002F2BC5" w:rsidRDefault="00817399" w:rsidP="00817399">
      <w:pPr>
        <w:spacing w:line="269" w:lineRule="auto"/>
        <w:rPr>
          <w:rtl/>
        </w:rPr>
      </w:pPr>
    </w:p>
    <w:p w14:paraId="596B3AED" w14:textId="77777777" w:rsidR="00817399" w:rsidRPr="002F2BC5" w:rsidRDefault="00817399" w:rsidP="00817399">
      <w:pPr>
        <w:spacing w:line="269" w:lineRule="auto"/>
        <w:rPr>
          <w:rtl/>
        </w:rPr>
      </w:pPr>
      <w:r w:rsidRPr="002F2BC5">
        <w:rPr>
          <w:rFonts w:hint="cs"/>
          <w:rtl/>
        </w:rPr>
        <w:lastRenderedPageBreak/>
        <w:t>יצוין כי לפי נתוני משרד החינוך, התוכנית "חברות וזוגיות" הופעלה במוסדות החינוך הרשמי בשנת 2023 בכלל הרשויות המקומיות שנבדקו. אלא שמתשובות הרשויות המקומיות לשאלונים עלה כי כמחציתן אינן מודעות לכך שפועלת בתחומי הרשות המקומית תוכנית זו</w:t>
      </w:r>
      <w:r w:rsidRPr="002F2BC5">
        <w:rPr>
          <w:rStyle w:val="af9"/>
          <w:rtl/>
        </w:rPr>
        <w:footnoteReference w:id="226"/>
      </w:r>
      <w:r w:rsidRPr="002F2BC5">
        <w:rPr>
          <w:rFonts w:hint="cs"/>
          <w:rtl/>
        </w:rPr>
        <w:t xml:space="preserve">. במצב דברים זה עולה החשש כי התוכנית במודל בהפעלת משרד החינוך מופעלת ללא תיאום וללא ממשקי עבודה משותפים עם המחלקות לשירותים חברתיים והמרכזים לטיפול ומניעת אלימות במשפחה ברשויות המקומיות הללו, שהיה בהם </w:t>
      </w:r>
      <w:r w:rsidRPr="002F2BC5">
        <w:rPr>
          <w:rFonts w:hint="eastAsia"/>
          <w:rtl/>
        </w:rPr>
        <w:t>כדי</w:t>
      </w:r>
      <w:r w:rsidRPr="002F2BC5">
        <w:rPr>
          <w:rtl/>
        </w:rPr>
        <w:t xml:space="preserve"> </w:t>
      </w:r>
      <w:r w:rsidRPr="002F2BC5">
        <w:rPr>
          <w:rFonts w:hint="eastAsia"/>
          <w:rtl/>
        </w:rPr>
        <w:t>לאפשר</w:t>
      </w:r>
      <w:r w:rsidRPr="002F2BC5">
        <w:rPr>
          <w:rtl/>
        </w:rPr>
        <w:t xml:space="preserve"> </w:t>
      </w:r>
      <w:r w:rsidRPr="002F2BC5">
        <w:rPr>
          <w:rFonts w:hint="eastAsia"/>
          <w:rtl/>
        </w:rPr>
        <w:t>שיתוף</w:t>
      </w:r>
      <w:r w:rsidRPr="002F2BC5">
        <w:rPr>
          <w:rtl/>
        </w:rPr>
        <w:t xml:space="preserve"> </w:t>
      </w:r>
      <w:r w:rsidRPr="002F2BC5">
        <w:rPr>
          <w:rFonts w:hint="eastAsia"/>
          <w:rtl/>
        </w:rPr>
        <w:t>במידע</w:t>
      </w:r>
      <w:r w:rsidRPr="002F2BC5">
        <w:rPr>
          <w:rtl/>
        </w:rPr>
        <w:t xml:space="preserve"> </w:t>
      </w:r>
      <w:r w:rsidRPr="002F2BC5">
        <w:rPr>
          <w:rFonts w:hint="eastAsia"/>
          <w:rtl/>
        </w:rPr>
        <w:t>וידע</w:t>
      </w:r>
      <w:r w:rsidRPr="002F2BC5">
        <w:rPr>
          <w:rtl/>
        </w:rPr>
        <w:t xml:space="preserve"> </w:t>
      </w:r>
      <w:r w:rsidRPr="002F2BC5">
        <w:rPr>
          <w:rFonts w:hint="eastAsia"/>
          <w:rtl/>
        </w:rPr>
        <w:t>מקצועי</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Fonts w:hint="cs"/>
          <w:rtl/>
        </w:rPr>
        <w:t>.</w:t>
      </w:r>
    </w:p>
    <w:p w14:paraId="01C07EA0" w14:textId="77777777" w:rsidR="00817399" w:rsidRPr="002F2BC5" w:rsidRDefault="00817399" w:rsidP="00817399">
      <w:pPr>
        <w:spacing w:line="269" w:lineRule="auto"/>
        <w:rPr>
          <w:rtl/>
        </w:rPr>
      </w:pPr>
    </w:p>
    <w:p w14:paraId="50C68283" w14:textId="77777777" w:rsidR="00817399" w:rsidRPr="002F2BC5" w:rsidRDefault="00817399" w:rsidP="00817399">
      <w:pPr>
        <w:spacing w:line="269" w:lineRule="auto"/>
        <w:rPr>
          <w:rtl/>
        </w:rPr>
      </w:pPr>
      <w:r w:rsidRPr="002F2BC5">
        <w:rPr>
          <w:rFonts w:hint="cs"/>
          <w:rtl/>
        </w:rPr>
        <w:t xml:space="preserve">העיריות </w:t>
      </w:r>
      <w:r w:rsidRPr="002F2BC5">
        <w:rPr>
          <w:rFonts w:hint="cs"/>
          <w:b/>
          <w:bCs/>
          <w:rtl/>
        </w:rPr>
        <w:t>בני ברק</w:t>
      </w:r>
      <w:r w:rsidRPr="002F2BC5">
        <w:rPr>
          <w:rFonts w:hint="cs"/>
          <w:rtl/>
        </w:rPr>
        <w:t xml:space="preserve"> ו</w:t>
      </w:r>
      <w:r w:rsidRPr="002F2BC5">
        <w:rPr>
          <w:rFonts w:hint="cs"/>
          <w:b/>
          <w:bCs/>
          <w:rtl/>
        </w:rPr>
        <w:t>יבנה</w:t>
      </w:r>
      <w:r w:rsidRPr="002F2BC5">
        <w:rPr>
          <w:rFonts w:hint="cs"/>
          <w:rtl/>
        </w:rPr>
        <w:t xml:space="preserve"> והמועצה האזורית </w:t>
      </w:r>
      <w:r w:rsidRPr="002F2BC5">
        <w:rPr>
          <w:rFonts w:hint="cs"/>
          <w:b/>
          <w:bCs/>
          <w:rtl/>
        </w:rPr>
        <w:t>דרום השרון</w:t>
      </w:r>
      <w:r w:rsidRPr="002F2BC5">
        <w:rPr>
          <w:rFonts w:hint="cs"/>
          <w:rtl/>
        </w:rPr>
        <w:t xml:space="preserve"> מסרו בתשובותיהן מאפריל 2025 כי הן אינן שותפות להפעלתה של התוכנית "חברות וזוגיות" במוסדות החינוך בתחומן. עיריית </w:t>
      </w:r>
      <w:r w:rsidRPr="002F2BC5">
        <w:rPr>
          <w:rFonts w:hint="cs"/>
          <w:b/>
          <w:bCs/>
          <w:rtl/>
        </w:rPr>
        <w:t>יבנה</w:t>
      </w:r>
      <w:r w:rsidRPr="002F2BC5">
        <w:rPr>
          <w:rFonts w:hint="cs"/>
          <w:rtl/>
        </w:rPr>
        <w:t xml:space="preserve"> הוסיפה כי קיימה בעבר תהלוכה להעלאת המודעות לנושא וכן פעילויות הסברה בבתי הספר, בשיתוף אגף החינוך בעירייה, ובין השאר, עובדת סוציאלית מהיחידה לטיפול ומניעת אלימות במשפחה השתתפה בפאנל בנושא באחד התיכונים בעיר. עוד ציינה כי תפעל בהמשך להערות הביקורת לחיזוק הקשר בין תחומי החינוך והרווחה בכל הנוגע להסברה ולמניעה. עיריית </w:t>
      </w:r>
      <w:r w:rsidRPr="002F2BC5">
        <w:rPr>
          <w:rFonts w:hint="eastAsia"/>
          <w:b/>
          <w:bCs/>
          <w:rtl/>
        </w:rPr>
        <w:t>עכו</w:t>
      </w:r>
      <w:r w:rsidRPr="002F2BC5">
        <w:rPr>
          <w:rFonts w:hint="cs"/>
          <w:rtl/>
        </w:rPr>
        <w:t xml:space="preserve"> מסרה בתשובתה מאפריל 2025 כי לא הובא לידיעתה שהתוכנית הופעלה בבתי הספר בתחומה, ולצד זאת ציינה כי לא היה באפשרותה ליזום פעולות במסגרת התוכנית בתקופה הנידונה על רקע מלחמת חרבות ברזל וחילופי המנהלים במרכז לטיפול ומניעת אלימות במשפחה שבהפעלתה.</w:t>
      </w:r>
    </w:p>
    <w:p w14:paraId="6A89B2E2" w14:textId="77777777" w:rsidR="00817399" w:rsidRPr="002F2BC5" w:rsidRDefault="00817399" w:rsidP="00817399">
      <w:pPr>
        <w:spacing w:line="269" w:lineRule="auto"/>
        <w:rPr>
          <w:rtl/>
        </w:rPr>
      </w:pPr>
    </w:p>
    <w:p w14:paraId="3FA06A08" w14:textId="77777777" w:rsidR="00817399" w:rsidRPr="002F2BC5" w:rsidRDefault="00817399" w:rsidP="00817399">
      <w:pPr>
        <w:spacing w:line="269" w:lineRule="auto"/>
        <w:rPr>
          <w:rtl/>
        </w:rPr>
      </w:pPr>
      <w:bookmarkStart w:id="998" w:name="_Hlk198480786"/>
      <w:r w:rsidRPr="002F2BC5">
        <w:rPr>
          <w:rFonts w:hint="cs"/>
          <w:rtl/>
        </w:rPr>
        <w:t>משרד החינוך מסר בתשובותיו מאפריל, ממאי ומיוני 2025 כי ביקורת המעקב מדגישה את כברת הדרך שנעשתה בהטמעת התוכנית "חברות וזוגיות" לצד היבטים הדורשים שיפור. עוד מסר כי התוכנית מופעלת בשכבת י"א משום שזו שכבת הגיל המתאפיינת, מבחינת השלב ההתפתחותי, במערכות יחסים זוגיות, עם התגבשות הזהות האישית. לצד זאת הוסיף כי תוכנית זו היא תוכנית "ספירלית" - תכנים העוסקים במניעת אלימות על כלל סוגיה, מהווים תשתית לתוכנית "חברות וזוגיות" ושלובים בתוכנית "הכוחות שבדרך", המיועדת לתלמידים מגיל הגן ועד סיום התיכון</w:t>
      </w:r>
      <w:r w:rsidRPr="002F2BC5">
        <w:rPr>
          <w:rStyle w:val="af9"/>
          <w:rtl/>
        </w:rPr>
        <w:footnoteReference w:id="227"/>
      </w:r>
      <w:r w:rsidRPr="002F2BC5">
        <w:rPr>
          <w:rFonts w:hint="cs"/>
          <w:rtl/>
        </w:rPr>
        <w:t xml:space="preserve">. לפי התשובה, העיסוק במערכות יחסים זוגיות כלול בתוכניות נוספות, בגילי היסודי (התוכנית "לצמוח ולגדול" בשכבת ו') ובחטיבת הביניים (התוכנית "אהבה וזוגיות" בשכבת ח'). </w:t>
      </w:r>
    </w:p>
    <w:p w14:paraId="08109E42" w14:textId="77777777" w:rsidR="00817399" w:rsidRPr="002F2BC5" w:rsidRDefault="00817399" w:rsidP="00817399">
      <w:pPr>
        <w:spacing w:line="269" w:lineRule="auto"/>
        <w:rPr>
          <w:rtl/>
        </w:rPr>
      </w:pPr>
    </w:p>
    <w:p w14:paraId="00940C4B" w14:textId="77777777" w:rsidR="00817399" w:rsidRPr="002F2BC5" w:rsidRDefault="00817399" w:rsidP="00817399">
      <w:pPr>
        <w:spacing w:line="269" w:lineRule="auto"/>
        <w:rPr>
          <w:rtl/>
        </w:rPr>
      </w:pPr>
      <w:r w:rsidRPr="002F2BC5">
        <w:rPr>
          <w:rFonts w:hint="eastAsia"/>
          <w:rtl/>
        </w:rPr>
        <w:t>משרד</w:t>
      </w:r>
      <w:r w:rsidRPr="002F2BC5">
        <w:rPr>
          <w:rtl/>
        </w:rPr>
        <w:t xml:space="preserve"> החינוך הוסיף </w:t>
      </w:r>
      <w:r w:rsidRPr="002F2BC5">
        <w:rPr>
          <w:rFonts w:hint="eastAsia"/>
          <w:rtl/>
        </w:rPr>
        <w:t>בתשובותיו</w:t>
      </w:r>
      <w:r w:rsidRPr="002F2BC5">
        <w:rPr>
          <w:rtl/>
        </w:rPr>
        <w:t xml:space="preserve"> </w:t>
      </w:r>
      <w:r w:rsidRPr="002F2BC5">
        <w:rPr>
          <w:rFonts w:hint="eastAsia"/>
          <w:rtl/>
        </w:rPr>
        <w:t>כי</w:t>
      </w:r>
      <w:r w:rsidRPr="002F2BC5">
        <w:rPr>
          <w:rtl/>
        </w:rPr>
        <w:t xml:space="preserve"> במשך כשנתיים פעל לעדכון ולפיתוח תכני התוכנית. לצורך כך נערכו קבוצות מיקוד בהשתתפות תלמידים, יועצות חינוכיות, מפקחות ומורים, ממגזרים שונים, על מנת לזהות ולאתר חולשות וחוזקות בהפעלת התוכנית במתכונתה המקורית. תוצרי העבודה נידונו בצוותי חשיבה משרדיים ובין-משרדיים ובהמשך החל תהליך עדכון וריענון התוכנית וכן התאמתה התרבותית והמגזרית. עדכון התוכנית נמשך לאחר השלמת פיילוט ארצי ולאחריו החל תהליך הטמעתה של התוכנית המעודכנת בפריסה ארצית, בליווי מדריכות ומפקחות ייעודיות (מודל "מניפה").</w:t>
      </w:r>
      <w:r w:rsidRPr="002F2BC5">
        <w:rPr>
          <w:rFonts w:hint="cs"/>
          <w:rtl/>
        </w:rPr>
        <w:t xml:space="preserve"> </w:t>
      </w:r>
      <w:bookmarkStart w:id="999" w:name="_Hlk201475110"/>
      <w:r w:rsidRPr="002F2BC5">
        <w:rPr>
          <w:rFonts w:hint="cs"/>
          <w:rtl/>
        </w:rPr>
        <w:t xml:space="preserve">עוד מסר בתשובותיו כי המחקר המלווה על התוכנית במתכונתה המעודכנת מתבצע בשלושה שלבים במטרה </w:t>
      </w:r>
      <w:r w:rsidRPr="002F2BC5">
        <w:rPr>
          <w:rtl/>
        </w:rPr>
        <w:t xml:space="preserve">לאמוד את השפעת התוכנית על </w:t>
      </w:r>
      <w:r w:rsidRPr="002F2BC5">
        <w:rPr>
          <w:rFonts w:hint="cs"/>
          <w:rtl/>
        </w:rPr>
        <w:t>משתתפיה</w:t>
      </w:r>
      <w:r w:rsidRPr="002F2BC5">
        <w:rPr>
          <w:rtl/>
        </w:rPr>
        <w:t xml:space="preserve"> </w:t>
      </w:r>
      <w:r w:rsidRPr="002F2BC5">
        <w:rPr>
          <w:rFonts w:hint="cs"/>
          <w:rtl/>
        </w:rPr>
        <w:t>"</w:t>
      </w:r>
      <w:r w:rsidRPr="002F2BC5">
        <w:rPr>
          <w:rtl/>
        </w:rPr>
        <w:t>מבחינת רמות החיזור האלים, עמדות בנוגע לתפקידי מגדר ותפיסות בנוגע לשימוש באלימות זוגית</w:t>
      </w:r>
      <w:r w:rsidRPr="002F2BC5">
        <w:rPr>
          <w:rFonts w:hint="cs"/>
          <w:rtl/>
        </w:rPr>
        <w:t>"</w:t>
      </w:r>
      <w:r w:rsidRPr="002F2BC5">
        <w:rPr>
          <w:rtl/>
        </w:rPr>
        <w:t xml:space="preserve"> ו</w:t>
      </w:r>
      <w:r w:rsidRPr="002F2BC5">
        <w:rPr>
          <w:rFonts w:hint="cs"/>
          <w:rtl/>
        </w:rPr>
        <w:t xml:space="preserve">כן במטרה </w:t>
      </w:r>
      <w:r w:rsidRPr="002F2BC5">
        <w:rPr>
          <w:rtl/>
        </w:rPr>
        <w:t>ל</w:t>
      </w:r>
      <w:r w:rsidRPr="002F2BC5">
        <w:rPr>
          <w:rFonts w:hint="cs"/>
          <w:rtl/>
        </w:rPr>
        <w:t>זהות</w:t>
      </w:r>
      <w:r w:rsidRPr="002F2BC5">
        <w:rPr>
          <w:rtl/>
        </w:rPr>
        <w:t xml:space="preserve"> </w:t>
      </w:r>
      <w:r w:rsidRPr="002F2BC5">
        <w:rPr>
          <w:rFonts w:hint="cs"/>
          <w:rtl/>
        </w:rPr>
        <w:t>את</w:t>
      </w:r>
      <w:r w:rsidRPr="002F2BC5">
        <w:rPr>
          <w:rtl/>
        </w:rPr>
        <w:t xml:space="preserve"> המשתנים המרכזיים הקשורים </w:t>
      </w:r>
      <w:r w:rsidRPr="002F2BC5">
        <w:rPr>
          <w:rFonts w:hint="cs"/>
          <w:rtl/>
        </w:rPr>
        <w:t>ב</w:t>
      </w:r>
      <w:r w:rsidRPr="002F2BC5">
        <w:rPr>
          <w:rtl/>
        </w:rPr>
        <w:t>הצלחתה</w:t>
      </w:r>
      <w:r w:rsidRPr="002F2BC5">
        <w:rPr>
          <w:rFonts w:hint="cs"/>
          <w:rtl/>
        </w:rPr>
        <w:t xml:space="preserve">. השלב הראשון ("סקירה שיטתית"), הנמצא בשלבי סיום, כולל בחינה של מאפייני התוכנית ואופן הפעלתה מול הידע התיאורטי והאמפירי העדכני בנושא. במסגרת השלב השני ("השלב הכמותי"), שמתוכנן לשנת הלימודים התשפ"ו </w:t>
      </w:r>
      <w:r w:rsidRPr="002F2BC5">
        <w:rPr>
          <w:rtl/>
        </w:rPr>
        <w:t>(ספטמבר 2025 עד יולי 2026)</w:t>
      </w:r>
      <w:r w:rsidRPr="002F2BC5">
        <w:rPr>
          <w:rFonts w:hint="cs"/>
          <w:rtl/>
        </w:rPr>
        <w:t xml:space="preserve">, ייאספו נתונים באמצעות שאלוני דיווח עצמי, שימולאו לפני ההשתתפות בתוכנית ולאחריה, על ידי התלמידים והצוותים החינוכיים </w:t>
      </w:r>
      <w:r w:rsidRPr="002F2BC5">
        <w:rPr>
          <w:rFonts w:hint="eastAsia"/>
          <w:rtl/>
        </w:rPr>
        <w:t>שיידגמו</w:t>
      </w:r>
      <w:r w:rsidRPr="002F2BC5">
        <w:rPr>
          <w:rtl/>
        </w:rPr>
        <w:t xml:space="preserve"> </w:t>
      </w:r>
      <w:r w:rsidRPr="002F2BC5">
        <w:rPr>
          <w:rFonts w:hint="eastAsia"/>
          <w:rtl/>
        </w:rPr>
        <w:t>בדגימה</w:t>
      </w:r>
      <w:r w:rsidRPr="002F2BC5">
        <w:rPr>
          <w:rtl/>
        </w:rPr>
        <w:t xml:space="preserve"> </w:t>
      </w:r>
      <w:r w:rsidRPr="002F2BC5">
        <w:rPr>
          <w:rFonts w:hint="eastAsia"/>
          <w:rtl/>
        </w:rPr>
        <w:t>הסתברותית</w:t>
      </w:r>
      <w:r w:rsidRPr="002F2BC5">
        <w:rPr>
          <w:rFonts w:hint="cs"/>
          <w:rtl/>
        </w:rPr>
        <w:t xml:space="preserve">. בין השאר ייבחנו משתנים המתייחסים לחיזור אלים ולתפקידי מגדר ולתפיסותיהם של התלמידים בנושאים אלו וכן ייבחנו משתנים המתייחסים לחשיפה למלחמה או לאירועי חיים טראומתיים. במסגרת השלב השלישי ("השלב האיכותני") יתקיימו ראיונות עומק עם תלמידים ועם הצוותים </w:t>
      </w:r>
      <w:r w:rsidRPr="002F2BC5">
        <w:rPr>
          <w:rFonts w:hint="cs"/>
          <w:rtl/>
        </w:rPr>
        <w:lastRenderedPageBreak/>
        <w:t xml:space="preserve">החינוכיים </w:t>
      </w:r>
      <w:r w:rsidRPr="002F2BC5">
        <w:rPr>
          <w:rFonts w:hint="eastAsia"/>
          <w:rtl/>
        </w:rPr>
        <w:t>מכ</w:t>
      </w:r>
      <w:r w:rsidRPr="002F2BC5">
        <w:rPr>
          <w:rtl/>
        </w:rPr>
        <w:t xml:space="preserve">-20 </w:t>
      </w:r>
      <w:r w:rsidRPr="002F2BC5">
        <w:rPr>
          <w:rFonts w:hint="eastAsia"/>
          <w:rtl/>
        </w:rPr>
        <w:t>בתי</w:t>
      </w:r>
      <w:r w:rsidRPr="002F2BC5">
        <w:rPr>
          <w:rtl/>
        </w:rPr>
        <w:t xml:space="preserve"> </w:t>
      </w:r>
      <w:r w:rsidRPr="002F2BC5">
        <w:rPr>
          <w:rFonts w:hint="eastAsia"/>
          <w:rtl/>
        </w:rPr>
        <w:t>ספר</w:t>
      </w:r>
      <w:r w:rsidRPr="002F2BC5">
        <w:rPr>
          <w:rtl/>
        </w:rPr>
        <w:t xml:space="preserve"> </w:t>
      </w:r>
      <w:r w:rsidRPr="002F2BC5">
        <w:rPr>
          <w:rFonts w:hint="eastAsia"/>
          <w:rtl/>
        </w:rPr>
        <w:t>שהשתתפו</w:t>
      </w:r>
      <w:r w:rsidRPr="002F2BC5">
        <w:rPr>
          <w:rtl/>
        </w:rPr>
        <w:t xml:space="preserve"> </w:t>
      </w:r>
      <w:r w:rsidRPr="002F2BC5">
        <w:rPr>
          <w:rFonts w:hint="eastAsia"/>
          <w:rtl/>
        </w:rPr>
        <w:t>ובתוכנית</w:t>
      </w:r>
      <w:r w:rsidRPr="002F2BC5">
        <w:rPr>
          <w:rtl/>
        </w:rPr>
        <w:t xml:space="preserve">, </w:t>
      </w:r>
      <w:r w:rsidRPr="002F2BC5">
        <w:rPr>
          <w:rFonts w:hint="eastAsia"/>
          <w:rtl/>
        </w:rPr>
        <w:t>וכן</w:t>
      </w:r>
      <w:r w:rsidRPr="002F2BC5">
        <w:rPr>
          <w:rtl/>
        </w:rPr>
        <w:t xml:space="preserve"> </w:t>
      </w:r>
      <w:r w:rsidRPr="002F2BC5">
        <w:rPr>
          <w:rFonts w:hint="eastAsia"/>
          <w:rtl/>
        </w:rPr>
        <w:t>עם</w:t>
      </w:r>
      <w:r w:rsidRPr="002F2BC5">
        <w:rPr>
          <w:rtl/>
        </w:rPr>
        <w:t xml:space="preserve"> </w:t>
      </w:r>
      <w:r w:rsidRPr="002F2BC5">
        <w:rPr>
          <w:rFonts w:hint="eastAsia"/>
          <w:rtl/>
        </w:rPr>
        <w:t>מפתחי</w:t>
      </w:r>
      <w:r w:rsidRPr="002F2BC5">
        <w:rPr>
          <w:rtl/>
        </w:rPr>
        <w:t xml:space="preserve"> </w:t>
      </w:r>
      <w:r w:rsidRPr="002F2BC5">
        <w:rPr>
          <w:rFonts w:hint="eastAsia"/>
          <w:rtl/>
        </w:rPr>
        <w:t>התוכנית</w:t>
      </w:r>
      <w:r w:rsidRPr="002F2BC5">
        <w:rPr>
          <w:rtl/>
        </w:rPr>
        <w:t xml:space="preserve"> </w:t>
      </w:r>
      <w:r w:rsidRPr="002F2BC5">
        <w:rPr>
          <w:rFonts w:hint="eastAsia"/>
          <w:rtl/>
        </w:rPr>
        <w:t>ככל</w:t>
      </w:r>
      <w:r w:rsidRPr="002F2BC5">
        <w:rPr>
          <w:rtl/>
        </w:rPr>
        <w:t xml:space="preserve"> </w:t>
      </w:r>
      <w:r w:rsidRPr="002F2BC5">
        <w:rPr>
          <w:rFonts w:hint="eastAsia"/>
          <w:rtl/>
        </w:rPr>
        <w:t>האפשר</w:t>
      </w:r>
      <w:r w:rsidRPr="002F2BC5">
        <w:rPr>
          <w:rtl/>
        </w:rPr>
        <w:t>,</w:t>
      </w:r>
      <w:r w:rsidRPr="002F2BC5">
        <w:rPr>
          <w:rFonts w:hint="cs"/>
          <w:rtl/>
        </w:rPr>
        <w:t xml:space="preserve"> במטרה להעמיק בבחינת שביעות הרצון מהתוכנית וכן בבחינת החוזקות והחולשות שלה.</w:t>
      </w:r>
      <w:bookmarkEnd w:id="999"/>
    </w:p>
    <w:p w14:paraId="4AA84335" w14:textId="77777777" w:rsidR="00817399" w:rsidRPr="002F2BC5" w:rsidRDefault="00817399" w:rsidP="00817399">
      <w:pPr>
        <w:spacing w:line="269" w:lineRule="auto"/>
        <w:rPr>
          <w:rtl/>
        </w:rPr>
      </w:pPr>
    </w:p>
    <w:p w14:paraId="3427174E" w14:textId="77777777" w:rsidR="00817399" w:rsidRPr="002F2BC5" w:rsidRDefault="00817399" w:rsidP="00817399">
      <w:pPr>
        <w:spacing w:line="269" w:lineRule="auto"/>
        <w:rPr>
          <w:rtl/>
        </w:rPr>
      </w:pPr>
      <w:r w:rsidRPr="002F2BC5">
        <w:rPr>
          <w:rFonts w:hint="cs"/>
          <w:rtl/>
        </w:rPr>
        <w:t>בהתייחס להתאמת התוכנית לתלמידי החינוך המיוחד ציין משרד החינוך בתשובותיו כי לתלמידים הללו טווח רחב של אפיונים ורמות תפקוד. ישנם תלמידים שהאפיון ורמת התפקוד שלהם מאפשרים השתתפות בתוכנית "חברות וזוגיות" ללא התאמות מיוחדות, וישנם תלמידים הזקוקים להתאמות ולהנגשה של התכנים המועברים במסגרת התוכנית. הוא הוסיף כי התוכנית המותאמת נמצאת בשלבי כתיבה אחרונים ואמורה לכלול כעשרה שיעורים, שיתבססו על תובנות שיעלו מהפיילוט.</w:t>
      </w:r>
      <w:bookmarkEnd w:id="998"/>
    </w:p>
    <w:p w14:paraId="5AB5E27A" w14:textId="77777777" w:rsidR="00817399" w:rsidRPr="002F2BC5" w:rsidRDefault="00817399" w:rsidP="00817399">
      <w:pPr>
        <w:spacing w:line="269" w:lineRule="auto"/>
        <w:rPr>
          <w:rtl/>
        </w:rPr>
      </w:pPr>
    </w:p>
    <w:p w14:paraId="0EBE45AE" w14:textId="77777777" w:rsidR="00817399" w:rsidRPr="002F2BC5" w:rsidRDefault="00817399" w:rsidP="00817399">
      <w:pPr>
        <w:pStyle w:val="afffffffa"/>
        <w:spacing w:line="269" w:lineRule="auto"/>
        <w:rPr>
          <w:rtl/>
        </w:rPr>
      </w:pPr>
      <w:bookmarkStart w:id="1000" w:name="_Toc191987009"/>
      <w:bookmarkStart w:id="1001" w:name="_Toc192093097"/>
      <w:bookmarkStart w:id="1002" w:name="_Toc192612805"/>
      <w:bookmarkStart w:id="1003" w:name="_Toc198312237"/>
      <w:bookmarkStart w:id="1004" w:name="_Toc198312712"/>
      <w:bookmarkStart w:id="1005" w:name="_Toc200636893"/>
      <w:bookmarkStart w:id="1006" w:name="_Toc200439892"/>
      <w:bookmarkStart w:id="1007" w:name="_Toc201240997"/>
      <w:bookmarkStart w:id="1008" w:name="_Hlk201475194"/>
      <w:r w:rsidRPr="002F2BC5">
        <w:rPr>
          <w:rFonts w:hint="cs"/>
          <w:rtl/>
        </w:rPr>
        <w:t>מומלץ למשרד החינוך להשלים את המחקר המלווה, שהחל בעריכתו באוקטובר 2024, לבחינת יעילות ומועילות התוכנית "חברות וזוגיות" בהשגת מטרותיה. מומלץ כי לצד המחקר המלווה או לאחר השלמתו (לדוגמה, כחלק מסקר התלמידים השנתי של ראמ"ה</w:t>
      </w:r>
      <w:r w:rsidRPr="002F2BC5">
        <w:rPr>
          <w:rStyle w:val="af9"/>
          <w:b w:val="0"/>
          <w:bCs w:val="0"/>
          <w:rtl/>
        </w:rPr>
        <w:footnoteReference w:id="228"/>
      </w:r>
      <w:r w:rsidRPr="002F2BC5">
        <w:rPr>
          <w:rFonts w:hint="cs"/>
          <w:rtl/>
        </w:rPr>
        <w:t xml:space="preserve">), יקדם משרד החינוך סקר שנתי לבחינת היקף תופעת האלימות הזוגית או החיזור האלים בקרב בני נוער </w:t>
      </w:r>
      <w:r w:rsidRPr="002F2BC5">
        <w:rPr>
          <w:rFonts w:hint="eastAsia"/>
          <w:rtl/>
        </w:rPr>
        <w:t>גם</w:t>
      </w:r>
      <w:r w:rsidRPr="002F2BC5">
        <w:rPr>
          <w:rtl/>
        </w:rPr>
        <w:t xml:space="preserve"> </w:t>
      </w:r>
      <w:r w:rsidRPr="002F2BC5">
        <w:rPr>
          <w:rFonts w:hint="eastAsia"/>
          <w:rtl/>
        </w:rPr>
        <w:t>בשכבות</w:t>
      </w:r>
      <w:r w:rsidRPr="002F2BC5">
        <w:rPr>
          <w:rtl/>
        </w:rPr>
        <w:t xml:space="preserve"> </w:t>
      </w:r>
      <w:r w:rsidRPr="002F2BC5">
        <w:rPr>
          <w:rFonts w:hint="eastAsia"/>
          <w:rtl/>
        </w:rPr>
        <w:t>גיל</w:t>
      </w:r>
      <w:r w:rsidRPr="002F2BC5">
        <w:rPr>
          <w:rtl/>
        </w:rPr>
        <w:t xml:space="preserve"> </w:t>
      </w:r>
      <w:r w:rsidRPr="002F2BC5">
        <w:rPr>
          <w:rFonts w:hint="eastAsia"/>
          <w:rtl/>
        </w:rPr>
        <w:t>שבהן</w:t>
      </w:r>
      <w:r w:rsidRPr="002F2BC5">
        <w:rPr>
          <w:rtl/>
        </w:rPr>
        <w:t xml:space="preserve"> </w:t>
      </w:r>
      <w:r w:rsidRPr="002F2BC5">
        <w:rPr>
          <w:rFonts w:hint="eastAsia"/>
          <w:rtl/>
        </w:rPr>
        <w:t>לא</w:t>
      </w:r>
      <w:r w:rsidRPr="002F2BC5">
        <w:rPr>
          <w:rtl/>
        </w:rPr>
        <w:t xml:space="preserve"> </w:t>
      </w:r>
      <w:r w:rsidRPr="002F2BC5">
        <w:rPr>
          <w:rFonts w:hint="eastAsia"/>
          <w:rtl/>
        </w:rPr>
        <w:t>מופעלת</w:t>
      </w:r>
      <w:r w:rsidRPr="002F2BC5">
        <w:rPr>
          <w:rtl/>
        </w:rPr>
        <w:t xml:space="preserve"> </w:t>
      </w:r>
      <w:r w:rsidRPr="002F2BC5">
        <w:rPr>
          <w:rFonts w:hint="eastAsia"/>
          <w:rtl/>
        </w:rPr>
        <w:t>התוכנית</w:t>
      </w:r>
      <w:r w:rsidRPr="002F2BC5">
        <w:rPr>
          <w:rFonts w:hint="cs"/>
          <w:rtl/>
        </w:rPr>
        <w:t xml:space="preserve"> ולבחינת עמדותיהם בנושא, שממצאיו יוכלו לשמש להעמקת ההיכרות עם תופעת האלימות הזוגית בגיל זה ולסייע בהמשך טיוב התוכנית מבחינת תכניה וקהל היעד שלה. עוד מומלץ למשרד החינוך להשלים את הפיילוט במוסדות החינוך המיוחד וכן להרחיב את חשיפתה של התוכנית, תוך התאמת תכניה גם לבתי ספר ומוסדות החינוך הלא-רשמי, ובכלל זה בתי ספר ומוסדות חינוך לא-רשמיים בחברה החרדית והערבית. כמו כן מומלץ למשרד הרווחה ולמשרד החינוך להבטיח בהפעלת התוכנית תיאום עם המחלקות לשירותים חברתיים והמרכזים לטיפול ומניעת אלימות במשפחה ולחזק את ממשקי העבודה המשותפים בינם ובין מערכת החינוך הרשמית, כדי לאפשר שיתוף במידע ובידע המקצועי בתחום האלימות במשפחה.</w:t>
      </w:r>
      <w:bookmarkEnd w:id="1000"/>
      <w:bookmarkEnd w:id="1001"/>
      <w:bookmarkEnd w:id="1002"/>
      <w:bookmarkEnd w:id="1003"/>
      <w:bookmarkEnd w:id="1004"/>
      <w:bookmarkEnd w:id="1005"/>
      <w:bookmarkEnd w:id="1006"/>
      <w:bookmarkEnd w:id="1007"/>
    </w:p>
    <w:bookmarkEnd w:id="1008"/>
    <w:p w14:paraId="3483D225" w14:textId="77777777" w:rsidR="00817399" w:rsidRPr="002F2BC5" w:rsidRDefault="00817399" w:rsidP="00817399">
      <w:pPr>
        <w:spacing w:line="269" w:lineRule="auto"/>
        <w:rPr>
          <w:rtl/>
        </w:rPr>
      </w:pPr>
    </w:p>
    <w:p w14:paraId="4021962E"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638B3A27" w14:textId="77777777" w:rsidR="00817399" w:rsidRPr="002F2BC5" w:rsidRDefault="00817399" w:rsidP="00817399">
      <w:pPr>
        <w:pStyle w:val="afffffff7"/>
        <w:spacing w:before="0" w:line="269" w:lineRule="auto"/>
        <w:rPr>
          <w:rtl/>
        </w:rPr>
      </w:pPr>
      <w:bookmarkStart w:id="1009" w:name="_Toc198312238"/>
      <w:bookmarkStart w:id="1010" w:name="_Toc198312713"/>
      <w:bookmarkStart w:id="1011" w:name="_Toc189072232"/>
      <w:r w:rsidRPr="002F2BC5">
        <w:rPr>
          <w:noProof/>
        </w:rPr>
        <w:drawing>
          <wp:inline distT="0" distB="0" distL="0" distR="0" wp14:anchorId="675D11D2" wp14:editId="788191EF">
            <wp:extent cx="4324350" cy="933450"/>
            <wp:effectExtent l="0" t="0" r="0" b="0"/>
            <wp:docPr id="26"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009"/>
      <w:bookmarkEnd w:id="1010"/>
    </w:p>
    <w:bookmarkEnd w:id="1011"/>
    <w:p w14:paraId="6F42C308" w14:textId="77777777" w:rsidR="00817399" w:rsidRPr="002F2BC5" w:rsidRDefault="00817399" w:rsidP="00817399">
      <w:pPr>
        <w:spacing w:line="269" w:lineRule="auto"/>
        <w:rPr>
          <w:rtl/>
        </w:rPr>
      </w:pPr>
    </w:p>
    <w:p w14:paraId="6F40F414" w14:textId="77777777" w:rsidR="00817399" w:rsidRPr="002F2BC5" w:rsidRDefault="00817399" w:rsidP="00817399">
      <w:pPr>
        <w:pStyle w:val="4"/>
        <w:spacing w:before="0" w:line="269" w:lineRule="auto"/>
        <w:rPr>
          <w:rtl/>
        </w:rPr>
      </w:pPr>
      <w:bookmarkStart w:id="1012" w:name="_Toc189072233"/>
      <w:bookmarkStart w:id="1013" w:name="_Toc191987010"/>
      <w:bookmarkStart w:id="1014" w:name="_Toc191891395"/>
      <w:bookmarkStart w:id="1015" w:name="_Toc192093098"/>
      <w:bookmarkStart w:id="1016" w:name="_Toc193110611"/>
      <w:bookmarkStart w:id="1017" w:name="_Toc192612806"/>
      <w:bookmarkStart w:id="1018" w:name="_Toc192778829"/>
      <w:bookmarkStart w:id="1019" w:name="_Toc198312239"/>
      <w:bookmarkStart w:id="1020" w:name="_Toc198312714"/>
      <w:bookmarkStart w:id="1021" w:name="_Toc200636807"/>
      <w:bookmarkStart w:id="1022" w:name="_Toc200636894"/>
      <w:bookmarkStart w:id="1023" w:name="_Toc200439806"/>
      <w:bookmarkStart w:id="1024" w:name="_Toc200439893"/>
      <w:bookmarkStart w:id="1025" w:name="_Toc201240998"/>
      <w:bookmarkStart w:id="1026" w:name="_Toc192784383"/>
      <w:bookmarkStart w:id="1027" w:name="_Toc201759369"/>
      <w:bookmarkStart w:id="1028" w:name="_Toc61359481"/>
      <w:bookmarkStart w:id="1029" w:name="_Toc203488005"/>
      <w:r w:rsidRPr="002F2BC5">
        <w:rPr>
          <w:rFonts w:hint="cs"/>
          <w:rtl/>
        </w:rPr>
        <w:t>פעולות מניעה ראשונית במקומות העבודה</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9"/>
    </w:p>
    <w:p w14:paraId="29E08BF1" w14:textId="77777777" w:rsidR="00817399" w:rsidRPr="002F2BC5" w:rsidRDefault="00817399" w:rsidP="00817399">
      <w:pPr>
        <w:spacing w:line="269" w:lineRule="auto"/>
        <w:rPr>
          <w:rtl/>
        </w:rPr>
      </w:pPr>
    </w:p>
    <w:p w14:paraId="26656CF3" w14:textId="77777777" w:rsidR="00817399" w:rsidRPr="002F2BC5" w:rsidRDefault="00817399" w:rsidP="00817399">
      <w:pPr>
        <w:spacing w:line="269" w:lineRule="auto"/>
        <w:rPr>
          <w:rtl/>
        </w:rPr>
      </w:pPr>
      <w:bookmarkStart w:id="1030" w:name="_Toc191987011"/>
      <w:r w:rsidRPr="002F2BC5">
        <w:rPr>
          <w:rStyle w:val="70"/>
          <w:rFonts w:hint="cs"/>
          <w:rtl/>
        </w:rPr>
        <w:t>הנושא המפורט להלן נבדק לראשונה במסגרת ביקורת זו:</w:t>
      </w:r>
      <w:bookmarkEnd w:id="1030"/>
      <w:r w:rsidRPr="002F2BC5">
        <w:rPr>
          <w:rStyle w:val="70"/>
          <w:rFonts w:hint="cs"/>
          <w:rtl/>
        </w:rPr>
        <w:t xml:space="preserve"> </w:t>
      </w:r>
      <w:r w:rsidRPr="002F2BC5">
        <w:rPr>
          <w:rFonts w:hint="cs"/>
          <w:rtl/>
        </w:rPr>
        <w:t>מקום העבודה, בדומה למערכת החינוך, עשוי למלא תפקיד מרכזי בהגברת המודעות לתופעת האלימות בין בני זוג וכן בסיוע למעורבים, בין השאר באופן הדיווח על מקרי אלימות ובעידוד עובדים החשופים לאלימות במשפחה לפנות לסיוע;</w:t>
      </w:r>
      <w:r w:rsidRPr="002F2BC5">
        <w:t xml:space="preserve"> </w:t>
      </w:r>
      <w:r w:rsidRPr="002F2BC5">
        <w:rPr>
          <w:rFonts w:hint="cs"/>
          <w:rtl/>
        </w:rPr>
        <w:t>בהגברת תחושת הביטחון של העובדים הללו; ובמתן תמיכה במקום העבודה, לרבות תמיכה כלכלית</w:t>
      </w:r>
      <w:r w:rsidRPr="002F2BC5">
        <w:rPr>
          <w:rStyle w:val="af9"/>
          <w:rtl/>
        </w:rPr>
        <w:footnoteReference w:id="229"/>
      </w:r>
      <w:r w:rsidRPr="002F2BC5">
        <w:rPr>
          <w:rtl/>
        </w:rPr>
        <w:t>.</w:t>
      </w:r>
      <w:r w:rsidRPr="002F2BC5">
        <w:rPr>
          <w:rFonts w:hint="cs"/>
          <w:rtl/>
        </w:rPr>
        <w:t xml:space="preserve"> יש לציין כי מעבר לחשיבות הציבורית שבכך, לרתימת המעסיקים להתמודדות עם התופעה חשיבות גם בהיבטים כלכליים, וזאת לנוכח ההשפעה של </w:t>
      </w:r>
      <w:r w:rsidRPr="002F2BC5">
        <w:rPr>
          <w:rFonts w:hint="cs"/>
          <w:rtl/>
        </w:rPr>
        <w:lastRenderedPageBreak/>
        <w:t>החשיפה לאלימות במשפחה על בריאותו הגופנית והנפשית של העובד ועל תפקודו במקום העבודה</w:t>
      </w:r>
      <w:r w:rsidRPr="002F2BC5">
        <w:rPr>
          <w:rStyle w:val="af9"/>
          <w:rtl/>
        </w:rPr>
        <w:footnoteReference w:id="230"/>
      </w:r>
      <w:r w:rsidRPr="002F2BC5">
        <w:rPr>
          <w:rFonts w:hint="cs"/>
          <w:rtl/>
        </w:rPr>
        <w:t xml:space="preserve">. </w:t>
      </w:r>
    </w:p>
    <w:p w14:paraId="1C117C4C" w14:textId="77777777" w:rsidR="00817399" w:rsidRPr="002F2BC5" w:rsidRDefault="00817399" w:rsidP="00817399">
      <w:pPr>
        <w:spacing w:line="269" w:lineRule="auto"/>
        <w:rPr>
          <w:rtl/>
        </w:rPr>
      </w:pPr>
    </w:p>
    <w:p w14:paraId="65DA372A" w14:textId="77777777" w:rsidR="00817399" w:rsidRPr="002F2BC5" w:rsidRDefault="00817399" w:rsidP="00817399">
      <w:pPr>
        <w:spacing w:line="269" w:lineRule="auto"/>
        <w:rPr>
          <w:rtl/>
        </w:rPr>
      </w:pPr>
      <w:r w:rsidRPr="002F2BC5">
        <w:rPr>
          <w:rFonts w:hint="cs"/>
          <w:rtl/>
        </w:rPr>
        <w:t>על יסוד מחקרים המכירים בתרומתם של מקומות עבודה בהתמודדות עם תופעת האלימות במשפחה, גם ועדת בן-שלום התייחסה בהמלצותיה לרתימת המעסיקים במקומות העבודה לטובת ההתמודדות עם התופעה, מן ההיבט הרעיוני כמו גם הכלכלי-עסקי, ובתוך כך המליצה כי מעסיקים במקומות עבודה ממשלתיים, ציבוריים ופרטיים ישתתפו "במדיניות לאומית כוללת למיגור התופעה ומתן שירותי מניעה"</w:t>
      </w:r>
      <w:r w:rsidRPr="002F2BC5">
        <w:rPr>
          <w:rStyle w:val="af9"/>
          <w:rtl/>
        </w:rPr>
        <w:footnoteReference w:id="231"/>
      </w:r>
      <w:r w:rsidRPr="002F2BC5">
        <w:rPr>
          <w:rFonts w:hint="cs"/>
          <w:rtl/>
        </w:rPr>
        <w:t xml:space="preserve">. </w:t>
      </w:r>
    </w:p>
    <w:p w14:paraId="7F833200" w14:textId="77777777" w:rsidR="00817399" w:rsidRPr="002F2BC5" w:rsidRDefault="00817399" w:rsidP="00817399">
      <w:pPr>
        <w:spacing w:line="269" w:lineRule="auto"/>
        <w:rPr>
          <w:rtl/>
        </w:rPr>
      </w:pPr>
    </w:p>
    <w:p w14:paraId="672231D8" w14:textId="77777777" w:rsidR="00817399" w:rsidRPr="002F2BC5" w:rsidRDefault="00817399" w:rsidP="00817399">
      <w:pPr>
        <w:spacing w:line="269" w:lineRule="auto"/>
        <w:rPr>
          <w:rtl/>
        </w:rPr>
      </w:pPr>
      <w:r w:rsidRPr="002F2BC5">
        <w:rPr>
          <w:rFonts w:hint="cs"/>
          <w:rtl/>
        </w:rPr>
        <w:t>במהלך שנת 2023 הוגשה הצעת חוק פרטית לתיקון ה</w:t>
      </w:r>
      <w:r w:rsidRPr="002F2BC5">
        <w:rPr>
          <w:rtl/>
        </w:rPr>
        <w:t>חוק למניעת אלימות במשפחה</w:t>
      </w:r>
      <w:r w:rsidRPr="002F2BC5">
        <w:rPr>
          <w:rFonts w:hint="cs"/>
          <w:rtl/>
        </w:rPr>
        <w:t>,</w:t>
      </w:r>
      <w:r w:rsidRPr="002F2BC5">
        <w:rPr>
          <w:rtl/>
        </w:rPr>
        <w:t xml:space="preserve"> </w:t>
      </w:r>
      <w:r w:rsidRPr="002F2BC5">
        <w:rPr>
          <w:rFonts w:hint="cs"/>
          <w:rtl/>
        </w:rPr>
        <w:t xml:space="preserve">המבקשת להטיל על מעסיקים </w:t>
      </w:r>
      <w:r w:rsidRPr="002F2BC5">
        <w:rPr>
          <w:rFonts w:hint="eastAsia"/>
          <w:rtl/>
        </w:rPr>
        <w:t>מסוימים</w:t>
      </w:r>
      <w:r w:rsidRPr="002F2BC5">
        <w:rPr>
          <w:rtl/>
        </w:rPr>
        <w:t xml:space="preserve"> חובות שונות שמטרתן לקדם </w:t>
      </w:r>
      <w:r w:rsidRPr="002F2BC5">
        <w:rPr>
          <w:rFonts w:hint="eastAsia"/>
          <w:rtl/>
        </w:rPr>
        <w:t>במקום</w:t>
      </w:r>
      <w:r w:rsidRPr="002F2BC5">
        <w:rPr>
          <w:rtl/>
        </w:rPr>
        <w:t xml:space="preserve"> </w:t>
      </w:r>
      <w:r w:rsidRPr="002F2BC5">
        <w:rPr>
          <w:rFonts w:hint="eastAsia"/>
          <w:rtl/>
        </w:rPr>
        <w:t>העבודה</w:t>
      </w:r>
      <w:r w:rsidRPr="002F2BC5">
        <w:rPr>
          <w:rFonts w:hint="cs"/>
          <w:rtl/>
        </w:rPr>
        <w:t xml:space="preserve"> </w:t>
      </w:r>
      <w:r w:rsidRPr="002F2BC5">
        <w:rPr>
          <w:rtl/>
        </w:rPr>
        <w:t xml:space="preserve">פעולות להגברת המודעות לאלימות במשפחה ובכלל זה </w:t>
      </w:r>
      <w:r w:rsidRPr="002F2BC5">
        <w:rPr>
          <w:rFonts w:hint="cs"/>
          <w:rtl/>
        </w:rPr>
        <w:t>להגברת המודעות ל</w:t>
      </w:r>
      <w:r w:rsidRPr="002F2BC5">
        <w:rPr>
          <w:rtl/>
        </w:rPr>
        <w:t>גורמי סיכון, אמצעי הגנה, סימנים מקדימים וגורמים מטפלים</w:t>
      </w:r>
      <w:r w:rsidRPr="002F2BC5">
        <w:rPr>
          <w:rStyle w:val="af9"/>
          <w:rtl/>
        </w:rPr>
        <w:footnoteReference w:id="232"/>
      </w:r>
      <w:r w:rsidRPr="002F2BC5">
        <w:rPr>
          <w:rtl/>
        </w:rPr>
        <w:t xml:space="preserve">. </w:t>
      </w:r>
    </w:p>
    <w:p w14:paraId="25DF1173" w14:textId="77777777" w:rsidR="00817399" w:rsidRPr="002F2BC5" w:rsidRDefault="00817399" w:rsidP="00817399">
      <w:pPr>
        <w:spacing w:line="269" w:lineRule="auto"/>
        <w:rPr>
          <w:rtl/>
        </w:rPr>
      </w:pPr>
    </w:p>
    <w:p w14:paraId="79AD246B" w14:textId="77777777" w:rsidR="00817399" w:rsidRPr="002F2BC5" w:rsidRDefault="00817399" w:rsidP="00817399">
      <w:pPr>
        <w:pStyle w:val="afffffff9"/>
        <w:spacing w:line="269" w:lineRule="auto"/>
        <w:rPr>
          <w:rtl/>
        </w:rPr>
      </w:pPr>
      <w:bookmarkStart w:id="1032" w:name="_Toc191987012"/>
      <w:bookmarkStart w:id="1033" w:name="_Toc192093099"/>
      <w:bookmarkStart w:id="1034" w:name="_Toc192612807"/>
      <w:bookmarkStart w:id="1035" w:name="_Toc198312240"/>
      <w:bookmarkStart w:id="1036" w:name="_Toc198312715"/>
      <w:bookmarkStart w:id="1037" w:name="_Toc200636895"/>
      <w:bookmarkStart w:id="1038" w:name="_Toc200439894"/>
      <w:bookmarkStart w:id="1039" w:name="_Toc201240999"/>
      <w:r w:rsidRPr="002F2BC5">
        <w:rPr>
          <w:rFonts w:hint="cs"/>
          <w:rtl/>
        </w:rPr>
        <w:t>הביקורת הנוכחית העלתה כי במועד סיומה, בדצמבר 2024, הצעה לתיקון חקיקה שנועדה לרתום מעסיקים מסוימים לטובת ההתמודדות עם תופעת האלימות במשפחה טרם הבשילה לכדי חקיקה מחייבת. גם לא נמצא בביקורת הנוכחית כי ננקטו פעולות אחרות בעניין זה מצד הוועדה הבין-משרדית הקבועה שבהובלת משרד הרווחה.</w:t>
      </w:r>
      <w:bookmarkEnd w:id="1032"/>
      <w:bookmarkEnd w:id="1033"/>
      <w:bookmarkEnd w:id="1034"/>
      <w:bookmarkEnd w:id="1035"/>
      <w:bookmarkEnd w:id="1036"/>
      <w:bookmarkEnd w:id="1037"/>
      <w:bookmarkEnd w:id="1038"/>
      <w:bookmarkEnd w:id="1039"/>
    </w:p>
    <w:p w14:paraId="025B0D31" w14:textId="77777777" w:rsidR="00817399" w:rsidRPr="002F2BC5" w:rsidRDefault="00817399" w:rsidP="00817399">
      <w:pPr>
        <w:spacing w:line="269" w:lineRule="auto"/>
        <w:rPr>
          <w:rtl/>
        </w:rPr>
      </w:pPr>
    </w:p>
    <w:p w14:paraId="7A15CF10" w14:textId="77777777" w:rsidR="00817399" w:rsidRPr="002F2BC5" w:rsidRDefault="00817399" w:rsidP="00817399">
      <w:pPr>
        <w:pStyle w:val="afffffffa"/>
        <w:spacing w:line="269" w:lineRule="auto"/>
        <w:rPr>
          <w:rtl/>
        </w:rPr>
      </w:pPr>
      <w:bookmarkStart w:id="1040" w:name="_Toc191987013"/>
      <w:bookmarkStart w:id="1041" w:name="_Toc192093100"/>
      <w:bookmarkStart w:id="1042" w:name="_Toc192612808"/>
      <w:bookmarkStart w:id="1043" w:name="_Toc198312241"/>
      <w:bookmarkStart w:id="1044" w:name="_Toc198312716"/>
      <w:bookmarkStart w:id="1045" w:name="_Toc200636896"/>
      <w:bookmarkStart w:id="1046" w:name="_Toc200439895"/>
      <w:bookmarkStart w:id="1047" w:name="_Toc201241000"/>
      <w:r w:rsidRPr="002F2BC5">
        <w:rPr>
          <w:rFonts w:hint="cs"/>
          <w:rtl/>
        </w:rPr>
        <w:t>מומלץ למשרד הרווחה - בשיתוף משרד המשפטים, משרד העבודה, נציבות שירות המדינה והרשות לקידום מעמד האישה - לקדם דרכים לרתימת המעסיקים במקומות העבודה להתמודדות עם תופעת האלימות במשפחה, הן לשם העלאת המודעות לתופעה והן לשם הגברת תחושת הביטחון של עובדים החשופים לאלימות במשפחה; עוד מומלץ לעודד אותם לפנות לקבלת סיוע וכן להעניק להם תמיכה תוך כדי התהליך.</w:t>
      </w:r>
      <w:bookmarkEnd w:id="1040"/>
      <w:bookmarkEnd w:id="1041"/>
      <w:bookmarkEnd w:id="1042"/>
      <w:bookmarkEnd w:id="1043"/>
      <w:bookmarkEnd w:id="1044"/>
      <w:bookmarkEnd w:id="1045"/>
      <w:bookmarkEnd w:id="1046"/>
      <w:bookmarkEnd w:id="1047"/>
    </w:p>
    <w:p w14:paraId="31B596D8" w14:textId="77777777" w:rsidR="00817399" w:rsidRPr="002F2BC5" w:rsidRDefault="00817399" w:rsidP="00817399">
      <w:pPr>
        <w:spacing w:line="269" w:lineRule="auto"/>
        <w:rPr>
          <w:rtl/>
        </w:rPr>
      </w:pPr>
    </w:p>
    <w:p w14:paraId="1E68BAF5" w14:textId="77777777" w:rsidR="00817399" w:rsidRPr="002F2BC5" w:rsidRDefault="00817399" w:rsidP="00817399">
      <w:pPr>
        <w:spacing w:line="269" w:lineRule="auto"/>
        <w:rPr>
          <w:rtl/>
        </w:rPr>
      </w:pPr>
      <w:r w:rsidRPr="002F2BC5">
        <w:rPr>
          <w:rFonts w:hint="cs"/>
          <w:rtl/>
        </w:rPr>
        <w:t>משרד העבודה מסר בתשובתו מאפריל 2025 כי אין ספק בנוגע לחשיבות הטיפול באלימות במשפחה, וכי בכל הקשור לעולם העבודה אף הוסדרה בחוק עבודת נשים, התשי"ד-1954, בהתקיים התנאים הקבועים בו, זכותן של נשים השוהות במקלט לנשים נפגעות אלימות להיעדר מהעבודה</w:t>
      </w:r>
      <w:r w:rsidRPr="002F2BC5">
        <w:rPr>
          <w:rStyle w:val="af9"/>
          <w:rtl/>
        </w:rPr>
        <w:footnoteReference w:id="233"/>
      </w:r>
      <w:r w:rsidRPr="002F2BC5">
        <w:rPr>
          <w:rFonts w:hint="cs"/>
          <w:rtl/>
        </w:rPr>
        <w:t xml:space="preserve">. עוד מסר כי אם יוחלט על הקמתו של צוות להעלאת המודעות לתופעת האלימות במשפחה ולהגברת תחושת הביטחון של עובדים החשופים לאלימות במשפחה, הוא ישמח לקחת בו חלק, אם כי בדיקתו העלתה שלעת הזו </w:t>
      </w:r>
      <w:r w:rsidRPr="002F2BC5">
        <w:rPr>
          <w:rFonts w:hint="eastAsia"/>
          <w:rtl/>
        </w:rPr>
        <w:t>אין</w:t>
      </w:r>
      <w:r w:rsidRPr="002F2BC5">
        <w:rPr>
          <w:rtl/>
        </w:rPr>
        <w:t xml:space="preserve"> </w:t>
      </w:r>
      <w:r w:rsidRPr="002F2BC5">
        <w:rPr>
          <w:rFonts w:hint="eastAsia"/>
          <w:rtl/>
        </w:rPr>
        <w:t>הסכמות</w:t>
      </w:r>
      <w:r w:rsidRPr="002F2BC5">
        <w:rPr>
          <w:rtl/>
        </w:rPr>
        <w:t xml:space="preserve"> </w:t>
      </w:r>
      <w:r w:rsidRPr="002F2BC5">
        <w:rPr>
          <w:rFonts w:hint="eastAsia"/>
          <w:rtl/>
        </w:rPr>
        <w:t>בנושא</w:t>
      </w:r>
      <w:r w:rsidRPr="002F2BC5">
        <w:rPr>
          <w:rFonts w:hint="cs"/>
          <w:rtl/>
        </w:rPr>
        <w:t xml:space="preserve">, בין השאר </w:t>
      </w:r>
      <w:bookmarkStart w:id="1048" w:name="_Hlk196807947"/>
      <w:r w:rsidRPr="002F2BC5">
        <w:rPr>
          <w:rFonts w:hint="cs"/>
          <w:rtl/>
        </w:rPr>
        <w:t>מן הטעם שחיי הפרט, אף שהם חלק מחיי העובד, נפרדים מעולם העבודה</w:t>
      </w:r>
      <w:bookmarkEnd w:id="1048"/>
      <w:r w:rsidRPr="002F2BC5">
        <w:rPr>
          <w:rFonts w:hint="cs"/>
          <w:rtl/>
        </w:rPr>
        <w:t>.</w:t>
      </w:r>
    </w:p>
    <w:p w14:paraId="32D8FE5B" w14:textId="77777777" w:rsidR="00817399" w:rsidRPr="002F2BC5" w:rsidRDefault="00817399" w:rsidP="00817399">
      <w:pPr>
        <w:spacing w:line="269" w:lineRule="auto"/>
        <w:rPr>
          <w:rtl/>
        </w:rPr>
      </w:pPr>
    </w:p>
    <w:p w14:paraId="49A2A91F" w14:textId="77777777" w:rsidR="00817399" w:rsidRPr="002F2BC5" w:rsidRDefault="00817399" w:rsidP="00817399">
      <w:pPr>
        <w:spacing w:line="269" w:lineRule="auto"/>
        <w:rPr>
          <w:rtl/>
        </w:rPr>
      </w:pPr>
      <w:r w:rsidRPr="002F2BC5">
        <w:rPr>
          <w:rFonts w:hint="cs"/>
          <w:rtl/>
        </w:rPr>
        <w:t>משרד המשפטים מסר בתשובתו כי יש להביא את ההמלצה לפתחה של הוועדה הבין-משרדית. עוד מסר כי אם זו תחליט על קידום הנושא, הוא יסייע ככל הנדרש, אך ציין כי במקרה זה תידרש עבודת מטה לבחינת האכסניה המתאימה לצורך כך, וזאת בשים לב בין השאר לעלויות הכלכליות ולמגבלות החוקיות הקיימות, ובכלל זה לעניין פרטיות העובדים. לפי התשובה, בהתייחס לנפגעי עבירה, ובכללם נפגעי עבירות אלימות במשפחה, החליטה הממשלה בשנת 2022 "</w:t>
      </w:r>
      <w:r w:rsidRPr="002F2BC5">
        <w:rPr>
          <w:rtl/>
        </w:rPr>
        <w:t xml:space="preserve">לבחון קשיים </w:t>
      </w:r>
      <w:r w:rsidRPr="002F2BC5">
        <w:rPr>
          <w:rtl/>
        </w:rPr>
        <w:lastRenderedPageBreak/>
        <w:t>ייחודיים לנפגעי עבירה בעולם העבודה ודרכים למתן סיוע ותמיכה בהקשרים אלה, לרבות תיקוני חקיקה נדרשים</w:t>
      </w:r>
      <w:r w:rsidRPr="002F2BC5">
        <w:rPr>
          <w:rFonts w:hint="cs"/>
          <w:rtl/>
        </w:rPr>
        <w:t>"</w:t>
      </w:r>
      <w:r w:rsidRPr="002F2BC5">
        <w:rPr>
          <w:rStyle w:val="af9"/>
          <w:rtl/>
        </w:rPr>
        <w:footnoteReference w:id="234"/>
      </w:r>
      <w:r w:rsidRPr="002F2BC5">
        <w:rPr>
          <w:rFonts w:hint="cs"/>
          <w:rtl/>
        </w:rPr>
        <w:t>. בהקשר זה צוין בתשובה כי במדינות אחרות הסדרים חוקיים המתייחסים לזכויותיהם במקומות העבודה של נפגעי עבירה מתמקדים בנפגעי עבירות אלימות במשפחה או תקיפה מינית, והם כוללים בין השאר את האפשרות להיעדר מהעבודה לצורך מתן עדות או לקבלת טיפול וכן את האפשרות לשנות או להתאים את מקום ביצוע העבודה או את שעות העבודה בנסיבות מסוימות.</w:t>
      </w:r>
    </w:p>
    <w:p w14:paraId="003EEFB8" w14:textId="77777777" w:rsidR="00817399" w:rsidRPr="002F2BC5" w:rsidRDefault="00817399" w:rsidP="00817399">
      <w:pPr>
        <w:spacing w:line="269" w:lineRule="auto"/>
        <w:rPr>
          <w:rtl/>
        </w:rPr>
      </w:pPr>
    </w:p>
    <w:p w14:paraId="097F1713" w14:textId="77777777" w:rsidR="00817399" w:rsidRPr="002F2BC5" w:rsidRDefault="00817399" w:rsidP="00817399">
      <w:pPr>
        <w:spacing w:line="269" w:lineRule="auto"/>
        <w:rPr>
          <w:rtl/>
        </w:rPr>
      </w:pPr>
      <w:r w:rsidRPr="002F2BC5">
        <w:rPr>
          <w:rtl/>
        </w:rPr>
        <w:t xml:space="preserve">הרשות לקידום מעמד האישה </w:t>
      </w:r>
      <w:r w:rsidRPr="002F2BC5">
        <w:rPr>
          <w:rFonts w:hint="cs"/>
          <w:rtl/>
        </w:rPr>
        <w:t xml:space="preserve">מסרה בתשובתה כי לתפיסתה </w:t>
      </w:r>
      <w:r w:rsidRPr="002F2BC5">
        <w:rPr>
          <w:rtl/>
        </w:rPr>
        <w:t>מקו</w:t>
      </w:r>
      <w:r w:rsidRPr="002F2BC5">
        <w:rPr>
          <w:rFonts w:hint="cs"/>
          <w:rtl/>
        </w:rPr>
        <w:t>ם</w:t>
      </w:r>
      <w:r w:rsidRPr="002F2BC5">
        <w:rPr>
          <w:rtl/>
        </w:rPr>
        <w:t xml:space="preserve"> העבודה </w:t>
      </w:r>
      <w:r w:rsidRPr="002F2BC5">
        <w:rPr>
          <w:rFonts w:hint="cs"/>
          <w:rtl/>
        </w:rPr>
        <w:t xml:space="preserve">יכול לשמש </w:t>
      </w:r>
      <w:r w:rsidRPr="002F2BC5">
        <w:rPr>
          <w:rtl/>
        </w:rPr>
        <w:t xml:space="preserve">זירה מרכזית </w:t>
      </w:r>
      <w:r w:rsidRPr="002F2BC5">
        <w:rPr>
          <w:rFonts w:hint="cs"/>
          <w:rtl/>
        </w:rPr>
        <w:t>לקידום</w:t>
      </w:r>
      <w:r w:rsidRPr="002F2BC5">
        <w:rPr>
          <w:rtl/>
        </w:rPr>
        <w:t xml:space="preserve"> </w:t>
      </w:r>
      <w:r w:rsidRPr="002F2BC5">
        <w:rPr>
          <w:rFonts w:hint="cs"/>
          <w:rtl/>
        </w:rPr>
        <w:t>ה</w:t>
      </w:r>
      <w:r w:rsidRPr="002F2BC5">
        <w:rPr>
          <w:rtl/>
        </w:rPr>
        <w:t>התמודדות עם</w:t>
      </w:r>
      <w:r w:rsidRPr="002F2BC5">
        <w:rPr>
          <w:rFonts w:hint="cs"/>
          <w:rtl/>
        </w:rPr>
        <w:t xml:space="preserve"> </w:t>
      </w:r>
      <w:r w:rsidRPr="002F2BC5">
        <w:rPr>
          <w:rtl/>
        </w:rPr>
        <w:t xml:space="preserve">תופעת האלימות במשפחה, </w:t>
      </w:r>
      <w:r w:rsidRPr="002F2BC5">
        <w:rPr>
          <w:rFonts w:hint="cs"/>
          <w:rtl/>
        </w:rPr>
        <w:t>ובכלל זה זיהוי סימני המצוקה, מתן מענה ראשוני ויצירת סביבה תומכת ובטוחה לנפגעי האלימות</w:t>
      </w:r>
      <w:r w:rsidRPr="002F2BC5">
        <w:rPr>
          <w:rtl/>
        </w:rPr>
        <w:t xml:space="preserve">. </w:t>
      </w:r>
      <w:r w:rsidRPr="002F2BC5">
        <w:rPr>
          <w:rFonts w:hint="cs"/>
          <w:rtl/>
        </w:rPr>
        <w:t xml:space="preserve">בהתאם לכך ציינה כי </w:t>
      </w:r>
      <w:r w:rsidRPr="002F2BC5">
        <w:rPr>
          <w:rtl/>
        </w:rPr>
        <w:t>תבחן את</w:t>
      </w:r>
      <w:r w:rsidRPr="002F2BC5">
        <w:rPr>
          <w:rFonts w:hint="cs"/>
          <w:rtl/>
        </w:rPr>
        <w:t xml:space="preserve"> המלצות הביקורת </w:t>
      </w:r>
      <w:r w:rsidRPr="002F2BC5">
        <w:rPr>
          <w:rtl/>
        </w:rPr>
        <w:t>ואת האפשרויות העומדות בפניה לקידומן.</w:t>
      </w:r>
    </w:p>
    <w:p w14:paraId="6BA4F457" w14:textId="77777777" w:rsidR="00817399" w:rsidRPr="002F2BC5" w:rsidRDefault="00817399" w:rsidP="00817399">
      <w:pPr>
        <w:spacing w:line="269" w:lineRule="auto"/>
        <w:rPr>
          <w:rtl/>
        </w:rPr>
      </w:pPr>
    </w:p>
    <w:p w14:paraId="323E9DEA" w14:textId="77777777" w:rsidR="00817399" w:rsidRPr="002F2BC5" w:rsidRDefault="00817399" w:rsidP="00817399">
      <w:pPr>
        <w:pStyle w:val="4"/>
        <w:spacing w:before="0" w:line="269" w:lineRule="auto"/>
        <w:rPr>
          <w:rtl/>
        </w:rPr>
      </w:pPr>
      <w:bookmarkStart w:id="1049" w:name="_Toc189072234"/>
      <w:bookmarkStart w:id="1050" w:name="_Toc191987014"/>
      <w:bookmarkStart w:id="1051" w:name="_Toc191891396"/>
      <w:bookmarkStart w:id="1052" w:name="_Toc192093101"/>
      <w:bookmarkStart w:id="1053" w:name="_Toc193110612"/>
      <w:bookmarkStart w:id="1054" w:name="_Toc192612809"/>
      <w:bookmarkStart w:id="1055" w:name="_Toc192778830"/>
      <w:bookmarkStart w:id="1056" w:name="_Toc198312242"/>
      <w:bookmarkStart w:id="1057" w:name="_Toc198312717"/>
      <w:bookmarkStart w:id="1058" w:name="_Toc200636808"/>
      <w:bookmarkStart w:id="1059" w:name="_Toc200636897"/>
      <w:bookmarkStart w:id="1060" w:name="_Toc200439807"/>
      <w:bookmarkStart w:id="1061" w:name="_Toc200439896"/>
      <w:bookmarkStart w:id="1062" w:name="_Toc201241001"/>
      <w:bookmarkStart w:id="1063" w:name="_Toc192784384"/>
      <w:bookmarkStart w:id="1064" w:name="_Toc201759370"/>
      <w:bookmarkStart w:id="1065" w:name="_Toc203488006"/>
      <w:r w:rsidRPr="002F2BC5">
        <w:rPr>
          <w:rFonts w:hint="cs"/>
          <w:rtl/>
        </w:rPr>
        <w:t>הסברה והעלאת המודעות באוכלוסייה הכללית</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273CEF5A" w14:textId="77777777" w:rsidR="00817399" w:rsidRPr="002F2BC5" w:rsidRDefault="00817399" w:rsidP="00817399">
      <w:pPr>
        <w:spacing w:line="269" w:lineRule="auto"/>
        <w:rPr>
          <w:rtl/>
        </w:rPr>
      </w:pPr>
    </w:p>
    <w:p w14:paraId="67B72543" w14:textId="77777777" w:rsidR="00817399" w:rsidRPr="002F2BC5" w:rsidRDefault="00817399" w:rsidP="00817399">
      <w:pPr>
        <w:spacing w:line="269" w:lineRule="auto"/>
        <w:rPr>
          <w:rtl/>
        </w:rPr>
      </w:pPr>
      <w:r w:rsidRPr="002F2BC5">
        <w:rPr>
          <w:rFonts w:hint="cs"/>
          <w:rtl/>
        </w:rPr>
        <w:t>פעולות בתחום ההסברה והעלאת המודעות באוכלוסייה הכללית כוללות מנעד רחב של תחומים. הן כוללות עריכת ימי עיון, סדנאות והדרכות בנושאים העוסקים במישרין או המשיקים לתחום האלימות במשפחה, וכן תשדירים ופרסומים באמצעי התקשורת והמדיה החברתית, במרחב הציבורי העירוני והבין-עירוני. ישנה חשיבות לכך שפעולות אלו ייעשו לכל אורך הרצף הגילי בהתאמות הנדרשות</w:t>
      </w:r>
      <w:r w:rsidRPr="002F2BC5">
        <w:rPr>
          <w:rStyle w:val="af9"/>
          <w:rtl/>
        </w:rPr>
        <w:footnoteReference w:id="235"/>
      </w:r>
      <w:r w:rsidRPr="002F2BC5">
        <w:rPr>
          <w:rFonts w:hint="cs"/>
          <w:rtl/>
        </w:rPr>
        <w:t xml:space="preserve">. </w:t>
      </w:r>
    </w:p>
    <w:p w14:paraId="781D65CF" w14:textId="77777777" w:rsidR="00817399" w:rsidRPr="002F2BC5" w:rsidRDefault="00817399" w:rsidP="00817399">
      <w:pPr>
        <w:spacing w:line="269" w:lineRule="auto"/>
        <w:rPr>
          <w:rtl/>
        </w:rPr>
      </w:pPr>
    </w:p>
    <w:p w14:paraId="1AD7BAAD" w14:textId="77777777" w:rsidR="00817399" w:rsidRPr="002F2BC5" w:rsidRDefault="00817399" w:rsidP="00817399">
      <w:pPr>
        <w:spacing w:line="269" w:lineRule="auto"/>
        <w:rPr>
          <w:rtl/>
        </w:rPr>
      </w:pPr>
      <w:r w:rsidRPr="002F2BC5">
        <w:rPr>
          <w:rFonts w:hint="cs"/>
          <w:rtl/>
        </w:rPr>
        <w:t>פעולות בתחום ההסברה והעלאת המודעות, מעצם טיבן, יכולות להיעשות הן על ידי משרדי הממשלה, ברמה הארצית, והן על ידי הרשויות המקומיות, ברמה המקומית, במימון הרשות המקומית או במימון ממשלתי. בחלק מהרשויות המקומיות מופעלות במימון ממשלתי של הרשות לביטחון קהילתי שתי תוכניות למניעת אלימות, הנוגעות לאלימות בתוך התא המשפחתי ובמערכת היחסים הזוגית: תוכנית "שומרי סף", שבמסגרתה ניתנת הכשרה לבעלי מקצוע לצורך זיהוי ומתן סיוע ראשוני ללקוחותיהם המצויים במעגל האלימות</w:t>
      </w:r>
      <w:r w:rsidRPr="002F2BC5">
        <w:rPr>
          <w:rStyle w:val="af9"/>
          <w:rtl/>
        </w:rPr>
        <w:footnoteReference w:id="236"/>
      </w:r>
      <w:r w:rsidRPr="002F2BC5">
        <w:rPr>
          <w:rFonts w:hint="cs"/>
          <w:rtl/>
        </w:rPr>
        <w:t>; ו"תוכנית למניעת אלימות, סמים ואלכוהול" (</w:t>
      </w:r>
      <w:bookmarkStart w:id="1066" w:name="_Hlk202250340"/>
      <w:r w:rsidRPr="002F2BC5">
        <w:rPr>
          <w:rFonts w:hint="cs"/>
          <w:rtl/>
        </w:rPr>
        <w:t>להלן - התוכנית למניעת אלימות</w:t>
      </w:r>
      <w:bookmarkEnd w:id="1066"/>
      <w:r w:rsidRPr="002F2BC5">
        <w:rPr>
          <w:rFonts w:hint="cs"/>
          <w:rtl/>
        </w:rPr>
        <w:t>), שבמסגרתה ננקטות פעולות בתחום ההסברה והעלאת המודעות בכל הנוגע לתופעת האלימות בכללותה והשימוש בחומרים פסיכו-אקטיביים.</w:t>
      </w:r>
      <w:r w:rsidRPr="002F2BC5">
        <w:rPr>
          <w:rtl/>
        </w:rPr>
        <w:t xml:space="preserve"> </w:t>
      </w:r>
    </w:p>
    <w:p w14:paraId="612137B7" w14:textId="77777777" w:rsidR="00817399" w:rsidRPr="002F2BC5" w:rsidRDefault="00817399" w:rsidP="00817399">
      <w:pPr>
        <w:spacing w:line="269" w:lineRule="auto"/>
        <w:rPr>
          <w:rtl/>
        </w:rPr>
      </w:pPr>
    </w:p>
    <w:p w14:paraId="52636283" w14:textId="77777777" w:rsidR="00817399" w:rsidRPr="002F2BC5" w:rsidRDefault="00817399" w:rsidP="00817399">
      <w:pPr>
        <w:spacing w:line="269" w:lineRule="auto"/>
        <w:rPr>
          <w:rtl/>
        </w:rPr>
      </w:pPr>
      <w:r w:rsidRPr="002F2BC5">
        <w:rPr>
          <w:rFonts w:hint="cs"/>
          <w:rtl/>
        </w:rPr>
        <w:t>הובלת התוכנית למניעת אלימות נעשית באמצעות מנהל יישובי לביטחון קהילתי (</w:t>
      </w:r>
      <w:bookmarkStart w:id="1067" w:name="_Hlk202250428"/>
      <w:r w:rsidRPr="002F2BC5">
        <w:rPr>
          <w:rFonts w:hint="cs"/>
          <w:rtl/>
        </w:rPr>
        <w:t>להלן - המנהל היישובי</w:t>
      </w:r>
      <w:bookmarkEnd w:id="1067"/>
      <w:r w:rsidRPr="002F2BC5">
        <w:rPr>
          <w:rFonts w:hint="cs"/>
          <w:rtl/>
        </w:rPr>
        <w:t>)</w:t>
      </w:r>
      <w:r w:rsidRPr="002F2BC5">
        <w:rPr>
          <w:rtl/>
        </w:rPr>
        <w:t xml:space="preserve">, </w:t>
      </w:r>
      <w:r w:rsidRPr="002F2BC5">
        <w:rPr>
          <w:rFonts w:hint="cs"/>
          <w:rtl/>
        </w:rPr>
        <w:t xml:space="preserve">המועסק במימון הרשות לביטחון קהילתי, </w:t>
      </w:r>
      <w:r w:rsidRPr="002F2BC5">
        <w:rPr>
          <w:rtl/>
        </w:rPr>
        <w:t xml:space="preserve">בשיתוף </w:t>
      </w:r>
      <w:r w:rsidRPr="002F2BC5">
        <w:rPr>
          <w:rFonts w:hint="cs"/>
          <w:rtl/>
        </w:rPr>
        <w:t>ובתיאום עם הנהלת הרשות המקומית והדרג המקצועי ברשות המקומית</w:t>
      </w:r>
      <w:r w:rsidRPr="002F2BC5">
        <w:rPr>
          <w:rStyle w:val="af9"/>
          <w:rtl/>
        </w:rPr>
        <w:footnoteReference w:id="237"/>
      </w:r>
      <w:r w:rsidRPr="002F2BC5">
        <w:rPr>
          <w:rtl/>
        </w:rPr>
        <w:t>.</w:t>
      </w:r>
      <w:r w:rsidRPr="002F2BC5">
        <w:rPr>
          <w:rFonts w:hint="cs"/>
          <w:rtl/>
        </w:rPr>
        <w:t xml:space="preserve"> </w:t>
      </w:r>
      <w:r w:rsidRPr="002F2BC5">
        <w:rPr>
          <w:rFonts w:hint="eastAsia"/>
          <w:rtl/>
        </w:rPr>
        <w:t>בחלק</w:t>
      </w:r>
      <w:r w:rsidRPr="002F2BC5">
        <w:rPr>
          <w:rtl/>
        </w:rPr>
        <w:t xml:space="preserve"> מהרשויות המקומיות </w:t>
      </w:r>
      <w:r w:rsidRPr="002F2BC5">
        <w:rPr>
          <w:rFonts w:hint="eastAsia"/>
          <w:rtl/>
        </w:rPr>
        <w:t>שבהן</w:t>
      </w:r>
      <w:r w:rsidRPr="002F2BC5">
        <w:rPr>
          <w:rtl/>
        </w:rPr>
        <w:t xml:space="preserve"> מופעלת התוכנית למניעת אלימות מועסקים </w:t>
      </w:r>
      <w:r w:rsidRPr="002F2BC5">
        <w:rPr>
          <w:rFonts w:hint="eastAsia"/>
          <w:rtl/>
        </w:rPr>
        <w:t>במימון</w:t>
      </w:r>
      <w:r w:rsidRPr="002F2BC5">
        <w:rPr>
          <w:rtl/>
        </w:rPr>
        <w:t xml:space="preserve"> הרשות לביטחון קהילתי </w:t>
      </w:r>
      <w:r w:rsidRPr="002F2BC5">
        <w:rPr>
          <w:rFonts w:hint="eastAsia"/>
          <w:rtl/>
        </w:rPr>
        <w:t>גם</w:t>
      </w:r>
      <w:r w:rsidRPr="002F2BC5">
        <w:rPr>
          <w:rtl/>
        </w:rPr>
        <w:t xml:space="preserve"> </w:t>
      </w:r>
      <w:r w:rsidRPr="002F2BC5">
        <w:rPr>
          <w:rFonts w:hint="eastAsia"/>
          <w:rtl/>
        </w:rPr>
        <w:t>עובדים</w:t>
      </w:r>
      <w:r w:rsidRPr="002F2BC5">
        <w:rPr>
          <w:rtl/>
        </w:rPr>
        <w:t xml:space="preserve"> </w:t>
      </w:r>
      <w:r w:rsidRPr="002F2BC5">
        <w:rPr>
          <w:rFonts w:hint="eastAsia"/>
          <w:rtl/>
        </w:rPr>
        <w:t>סוציאליים</w:t>
      </w:r>
      <w:r w:rsidRPr="002F2BC5">
        <w:rPr>
          <w:rtl/>
        </w:rPr>
        <w:t xml:space="preserve"> </w:t>
      </w:r>
      <w:r w:rsidRPr="002F2BC5">
        <w:rPr>
          <w:rFonts w:hint="eastAsia"/>
          <w:rtl/>
        </w:rPr>
        <w:t>קהילתיים</w:t>
      </w:r>
      <w:r w:rsidRPr="002F2BC5">
        <w:rPr>
          <w:rtl/>
        </w:rPr>
        <w:t xml:space="preserve">, </w:t>
      </w:r>
      <w:r w:rsidRPr="002F2BC5">
        <w:rPr>
          <w:rFonts w:hint="eastAsia"/>
          <w:rtl/>
        </w:rPr>
        <w:t>שתפקידם</w:t>
      </w:r>
      <w:r w:rsidRPr="002F2BC5">
        <w:rPr>
          <w:rtl/>
        </w:rPr>
        <w:t xml:space="preserve"> לקדם </w:t>
      </w:r>
      <w:r w:rsidRPr="002F2BC5">
        <w:rPr>
          <w:rFonts w:hint="eastAsia"/>
          <w:rtl/>
        </w:rPr>
        <w:t>תהליכים</w:t>
      </w:r>
      <w:r w:rsidRPr="002F2BC5">
        <w:rPr>
          <w:rtl/>
        </w:rPr>
        <w:t xml:space="preserve"> של שינוי חברתי במטרה </w:t>
      </w:r>
      <w:r w:rsidRPr="002F2BC5">
        <w:rPr>
          <w:rFonts w:hint="eastAsia"/>
          <w:rtl/>
        </w:rPr>
        <w:t>לצמצם</w:t>
      </w:r>
      <w:r w:rsidRPr="002F2BC5">
        <w:rPr>
          <w:rtl/>
        </w:rPr>
        <w:t xml:space="preserve"> </w:t>
      </w:r>
      <w:r w:rsidRPr="002F2BC5">
        <w:rPr>
          <w:rFonts w:hint="eastAsia"/>
          <w:rtl/>
        </w:rPr>
        <w:t>את</w:t>
      </w:r>
      <w:r w:rsidRPr="002F2BC5">
        <w:rPr>
          <w:rtl/>
        </w:rPr>
        <w:t xml:space="preserve"> </w:t>
      </w:r>
      <w:r w:rsidRPr="002F2BC5">
        <w:rPr>
          <w:rFonts w:hint="eastAsia"/>
          <w:rtl/>
        </w:rPr>
        <w:t>תופעת</w:t>
      </w:r>
      <w:r w:rsidRPr="002F2BC5">
        <w:rPr>
          <w:rtl/>
        </w:rPr>
        <w:t xml:space="preserve"> </w:t>
      </w:r>
      <w:r w:rsidRPr="002F2BC5">
        <w:rPr>
          <w:rFonts w:hint="eastAsia"/>
          <w:rtl/>
        </w:rPr>
        <w:t>ה</w:t>
      </w:r>
      <w:r w:rsidRPr="002F2BC5">
        <w:rPr>
          <w:rtl/>
        </w:rPr>
        <w:t xml:space="preserve">אלימות </w:t>
      </w:r>
      <w:r w:rsidRPr="002F2BC5">
        <w:rPr>
          <w:rFonts w:hint="eastAsia"/>
          <w:rtl/>
        </w:rPr>
        <w:t>ולהגביר</w:t>
      </w:r>
      <w:r w:rsidRPr="002F2BC5">
        <w:rPr>
          <w:rtl/>
        </w:rPr>
        <w:t xml:space="preserve"> את תחושת הביטחון של התושבים</w:t>
      </w:r>
      <w:r w:rsidRPr="002F2BC5">
        <w:rPr>
          <w:rStyle w:val="af9"/>
          <w:rtl/>
        </w:rPr>
        <w:footnoteReference w:id="238"/>
      </w:r>
      <w:r w:rsidRPr="002F2BC5">
        <w:rPr>
          <w:rFonts w:hint="cs"/>
          <w:rtl/>
        </w:rPr>
        <w:t xml:space="preserve">. יש לציין כי עובדים סוציאליים קהילתיים ייעודיים </w:t>
      </w:r>
      <w:r w:rsidRPr="002F2BC5">
        <w:rPr>
          <w:rFonts w:hint="cs"/>
          <w:rtl/>
        </w:rPr>
        <w:lastRenderedPageBreak/>
        <w:t>בתחום האלימות במשפחה מועסקים בחלק מהרשויות המקומיות, החל משנת 2022, גם במימון משרד הרווחה</w:t>
      </w:r>
      <w:r w:rsidRPr="002F2BC5">
        <w:rPr>
          <w:rStyle w:val="af9"/>
          <w:rtl/>
        </w:rPr>
        <w:footnoteReference w:id="239"/>
      </w:r>
      <w:r w:rsidRPr="002F2BC5">
        <w:rPr>
          <w:rFonts w:hint="cs"/>
          <w:rtl/>
        </w:rPr>
        <w:t xml:space="preserve">. </w:t>
      </w:r>
    </w:p>
    <w:p w14:paraId="49C71F2B" w14:textId="77777777" w:rsidR="00817399" w:rsidRPr="002F2BC5" w:rsidRDefault="00817399" w:rsidP="00817399">
      <w:pPr>
        <w:spacing w:line="269" w:lineRule="auto"/>
        <w:rPr>
          <w:rtl/>
        </w:rPr>
      </w:pPr>
    </w:p>
    <w:p w14:paraId="77039DD1" w14:textId="77777777" w:rsidR="00817399" w:rsidRPr="002F2BC5" w:rsidRDefault="00817399" w:rsidP="00817399">
      <w:pPr>
        <w:spacing w:line="269" w:lineRule="auto"/>
        <w:rPr>
          <w:rtl/>
        </w:rPr>
      </w:pPr>
      <w:r w:rsidRPr="002F2BC5">
        <w:rPr>
          <w:rFonts w:hint="cs"/>
          <w:rtl/>
        </w:rPr>
        <w:t>בביקורת הקודמת נבדקו פעולותיהן של הרשויות המקומיות בתחום המניעה הראשונית, ובכלל זה פעולות להסברה והעלאת המודעות באוכלוסייה הכללית באמצעות תקציבים עירוניים וכן במימון ממשלתי. להלן יפורטו ממצאי המעקב בנושא זה.</w:t>
      </w:r>
    </w:p>
    <w:p w14:paraId="60CA5C07" w14:textId="77777777" w:rsidR="00817399" w:rsidRPr="002F2BC5" w:rsidRDefault="00817399" w:rsidP="00817399">
      <w:pPr>
        <w:spacing w:line="269" w:lineRule="auto"/>
        <w:rPr>
          <w:rtl/>
        </w:rPr>
      </w:pPr>
    </w:p>
    <w:p w14:paraId="4E39512F" w14:textId="77777777" w:rsidR="00817399" w:rsidRPr="002F2BC5" w:rsidRDefault="00817399" w:rsidP="00817399">
      <w:pPr>
        <w:spacing w:line="269" w:lineRule="auto"/>
        <w:rPr>
          <w:rtl/>
        </w:rPr>
      </w:pPr>
      <w:bookmarkStart w:id="1068" w:name="_Toc191987015"/>
      <w:r w:rsidRPr="002F2BC5">
        <w:rPr>
          <w:rStyle w:val="70"/>
          <w:rFonts w:hint="cs"/>
          <w:rtl/>
        </w:rPr>
        <w:t>הביקורת הקודמת:</w:t>
      </w:r>
      <w:bookmarkEnd w:id="1068"/>
      <w:r w:rsidRPr="002F2BC5">
        <w:rPr>
          <w:rStyle w:val="70"/>
          <w:rFonts w:hint="cs"/>
          <w:rtl/>
        </w:rPr>
        <w:t xml:space="preserve"> </w:t>
      </w:r>
      <w:r w:rsidRPr="002F2BC5">
        <w:rPr>
          <w:rFonts w:hint="cs"/>
          <w:rtl/>
        </w:rPr>
        <w:t>כלל הרשויות המקומיות</w:t>
      </w:r>
      <w:r w:rsidRPr="002F2BC5">
        <w:rPr>
          <w:rtl/>
        </w:rPr>
        <w:t xml:space="preserve"> שנבדקו </w:t>
      </w:r>
      <w:r w:rsidRPr="002F2BC5">
        <w:rPr>
          <w:rFonts w:hint="cs"/>
          <w:rtl/>
        </w:rPr>
        <w:t xml:space="preserve">מסרו </w:t>
      </w:r>
      <w:r w:rsidRPr="002F2BC5">
        <w:rPr>
          <w:rFonts w:hint="eastAsia"/>
          <w:rtl/>
        </w:rPr>
        <w:t>כי</w:t>
      </w:r>
      <w:r w:rsidRPr="002F2BC5">
        <w:rPr>
          <w:rtl/>
        </w:rPr>
        <w:t xml:space="preserve"> הן</w:t>
      </w:r>
      <w:r w:rsidRPr="002F2BC5">
        <w:rPr>
          <w:rFonts w:hint="cs"/>
          <w:rtl/>
        </w:rPr>
        <w:t xml:space="preserve"> נוקטות פעולות בתחום המניעה הראשונית, לעיתים גם בהובלת היועצות לקידום מעמד האישה וכי הן פועלות במרחב הציבורי להעלאת המודעות לתופעה ולעידוד פנייה אליהן לצורך קבלת סיוע. עם זאת הועלה כי בהיעדר מדיניות סדורה בנושא, קיימת חוסר אחידות בפעולות שהרשויות המקומיות הללו נוקטות בתחום המניעה הראשונית וכן בהיקף התקציב שהן מקצות עבור פעולות אלו. </w:t>
      </w:r>
    </w:p>
    <w:p w14:paraId="07EC4D59" w14:textId="77777777" w:rsidR="00817399" w:rsidRPr="002F2BC5" w:rsidRDefault="00817399" w:rsidP="00817399">
      <w:pPr>
        <w:spacing w:line="269" w:lineRule="auto"/>
        <w:rPr>
          <w:rtl/>
        </w:rPr>
      </w:pPr>
    </w:p>
    <w:p w14:paraId="0F5FF792" w14:textId="77777777" w:rsidR="00817399" w:rsidRPr="002F2BC5" w:rsidRDefault="00817399" w:rsidP="00817399">
      <w:pPr>
        <w:spacing w:line="269" w:lineRule="auto"/>
        <w:rPr>
          <w:rtl/>
        </w:rPr>
      </w:pPr>
      <w:r w:rsidRPr="002F2BC5">
        <w:rPr>
          <w:rFonts w:hint="cs"/>
          <w:rtl/>
        </w:rPr>
        <w:t>עוד הועלה כי נכון לינואר 2021, ב-27 רשויות מקומיות הופעלה תוכנית "שומרי סף", וב-38 רשויות מקומיות הועסקו עובדים סוציאליים קהילתיים במסגרת התוכנית למניעת אלימות. בשנת 2019 תוכניות אלו הופעלו במימון הרשות לביטחון קהילתי בהיקף כספי מצטבר של כ-2 מיליון ש"ח.</w:t>
      </w:r>
    </w:p>
    <w:p w14:paraId="6FA96444" w14:textId="77777777" w:rsidR="00817399" w:rsidRPr="002F2BC5" w:rsidRDefault="00817399" w:rsidP="00817399">
      <w:pPr>
        <w:spacing w:line="269" w:lineRule="auto"/>
        <w:rPr>
          <w:rtl/>
        </w:rPr>
      </w:pPr>
    </w:p>
    <w:p w14:paraId="507888CD" w14:textId="77777777" w:rsidR="00817399" w:rsidRPr="002F2BC5" w:rsidRDefault="00817399" w:rsidP="00817399">
      <w:pPr>
        <w:spacing w:line="269" w:lineRule="auto"/>
        <w:rPr>
          <w:rtl/>
        </w:rPr>
      </w:pPr>
      <w:r w:rsidRPr="002F2BC5">
        <w:rPr>
          <w:rFonts w:hint="cs"/>
          <w:rtl/>
        </w:rPr>
        <w:t>בביקורת הקודמת משרד מבקר המדינה ציין לחיוב את הפעולות שנקטו הרשויות המקומיות שנבדקו בתחום המניעה הראשונית, ובכלל זה ציין את השפעתה החיובית של התוכנית "למניעת אלימות ולמאבק בסמים ובאלכוהול" שהופעלה בעשר מבין הרשויות המקומיות שנבדקו, בייחוד לנוכח היקף התקציב המצומצם שהוקצה במסגרתה. לצד זאת הומלץ לרשויות המקומיות להרחיב את</w:t>
      </w:r>
      <w:r w:rsidRPr="002F2BC5">
        <w:rPr>
          <w:rtl/>
        </w:rPr>
        <w:t xml:space="preserve"> פעולות המניעה הראשונית לצד נקיטת פעולות נוספות בתחום זה</w:t>
      </w:r>
      <w:r w:rsidRPr="002F2BC5">
        <w:rPr>
          <w:rFonts w:hint="cs"/>
          <w:rtl/>
        </w:rPr>
        <w:t xml:space="preserve">, וכן הומלץ להן ולמשרד הרווחה להגדיר תקציב ייעודי עבור הפעולות הללו. </w:t>
      </w:r>
    </w:p>
    <w:p w14:paraId="3B25034E" w14:textId="77777777" w:rsidR="00817399" w:rsidRPr="002F2BC5" w:rsidRDefault="00817399" w:rsidP="00817399">
      <w:pPr>
        <w:spacing w:line="269" w:lineRule="auto"/>
        <w:rPr>
          <w:rtl/>
        </w:rPr>
      </w:pPr>
    </w:p>
    <w:p w14:paraId="15FC9138"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הוא פועל לעדכון מודל המימון של המרכזים לטיפול ומניעת אלימות במשפחה, כך שיינתן בו ביטוי גם לאחריותם לתחום המניעה הראשונית.</w:t>
      </w:r>
    </w:p>
    <w:p w14:paraId="155BC892" w14:textId="77777777" w:rsidR="00817399" w:rsidRPr="002F2BC5" w:rsidRDefault="00817399" w:rsidP="00817399">
      <w:pPr>
        <w:spacing w:line="269" w:lineRule="auto"/>
        <w:rPr>
          <w:rtl/>
        </w:rPr>
      </w:pPr>
    </w:p>
    <w:p w14:paraId="7D2A377E" w14:textId="77777777" w:rsidR="00817399" w:rsidRPr="002F2BC5" w:rsidRDefault="00817399" w:rsidP="00817399">
      <w:pPr>
        <w:spacing w:line="269" w:lineRule="auto"/>
        <w:rPr>
          <w:rtl/>
        </w:rPr>
      </w:pPr>
      <w:r w:rsidRPr="002F2BC5">
        <w:rPr>
          <w:rFonts w:hint="cs"/>
          <w:rtl/>
        </w:rPr>
        <w:t>הרשות לביטחון קהילתי מסרה בתשובתה מינואר 2021 כי מחויבותם של מנהלי היישובים במסגרת התוכנית למניעת אלימות לכנס ועדה יישובית בנושא אלימות במשפחה לפחות אחת לשנה, מגבירה את מחויבותם לנושא של בעלי התפקידים הבכירים ברשות המקומית ומאפשרת את הנעתם של מהלכים חשובים. לצד זאת מסרה כי ברשויות מקומיות מהחברה הערבית יש קושי מבחינת המוכנות והנכונות שלהן לקיים פעילויות קהילתיות בתחום האלימות במשפחה.</w:t>
      </w:r>
    </w:p>
    <w:p w14:paraId="579FCE4A" w14:textId="77777777" w:rsidR="00817399" w:rsidRPr="002F2BC5" w:rsidRDefault="00817399" w:rsidP="00817399">
      <w:pPr>
        <w:spacing w:line="269" w:lineRule="auto"/>
        <w:rPr>
          <w:rtl/>
        </w:rPr>
      </w:pPr>
    </w:p>
    <w:p w14:paraId="28B9CDEB"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בני</w:t>
      </w:r>
      <w:r w:rsidRPr="002F2BC5">
        <w:rPr>
          <w:b/>
          <w:bCs/>
          <w:rtl/>
        </w:rPr>
        <w:t xml:space="preserve"> </w:t>
      </w:r>
      <w:r w:rsidRPr="002F2BC5">
        <w:rPr>
          <w:rFonts w:hint="eastAsia"/>
          <w:b/>
          <w:bCs/>
          <w:rtl/>
        </w:rPr>
        <w:t>ברק</w:t>
      </w:r>
      <w:r w:rsidRPr="002F2BC5">
        <w:rPr>
          <w:rFonts w:hint="cs"/>
          <w:rtl/>
        </w:rPr>
        <w:t xml:space="preserve"> מסרה בתשובתה מפברואר 2021 כי כ-95% מאוכלוסיית העיר הם תושבים חרדים מזרמים שונים, והדבר אינו מאפשר תליית שלטי חוצות ומצריך פעולות מותאמות ורגישות תרבותית. עוד הוסיפה כי במרוצת השנים היא קיימה בנושא זה קשרים מקצועיים עם מובילי דרך רוחניים במגזרים השונים.</w:t>
      </w:r>
    </w:p>
    <w:p w14:paraId="7B1D6C76" w14:textId="77777777" w:rsidR="00817399" w:rsidRPr="002F2BC5" w:rsidRDefault="00817399" w:rsidP="00817399">
      <w:pPr>
        <w:spacing w:line="269" w:lineRule="auto"/>
        <w:rPr>
          <w:rtl/>
        </w:rPr>
      </w:pPr>
    </w:p>
    <w:p w14:paraId="32D6DEA2" w14:textId="77777777" w:rsidR="00817399" w:rsidRPr="002F2BC5" w:rsidRDefault="00817399" w:rsidP="00817399">
      <w:pPr>
        <w:spacing w:line="269" w:lineRule="auto"/>
        <w:rPr>
          <w:rtl/>
        </w:rPr>
      </w:pPr>
      <w:bookmarkStart w:id="1069" w:name="_Toc191987016"/>
      <w:r w:rsidRPr="002F2BC5">
        <w:rPr>
          <w:rStyle w:val="70"/>
          <w:rFonts w:hint="cs"/>
          <w:rtl/>
        </w:rPr>
        <w:t>ביקורת המעקב:</w:t>
      </w:r>
      <w:bookmarkEnd w:id="1069"/>
      <w:r w:rsidRPr="002F2BC5">
        <w:rPr>
          <w:rStyle w:val="70"/>
          <w:rFonts w:hint="cs"/>
          <w:rtl/>
        </w:rPr>
        <w:t xml:space="preserve"> </w:t>
      </w:r>
      <w:r w:rsidRPr="002F2BC5">
        <w:rPr>
          <w:rFonts w:hint="cs"/>
          <w:rtl/>
        </w:rPr>
        <w:t xml:space="preserve">מהתשובות לשאלונים עלה כי נכון למועד מילוי השאלון, מבין הרשויות המקומיות שנבדקו, אחת מהן (המועצה המקומית </w:t>
      </w:r>
      <w:r w:rsidRPr="002F2BC5">
        <w:rPr>
          <w:rFonts w:hint="cs"/>
          <w:b/>
          <w:bCs/>
          <w:rtl/>
        </w:rPr>
        <w:t>שיבלי - אום אל ר'נם</w:t>
      </w:r>
      <w:r w:rsidRPr="002F2BC5">
        <w:rPr>
          <w:rFonts w:hint="cs"/>
          <w:rtl/>
        </w:rPr>
        <w:t xml:space="preserve">) אינה נוקטת כלל פעולות להסברה והעלאת המודעות בנושא האלימות במשפחה באוכלוסייה הכללית. מבין 12 הרשויות המקומיות האחרות שציינו כי הן נוקטות פעולות להסברה והעלאת המודעות באוכלוסייה הכללית, רק חמש מהן מסרו בתשובותיהן לשאלונים כי הן הקצו תקציב ייעודי לטובת הפעולות הללו באחת או יותר מהשנים 2023 - 2024 (העיריות </w:t>
      </w:r>
      <w:r w:rsidRPr="002F2BC5">
        <w:rPr>
          <w:rFonts w:hint="cs"/>
          <w:b/>
          <w:bCs/>
          <w:rtl/>
        </w:rPr>
        <w:t>בית שמש</w:t>
      </w:r>
      <w:r w:rsidRPr="002F2BC5">
        <w:rPr>
          <w:rFonts w:hint="cs"/>
          <w:rtl/>
        </w:rPr>
        <w:t xml:space="preserve">, </w:t>
      </w:r>
      <w:r w:rsidRPr="002F2BC5">
        <w:rPr>
          <w:rFonts w:hint="cs"/>
          <w:b/>
          <w:bCs/>
          <w:rtl/>
        </w:rPr>
        <w:t>חדרה</w:t>
      </w:r>
      <w:r w:rsidRPr="002F2BC5">
        <w:rPr>
          <w:rFonts w:hint="cs"/>
          <w:rtl/>
        </w:rPr>
        <w:t>,</w:t>
      </w:r>
      <w:r w:rsidRPr="002F2BC5">
        <w:rPr>
          <w:rFonts w:hint="cs"/>
          <w:b/>
          <w:bCs/>
          <w:rtl/>
        </w:rPr>
        <w:t xml:space="preserve"> ראש העין</w:t>
      </w:r>
      <w:r w:rsidRPr="002F2BC5">
        <w:rPr>
          <w:rFonts w:hint="cs"/>
          <w:rtl/>
        </w:rPr>
        <w:t xml:space="preserve"> ו</w:t>
      </w:r>
      <w:r w:rsidRPr="002F2BC5">
        <w:rPr>
          <w:rFonts w:hint="cs"/>
          <w:b/>
          <w:bCs/>
          <w:rtl/>
        </w:rPr>
        <w:t>רהט</w:t>
      </w:r>
      <w:r w:rsidRPr="002F2BC5">
        <w:rPr>
          <w:rFonts w:hint="cs"/>
          <w:rtl/>
        </w:rPr>
        <w:t xml:space="preserve"> והמועצות האזוריות </w:t>
      </w:r>
      <w:r w:rsidRPr="002F2BC5">
        <w:rPr>
          <w:rFonts w:hint="cs"/>
          <w:b/>
          <w:bCs/>
          <w:rtl/>
        </w:rPr>
        <w:t>דרום השרון</w:t>
      </w:r>
      <w:r w:rsidRPr="002F2BC5">
        <w:rPr>
          <w:rFonts w:hint="cs"/>
          <w:rtl/>
        </w:rPr>
        <w:t xml:space="preserve"> ו</w:t>
      </w:r>
      <w:r w:rsidRPr="002F2BC5">
        <w:rPr>
          <w:rFonts w:hint="cs"/>
          <w:b/>
          <w:bCs/>
          <w:rtl/>
        </w:rPr>
        <w:t>מטה יהודה</w:t>
      </w:r>
      <w:r w:rsidRPr="002F2BC5">
        <w:rPr>
          <w:rFonts w:hint="cs"/>
          <w:rtl/>
        </w:rPr>
        <w:t xml:space="preserve">). </w:t>
      </w:r>
    </w:p>
    <w:p w14:paraId="7827B8C0" w14:textId="77777777" w:rsidR="00817399" w:rsidRPr="002F2BC5" w:rsidRDefault="00817399" w:rsidP="00817399">
      <w:pPr>
        <w:spacing w:line="269" w:lineRule="auto"/>
        <w:rPr>
          <w:rtl/>
        </w:rPr>
      </w:pPr>
      <w:r w:rsidRPr="002F2BC5">
        <w:rPr>
          <w:rFonts w:hint="cs"/>
          <w:rtl/>
        </w:rPr>
        <w:lastRenderedPageBreak/>
        <w:t xml:space="preserve">המועצה המקומית </w:t>
      </w:r>
      <w:r w:rsidRPr="002F2BC5">
        <w:rPr>
          <w:rFonts w:hint="cs"/>
          <w:b/>
          <w:bCs/>
          <w:rtl/>
        </w:rPr>
        <w:t>קדימה-צורן</w:t>
      </w:r>
      <w:r w:rsidRPr="002F2BC5">
        <w:rPr>
          <w:rFonts w:hint="cs"/>
          <w:rtl/>
        </w:rPr>
        <w:t>, שלא הקצתה תקציב ייעודי לפעולות הסברה והעלאת מודעות באוכלוסייה הכללית באף אחת מהשנים 2021 - 2024, ציינה בשאלון כי היא פועלת בעקיפין להעלאת המודעות לנושא האלימות במשפחה בהקשרים של מצוקה רגשית או קונפליקט בין בני זוג, מתוך הבנה שישנן נשים החוששות מפני חשיפה ותיוג בהקשר זה. כן הוסיפה כי בשנת 2024 חודשה תוכנית "שומרי סף" במועצה וכי תוכנית חוסן יישובית, שתוכל לתת מענה גם על תחום האלימות במשפחה, מצויה בשלבי גיבוש מתקדמים בשיתוף גורמי החינוך, הרווחה והקהילה.</w:t>
      </w:r>
    </w:p>
    <w:p w14:paraId="26E79E07" w14:textId="77777777" w:rsidR="00817399" w:rsidRPr="002F2BC5" w:rsidRDefault="00817399" w:rsidP="00817399">
      <w:pPr>
        <w:spacing w:line="269" w:lineRule="auto"/>
        <w:rPr>
          <w:rtl/>
        </w:rPr>
      </w:pPr>
    </w:p>
    <w:p w14:paraId="1EA64B2F" w14:textId="108C3CDE" w:rsidR="00817399" w:rsidRPr="002F2BC5" w:rsidRDefault="00817399" w:rsidP="00817399">
      <w:pPr>
        <w:spacing w:line="269" w:lineRule="auto"/>
        <w:rPr>
          <w:rtl/>
        </w:rPr>
      </w:pPr>
      <w:r w:rsidRPr="002F2BC5">
        <w:rPr>
          <w:rFonts w:hint="cs"/>
          <w:rtl/>
        </w:rPr>
        <w:t xml:space="preserve">ריכוז הנתונים מתוך תשובות הרשויות המקומיות לשאלונים בנוגע </w:t>
      </w:r>
      <w:r w:rsidRPr="002F2BC5">
        <w:rPr>
          <w:cs/>
        </w:rPr>
        <w:t>‎</w:t>
      </w:r>
      <w:r w:rsidRPr="002F2BC5">
        <w:rPr>
          <w:rFonts w:hint="cs"/>
          <w:rtl/>
        </w:rPr>
        <w:t>ל</w:t>
      </w:r>
      <w:r w:rsidRPr="002F2BC5">
        <w:rPr>
          <w:rtl/>
        </w:rPr>
        <w:t>תקציב הייעודי ש</w:t>
      </w:r>
      <w:r w:rsidRPr="002F2BC5">
        <w:rPr>
          <w:rFonts w:hint="cs"/>
          <w:rtl/>
        </w:rPr>
        <w:t xml:space="preserve">הן </w:t>
      </w:r>
      <w:r w:rsidRPr="002F2BC5">
        <w:rPr>
          <w:rtl/>
        </w:rPr>
        <w:t>הקצו</w:t>
      </w:r>
      <w:r w:rsidRPr="002F2BC5">
        <w:rPr>
          <w:rFonts w:hint="cs"/>
          <w:rtl/>
        </w:rPr>
        <w:t xml:space="preserve"> </w:t>
      </w:r>
      <w:r w:rsidRPr="002F2BC5">
        <w:rPr>
          <w:rtl/>
        </w:rPr>
        <w:t>והתקציב הייעוד</w:t>
      </w:r>
      <w:r w:rsidRPr="002F2BC5">
        <w:rPr>
          <w:rFonts w:hint="cs"/>
          <w:rtl/>
        </w:rPr>
        <w:t>י</w:t>
      </w:r>
      <w:r w:rsidRPr="002F2BC5">
        <w:rPr>
          <w:rtl/>
        </w:rPr>
        <w:t xml:space="preserve"> שהתקבל ממשרדי הממשלה</w:t>
      </w:r>
      <w:r w:rsidRPr="002F2BC5">
        <w:rPr>
          <w:rFonts w:hint="cs"/>
          <w:rtl/>
        </w:rPr>
        <w:t xml:space="preserve"> בשנים </w:t>
      </w:r>
      <w:r w:rsidRPr="002F2BC5">
        <w:rPr>
          <w:rtl/>
        </w:rPr>
        <w:t>2021 - 2024</w:t>
      </w:r>
      <w:r w:rsidRPr="002F2BC5">
        <w:rPr>
          <w:rFonts w:hint="cs"/>
          <w:rtl/>
        </w:rPr>
        <w:t xml:space="preserve"> - מוצג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Ref186626356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10</w:t>
      </w:r>
      <w:r w:rsidRPr="002F2BC5">
        <w:rPr>
          <w:rtl/>
        </w:rPr>
        <w:fldChar w:fldCharType="end"/>
      </w:r>
      <w:r w:rsidRPr="002F2BC5">
        <w:rPr>
          <w:rFonts w:hint="cs"/>
          <w:rtl/>
        </w:rPr>
        <w:t xml:space="preserve"> שלהלן.</w:t>
      </w:r>
    </w:p>
    <w:p w14:paraId="6C9F1F57" w14:textId="77777777" w:rsidR="00817399" w:rsidRPr="002F2BC5" w:rsidRDefault="00817399" w:rsidP="00817399">
      <w:pPr>
        <w:spacing w:line="269" w:lineRule="auto"/>
        <w:rPr>
          <w:rtl/>
        </w:rPr>
      </w:pPr>
    </w:p>
    <w:p w14:paraId="2F824192" w14:textId="77777777" w:rsidR="00817399" w:rsidRPr="002F2BC5" w:rsidRDefault="00817399" w:rsidP="00817399">
      <w:pPr>
        <w:pStyle w:val="a0"/>
        <w:spacing w:line="269" w:lineRule="auto"/>
        <w:rPr>
          <w:b w:val="0"/>
          <w:bCs w:val="0"/>
          <w:rtl/>
        </w:rPr>
      </w:pPr>
      <w:bookmarkStart w:id="1070" w:name="_Ref186626356"/>
      <w:bookmarkStart w:id="1071" w:name="_Toc192674055"/>
      <w:r w:rsidRPr="002F2BC5">
        <w:rPr>
          <w:rFonts w:hint="cs"/>
          <w:b w:val="0"/>
          <w:bCs w:val="0"/>
          <w:rtl/>
        </w:rPr>
        <w:t xml:space="preserve">: </w:t>
      </w:r>
      <w:r w:rsidRPr="002F2BC5">
        <w:rPr>
          <w:rFonts w:hint="cs"/>
          <w:rtl/>
        </w:rPr>
        <w:t>התקציב הייעודי שהקצו הרשויות המקומיות שנבדקו</w:t>
      </w:r>
      <w:r w:rsidRPr="002F2BC5">
        <w:rPr>
          <w:rtl/>
        </w:rPr>
        <w:br/>
      </w:r>
      <w:r w:rsidRPr="002F2BC5">
        <w:rPr>
          <w:rFonts w:hint="cs"/>
          <w:rtl/>
        </w:rPr>
        <w:t>והתקציב הייעודי שהתקבל ממשרדי הממשלה, 2021 - 2024</w:t>
      </w:r>
      <w:bookmarkEnd w:id="1070"/>
      <w:r w:rsidRPr="002F2BC5">
        <w:rPr>
          <w:rFonts w:hint="cs"/>
          <w:rtl/>
        </w:rPr>
        <w:t xml:space="preserve"> (בש"ח)</w:t>
      </w:r>
      <w:bookmarkEnd w:id="1071"/>
    </w:p>
    <w:p w14:paraId="331A4659"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1DC86634" wp14:editId="2C058D6B">
            <wp:extent cx="5220335" cy="2280285"/>
            <wp:effectExtent l="0" t="0" r="0" b="5715"/>
            <wp:docPr id="2052770975" name="תמונה 205277097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0335" cy="2280285"/>
                    </a:xfrm>
                    <a:prstGeom prst="rect">
                      <a:avLst/>
                    </a:prstGeom>
                  </pic:spPr>
                </pic:pic>
              </a:graphicData>
            </a:graphic>
          </wp:inline>
        </w:drawing>
      </w:r>
    </w:p>
    <w:p w14:paraId="120982AD" w14:textId="77777777" w:rsidR="00817399" w:rsidRPr="002F2BC5" w:rsidRDefault="00817399" w:rsidP="00817399">
      <w:pPr>
        <w:pStyle w:val="afffffff1"/>
        <w:bidi/>
        <w:spacing w:line="269" w:lineRule="auto"/>
        <w:rPr>
          <w:rtl/>
        </w:rPr>
      </w:pPr>
      <w:r w:rsidRPr="002F2BC5">
        <w:rPr>
          <w:rFonts w:hint="cs"/>
          <w:rtl/>
        </w:rPr>
        <w:t>על פי תשובות הרשויות המקומיות שנבדקו על השאלונים ונתוני הלמ"ס על מספר התושבים ברשויות המקומיות שנבדקו לשנת 2022, בעיבוד משרד מבקר המדינה.</w:t>
      </w:r>
    </w:p>
    <w:p w14:paraId="11E6DF1F" w14:textId="77777777" w:rsidR="00817399" w:rsidRPr="002F2BC5" w:rsidRDefault="00817399" w:rsidP="00817399">
      <w:pPr>
        <w:spacing w:line="269" w:lineRule="auto"/>
        <w:rPr>
          <w:rtl/>
        </w:rPr>
      </w:pPr>
    </w:p>
    <w:p w14:paraId="610A6B8C" w14:textId="1B6E4999" w:rsidR="00817399" w:rsidRPr="002F2BC5" w:rsidRDefault="00817399" w:rsidP="00817399">
      <w:pPr>
        <w:spacing w:line="269" w:lineRule="auto"/>
        <w:rPr>
          <w:b/>
          <w:bCs/>
          <w:rtl/>
        </w:rPr>
      </w:pPr>
      <w:r w:rsidRPr="002F2BC5">
        <w:rPr>
          <w:rFonts w:hint="cs"/>
          <w:b/>
          <w:bCs/>
          <w:rtl/>
        </w:rPr>
        <w:t>מהנתונים המוצגים 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Ref186626356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10</w:t>
      </w:r>
      <w:r w:rsidRPr="002F2BC5">
        <w:rPr>
          <w:b/>
          <w:bCs/>
          <w:rtl/>
        </w:rPr>
        <w:fldChar w:fldCharType="end"/>
      </w:r>
      <w:r w:rsidRPr="002F2BC5">
        <w:rPr>
          <w:rFonts w:hint="cs"/>
          <w:b/>
          <w:bCs/>
          <w:rtl/>
        </w:rPr>
        <w:t xml:space="preserve"> עולה כי קיימת שונות רבה בין הרשויות המקומיות שנבדקו מבחינת היקף התקציב שהן הקצו בשנים 2021 - 2024 לפעולות של הסברה והעלאת המודעות באוכלוסייה הכללית בנושא האלימות במשפחה. מבין כלל הרשויות המקומיות שנבדקו רק שתיים (עיריית רהט והמועצה האזורית מטה יהודה) מסרו בתשובותיהן לשאלונים שהן הקצו תקציב ייעודי לטובת פעולות הסברה והעלאת מודעות בכל אחת מהשנים הללו, וארבע רשויות מקומיות נוספות (העיריות בית שמש, חדרה וראש העין והמועצה האזורית דרום השרון) מסרו בתשובותיהן לשאלונים שהן הקצו תקציב ייעודי בחלק מהשנים הללו</w:t>
      </w:r>
      <w:r w:rsidRPr="002F2BC5">
        <w:rPr>
          <w:b/>
          <w:bCs/>
          <w:rtl/>
        </w:rPr>
        <w:t xml:space="preserve">. </w:t>
      </w:r>
      <w:r w:rsidRPr="002F2BC5">
        <w:rPr>
          <w:rFonts w:hint="eastAsia"/>
          <w:b/>
          <w:bCs/>
          <w:rtl/>
        </w:rPr>
        <w:t>עם</w:t>
      </w:r>
      <w:r w:rsidRPr="002F2BC5">
        <w:rPr>
          <w:b/>
          <w:bCs/>
          <w:rtl/>
        </w:rPr>
        <w:t xml:space="preserve"> זאת, גם בקרב הרשויות הללו </w:t>
      </w:r>
      <w:r w:rsidRPr="002F2BC5">
        <w:rPr>
          <w:rFonts w:hint="eastAsia"/>
          <w:b/>
          <w:bCs/>
          <w:rtl/>
        </w:rPr>
        <w:t>קיימת</w:t>
      </w:r>
      <w:r w:rsidRPr="002F2BC5">
        <w:rPr>
          <w:b/>
          <w:bCs/>
          <w:rtl/>
        </w:rPr>
        <w:t xml:space="preserve"> שונות </w:t>
      </w:r>
      <w:r w:rsidRPr="002F2BC5">
        <w:rPr>
          <w:rFonts w:hint="eastAsia"/>
          <w:b/>
          <w:bCs/>
          <w:rtl/>
        </w:rPr>
        <w:t>בבחינת</w:t>
      </w:r>
      <w:r w:rsidRPr="002F2BC5">
        <w:rPr>
          <w:b/>
          <w:bCs/>
          <w:rtl/>
        </w:rPr>
        <w:t xml:space="preserve"> היקף התקציב </w:t>
      </w:r>
      <w:r w:rsidRPr="002F2BC5">
        <w:rPr>
          <w:rFonts w:hint="eastAsia"/>
          <w:b/>
          <w:bCs/>
          <w:rtl/>
        </w:rPr>
        <w:t>שהן</w:t>
      </w:r>
      <w:r w:rsidRPr="002F2BC5">
        <w:rPr>
          <w:b/>
          <w:bCs/>
          <w:rtl/>
        </w:rPr>
        <w:t xml:space="preserve"> </w:t>
      </w:r>
      <w:r w:rsidRPr="002F2BC5">
        <w:rPr>
          <w:rFonts w:hint="cs"/>
          <w:b/>
          <w:bCs/>
          <w:rtl/>
        </w:rPr>
        <w:t>מסרו ש</w:t>
      </w:r>
      <w:r w:rsidRPr="002F2BC5">
        <w:rPr>
          <w:rFonts w:hint="eastAsia"/>
          <w:b/>
          <w:bCs/>
          <w:rtl/>
        </w:rPr>
        <w:t>הקצו</w:t>
      </w:r>
      <w:r w:rsidRPr="002F2BC5">
        <w:rPr>
          <w:b/>
          <w:bCs/>
          <w:rtl/>
        </w:rPr>
        <w:t xml:space="preserve"> </w:t>
      </w:r>
      <w:r w:rsidRPr="002F2BC5">
        <w:rPr>
          <w:rFonts w:hint="eastAsia"/>
          <w:b/>
          <w:bCs/>
          <w:rtl/>
        </w:rPr>
        <w:t>למול</w:t>
      </w:r>
      <w:r w:rsidRPr="002F2BC5">
        <w:rPr>
          <w:b/>
          <w:bCs/>
          <w:rtl/>
        </w:rPr>
        <w:t xml:space="preserve"> מספר התושבים </w:t>
      </w:r>
      <w:r w:rsidRPr="002F2BC5">
        <w:rPr>
          <w:rFonts w:hint="eastAsia"/>
          <w:b/>
          <w:bCs/>
          <w:rtl/>
        </w:rPr>
        <w:t>המתגוררים</w:t>
      </w:r>
      <w:r w:rsidRPr="002F2BC5">
        <w:rPr>
          <w:b/>
          <w:bCs/>
          <w:rtl/>
        </w:rPr>
        <w:t xml:space="preserve"> </w:t>
      </w:r>
      <w:r w:rsidRPr="002F2BC5">
        <w:rPr>
          <w:rFonts w:hint="eastAsia"/>
          <w:b/>
          <w:bCs/>
          <w:rtl/>
        </w:rPr>
        <w:t>בתחומן</w:t>
      </w:r>
      <w:r w:rsidRPr="002F2BC5">
        <w:rPr>
          <w:b/>
          <w:bCs/>
          <w:rtl/>
        </w:rPr>
        <w:t xml:space="preserve">: </w:t>
      </w:r>
      <w:r w:rsidRPr="002F2BC5">
        <w:rPr>
          <w:rFonts w:hint="eastAsia"/>
          <w:b/>
          <w:bCs/>
          <w:rtl/>
        </w:rPr>
        <w:t>לדוגמה</w:t>
      </w:r>
      <w:r w:rsidRPr="002F2BC5">
        <w:rPr>
          <w:b/>
          <w:bCs/>
          <w:rtl/>
        </w:rPr>
        <w:t xml:space="preserve">, </w:t>
      </w:r>
      <w:r w:rsidRPr="002F2BC5">
        <w:rPr>
          <w:rFonts w:hint="eastAsia"/>
          <w:b/>
          <w:bCs/>
          <w:rtl/>
        </w:rPr>
        <w:t>בעוד</w:t>
      </w:r>
      <w:r w:rsidRPr="002F2BC5">
        <w:rPr>
          <w:b/>
          <w:bCs/>
          <w:rtl/>
        </w:rPr>
        <w:t xml:space="preserve"> </w:t>
      </w:r>
      <w:r w:rsidRPr="002F2BC5">
        <w:rPr>
          <w:rFonts w:hint="eastAsia"/>
          <w:b/>
          <w:bCs/>
          <w:rtl/>
        </w:rPr>
        <w:t>שבעיריית</w:t>
      </w:r>
      <w:r w:rsidRPr="002F2BC5">
        <w:rPr>
          <w:b/>
          <w:bCs/>
          <w:rtl/>
        </w:rPr>
        <w:t xml:space="preserve"> </w:t>
      </w:r>
      <w:r w:rsidRPr="002F2BC5">
        <w:rPr>
          <w:rFonts w:hint="eastAsia"/>
          <w:b/>
          <w:bCs/>
          <w:rtl/>
        </w:rPr>
        <w:t>בית</w:t>
      </w:r>
      <w:r w:rsidRPr="002F2BC5">
        <w:rPr>
          <w:b/>
          <w:bCs/>
          <w:rtl/>
        </w:rPr>
        <w:t xml:space="preserve"> </w:t>
      </w:r>
      <w:r w:rsidRPr="002F2BC5">
        <w:rPr>
          <w:rFonts w:hint="eastAsia"/>
          <w:b/>
          <w:bCs/>
          <w:rtl/>
        </w:rPr>
        <w:t>שמש</w:t>
      </w:r>
      <w:r w:rsidRPr="002F2BC5">
        <w:rPr>
          <w:b/>
          <w:bCs/>
          <w:rtl/>
        </w:rPr>
        <w:t xml:space="preserve"> </w:t>
      </w:r>
      <w:r w:rsidRPr="002F2BC5">
        <w:rPr>
          <w:rFonts w:hint="eastAsia"/>
          <w:b/>
          <w:bCs/>
          <w:rtl/>
        </w:rPr>
        <w:t>עמד</w:t>
      </w:r>
      <w:r w:rsidRPr="002F2BC5">
        <w:rPr>
          <w:b/>
          <w:bCs/>
          <w:rtl/>
        </w:rPr>
        <w:t xml:space="preserve"> </w:t>
      </w:r>
      <w:r w:rsidRPr="002F2BC5">
        <w:rPr>
          <w:rFonts w:hint="eastAsia"/>
          <w:b/>
          <w:bCs/>
          <w:rtl/>
        </w:rPr>
        <w:t>התקציב</w:t>
      </w:r>
      <w:r w:rsidRPr="002F2BC5">
        <w:rPr>
          <w:b/>
          <w:bCs/>
          <w:rtl/>
        </w:rPr>
        <w:t xml:space="preserve"> </w:t>
      </w:r>
      <w:r w:rsidRPr="002F2BC5">
        <w:rPr>
          <w:rFonts w:hint="eastAsia"/>
          <w:b/>
          <w:bCs/>
          <w:rtl/>
        </w:rPr>
        <w:t>הייעודי</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כ</w:t>
      </w:r>
      <w:r w:rsidRPr="002F2BC5">
        <w:rPr>
          <w:b/>
          <w:bCs/>
          <w:rtl/>
        </w:rPr>
        <w:t xml:space="preserve">-83 </w:t>
      </w:r>
      <w:r w:rsidRPr="002F2BC5">
        <w:rPr>
          <w:rFonts w:hint="eastAsia"/>
          <w:b/>
          <w:bCs/>
          <w:rtl/>
        </w:rPr>
        <w:t>ש</w:t>
      </w:r>
      <w:r w:rsidRPr="002F2BC5">
        <w:rPr>
          <w:b/>
          <w:bCs/>
          <w:rtl/>
        </w:rPr>
        <w:t xml:space="preserve">"ח </w:t>
      </w:r>
      <w:r w:rsidRPr="002F2BC5">
        <w:rPr>
          <w:rFonts w:hint="eastAsia"/>
          <w:b/>
          <w:bCs/>
          <w:rtl/>
        </w:rPr>
        <w:t>לתושב</w:t>
      </w:r>
      <w:r w:rsidRPr="002F2BC5">
        <w:rPr>
          <w:b/>
          <w:bCs/>
          <w:rtl/>
        </w:rPr>
        <w:t xml:space="preserve"> </w:t>
      </w:r>
      <w:r w:rsidRPr="002F2BC5">
        <w:rPr>
          <w:rFonts w:hint="eastAsia"/>
          <w:b/>
          <w:bCs/>
          <w:rtl/>
        </w:rPr>
        <w:t>בשנים</w:t>
      </w:r>
      <w:r w:rsidRPr="002F2BC5">
        <w:rPr>
          <w:b/>
          <w:bCs/>
          <w:rtl/>
        </w:rPr>
        <w:t xml:space="preserve"> 2021 - 2024, בעיריית </w:t>
      </w:r>
      <w:r w:rsidRPr="002F2BC5">
        <w:rPr>
          <w:rFonts w:hint="cs"/>
          <w:b/>
          <w:bCs/>
          <w:rtl/>
        </w:rPr>
        <w:t>רהט</w:t>
      </w:r>
      <w:r w:rsidRPr="002F2BC5">
        <w:rPr>
          <w:b/>
          <w:bCs/>
          <w:rtl/>
        </w:rPr>
        <w:t xml:space="preserve"> עמד התקציב הייעודי בשנים הללו על כ-</w:t>
      </w:r>
      <w:r w:rsidRPr="002F2BC5">
        <w:rPr>
          <w:rFonts w:hint="cs"/>
          <w:b/>
          <w:bCs/>
          <w:rtl/>
        </w:rPr>
        <w:t>6,577</w:t>
      </w:r>
      <w:r w:rsidRPr="002F2BC5">
        <w:rPr>
          <w:b/>
          <w:bCs/>
          <w:rtl/>
        </w:rPr>
        <w:t xml:space="preserve"> ש"ח לתושב.</w:t>
      </w:r>
      <w:r w:rsidRPr="002F2BC5">
        <w:rPr>
          <w:rFonts w:hint="cs"/>
          <w:b/>
          <w:bCs/>
          <w:rtl/>
        </w:rPr>
        <w:t xml:space="preserve"> עוד עולה כי קיימת שונות בבחינת יכולתן של הרשויות המקומיות שנבדקו למצות את האפשרויות העומדות בפניהן לקבלת תקציבים ייעודיים ממשרדי הממשלה למימון פעולות הסברה והעלאת המודעות באוכלוסייה הכללית. כך בידיהן של שש בלבד מבין הרשויות המקומיות שנבדקו (העיריות בית שמש, חדרה, סח'נין, עכו, ראש העין ורהט) עלה לעשות שימוש בתקציב ממשלתי ייעודי לטובת פעולות הסברה והעלאת מודעות באחת או יותר מהשנים 2021 - 2024. </w:t>
      </w:r>
    </w:p>
    <w:p w14:paraId="67CCB80B" w14:textId="77777777" w:rsidR="00817399" w:rsidRPr="002F2BC5" w:rsidRDefault="00817399" w:rsidP="00817399">
      <w:pPr>
        <w:spacing w:line="269" w:lineRule="auto"/>
        <w:rPr>
          <w:rtl/>
        </w:rPr>
      </w:pPr>
    </w:p>
    <w:p w14:paraId="33BD6433" w14:textId="77777777" w:rsidR="00817399" w:rsidRPr="002F2BC5" w:rsidRDefault="00817399" w:rsidP="00817399">
      <w:pPr>
        <w:spacing w:line="269" w:lineRule="auto"/>
        <w:rPr>
          <w:rtl/>
        </w:rPr>
      </w:pPr>
      <w:r w:rsidRPr="002F2BC5">
        <w:rPr>
          <w:rFonts w:hint="cs"/>
          <w:rtl/>
        </w:rPr>
        <w:t xml:space="preserve">בביקורת הנוכחית נבדקה גם הקצאת התקציב במסגרת קול קורא שפרסמה הרשות לקידום מעמד האישה </w:t>
      </w:r>
      <w:r w:rsidRPr="002F2BC5">
        <w:rPr>
          <w:rtl/>
        </w:rPr>
        <w:t xml:space="preserve">במהלך </w:t>
      </w:r>
      <w:r w:rsidRPr="002F2BC5">
        <w:rPr>
          <w:rFonts w:hint="cs"/>
          <w:rtl/>
        </w:rPr>
        <w:t>שנת 2022</w:t>
      </w:r>
      <w:r w:rsidRPr="002F2BC5">
        <w:rPr>
          <w:rtl/>
        </w:rPr>
        <w:t xml:space="preserve">, במימון </w:t>
      </w:r>
      <w:r w:rsidRPr="002F2BC5">
        <w:rPr>
          <w:rFonts w:hint="cs"/>
          <w:rtl/>
        </w:rPr>
        <w:t>הוועדה הבין-משרדית הקבועה</w:t>
      </w:r>
      <w:r w:rsidRPr="002F2BC5">
        <w:rPr>
          <w:rtl/>
        </w:rPr>
        <w:t xml:space="preserve">, להפעלת תוכנית </w:t>
      </w:r>
      <w:r w:rsidRPr="002F2BC5">
        <w:rPr>
          <w:rFonts w:hint="cs"/>
          <w:rtl/>
        </w:rPr>
        <w:t>"</w:t>
      </w:r>
      <w:r w:rsidRPr="002F2BC5">
        <w:rPr>
          <w:rtl/>
        </w:rPr>
        <w:t>נאבקות</w:t>
      </w:r>
      <w:r w:rsidRPr="002F2BC5">
        <w:rPr>
          <w:rFonts w:hint="cs"/>
          <w:rtl/>
        </w:rPr>
        <w:t xml:space="preserve"> </w:t>
      </w:r>
      <w:r w:rsidRPr="002F2BC5">
        <w:rPr>
          <w:rtl/>
        </w:rPr>
        <w:t>באלימות נגד נשים", תוכנית לחיזוק החוסן האישי והקהילתי של תושבות ותושבי הרשויות</w:t>
      </w:r>
      <w:r w:rsidRPr="002F2BC5">
        <w:rPr>
          <w:rFonts w:hint="cs"/>
          <w:rtl/>
        </w:rPr>
        <w:t xml:space="preserve"> </w:t>
      </w:r>
      <w:r w:rsidRPr="002F2BC5">
        <w:rPr>
          <w:rtl/>
        </w:rPr>
        <w:t>המקומיות ב</w:t>
      </w:r>
      <w:r w:rsidRPr="002F2BC5">
        <w:rPr>
          <w:rFonts w:hint="cs"/>
          <w:rtl/>
        </w:rPr>
        <w:t>צל</w:t>
      </w:r>
      <w:r w:rsidRPr="002F2BC5">
        <w:rPr>
          <w:rtl/>
        </w:rPr>
        <w:t xml:space="preserve"> השפעותיו של משבר הקורונה</w:t>
      </w:r>
      <w:r w:rsidRPr="002F2BC5">
        <w:rPr>
          <w:rFonts w:hint="cs"/>
          <w:rtl/>
        </w:rPr>
        <w:t xml:space="preserve"> (</w:t>
      </w:r>
      <w:bookmarkStart w:id="1072" w:name="_Hlk202251355"/>
      <w:r w:rsidRPr="002F2BC5">
        <w:rPr>
          <w:rFonts w:hint="cs"/>
          <w:rtl/>
        </w:rPr>
        <w:t>להלן - תוכנית "נאבקות באלימות"</w:t>
      </w:r>
      <w:bookmarkEnd w:id="1072"/>
      <w:r w:rsidRPr="002F2BC5">
        <w:rPr>
          <w:rFonts w:hint="cs"/>
          <w:rtl/>
        </w:rPr>
        <w:t>)</w:t>
      </w:r>
      <w:r w:rsidRPr="002F2BC5">
        <w:rPr>
          <w:rtl/>
        </w:rPr>
        <w:t>.</w:t>
      </w:r>
      <w:r w:rsidRPr="002F2BC5">
        <w:rPr>
          <w:rFonts w:hint="cs"/>
          <w:rtl/>
        </w:rPr>
        <w:t xml:space="preserve"> בשנת 2023 </w:t>
      </w:r>
      <w:r w:rsidRPr="002F2BC5">
        <w:rPr>
          <w:rFonts w:hint="cs"/>
          <w:rtl/>
        </w:rPr>
        <w:lastRenderedPageBreak/>
        <w:t xml:space="preserve">מצא משרד מבקר המדינה כי נכון לנובמבר 2023 </w:t>
      </w:r>
      <w:r w:rsidRPr="002F2BC5">
        <w:rPr>
          <w:rtl/>
        </w:rPr>
        <w:t>כרבע בלבד</w:t>
      </w:r>
      <w:r w:rsidRPr="002F2BC5">
        <w:rPr>
          <w:rFonts w:hint="cs"/>
          <w:rtl/>
        </w:rPr>
        <w:t xml:space="preserve"> </w:t>
      </w:r>
      <w:r w:rsidRPr="002F2BC5">
        <w:rPr>
          <w:rtl/>
        </w:rPr>
        <w:t xml:space="preserve">מהרשויות </w:t>
      </w:r>
      <w:r w:rsidRPr="002F2BC5">
        <w:rPr>
          <w:rFonts w:hint="cs"/>
          <w:rtl/>
        </w:rPr>
        <w:t>שעימן נחתם הסכם התקשרות במסגרת התוכנית</w:t>
      </w:r>
      <w:r w:rsidRPr="002F2BC5">
        <w:rPr>
          <w:rtl/>
        </w:rPr>
        <w:t xml:space="preserve"> </w:t>
      </w:r>
      <w:r w:rsidRPr="002F2BC5">
        <w:rPr>
          <w:rFonts w:hint="cs"/>
          <w:rtl/>
        </w:rPr>
        <w:t>(</w:t>
      </w:r>
      <w:r w:rsidRPr="002F2BC5">
        <w:rPr>
          <w:rtl/>
        </w:rPr>
        <w:t>48 מתוך 186</w:t>
      </w:r>
      <w:r w:rsidRPr="002F2BC5">
        <w:rPr>
          <w:rFonts w:hint="cs"/>
          <w:rtl/>
        </w:rPr>
        <w:t>)</w:t>
      </w:r>
      <w:r w:rsidRPr="002F2BC5">
        <w:rPr>
          <w:rtl/>
        </w:rPr>
        <w:t xml:space="preserve"> ניצלו באופן חלקי או מלא את התקציב שהוקצה להן</w:t>
      </w:r>
      <w:r w:rsidRPr="002F2BC5">
        <w:rPr>
          <w:rFonts w:hint="cs"/>
          <w:rtl/>
        </w:rPr>
        <w:t>;</w:t>
      </w:r>
      <w:r w:rsidRPr="002F2BC5">
        <w:rPr>
          <w:rtl/>
        </w:rPr>
        <w:t xml:space="preserve"> שיעור ניצול התקציב מתוך כלל התקציב שהוקצה במסגרת ההתקשרויות שאושרו היה</w:t>
      </w:r>
      <w:r w:rsidRPr="002F2BC5">
        <w:rPr>
          <w:rFonts w:hint="cs"/>
          <w:rtl/>
        </w:rPr>
        <w:t xml:space="preserve"> </w:t>
      </w:r>
      <w:r w:rsidRPr="002F2BC5">
        <w:rPr>
          <w:rtl/>
        </w:rPr>
        <w:t>כ</w:t>
      </w:r>
      <w:r w:rsidRPr="002F2BC5">
        <w:rPr>
          <w:rFonts w:hint="cs"/>
          <w:rtl/>
        </w:rPr>
        <w:t>-</w:t>
      </w:r>
      <w:r w:rsidRPr="002F2BC5">
        <w:rPr>
          <w:rtl/>
        </w:rPr>
        <w:t>12%</w:t>
      </w:r>
      <w:r w:rsidRPr="002F2BC5">
        <w:rPr>
          <w:rFonts w:hint="cs"/>
          <w:rtl/>
        </w:rPr>
        <w:t xml:space="preserve"> (</w:t>
      </w:r>
      <w:r w:rsidRPr="002F2BC5">
        <w:rPr>
          <w:rtl/>
        </w:rPr>
        <w:t>כ</w:t>
      </w:r>
      <w:r w:rsidRPr="002F2BC5">
        <w:rPr>
          <w:rFonts w:hint="cs"/>
          <w:rtl/>
        </w:rPr>
        <w:t>-</w:t>
      </w:r>
      <w:r w:rsidRPr="002F2BC5">
        <w:rPr>
          <w:rtl/>
        </w:rPr>
        <w:t>530,000 ש"ח מתוך כ</w:t>
      </w:r>
      <w:r w:rsidRPr="002F2BC5">
        <w:rPr>
          <w:rFonts w:hint="cs"/>
          <w:rtl/>
        </w:rPr>
        <w:t>-</w:t>
      </w:r>
      <w:r w:rsidRPr="002F2BC5">
        <w:rPr>
          <w:rtl/>
        </w:rPr>
        <w:t>4.6 מיליון ש"ח</w:t>
      </w:r>
      <w:r w:rsidRPr="002F2BC5">
        <w:rPr>
          <w:rFonts w:hint="cs"/>
          <w:rtl/>
        </w:rPr>
        <w:t>)</w:t>
      </w:r>
      <w:r w:rsidRPr="002F2BC5">
        <w:rPr>
          <w:rStyle w:val="af9"/>
          <w:rtl/>
        </w:rPr>
        <w:footnoteReference w:id="240"/>
      </w:r>
      <w:r w:rsidRPr="002F2BC5">
        <w:rPr>
          <w:rFonts w:hint="cs"/>
          <w:rtl/>
        </w:rPr>
        <w:t xml:space="preserve">. </w:t>
      </w:r>
    </w:p>
    <w:p w14:paraId="03B9C914" w14:textId="77777777" w:rsidR="00817399" w:rsidRPr="002F2BC5" w:rsidRDefault="00817399" w:rsidP="00817399">
      <w:pPr>
        <w:spacing w:line="269" w:lineRule="auto"/>
        <w:rPr>
          <w:rtl/>
        </w:rPr>
      </w:pPr>
    </w:p>
    <w:p w14:paraId="0963C1DC" w14:textId="77777777" w:rsidR="00817399" w:rsidRPr="002F2BC5" w:rsidRDefault="00817399" w:rsidP="00817399">
      <w:pPr>
        <w:spacing w:line="269" w:lineRule="auto"/>
        <w:rPr>
          <w:b/>
          <w:bCs/>
          <w:rtl/>
        </w:rPr>
      </w:pPr>
      <w:r w:rsidRPr="002F2BC5">
        <w:rPr>
          <w:rFonts w:hint="eastAsia"/>
          <w:b/>
          <w:bCs/>
          <w:rtl/>
        </w:rPr>
        <w:t>לפי</w:t>
      </w:r>
      <w:r w:rsidRPr="002F2BC5">
        <w:rPr>
          <w:b/>
          <w:bCs/>
          <w:rtl/>
        </w:rPr>
        <w:t xml:space="preserve"> </w:t>
      </w:r>
      <w:r w:rsidRPr="002F2BC5">
        <w:rPr>
          <w:rFonts w:hint="eastAsia"/>
          <w:b/>
          <w:bCs/>
          <w:rtl/>
        </w:rPr>
        <w:t>נתוני</w:t>
      </w:r>
      <w:r w:rsidRPr="002F2BC5">
        <w:rPr>
          <w:b/>
          <w:bCs/>
          <w:rtl/>
        </w:rPr>
        <w:t xml:space="preserve"> </w:t>
      </w:r>
      <w:r w:rsidRPr="002F2BC5">
        <w:rPr>
          <w:rFonts w:hint="eastAsia"/>
          <w:b/>
          <w:bCs/>
          <w:rtl/>
        </w:rPr>
        <w:t>מרכב</w:t>
      </w:r>
      <w:r w:rsidRPr="002F2BC5">
        <w:rPr>
          <w:b/>
          <w:bCs/>
          <w:rtl/>
        </w:rPr>
        <w:t>"ה</w:t>
      </w:r>
      <w:r w:rsidRPr="002F2BC5">
        <w:rPr>
          <w:rStyle w:val="af9"/>
          <w:b/>
          <w:bCs/>
          <w:rtl/>
        </w:rPr>
        <w:footnoteReference w:id="241"/>
      </w:r>
      <w:r w:rsidRPr="002F2BC5">
        <w:rPr>
          <w:b/>
          <w:bCs/>
          <w:rtl/>
        </w:rPr>
        <w:t xml:space="preserve">, במועד סיום ביקורת המעקב, בדצמבר 2024, </w:t>
      </w:r>
      <w:r w:rsidRPr="002F2BC5">
        <w:rPr>
          <w:rFonts w:hint="eastAsia"/>
          <w:b/>
          <w:bCs/>
          <w:rtl/>
        </w:rPr>
        <w:t>עמד</w:t>
      </w:r>
      <w:r w:rsidRPr="002F2BC5">
        <w:rPr>
          <w:b/>
          <w:bCs/>
          <w:rtl/>
        </w:rPr>
        <w:t xml:space="preserve"> </w:t>
      </w:r>
      <w:r w:rsidRPr="002F2BC5">
        <w:rPr>
          <w:rFonts w:hint="eastAsia"/>
          <w:b/>
          <w:bCs/>
          <w:rtl/>
        </w:rPr>
        <w:t>שיעור</w:t>
      </w:r>
      <w:r w:rsidRPr="002F2BC5">
        <w:rPr>
          <w:b/>
          <w:bCs/>
          <w:rtl/>
        </w:rPr>
        <w:t xml:space="preserve"> </w:t>
      </w:r>
      <w:r w:rsidRPr="002F2BC5">
        <w:rPr>
          <w:rFonts w:hint="eastAsia"/>
          <w:b/>
          <w:bCs/>
          <w:rtl/>
        </w:rPr>
        <w:t>ניצול</w:t>
      </w:r>
      <w:r w:rsidRPr="002F2BC5">
        <w:rPr>
          <w:b/>
          <w:bCs/>
          <w:rtl/>
        </w:rPr>
        <w:t xml:space="preserve"> </w:t>
      </w:r>
      <w:r w:rsidRPr="002F2BC5">
        <w:rPr>
          <w:rFonts w:hint="eastAsia"/>
          <w:b/>
          <w:bCs/>
          <w:rtl/>
        </w:rPr>
        <w:t>התקציב</w:t>
      </w:r>
      <w:r w:rsidRPr="002F2BC5">
        <w:rPr>
          <w:b/>
          <w:bCs/>
          <w:rtl/>
        </w:rPr>
        <w:t xml:space="preserve"> על כ-62% (כ-2.8 מתוך כ-4.6 מיליון ש"ח). </w:t>
      </w:r>
    </w:p>
    <w:p w14:paraId="5310D43C" w14:textId="77777777" w:rsidR="00817399" w:rsidRPr="002F2BC5" w:rsidRDefault="00817399" w:rsidP="00817399">
      <w:pPr>
        <w:spacing w:line="269" w:lineRule="auto"/>
        <w:rPr>
          <w:rtl/>
        </w:rPr>
      </w:pPr>
    </w:p>
    <w:p w14:paraId="47AAEE4B" w14:textId="2D741E59" w:rsidR="00817399" w:rsidRPr="002F2BC5" w:rsidRDefault="00817399" w:rsidP="00817399">
      <w:pPr>
        <w:spacing w:line="269" w:lineRule="auto"/>
        <w:rPr>
          <w:rtl/>
        </w:rPr>
      </w:pPr>
      <w:r w:rsidRPr="002F2BC5" w:rsidDel="009B216E">
        <w:rPr>
          <w:rFonts w:hint="cs"/>
          <w:rtl/>
        </w:rPr>
        <w:t>הנתונים על ההקצאה וניצול התקציב במסגרת תוכנית "נאבקות באלימות" על ידי הרשויות המקומיות שנבדקו מוצגים ב</w:t>
      </w:r>
      <w:r w:rsidRPr="002F2BC5" w:rsidDel="009B216E">
        <w:rPr>
          <w:rtl/>
        </w:rPr>
        <w:fldChar w:fldCharType="begin"/>
      </w:r>
      <w:r w:rsidRPr="002F2BC5" w:rsidDel="009B216E">
        <w:rPr>
          <w:rtl/>
        </w:rPr>
        <w:instrText xml:space="preserve"> </w:instrText>
      </w:r>
      <w:r w:rsidRPr="002F2BC5" w:rsidDel="009B216E">
        <w:instrText>REF</w:instrText>
      </w:r>
      <w:r w:rsidRPr="002F2BC5" w:rsidDel="009B216E">
        <w:rPr>
          <w:rtl/>
        </w:rPr>
        <w:instrText xml:space="preserve"> _</w:instrText>
      </w:r>
      <w:r w:rsidRPr="002F2BC5" w:rsidDel="009B216E">
        <w:instrText>Ref187321324 \r \h</w:instrText>
      </w:r>
      <w:r w:rsidRPr="002F2BC5" w:rsidDel="009B216E">
        <w:rPr>
          <w:rtl/>
        </w:rPr>
        <w:instrText xml:space="preserve">  \* </w:instrText>
      </w:r>
      <w:r w:rsidRPr="002F2BC5" w:rsidDel="009B216E">
        <w:instrText>MERGEFORMAT</w:instrText>
      </w:r>
      <w:r w:rsidRPr="002F2BC5" w:rsidDel="009B216E">
        <w:rPr>
          <w:rtl/>
        </w:rPr>
        <w:instrText xml:space="preserve"> </w:instrText>
      </w:r>
      <w:r w:rsidRPr="002F2BC5" w:rsidDel="009B216E">
        <w:rPr>
          <w:rtl/>
        </w:rPr>
      </w:r>
      <w:r w:rsidRPr="002F2BC5" w:rsidDel="009B216E">
        <w:rPr>
          <w:rtl/>
        </w:rPr>
        <w:fldChar w:fldCharType="separate"/>
      </w:r>
      <w:r w:rsidR="00BB5E31">
        <w:rPr>
          <w:cs/>
        </w:rPr>
        <w:t>‎</w:t>
      </w:r>
      <w:r w:rsidR="00BB5E31">
        <w:rPr>
          <w:rtl/>
        </w:rPr>
        <w:t>לוח 11</w:t>
      </w:r>
      <w:r w:rsidRPr="002F2BC5" w:rsidDel="009B216E">
        <w:rPr>
          <w:rtl/>
        </w:rPr>
        <w:fldChar w:fldCharType="end"/>
      </w:r>
      <w:r w:rsidRPr="002F2BC5" w:rsidDel="009B216E">
        <w:rPr>
          <w:rFonts w:hint="cs"/>
          <w:rtl/>
        </w:rPr>
        <w:t xml:space="preserve"> </w:t>
      </w:r>
      <w:r w:rsidRPr="002F2BC5">
        <w:rPr>
          <w:rFonts w:hint="cs"/>
          <w:rtl/>
        </w:rPr>
        <w:t>שלהלן</w:t>
      </w:r>
      <w:r w:rsidRPr="002F2BC5" w:rsidDel="009B216E">
        <w:rPr>
          <w:rFonts w:hint="cs"/>
          <w:rtl/>
        </w:rPr>
        <w:t>.</w:t>
      </w:r>
    </w:p>
    <w:p w14:paraId="03848DB0" w14:textId="77777777" w:rsidR="00817399" w:rsidRPr="002F2BC5" w:rsidRDefault="00817399" w:rsidP="00817399">
      <w:pPr>
        <w:spacing w:line="269" w:lineRule="auto"/>
        <w:rPr>
          <w:rtl/>
        </w:rPr>
      </w:pPr>
    </w:p>
    <w:p w14:paraId="0F3C55A2" w14:textId="77777777" w:rsidR="00817399" w:rsidRPr="002F2BC5" w:rsidRDefault="00817399" w:rsidP="00817399">
      <w:pPr>
        <w:pStyle w:val="a0"/>
        <w:spacing w:line="269" w:lineRule="auto"/>
        <w:rPr>
          <w:rtl/>
        </w:rPr>
      </w:pPr>
      <w:bookmarkStart w:id="1073" w:name="_Ref187321324"/>
      <w:bookmarkStart w:id="1074" w:name="_Toc192674056"/>
      <w:r w:rsidRPr="002F2BC5">
        <w:rPr>
          <w:b w:val="0"/>
          <w:bCs w:val="0"/>
          <w:rtl/>
        </w:rPr>
        <w:t>:</w:t>
      </w:r>
      <w:bookmarkEnd w:id="1073"/>
      <w:r w:rsidRPr="002F2BC5">
        <w:rPr>
          <w:rtl/>
        </w:rPr>
        <w:t xml:space="preserve"> </w:t>
      </w:r>
      <w:r w:rsidRPr="002F2BC5">
        <w:rPr>
          <w:rFonts w:hint="cs"/>
          <w:rtl/>
        </w:rPr>
        <w:t xml:space="preserve">ההקצאה וניצול התקציב במסגרת תוכנית "נאבקות באלימות" </w:t>
      </w:r>
      <w:r w:rsidRPr="002F2BC5">
        <w:rPr>
          <w:rtl/>
        </w:rPr>
        <w:br/>
      </w:r>
      <w:r w:rsidRPr="002F2BC5">
        <w:rPr>
          <w:rFonts w:hint="cs"/>
          <w:rtl/>
        </w:rPr>
        <w:t>על ידי הרשויות המקומיות שנבדקו, 2022 - 2024</w:t>
      </w:r>
      <w:bookmarkEnd w:id="1074"/>
      <w:r w:rsidRPr="002F2BC5">
        <w:rPr>
          <w:rFonts w:hint="cs"/>
          <w:rtl/>
        </w:rPr>
        <w:t>*</w:t>
      </w:r>
    </w:p>
    <w:p w14:paraId="18ADE046"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6C0F0202" wp14:editId="16CCF327">
            <wp:extent cx="3960000" cy="3208000"/>
            <wp:effectExtent l="0" t="0" r="2540" b="0"/>
            <wp:docPr id="2052771040" name="תמונה 205277104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60000" cy="3208000"/>
                    </a:xfrm>
                    <a:prstGeom prst="rect">
                      <a:avLst/>
                    </a:prstGeom>
                  </pic:spPr>
                </pic:pic>
              </a:graphicData>
            </a:graphic>
          </wp:inline>
        </w:drawing>
      </w:r>
      <w:r w:rsidRPr="002F2BC5">
        <w:rPr>
          <w:noProof/>
          <w:rtl/>
        </w:rPr>
        <w:t xml:space="preserve"> </w:t>
      </w:r>
    </w:p>
    <w:p w14:paraId="6181AEA6" w14:textId="77777777" w:rsidR="00817399" w:rsidRPr="002F2BC5" w:rsidRDefault="00817399" w:rsidP="00817399">
      <w:pPr>
        <w:pStyle w:val="afffffff1"/>
        <w:bidi/>
        <w:spacing w:line="269" w:lineRule="auto"/>
        <w:rPr>
          <w:rtl/>
        </w:rPr>
      </w:pPr>
      <w:r w:rsidRPr="002F2BC5">
        <w:rPr>
          <w:rFonts w:hint="cs"/>
          <w:rtl/>
        </w:rPr>
        <w:t>על פי נתוני מרכב"ה, נכון לינואר 2025, על התשלומים שהועברו בפועל לרשויות המקומיות, בעיבוד משרד מבקר המדינה.</w:t>
      </w:r>
    </w:p>
    <w:p w14:paraId="4716129C" w14:textId="77777777" w:rsidR="00817399" w:rsidRPr="002F2BC5" w:rsidRDefault="00817399" w:rsidP="00817399">
      <w:pPr>
        <w:pStyle w:val="afffffff1"/>
        <w:bidi/>
        <w:spacing w:line="269" w:lineRule="auto"/>
        <w:rPr>
          <w:rtl/>
        </w:rPr>
      </w:pPr>
      <w:r w:rsidRPr="002F2BC5">
        <w:rPr>
          <w:rFonts w:hint="cs"/>
          <w:rtl/>
        </w:rPr>
        <w:t xml:space="preserve">* לפי המידע שמסרה עיריית חדרה, היא קיימה </w:t>
      </w:r>
      <w:r w:rsidRPr="002F2BC5">
        <w:rPr>
          <w:rtl/>
        </w:rPr>
        <w:t xml:space="preserve">פעילויות </w:t>
      </w:r>
      <w:r w:rsidRPr="002F2BC5">
        <w:rPr>
          <w:rFonts w:hint="cs"/>
          <w:rtl/>
        </w:rPr>
        <w:t xml:space="preserve">אחדות </w:t>
      </w:r>
      <w:r w:rsidRPr="002F2BC5">
        <w:rPr>
          <w:rtl/>
        </w:rPr>
        <w:t xml:space="preserve">במסגרת </w:t>
      </w:r>
      <w:r w:rsidRPr="002F2BC5">
        <w:rPr>
          <w:rFonts w:hint="cs"/>
          <w:rtl/>
        </w:rPr>
        <w:t>ה</w:t>
      </w:r>
      <w:r w:rsidRPr="002F2BC5">
        <w:rPr>
          <w:rtl/>
        </w:rPr>
        <w:t>תוכנית "נאבקות באלימות"</w:t>
      </w:r>
      <w:r w:rsidRPr="002F2BC5">
        <w:rPr>
          <w:rFonts w:hint="cs"/>
          <w:rtl/>
        </w:rPr>
        <w:t>,</w:t>
      </w:r>
      <w:r w:rsidRPr="002F2BC5">
        <w:rPr>
          <w:rtl/>
        </w:rPr>
        <w:t xml:space="preserve"> אך לא התקבל המימון הממשלתי </w:t>
      </w:r>
      <w:r w:rsidRPr="002F2BC5">
        <w:rPr>
          <w:rFonts w:hint="cs"/>
          <w:rtl/>
        </w:rPr>
        <w:t xml:space="preserve">בגינן, </w:t>
      </w:r>
      <w:r w:rsidRPr="002F2BC5">
        <w:rPr>
          <w:rtl/>
        </w:rPr>
        <w:t xml:space="preserve">והן מומנו לבסוף מתוך </w:t>
      </w:r>
      <w:r w:rsidRPr="002F2BC5">
        <w:rPr>
          <w:rFonts w:hint="cs"/>
          <w:rtl/>
        </w:rPr>
        <w:t>מקורות תקציביים אחרים.</w:t>
      </w:r>
    </w:p>
    <w:p w14:paraId="34D4D1A0" w14:textId="77777777" w:rsidR="00817399" w:rsidRPr="002F2BC5" w:rsidRDefault="00817399" w:rsidP="00817399">
      <w:pPr>
        <w:spacing w:line="269" w:lineRule="auto"/>
        <w:rPr>
          <w:rtl/>
        </w:rPr>
      </w:pPr>
    </w:p>
    <w:p w14:paraId="637AB0A1" w14:textId="1F42931D" w:rsidR="00817399" w:rsidRPr="002F2BC5" w:rsidRDefault="00817399" w:rsidP="00817399">
      <w:pPr>
        <w:spacing w:line="269" w:lineRule="auto"/>
        <w:rPr>
          <w:b/>
          <w:bCs/>
          <w:rtl/>
        </w:rPr>
      </w:pPr>
      <w:r w:rsidRPr="002F2BC5">
        <w:rPr>
          <w:rFonts w:hint="eastAsia"/>
          <w:b/>
          <w:bCs/>
          <w:rtl/>
        </w:rPr>
        <w:t>מהנתונים</w:t>
      </w:r>
      <w:r w:rsidRPr="002F2BC5">
        <w:rPr>
          <w:b/>
          <w:bCs/>
          <w:rtl/>
        </w:rPr>
        <w:t xml:space="preserve"> המוצגים </w:t>
      </w:r>
      <w:r w:rsidRPr="002F2BC5">
        <w:rPr>
          <w:rFonts w:hint="eastAsia"/>
          <w:b/>
          <w:bCs/>
          <w:rtl/>
        </w:rPr>
        <w:t>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Ref187321324 \r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11</w:t>
      </w:r>
      <w:r w:rsidRPr="002F2BC5">
        <w:rPr>
          <w:b/>
          <w:bCs/>
          <w:rtl/>
        </w:rPr>
        <w:fldChar w:fldCharType="end"/>
      </w:r>
      <w:r w:rsidRPr="002F2BC5">
        <w:rPr>
          <w:b/>
          <w:bCs/>
          <w:rtl/>
        </w:rPr>
        <w:t xml:space="preserve"> לעיל עולה כי </w:t>
      </w:r>
      <w:r w:rsidRPr="002F2BC5">
        <w:rPr>
          <w:rFonts w:hint="eastAsia"/>
          <w:b/>
          <w:bCs/>
          <w:rtl/>
        </w:rPr>
        <w:t>מבין</w:t>
      </w:r>
      <w:r w:rsidRPr="002F2BC5">
        <w:rPr>
          <w:b/>
          <w:bCs/>
          <w:rtl/>
        </w:rPr>
        <w:t xml:space="preserve"> הרשויות המקומיות שנבדקו, רובן המוחלט (12 מתוך 14) הגישו בקשה במסגרת תוכנית "נאבקות באלימות", אולם שתיים לא ניצלו כלל את התקציב שהוקצה להן במסגרת התוכנית (עיריית </w:t>
      </w:r>
      <w:r w:rsidRPr="002F2BC5">
        <w:rPr>
          <w:rFonts w:hint="eastAsia"/>
          <w:b/>
          <w:bCs/>
          <w:rtl/>
        </w:rPr>
        <w:t>חדרה</w:t>
      </w:r>
      <w:r w:rsidRPr="002F2BC5">
        <w:rPr>
          <w:b/>
          <w:bCs/>
          <w:rtl/>
        </w:rPr>
        <w:t xml:space="preserve"> והמועצה המקומית </w:t>
      </w:r>
      <w:r w:rsidRPr="002F2BC5">
        <w:rPr>
          <w:rFonts w:hint="eastAsia"/>
          <w:b/>
          <w:bCs/>
          <w:rtl/>
        </w:rPr>
        <w:t>קדימה</w:t>
      </w:r>
      <w:r w:rsidRPr="002F2BC5">
        <w:rPr>
          <w:b/>
          <w:bCs/>
          <w:rtl/>
        </w:rPr>
        <w:t xml:space="preserve">-צורן). </w:t>
      </w:r>
      <w:r w:rsidRPr="002F2BC5">
        <w:rPr>
          <w:rFonts w:hint="eastAsia"/>
          <w:b/>
          <w:bCs/>
          <w:rtl/>
        </w:rPr>
        <w:t>נוסף</w:t>
      </w:r>
      <w:r w:rsidRPr="002F2BC5">
        <w:rPr>
          <w:b/>
          <w:bCs/>
          <w:rtl/>
        </w:rPr>
        <w:t xml:space="preserve"> </w:t>
      </w:r>
      <w:r w:rsidRPr="002F2BC5">
        <w:rPr>
          <w:rFonts w:hint="cs"/>
          <w:b/>
          <w:bCs/>
          <w:rtl/>
        </w:rPr>
        <w:t>ע</w:t>
      </w:r>
      <w:r w:rsidRPr="002F2BC5">
        <w:rPr>
          <w:b/>
          <w:bCs/>
          <w:rtl/>
        </w:rPr>
        <w:t>ל</w:t>
      </w:r>
      <w:r w:rsidRPr="002F2BC5">
        <w:rPr>
          <w:rFonts w:hint="cs"/>
          <w:b/>
          <w:bCs/>
          <w:rtl/>
        </w:rPr>
        <w:t xml:space="preserve"> </w:t>
      </w:r>
      <w:r w:rsidRPr="002F2BC5">
        <w:rPr>
          <w:b/>
          <w:bCs/>
          <w:rtl/>
        </w:rPr>
        <w:t xml:space="preserve">כך, </w:t>
      </w:r>
      <w:r w:rsidRPr="002F2BC5">
        <w:rPr>
          <w:rFonts w:hint="eastAsia"/>
          <w:b/>
          <w:bCs/>
          <w:rtl/>
        </w:rPr>
        <w:t>רק</w:t>
      </w:r>
      <w:r w:rsidRPr="002F2BC5">
        <w:rPr>
          <w:b/>
          <w:bCs/>
          <w:rtl/>
        </w:rPr>
        <w:t xml:space="preserve"> </w:t>
      </w:r>
      <w:r w:rsidRPr="002F2BC5">
        <w:rPr>
          <w:rFonts w:hint="cs"/>
          <w:b/>
          <w:bCs/>
          <w:rtl/>
        </w:rPr>
        <w:t>שש</w:t>
      </w:r>
      <w:r w:rsidRPr="002F2BC5">
        <w:rPr>
          <w:b/>
          <w:bCs/>
          <w:rtl/>
        </w:rPr>
        <w:t xml:space="preserve"> רשויות מקומיות ניצלו את התקציב שהוקצה להן במלואו</w:t>
      </w:r>
      <w:r w:rsidRPr="002F2BC5">
        <w:rPr>
          <w:rFonts w:hint="cs"/>
          <w:b/>
          <w:bCs/>
          <w:rtl/>
        </w:rPr>
        <w:t xml:space="preserve"> </w:t>
      </w:r>
      <w:r w:rsidRPr="002F2BC5">
        <w:rPr>
          <w:rFonts w:hint="eastAsia"/>
          <w:b/>
          <w:bCs/>
          <w:rtl/>
        </w:rPr>
        <w:t>או</w:t>
      </w:r>
      <w:r w:rsidRPr="002F2BC5">
        <w:rPr>
          <w:b/>
          <w:bCs/>
          <w:rtl/>
        </w:rPr>
        <w:t xml:space="preserve"> </w:t>
      </w:r>
      <w:r w:rsidRPr="002F2BC5">
        <w:rPr>
          <w:rFonts w:hint="eastAsia"/>
          <w:b/>
          <w:bCs/>
          <w:rtl/>
        </w:rPr>
        <w:t>כמעט</w:t>
      </w:r>
      <w:r w:rsidRPr="002F2BC5">
        <w:rPr>
          <w:b/>
          <w:bCs/>
          <w:rtl/>
        </w:rPr>
        <w:t xml:space="preserve"> </w:t>
      </w:r>
      <w:r w:rsidRPr="002F2BC5">
        <w:rPr>
          <w:rFonts w:hint="eastAsia"/>
          <w:b/>
          <w:bCs/>
          <w:rtl/>
        </w:rPr>
        <w:t>במלואו</w:t>
      </w:r>
      <w:r w:rsidRPr="002F2BC5">
        <w:rPr>
          <w:b/>
          <w:bCs/>
          <w:rtl/>
        </w:rPr>
        <w:t xml:space="preserve"> (עיריות </w:t>
      </w:r>
      <w:r w:rsidRPr="002F2BC5">
        <w:rPr>
          <w:rFonts w:hint="eastAsia"/>
          <w:b/>
          <w:bCs/>
          <w:rtl/>
        </w:rPr>
        <w:t>דימונה</w:t>
      </w:r>
      <w:r w:rsidRPr="002F2BC5">
        <w:rPr>
          <w:b/>
          <w:bCs/>
          <w:rtl/>
        </w:rPr>
        <w:t xml:space="preserve">, </w:t>
      </w:r>
      <w:r w:rsidRPr="002F2BC5">
        <w:rPr>
          <w:rFonts w:hint="cs"/>
          <w:b/>
          <w:bCs/>
          <w:rtl/>
        </w:rPr>
        <w:t xml:space="preserve">יבנה, </w:t>
      </w:r>
      <w:r w:rsidRPr="002F2BC5">
        <w:rPr>
          <w:rFonts w:hint="eastAsia"/>
          <w:b/>
          <w:bCs/>
          <w:rtl/>
        </w:rPr>
        <w:t>ס</w:t>
      </w:r>
      <w:r w:rsidRPr="002F2BC5">
        <w:rPr>
          <w:b/>
          <w:bCs/>
          <w:rtl/>
        </w:rPr>
        <w:t xml:space="preserve">ח'נין, </w:t>
      </w:r>
      <w:r w:rsidRPr="002F2BC5">
        <w:rPr>
          <w:rFonts w:hint="eastAsia"/>
          <w:b/>
          <w:bCs/>
          <w:rtl/>
        </w:rPr>
        <w:t>עכו</w:t>
      </w:r>
      <w:r w:rsidRPr="002F2BC5">
        <w:rPr>
          <w:rFonts w:hint="cs"/>
          <w:b/>
          <w:bCs/>
          <w:rtl/>
        </w:rPr>
        <w:t xml:space="preserve">, </w:t>
      </w:r>
      <w:r w:rsidRPr="002F2BC5">
        <w:rPr>
          <w:rFonts w:hint="eastAsia"/>
          <w:b/>
          <w:bCs/>
          <w:rtl/>
        </w:rPr>
        <w:t>קריית</w:t>
      </w:r>
      <w:r w:rsidRPr="002F2BC5">
        <w:rPr>
          <w:b/>
          <w:bCs/>
          <w:rtl/>
        </w:rPr>
        <w:t xml:space="preserve"> </w:t>
      </w:r>
      <w:r w:rsidRPr="002F2BC5">
        <w:rPr>
          <w:rFonts w:hint="eastAsia"/>
          <w:b/>
          <w:bCs/>
          <w:rtl/>
        </w:rPr>
        <w:t>מלאכי</w:t>
      </w:r>
      <w:r w:rsidRPr="002F2BC5">
        <w:rPr>
          <w:rFonts w:hint="cs"/>
          <w:b/>
          <w:bCs/>
          <w:rtl/>
        </w:rPr>
        <w:t xml:space="preserve"> </w:t>
      </w:r>
      <w:r w:rsidRPr="002F2BC5">
        <w:rPr>
          <w:rFonts w:hint="eastAsia"/>
          <w:b/>
          <w:bCs/>
          <w:rtl/>
        </w:rPr>
        <w:t>ורהט</w:t>
      </w:r>
      <w:r w:rsidRPr="002F2BC5">
        <w:rPr>
          <w:b/>
          <w:bCs/>
          <w:rtl/>
        </w:rPr>
        <w:t>).</w:t>
      </w:r>
    </w:p>
    <w:p w14:paraId="74D6F198" w14:textId="77777777" w:rsidR="00817399" w:rsidRPr="002F2BC5" w:rsidRDefault="00817399" w:rsidP="00817399">
      <w:pPr>
        <w:pStyle w:val="afffffff9"/>
        <w:spacing w:line="269" w:lineRule="auto"/>
      </w:pPr>
      <w:bookmarkStart w:id="1075" w:name="_Toc191987017"/>
      <w:bookmarkStart w:id="1076" w:name="_Toc192093102"/>
      <w:bookmarkStart w:id="1077" w:name="_Toc192612810"/>
      <w:bookmarkStart w:id="1078" w:name="_Toc198312243"/>
      <w:bookmarkStart w:id="1079" w:name="_Toc198312718"/>
      <w:bookmarkStart w:id="1080" w:name="_Toc200636898"/>
      <w:bookmarkStart w:id="1081" w:name="_Toc200439897"/>
      <w:bookmarkStart w:id="1082" w:name="_Toc201241002"/>
      <w:r w:rsidRPr="002F2BC5">
        <w:rPr>
          <w:rFonts w:hint="eastAsia"/>
          <w:rtl/>
        </w:rPr>
        <w:t>הביקורת</w:t>
      </w:r>
      <w:r w:rsidRPr="002F2BC5">
        <w:rPr>
          <w:rtl/>
        </w:rPr>
        <w:t xml:space="preserve"> הקודמת העלתה כי </w:t>
      </w:r>
      <w:r w:rsidRPr="002F2BC5">
        <w:rPr>
          <w:rFonts w:hint="eastAsia"/>
          <w:rtl/>
        </w:rPr>
        <w:t>בהיעדר</w:t>
      </w:r>
      <w:r w:rsidRPr="002F2BC5">
        <w:rPr>
          <w:rtl/>
        </w:rPr>
        <w:t xml:space="preserve"> מדיניות סדורה בנושא, קיימת חוסר אחידות בפעולות שהרשויות המקומיות </w:t>
      </w:r>
      <w:r w:rsidRPr="002F2BC5">
        <w:rPr>
          <w:rFonts w:hint="eastAsia"/>
          <w:rtl/>
        </w:rPr>
        <w:t>שנבדקו</w:t>
      </w:r>
      <w:r w:rsidRPr="002F2BC5">
        <w:rPr>
          <w:rtl/>
        </w:rPr>
        <w:t xml:space="preserve"> </w:t>
      </w:r>
      <w:r w:rsidRPr="002F2BC5">
        <w:rPr>
          <w:rFonts w:hint="eastAsia"/>
          <w:rtl/>
        </w:rPr>
        <w:t>נוקטות</w:t>
      </w:r>
      <w:r w:rsidRPr="002F2BC5">
        <w:rPr>
          <w:rtl/>
        </w:rPr>
        <w:t xml:space="preserve"> בתחום המניעה הראשונית וכן בהיקף התקציב שהן </w:t>
      </w:r>
      <w:r w:rsidRPr="002F2BC5">
        <w:rPr>
          <w:rFonts w:hint="eastAsia"/>
          <w:rtl/>
        </w:rPr>
        <w:t>מקצות</w:t>
      </w:r>
      <w:r w:rsidRPr="002F2BC5">
        <w:rPr>
          <w:rtl/>
        </w:rPr>
        <w:t xml:space="preserve"> עבור פעולות אלו. בביקורת המעקב הועלה כי הליקוי תוקן במידה מועטה</w:t>
      </w:r>
      <w:r w:rsidRPr="002F2BC5">
        <w:rPr>
          <w:rFonts w:hint="cs"/>
          <w:rtl/>
        </w:rPr>
        <w:t>. כך</w:t>
      </w:r>
      <w:r w:rsidRPr="002F2BC5">
        <w:rPr>
          <w:rtl/>
        </w:rPr>
        <w:t xml:space="preserve"> </w:t>
      </w:r>
      <w:r w:rsidRPr="002F2BC5">
        <w:rPr>
          <w:rFonts w:hint="cs"/>
          <w:rtl/>
        </w:rPr>
        <w:t xml:space="preserve">נותרה </w:t>
      </w:r>
      <w:r w:rsidRPr="002F2BC5">
        <w:rPr>
          <w:rFonts w:hint="cs"/>
          <w:rtl/>
        </w:rPr>
        <w:lastRenderedPageBreak/>
        <w:t>שונות רבה בין הרשויות המקומיות שנבדקו מבחינת היקף התקציב שהן הקצו בשנים 2021 - 2024 לפעולות של הסברה והעלאת המודעות באוכלוסייה הכללית בנושא האלימות במשפחה, לפי המידע שמסרו בתשובותיהן לשאלונים</w:t>
      </w:r>
      <w:r w:rsidRPr="002F2BC5">
        <w:rPr>
          <w:rtl/>
        </w:rPr>
        <w:t>. יתרה מז</w:t>
      </w:r>
      <w:r w:rsidRPr="002F2BC5">
        <w:rPr>
          <w:rFonts w:hint="cs"/>
          <w:rtl/>
        </w:rPr>
        <w:t>ו</w:t>
      </w:r>
      <w:r w:rsidRPr="002F2BC5">
        <w:rPr>
          <w:rtl/>
        </w:rPr>
        <w:t>, ההמלצה להרחיב את פעולות המניעה</w:t>
      </w:r>
      <w:r w:rsidRPr="002F2BC5">
        <w:rPr>
          <w:rFonts w:hint="cs"/>
          <w:rtl/>
        </w:rPr>
        <w:t xml:space="preserve"> הראשונית</w:t>
      </w:r>
      <w:r w:rsidRPr="002F2BC5">
        <w:rPr>
          <w:rtl/>
        </w:rPr>
        <w:t xml:space="preserve"> ולהגדיר תקציב ייעודי עבורן לא יושמה במלואה</w:t>
      </w:r>
      <w:r w:rsidRPr="002F2BC5">
        <w:rPr>
          <w:rFonts w:hint="cs"/>
          <w:rtl/>
        </w:rPr>
        <w:t xml:space="preserve"> ונמצא עוד כי חלק מהרשויות המקומיות שנבדקו התקשו למצות באופן מיטבי את התקציבים הממשלתיים שהועמדו לרשותן לטובת פעולות אלו</w:t>
      </w:r>
      <w:r w:rsidRPr="002F2BC5">
        <w:rPr>
          <w:rtl/>
        </w:rPr>
        <w:t>.</w:t>
      </w:r>
      <w:bookmarkEnd w:id="1075"/>
      <w:bookmarkEnd w:id="1076"/>
      <w:bookmarkEnd w:id="1077"/>
      <w:bookmarkEnd w:id="1078"/>
      <w:bookmarkEnd w:id="1079"/>
      <w:bookmarkEnd w:id="1080"/>
      <w:bookmarkEnd w:id="1081"/>
      <w:bookmarkEnd w:id="1082"/>
    </w:p>
    <w:p w14:paraId="74FF3DA4" w14:textId="77777777" w:rsidR="00817399" w:rsidRPr="002F2BC5" w:rsidRDefault="00817399" w:rsidP="00817399">
      <w:pPr>
        <w:spacing w:line="269" w:lineRule="auto"/>
        <w:rPr>
          <w:rtl/>
        </w:rPr>
      </w:pPr>
    </w:p>
    <w:p w14:paraId="7EECAC4B" w14:textId="77777777" w:rsidR="00817399" w:rsidRPr="002F2BC5" w:rsidRDefault="00817399" w:rsidP="00817399">
      <w:pPr>
        <w:pStyle w:val="afffffffa"/>
        <w:spacing w:line="269" w:lineRule="auto"/>
        <w:rPr>
          <w:rtl/>
        </w:rPr>
      </w:pPr>
      <w:bookmarkStart w:id="1083" w:name="_Toc191987018"/>
      <w:bookmarkStart w:id="1084" w:name="_Toc192093103"/>
      <w:bookmarkStart w:id="1085" w:name="_Toc192612811"/>
      <w:bookmarkStart w:id="1086" w:name="_Toc198312244"/>
      <w:bookmarkStart w:id="1087" w:name="_Toc198312719"/>
      <w:bookmarkStart w:id="1088" w:name="_Toc200636899"/>
      <w:bookmarkStart w:id="1089" w:name="_Toc200439898"/>
      <w:bookmarkStart w:id="1090" w:name="_Toc201241003"/>
      <w:r w:rsidRPr="002F2BC5">
        <w:rPr>
          <w:rFonts w:hint="cs"/>
          <w:rtl/>
        </w:rPr>
        <w:t>משרד מבקר המדינה מציין את עיריית רהט ואת המועצה האזורית מטה יהודה על הקצאת תקציב ייעודי לפעולות של הסברה והעלאת המודעות בכל אחת מהשנים 2021 - 2024 ואת העיריות בית שמש, חדרה וראש העין והמועצה האזורית דרום השרון על כך שהקצו תקציב ייעודי כאמור בחלק מהשנים הללו, לפי המידע שמסרו בתשובותיהן לשאלונים.</w:t>
      </w:r>
      <w:bookmarkEnd w:id="1083"/>
      <w:bookmarkEnd w:id="1084"/>
      <w:bookmarkEnd w:id="1085"/>
      <w:bookmarkEnd w:id="1086"/>
      <w:bookmarkEnd w:id="1087"/>
      <w:bookmarkEnd w:id="1088"/>
      <w:bookmarkEnd w:id="1089"/>
      <w:bookmarkEnd w:id="1090"/>
      <w:r w:rsidRPr="002F2BC5">
        <w:rPr>
          <w:rFonts w:hint="cs"/>
          <w:rtl/>
        </w:rPr>
        <w:t xml:space="preserve"> </w:t>
      </w:r>
    </w:p>
    <w:p w14:paraId="589AB2DB" w14:textId="77777777" w:rsidR="00817399" w:rsidRPr="002F2BC5" w:rsidRDefault="00817399" w:rsidP="00817399">
      <w:pPr>
        <w:spacing w:line="269" w:lineRule="auto"/>
        <w:rPr>
          <w:rtl/>
        </w:rPr>
      </w:pPr>
    </w:p>
    <w:p w14:paraId="41CC4DE8" w14:textId="77777777" w:rsidR="00817399" w:rsidRPr="002F2BC5" w:rsidRDefault="00817399" w:rsidP="00817399">
      <w:pPr>
        <w:pStyle w:val="afffffffa"/>
        <w:spacing w:line="269" w:lineRule="auto"/>
        <w:rPr>
          <w:rtl/>
        </w:rPr>
      </w:pPr>
      <w:bookmarkStart w:id="1091" w:name="_Toc200636900"/>
      <w:bookmarkStart w:id="1092" w:name="_Toc200439899"/>
      <w:bookmarkStart w:id="1093" w:name="_Toc201241004"/>
      <w:bookmarkStart w:id="1094" w:name="_Toc191987019"/>
      <w:bookmarkStart w:id="1095" w:name="_Toc192093104"/>
      <w:bookmarkStart w:id="1096" w:name="_Toc192612812"/>
      <w:bookmarkStart w:id="1097" w:name="_Toc198312245"/>
      <w:bookmarkStart w:id="1098" w:name="_Toc198312720"/>
      <w:r w:rsidRPr="002F2BC5">
        <w:rPr>
          <w:rFonts w:hint="cs"/>
          <w:rtl/>
        </w:rPr>
        <w:t>משרד מבקר המדינה שב וממליץ לעיריות בית שמש, בני ברק, דימונה, חדרה, יבנה, קריית מלאכי, ראש העין, למועצות המקומיות קדימה-צורן ושיבלי - אום אל-ר'נם ולמועצה האזורית דרום השרון להגדיר מדי שנה תקציב ייעודי שישמש לפעולות של הסברה והעלאת המודעות.</w:t>
      </w:r>
      <w:bookmarkEnd w:id="1091"/>
      <w:bookmarkEnd w:id="1092"/>
      <w:bookmarkEnd w:id="1093"/>
      <w:r w:rsidRPr="002F2BC5">
        <w:rPr>
          <w:rFonts w:hint="cs"/>
          <w:rtl/>
        </w:rPr>
        <w:t xml:space="preserve"> </w:t>
      </w:r>
      <w:bookmarkEnd w:id="1094"/>
      <w:bookmarkEnd w:id="1095"/>
      <w:bookmarkEnd w:id="1096"/>
      <w:bookmarkEnd w:id="1097"/>
      <w:bookmarkEnd w:id="1098"/>
    </w:p>
    <w:p w14:paraId="55D588A8" w14:textId="77777777" w:rsidR="00817399" w:rsidRPr="002F2BC5" w:rsidRDefault="00817399" w:rsidP="00817399">
      <w:pPr>
        <w:spacing w:line="269" w:lineRule="auto"/>
        <w:rPr>
          <w:rtl/>
        </w:rPr>
      </w:pPr>
    </w:p>
    <w:p w14:paraId="7BE88AE4"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יבנה</w:t>
      </w:r>
      <w:r w:rsidRPr="002F2BC5">
        <w:rPr>
          <w:rFonts w:hint="cs"/>
          <w:rtl/>
        </w:rPr>
        <w:t xml:space="preserve"> מסרה בתשובתה מאפריל 2025 כי הליקוי תוקן וכי בשנת התקציב 2025, לפי האמור בתשובה, היא הקצתה, באמצעות האגף לשירותים חברתיים, תקציב ייעודי להסברה ולמניעה בתחום האלימות במשפחה. המועצה המקומית </w:t>
      </w:r>
      <w:r w:rsidRPr="002F2BC5">
        <w:rPr>
          <w:rFonts w:hint="cs"/>
          <w:b/>
          <w:bCs/>
          <w:rtl/>
        </w:rPr>
        <w:t>קדימה-צורן</w:t>
      </w:r>
      <w:r w:rsidRPr="002F2BC5">
        <w:rPr>
          <w:rFonts w:hint="cs"/>
          <w:rtl/>
        </w:rPr>
        <w:t xml:space="preserve"> מסרה בתשובתה כי היא מקבלת את ההמלצה להקצאת תקציב ייעודי לנושא ותפעל בהתאם. בהתייחס לניצול התקציב במסגרת התוכנית "נאבקות באלימות" היא מסרה, כי על אף מאמציה להוציא לפועל את התוכנית לא הייתה היענות בקרב תושבי המועצה להשתתף בפעילות הקבוצתית על פי מתווה התוכנית. עוד הוסיפה כי קיימת רתיעה מעיסוק ישיר בנושא בקהילה קטנה, ולכן היא פועלת להסברה ולהעלאת המודעות בדרכים עקיפות, כפי שמסרה במהלך הביקורת. </w:t>
      </w:r>
    </w:p>
    <w:p w14:paraId="23254251" w14:textId="77777777" w:rsidR="00817399" w:rsidRPr="002F2BC5" w:rsidRDefault="00817399" w:rsidP="00817399">
      <w:pPr>
        <w:spacing w:line="269" w:lineRule="auto"/>
        <w:rPr>
          <w:rtl/>
        </w:rPr>
      </w:pPr>
    </w:p>
    <w:p w14:paraId="676DF012" w14:textId="77777777" w:rsidR="00817399" w:rsidRPr="002F2BC5" w:rsidRDefault="00817399" w:rsidP="00817399">
      <w:pPr>
        <w:spacing w:line="269" w:lineRule="auto"/>
        <w:rPr>
          <w:rtl/>
        </w:rPr>
      </w:pPr>
      <w:r w:rsidRPr="002F2BC5">
        <w:rPr>
          <w:rFonts w:hint="cs"/>
          <w:rtl/>
        </w:rPr>
        <w:t xml:space="preserve">העיריות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ו</w:t>
      </w:r>
      <w:r w:rsidRPr="002F2BC5">
        <w:rPr>
          <w:rFonts w:hint="cs"/>
          <w:b/>
          <w:bCs/>
          <w:rtl/>
        </w:rPr>
        <w:t>קריית מלאכי</w:t>
      </w:r>
      <w:r w:rsidRPr="002F2BC5">
        <w:rPr>
          <w:rFonts w:hint="cs"/>
          <w:rtl/>
        </w:rPr>
        <w:t xml:space="preserve"> מסרו בתשובותיהן ממאי ומאפריל 2025 כי ישקלו להגדיר תקציב ייעודי שנתי לפעולות הסברה והעלאת מודעות. עיריית </w:t>
      </w:r>
      <w:r w:rsidRPr="002F2BC5">
        <w:rPr>
          <w:rFonts w:hint="eastAsia"/>
          <w:rtl/>
        </w:rPr>
        <w:t>בית</w:t>
      </w:r>
      <w:r w:rsidRPr="002F2BC5">
        <w:rPr>
          <w:rtl/>
        </w:rPr>
        <w:t xml:space="preserve"> </w:t>
      </w:r>
      <w:r w:rsidRPr="002F2BC5">
        <w:rPr>
          <w:rFonts w:hint="eastAsia"/>
          <w:rtl/>
        </w:rPr>
        <w:t>שמש</w:t>
      </w:r>
      <w:r w:rsidRPr="002F2BC5">
        <w:rPr>
          <w:rFonts w:hint="cs"/>
          <w:rtl/>
        </w:rPr>
        <w:t xml:space="preserve"> ציינה לצד זאת כי אומנם לא הוקצה למינהל הרווחה בעירייה תקציב ייעודי לפעולות הסברה והעלאת מודעות, אך הוא מקדם פעילות בנושא, בשיתוף המחלקה לקידום מעמד האישה בעירייה, במסגרת התקציב הייעודי שמוקצה לה. עוד הוסיפה כי לא ניצלה את מלוא התקציב שהוקצה לה במסגרת התוכנית "נאבקות באלימות" בשל קשיים בירוקרטיים הנוגעים למנגנונים העירוניים.</w:t>
      </w:r>
    </w:p>
    <w:p w14:paraId="7F9FC9C9" w14:textId="77777777" w:rsidR="00817399" w:rsidRPr="002F2BC5" w:rsidRDefault="00817399" w:rsidP="00817399">
      <w:pPr>
        <w:spacing w:line="269" w:lineRule="auto"/>
        <w:rPr>
          <w:rtl/>
        </w:rPr>
      </w:pPr>
    </w:p>
    <w:p w14:paraId="300D2FC3" w14:textId="77777777" w:rsidR="00817399" w:rsidRPr="002F2BC5" w:rsidRDefault="00817399" w:rsidP="00817399">
      <w:pPr>
        <w:spacing w:line="269" w:lineRule="auto"/>
        <w:rPr>
          <w:rtl/>
        </w:rPr>
      </w:pPr>
      <w:r w:rsidRPr="002F2BC5">
        <w:rPr>
          <w:rFonts w:hint="cs"/>
          <w:rtl/>
        </w:rPr>
        <w:t xml:space="preserve">העיריות </w:t>
      </w:r>
      <w:r w:rsidRPr="002F2BC5">
        <w:rPr>
          <w:rFonts w:hint="cs"/>
          <w:b/>
          <w:bCs/>
          <w:rtl/>
        </w:rPr>
        <w:t>בני ברק</w:t>
      </w:r>
      <w:r w:rsidRPr="002F2BC5">
        <w:rPr>
          <w:rFonts w:hint="cs"/>
          <w:rtl/>
        </w:rPr>
        <w:t xml:space="preserve">, </w:t>
      </w:r>
      <w:r w:rsidRPr="002F2BC5">
        <w:rPr>
          <w:rFonts w:hint="eastAsia"/>
          <w:b/>
          <w:bCs/>
          <w:rtl/>
        </w:rPr>
        <w:t>סח</w:t>
      </w:r>
      <w:r w:rsidRPr="002F2BC5">
        <w:rPr>
          <w:b/>
          <w:bCs/>
          <w:rtl/>
        </w:rPr>
        <w:t>'נין</w:t>
      </w:r>
      <w:r w:rsidRPr="002F2BC5">
        <w:rPr>
          <w:rFonts w:hint="cs"/>
          <w:rtl/>
        </w:rPr>
        <w:t xml:space="preserve"> ו</w:t>
      </w:r>
      <w:r w:rsidRPr="002F2BC5">
        <w:rPr>
          <w:rFonts w:hint="eastAsia"/>
          <w:b/>
          <w:bCs/>
          <w:rtl/>
        </w:rPr>
        <w:t>עכו</w:t>
      </w:r>
      <w:r w:rsidRPr="002F2BC5">
        <w:rPr>
          <w:rFonts w:hint="cs"/>
          <w:rtl/>
        </w:rPr>
        <w:t xml:space="preserve"> מסרו בתשובותיהן כי הוקצה להן תקן ייעודי להעסקת עובד סוציאלי קהילתי ובמסגרת זו הן פועלות להסברה, להעלאת המודעות בקהילה ולבניית תוכניות מניעה. העיריות סח'נין ועכו ציינו עוד כי לצד התקן הייעודי שהוקצה להן הועמד לרשותן גם תקציב ממשלתי ייעודי, ועיריית עכו הוסיפה כי תקציב זה נוצל במלואו ושימש בין השאר לקיום ימי עיון, אירועי תרבות ופעילויות נוספות. המועצה האזורית </w:t>
      </w:r>
      <w:r w:rsidRPr="002F2BC5">
        <w:rPr>
          <w:rFonts w:hint="cs"/>
          <w:b/>
          <w:bCs/>
          <w:rtl/>
        </w:rPr>
        <w:t>דרום השרון</w:t>
      </w:r>
      <w:r w:rsidRPr="002F2BC5">
        <w:rPr>
          <w:rFonts w:hint="cs"/>
          <w:rtl/>
        </w:rPr>
        <w:t xml:space="preserve"> מסרה בתשובתה כי היא כוללת פעולות הסברה והעלאת מודעות מדי שנה בתוכנית העבודה השנתית, עבור חלקן מוקצה תקציב ייעודי וחלקן האחר מתבצעות באמצעות צוות העובדים מבלי שמוקצה תקציב ייעודי לכך. עוד הוסיפה כי האירוע שתכננה לקיים בשנת 2023 לציון יום המאבק הבין-לאומי למניעת אלימות נגד נשים בוטל בעקבות פרוץ מלחמת חרבות ברזל, וכי קיימה בשנה זו פעולות הסברה מבלי שהוקצה להן תקציב ייעודי. עיריית </w:t>
      </w:r>
      <w:r w:rsidRPr="002F2BC5">
        <w:rPr>
          <w:rFonts w:hint="cs"/>
          <w:b/>
          <w:bCs/>
          <w:rtl/>
        </w:rPr>
        <w:t>דימונה</w:t>
      </w:r>
      <w:r w:rsidRPr="002F2BC5">
        <w:rPr>
          <w:rFonts w:hint="cs"/>
          <w:rtl/>
        </w:rPr>
        <w:t xml:space="preserve"> מסרה בתשובתה מאפריל 2025 כי חלק מהתקציב שמקצה לה מדי שנה הרשות לביטחון קהילתי משמש אותה למימון פרסומים להסברה ולהעלאת מודעות, והיא אינה מקצה תקציב ייעודי לנושא, משום שהתקציב שהיא מקבלת משתנה משנה לשנה. </w:t>
      </w:r>
    </w:p>
    <w:p w14:paraId="04EE1C8B" w14:textId="77777777" w:rsidR="00817399" w:rsidRPr="002F2BC5" w:rsidRDefault="00817399" w:rsidP="00817399">
      <w:pPr>
        <w:spacing w:line="269" w:lineRule="auto"/>
        <w:rPr>
          <w:rtl/>
        </w:rPr>
      </w:pPr>
    </w:p>
    <w:p w14:paraId="3DC9A5A9"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ראש העין</w:t>
      </w:r>
      <w:r w:rsidRPr="002F2BC5">
        <w:rPr>
          <w:rFonts w:hint="cs"/>
          <w:rtl/>
        </w:rPr>
        <w:t xml:space="preserve"> מסרה בתשובתה מאפריל 2025 כי מימשה באופן חלקי את התקציב במסגרת התוכנית "נאבקות באלימות" על רקע שינויים במצבת כוח האדם במרכז, ובין השאר פרישתה לגמלאות של מנהלת המרכז ומינוי מחליפתה בתקן זמני וכן צמצום בתקינת כוח האדם במרכז. לצד זאת הוסיפה כי נקבעה תוכנית עבודה שנתית לצורך ניצול התקציב הייעודי שהקצה לה משרד </w:t>
      </w:r>
      <w:r w:rsidRPr="002F2BC5">
        <w:rPr>
          <w:rFonts w:hint="cs"/>
          <w:rtl/>
        </w:rPr>
        <w:lastRenderedPageBreak/>
        <w:t xml:space="preserve">הרווחה לטובת פעולות הסברה בשנת 2024, וכי בשנה זו גם עלה בידה לאייש את התקן שהקצה לה משרד הרווחה של העובדת הסוציאלית הקהילתית הייעודית בתחום האלימות במשפחה, האמונה על קידום פעולות בנושא. עיריית </w:t>
      </w:r>
      <w:r w:rsidRPr="002F2BC5">
        <w:rPr>
          <w:rFonts w:hint="eastAsia"/>
          <w:b/>
          <w:bCs/>
          <w:rtl/>
        </w:rPr>
        <w:t>חדרה</w:t>
      </w:r>
      <w:r w:rsidRPr="002F2BC5">
        <w:rPr>
          <w:rFonts w:hint="cs"/>
          <w:rtl/>
        </w:rPr>
        <w:t xml:space="preserve"> מסרה בתשובתה מאפריל 2025 כי קיימה מספר פעילויות במסגרת התוכנית "נאבקות באלימות", אך בעירייה לא התקבל המימון הממשלתי בגינן, והן מומנו לבסוף מתקציב העירייה. עוד ציינה כי מסיבה זו היא בחרה שלא לקיים פעילויות נוספות במסגרת התוכנית, אך קיימה פעילויות אחרות להסברה ולהעלאת המודעות מתוך מקורות תקציביים אחרים. בהתייחס להקצאת התקציב הייעודי מסרה כי מדי שנה, עם קבלתו, נבנית תוכנית עבודה שנתית לניצולו בשיתוף הגורמים העירוניים.</w:t>
      </w:r>
    </w:p>
    <w:p w14:paraId="7BE521D4" w14:textId="77777777" w:rsidR="00817399" w:rsidRPr="002F2BC5" w:rsidRDefault="00817399" w:rsidP="00817399">
      <w:pPr>
        <w:spacing w:line="269" w:lineRule="auto"/>
        <w:rPr>
          <w:rtl/>
        </w:rPr>
      </w:pPr>
    </w:p>
    <w:p w14:paraId="204FAF43" w14:textId="77777777" w:rsidR="00817399" w:rsidRPr="002F2BC5" w:rsidRDefault="00817399" w:rsidP="00817399">
      <w:pPr>
        <w:spacing w:line="269" w:lineRule="auto"/>
        <w:rPr>
          <w:rtl/>
        </w:rPr>
      </w:pPr>
      <w:r w:rsidRPr="002F2BC5">
        <w:rPr>
          <w:rFonts w:hint="eastAsia"/>
          <w:rtl/>
        </w:rPr>
        <w:t>המועצה</w:t>
      </w:r>
      <w:r w:rsidRPr="002F2BC5">
        <w:rPr>
          <w:rtl/>
        </w:rPr>
        <w:t xml:space="preserve"> המקומית </w:t>
      </w:r>
      <w:r w:rsidRPr="002F2BC5">
        <w:rPr>
          <w:rFonts w:hint="eastAsia"/>
          <w:b/>
          <w:bCs/>
          <w:rtl/>
        </w:rPr>
        <w:t>שיבלי</w:t>
      </w:r>
      <w:r w:rsidRPr="002F2BC5">
        <w:rPr>
          <w:b/>
          <w:bCs/>
          <w:rtl/>
        </w:rPr>
        <w:t xml:space="preserve"> - אום אל-</w:t>
      </w:r>
      <w:r w:rsidRPr="002F2BC5">
        <w:rPr>
          <w:rFonts w:hint="eastAsia"/>
          <w:b/>
          <w:bCs/>
          <w:rtl/>
        </w:rPr>
        <w:t>ר</w:t>
      </w:r>
      <w:r w:rsidRPr="002F2BC5">
        <w:rPr>
          <w:b/>
          <w:bCs/>
          <w:rtl/>
        </w:rPr>
        <w:t xml:space="preserve">'נם </w:t>
      </w:r>
      <w:r w:rsidRPr="002F2BC5">
        <w:rPr>
          <w:rFonts w:hint="eastAsia"/>
          <w:rtl/>
        </w:rPr>
        <w:t>מסרה</w:t>
      </w:r>
      <w:r w:rsidRPr="002F2BC5">
        <w:rPr>
          <w:rtl/>
        </w:rPr>
        <w:t xml:space="preserve"> </w:t>
      </w:r>
      <w:r w:rsidRPr="002F2BC5">
        <w:rPr>
          <w:rFonts w:hint="eastAsia"/>
          <w:rtl/>
        </w:rPr>
        <w:t>בתשובתה</w:t>
      </w:r>
      <w:r w:rsidRPr="002F2BC5">
        <w:rPr>
          <w:rtl/>
        </w:rPr>
        <w:t xml:space="preserve"> </w:t>
      </w:r>
      <w:r w:rsidRPr="002F2BC5">
        <w:rPr>
          <w:rFonts w:hint="eastAsia"/>
          <w:rtl/>
        </w:rPr>
        <w:t>ממאי</w:t>
      </w:r>
      <w:r w:rsidRPr="002F2BC5">
        <w:rPr>
          <w:rtl/>
        </w:rPr>
        <w:t xml:space="preserve"> 2025 כי </w:t>
      </w:r>
      <w:r w:rsidRPr="002F2BC5">
        <w:rPr>
          <w:rFonts w:hint="eastAsia"/>
          <w:rtl/>
        </w:rPr>
        <w:t>היא</w:t>
      </w:r>
      <w:r w:rsidRPr="002F2BC5">
        <w:rPr>
          <w:rtl/>
        </w:rPr>
        <w:t xml:space="preserve"> </w:t>
      </w:r>
      <w:r w:rsidRPr="002F2BC5">
        <w:rPr>
          <w:rFonts w:hint="eastAsia"/>
          <w:rtl/>
        </w:rPr>
        <w:t>מחויבת</w:t>
      </w:r>
      <w:r w:rsidRPr="002F2BC5">
        <w:rPr>
          <w:rtl/>
        </w:rPr>
        <w:t xml:space="preserve"> להמשך שיפור, הפקת לקחים ויישום המלצות הביקורת בשיתוף פעולה עם משרד הרווחה וגורמים ממשלתיים נוספים. </w:t>
      </w:r>
      <w:r w:rsidRPr="002F2BC5">
        <w:rPr>
          <w:rFonts w:hint="eastAsia"/>
          <w:rtl/>
        </w:rPr>
        <w:t>עוד</w:t>
      </w:r>
      <w:r w:rsidRPr="002F2BC5">
        <w:rPr>
          <w:rtl/>
        </w:rPr>
        <w:t xml:space="preserve"> ציינה כי </w:t>
      </w:r>
      <w:r w:rsidRPr="002F2BC5">
        <w:rPr>
          <w:rFonts w:hint="eastAsia"/>
          <w:rtl/>
        </w:rPr>
        <w:t>היא</w:t>
      </w:r>
      <w:r w:rsidRPr="002F2BC5">
        <w:rPr>
          <w:rtl/>
        </w:rPr>
        <w:t xml:space="preserve"> </w:t>
      </w:r>
      <w:r w:rsidRPr="002F2BC5">
        <w:rPr>
          <w:rFonts w:hint="eastAsia"/>
          <w:rtl/>
        </w:rPr>
        <w:t>מייחסת</w:t>
      </w:r>
      <w:r w:rsidRPr="002F2BC5">
        <w:rPr>
          <w:rtl/>
        </w:rPr>
        <w:t xml:space="preserve"> חשיבות רבה </w:t>
      </w:r>
      <w:r w:rsidRPr="002F2BC5">
        <w:rPr>
          <w:rFonts w:hint="eastAsia"/>
          <w:rtl/>
        </w:rPr>
        <w:t>ל</w:t>
      </w:r>
      <w:r w:rsidRPr="002F2BC5">
        <w:rPr>
          <w:rtl/>
        </w:rPr>
        <w:t xml:space="preserve">העלאת המודעות לתופעת האלימות במשפחה, </w:t>
      </w:r>
      <w:r w:rsidRPr="002F2BC5">
        <w:rPr>
          <w:rFonts w:hint="eastAsia"/>
          <w:rtl/>
        </w:rPr>
        <w:t>וכי</w:t>
      </w:r>
      <w:r w:rsidRPr="002F2BC5">
        <w:rPr>
          <w:rtl/>
        </w:rPr>
        <w:t xml:space="preserve"> </w:t>
      </w:r>
      <w:r w:rsidRPr="002F2BC5">
        <w:rPr>
          <w:rFonts w:hint="eastAsia"/>
          <w:rtl/>
        </w:rPr>
        <w:t>היא</w:t>
      </w:r>
      <w:r w:rsidRPr="002F2BC5">
        <w:rPr>
          <w:rtl/>
        </w:rPr>
        <w:t xml:space="preserve"> </w:t>
      </w:r>
      <w:r w:rsidRPr="002F2BC5">
        <w:rPr>
          <w:rFonts w:hint="eastAsia"/>
          <w:rtl/>
        </w:rPr>
        <w:t>פועלת</w:t>
      </w:r>
      <w:r w:rsidRPr="002F2BC5">
        <w:rPr>
          <w:rtl/>
        </w:rPr>
        <w:t xml:space="preserve"> </w:t>
      </w:r>
      <w:r w:rsidRPr="002F2BC5">
        <w:rPr>
          <w:rFonts w:hint="eastAsia"/>
          <w:rtl/>
        </w:rPr>
        <w:t>באמצעות</w:t>
      </w:r>
      <w:r w:rsidRPr="002F2BC5">
        <w:rPr>
          <w:rtl/>
        </w:rPr>
        <w:t xml:space="preserve"> </w:t>
      </w:r>
      <w:r w:rsidRPr="002F2BC5">
        <w:rPr>
          <w:rFonts w:hint="eastAsia"/>
          <w:rtl/>
        </w:rPr>
        <w:t>המ</w:t>
      </w:r>
      <w:r w:rsidRPr="002F2BC5">
        <w:rPr>
          <w:rtl/>
        </w:rPr>
        <w:t xml:space="preserve">חלקה לשירותים חברתיים וגורמים מקצועיים נוספים לגיבוש תוכנית פעולה לשנת 2025, שתתמקד בעיקר בקיום סדנאות ייעודיות בנושא. </w:t>
      </w:r>
      <w:r w:rsidRPr="002F2BC5">
        <w:rPr>
          <w:rFonts w:hint="eastAsia"/>
          <w:rtl/>
        </w:rPr>
        <w:t>לעניין</w:t>
      </w:r>
      <w:r w:rsidRPr="002F2BC5">
        <w:rPr>
          <w:rtl/>
        </w:rPr>
        <w:t xml:space="preserve"> </w:t>
      </w:r>
      <w:r w:rsidRPr="002F2BC5">
        <w:rPr>
          <w:rFonts w:hint="eastAsia"/>
          <w:rtl/>
        </w:rPr>
        <w:t>ההקצאה</w:t>
      </w:r>
      <w:r w:rsidRPr="002F2BC5">
        <w:rPr>
          <w:rtl/>
        </w:rPr>
        <w:t xml:space="preserve"> </w:t>
      </w:r>
      <w:r w:rsidRPr="002F2BC5">
        <w:rPr>
          <w:rFonts w:hint="eastAsia"/>
          <w:rtl/>
        </w:rPr>
        <w:t>והניצול</w:t>
      </w:r>
      <w:r w:rsidRPr="002F2BC5">
        <w:rPr>
          <w:rtl/>
        </w:rPr>
        <w:t xml:space="preserve"> של התקציב הייעודי </w:t>
      </w:r>
      <w:r w:rsidRPr="002F2BC5">
        <w:rPr>
          <w:rFonts w:hint="eastAsia"/>
          <w:rtl/>
        </w:rPr>
        <w:t>הוסיפה</w:t>
      </w:r>
      <w:r w:rsidRPr="002F2BC5">
        <w:rPr>
          <w:rtl/>
        </w:rPr>
        <w:t xml:space="preserve"> כי היא פועלת </w:t>
      </w:r>
      <w:r w:rsidRPr="002F2BC5">
        <w:rPr>
          <w:rFonts w:hint="eastAsia"/>
          <w:rtl/>
        </w:rPr>
        <w:t>לגיוס</w:t>
      </w:r>
      <w:r w:rsidRPr="002F2BC5">
        <w:rPr>
          <w:rtl/>
        </w:rPr>
        <w:t xml:space="preserve"> </w:t>
      </w:r>
      <w:r w:rsidRPr="002F2BC5">
        <w:rPr>
          <w:rFonts w:hint="eastAsia"/>
          <w:rtl/>
        </w:rPr>
        <w:t>של</w:t>
      </w:r>
      <w:r w:rsidRPr="002F2BC5">
        <w:rPr>
          <w:rtl/>
        </w:rPr>
        <w:t xml:space="preserve"> </w:t>
      </w:r>
      <w:r w:rsidRPr="002F2BC5">
        <w:rPr>
          <w:rFonts w:hint="eastAsia"/>
          <w:rtl/>
        </w:rPr>
        <w:t>מרָכזת</w:t>
      </w:r>
      <w:r w:rsidRPr="002F2BC5">
        <w:rPr>
          <w:rtl/>
        </w:rPr>
        <w:t xml:space="preserve"> תחום מניעה וטיפול באלימות במשפחה במטרה להתמודד עם אתגרי כוח האדם והניסיון המקצועי הדרושים</w:t>
      </w:r>
      <w:r w:rsidRPr="002F2BC5">
        <w:rPr>
          <w:rFonts w:hint="cs"/>
          <w:rtl/>
        </w:rPr>
        <w:t>,</w:t>
      </w:r>
      <w:r w:rsidRPr="002F2BC5">
        <w:rPr>
          <w:rtl/>
        </w:rPr>
        <w:t xml:space="preserve"> </w:t>
      </w:r>
      <w:r w:rsidRPr="002F2BC5">
        <w:rPr>
          <w:rFonts w:hint="eastAsia"/>
          <w:rtl/>
        </w:rPr>
        <w:t>לפי</w:t>
      </w:r>
      <w:r w:rsidRPr="002F2BC5">
        <w:rPr>
          <w:rtl/>
        </w:rPr>
        <w:t xml:space="preserve"> התשובה</w:t>
      </w:r>
      <w:r w:rsidRPr="002F2BC5">
        <w:rPr>
          <w:rFonts w:hint="cs"/>
          <w:rtl/>
        </w:rPr>
        <w:t>,</w:t>
      </w:r>
      <w:r w:rsidRPr="002F2BC5">
        <w:rPr>
          <w:rtl/>
        </w:rPr>
        <w:t xml:space="preserve"> </w:t>
      </w:r>
      <w:r w:rsidRPr="002F2BC5">
        <w:rPr>
          <w:rFonts w:hint="eastAsia"/>
          <w:rtl/>
        </w:rPr>
        <w:t>למיצוי</w:t>
      </w:r>
      <w:r w:rsidRPr="002F2BC5">
        <w:rPr>
          <w:rtl/>
        </w:rPr>
        <w:t xml:space="preserve"> מיטבי של </w:t>
      </w:r>
      <w:r w:rsidRPr="002F2BC5">
        <w:rPr>
          <w:rFonts w:hint="eastAsia"/>
          <w:rtl/>
        </w:rPr>
        <w:t>התקציב</w:t>
      </w:r>
      <w:r w:rsidRPr="002F2BC5">
        <w:rPr>
          <w:rtl/>
        </w:rPr>
        <w:t xml:space="preserve"> </w:t>
      </w:r>
      <w:r w:rsidRPr="002F2BC5">
        <w:rPr>
          <w:rFonts w:hint="eastAsia"/>
          <w:rtl/>
        </w:rPr>
        <w:t>הייעודי</w:t>
      </w:r>
      <w:r w:rsidRPr="002F2BC5">
        <w:rPr>
          <w:rtl/>
        </w:rPr>
        <w:t>.</w:t>
      </w:r>
    </w:p>
    <w:p w14:paraId="2C0370E3" w14:textId="77777777" w:rsidR="00817399" w:rsidRPr="002F2BC5" w:rsidRDefault="00817399" w:rsidP="00817399">
      <w:pPr>
        <w:spacing w:line="269" w:lineRule="auto"/>
        <w:rPr>
          <w:rtl/>
        </w:rPr>
      </w:pPr>
    </w:p>
    <w:p w14:paraId="1B0E7C40" w14:textId="77777777" w:rsidR="00817399" w:rsidRPr="002F2BC5" w:rsidRDefault="00817399" w:rsidP="00817399">
      <w:pPr>
        <w:spacing w:line="269" w:lineRule="auto"/>
        <w:rPr>
          <w:rtl/>
        </w:rPr>
      </w:pPr>
      <w:r w:rsidRPr="002F2BC5">
        <w:rPr>
          <w:rFonts w:hint="cs"/>
          <w:rtl/>
        </w:rPr>
        <w:t>המשרד לביטחון לאומי מסר בתשובתו, בהתייחס להיעדר האחידות בפעולות שנוקטות הרשויות המקומיות בתחום המניעה הראשונית ובתקציב הייעודי שהן מקצות לצורך כך, כי מוקדי הפעילות בכל רשות מקומית, במסגרת התוכנית למניעת אלימות, נקבעים בתוכנית העבודה היישובית, לאחר מיפוי ואיסוף נתונים בתחומן על היקף תופעת האלימות ותופעות אחרות שתוכנית המניעה אמורה להתמודד עימן</w:t>
      </w:r>
      <w:r w:rsidRPr="002F2BC5">
        <w:rPr>
          <w:rtl/>
        </w:rPr>
        <w:t>.</w:t>
      </w:r>
      <w:r w:rsidRPr="002F2BC5">
        <w:rPr>
          <w:rFonts w:hint="cs"/>
          <w:rtl/>
        </w:rPr>
        <w:t xml:space="preserve"> לעניין מיצוי התקציב מסר כי בשנים האחרונות, על רקע האיחור באישור תקציב המדינה ובהקצאת התקציב לרשויות המקומיות, יכולתן למצות את התקציב שהוקצה להן נעשתה מורכבת יותר. לצד זאת, לפי התשובה, שיעור ניצול התקציב שמעמיד המשרד לביטחון לאומי לרשות הרשויות המקומיות, ובכלל זה בתחום האלימות במשפחה, עומד על כ-90%</w:t>
      </w:r>
      <w:r w:rsidRPr="002F2BC5">
        <w:rPr>
          <w:rtl/>
        </w:rPr>
        <w:t>.</w:t>
      </w:r>
      <w:r w:rsidRPr="002F2BC5">
        <w:rPr>
          <w:rFonts w:hint="cs"/>
          <w:rtl/>
        </w:rPr>
        <w:t xml:space="preserve"> </w:t>
      </w:r>
    </w:p>
    <w:p w14:paraId="15C1572E" w14:textId="77777777" w:rsidR="00817399" w:rsidRPr="002F2BC5" w:rsidRDefault="00817399" w:rsidP="00817399">
      <w:pPr>
        <w:spacing w:line="269" w:lineRule="auto"/>
        <w:rPr>
          <w:rtl/>
        </w:rPr>
      </w:pPr>
    </w:p>
    <w:p w14:paraId="353A2E78" w14:textId="77777777" w:rsidR="00817399" w:rsidRPr="002F2BC5" w:rsidRDefault="00817399" w:rsidP="00817399">
      <w:pPr>
        <w:pStyle w:val="afffffffa"/>
        <w:spacing w:line="269" w:lineRule="auto"/>
        <w:rPr>
          <w:rtl/>
        </w:rPr>
      </w:pPr>
      <w:bookmarkStart w:id="1099" w:name="_Toc200636901"/>
      <w:bookmarkStart w:id="1100" w:name="_Toc191987020"/>
      <w:bookmarkStart w:id="1101" w:name="_Toc192093105"/>
      <w:bookmarkStart w:id="1102" w:name="_Toc192612813"/>
      <w:bookmarkStart w:id="1103" w:name="_Toc198312246"/>
      <w:bookmarkStart w:id="1104" w:name="_Toc198312721"/>
      <w:bookmarkStart w:id="1105" w:name="_Toc200439900"/>
      <w:bookmarkStart w:id="1106" w:name="_Toc201241005"/>
      <w:r w:rsidRPr="002F2BC5">
        <w:rPr>
          <w:rFonts w:hint="cs"/>
          <w:rtl/>
        </w:rPr>
        <w:t>מומלץ למשרד הרווחה להעניק הכוונה מקצועית לרשויות המקומיות בנוגע להיקף התקציב הייעודי שעליהן להקצות לטובת פעולות להסברה ולהעלאת המודעות בתחום המניעה הראשונית של תופעת האלימות במשפחה ובמערכת היחסים הזוגית, כדי לקדם אחידות, עקביות ותיאום בפעולותיהן בתחום זה.</w:t>
      </w:r>
      <w:bookmarkEnd w:id="1099"/>
      <w:r w:rsidRPr="002F2BC5">
        <w:rPr>
          <w:rFonts w:hint="cs"/>
          <w:rtl/>
        </w:rPr>
        <w:t xml:space="preserve"> </w:t>
      </w:r>
      <w:bookmarkStart w:id="1107" w:name="_Toc200636902"/>
      <w:r w:rsidRPr="002F2BC5">
        <w:rPr>
          <w:rFonts w:hint="cs"/>
          <w:rtl/>
        </w:rPr>
        <w:t>כן מומלץ למשרד הרווחה, לרשות לביטחון קהילתי ולרשות לקידום מעמד האישה, לפי העניין, לפעול במשותף להסרת החסמים העומדים בפניהן של הרשויות המקומיות למיצוי מיטבי של התקציבים הממשלתיים המיועדים לטובת פעולות אלו - הן מבחינת האפשרות לקבל הקצאה של תקציבים ייעודיים והן, ביתר שאת, מבחינת היכולת לממשם.</w:t>
      </w:r>
      <w:bookmarkEnd w:id="1100"/>
      <w:bookmarkEnd w:id="1101"/>
      <w:bookmarkEnd w:id="1102"/>
      <w:bookmarkEnd w:id="1103"/>
      <w:bookmarkEnd w:id="1104"/>
      <w:bookmarkEnd w:id="1105"/>
      <w:bookmarkEnd w:id="1106"/>
      <w:bookmarkEnd w:id="1107"/>
    </w:p>
    <w:p w14:paraId="14157243" w14:textId="77777777" w:rsidR="00817399" w:rsidRPr="002F2BC5" w:rsidRDefault="00817399" w:rsidP="00817399">
      <w:pPr>
        <w:spacing w:line="269" w:lineRule="auto"/>
        <w:rPr>
          <w:rtl/>
        </w:rPr>
      </w:pPr>
    </w:p>
    <w:p w14:paraId="15CD1E74" w14:textId="77777777" w:rsidR="00817399" w:rsidRPr="002F2BC5" w:rsidRDefault="00817399" w:rsidP="00817399">
      <w:pPr>
        <w:spacing w:line="269" w:lineRule="auto"/>
        <w:rPr>
          <w:rtl/>
        </w:rPr>
      </w:pPr>
      <w:r w:rsidRPr="002F2BC5">
        <w:rPr>
          <w:rFonts w:hint="cs"/>
          <w:rtl/>
        </w:rPr>
        <w:t xml:space="preserve">מרכז השלטון המקומי מסר בתשובתו כי הוא מקבל את המלצת הביקורת, אך בשים לב לכך שביצוע משימותיהן של המחלקות לשירותים חברתיים ומימוש התקציבים העומדים לרשותן מותנה בהעמדת כוח אדם מקצועי. </w:t>
      </w:r>
    </w:p>
    <w:p w14:paraId="7915FEC3" w14:textId="77777777" w:rsidR="00817399" w:rsidRPr="002F2BC5" w:rsidRDefault="00817399" w:rsidP="00817399">
      <w:pPr>
        <w:spacing w:line="269" w:lineRule="auto"/>
        <w:rPr>
          <w:rtl/>
        </w:rPr>
      </w:pPr>
    </w:p>
    <w:p w14:paraId="5BDB68A3" w14:textId="77777777" w:rsidR="00817399" w:rsidRPr="002F2BC5" w:rsidRDefault="00817399" w:rsidP="00817399">
      <w:pPr>
        <w:spacing w:line="269" w:lineRule="auto"/>
        <w:rPr>
          <w:rtl/>
        </w:rPr>
      </w:pPr>
      <w:r w:rsidRPr="002F2BC5">
        <w:rPr>
          <w:rFonts w:hint="cs"/>
          <w:rtl/>
        </w:rPr>
        <w:t xml:space="preserve">הרשות לקידום מעמד האישה מסרה בתשובתה כי במטרה לקדם מענה הוליסטי ומתואם במסגרת התוכנית "נאבקות באלימות", היא הנחתה שהובלת התוכנית תיעשה על ידי היועצות לקידום מעמד האישה, בשיתוף האגפים לשירותים חברתיים ברשויות המקומיות. בד בבד, היא ציינה בתשובה כי הדבר כרוך באתגר לנוכח היעדרה של הסדרה אחידה של מעמדן ותפקידן של היועצות, ובכלל זה לעניין היקף משרתן ותנאי העסקתן, הצורך להבטיח כי המשרה מאוישת בכלל הרשויות וכן החשיבות של העמדת משאבים מספקים, כלים ייעודיים וידע מקצועי לשם מילוי תפקידן באופן המיטבי. עוד ציינה כי היועצות גם אינן נמנות עם חברי הוועדה למיגור אלימות ברשויות </w:t>
      </w:r>
      <w:r w:rsidRPr="002F2BC5">
        <w:rPr>
          <w:rFonts w:hint="cs"/>
          <w:rtl/>
        </w:rPr>
        <w:lastRenderedPageBreak/>
        <w:t>המקומיות</w:t>
      </w:r>
      <w:r w:rsidRPr="002F2BC5">
        <w:rPr>
          <w:rStyle w:val="af9"/>
          <w:rtl/>
        </w:rPr>
        <w:footnoteReference w:id="242"/>
      </w:r>
      <w:r w:rsidRPr="002F2BC5">
        <w:rPr>
          <w:rFonts w:hint="cs"/>
          <w:rtl/>
        </w:rPr>
        <w:t>. לעניין ניצול התקציב במסגרת התוכנית היא מסרה כי פעלה רבות לקידום הנושא, ובמסגרת זו קיימה הדרכות ליועצות לקידום מעמד האישה ושיח עם גזברי הרשויות המקומיות, וניכר מממצאי הביקורת כי אכן חל שיפור במיצוי התקציב. היא הוסיפה כי במסגרת הסכמי התקשרות עם רשויות מקומיות הנמנות עם יישובי חבל התקומה</w:t>
      </w:r>
      <w:r w:rsidRPr="002F2BC5">
        <w:rPr>
          <w:rStyle w:val="af9"/>
          <w:rtl/>
        </w:rPr>
        <w:footnoteReference w:id="243"/>
      </w:r>
      <w:r w:rsidRPr="002F2BC5">
        <w:rPr>
          <w:rFonts w:hint="cs"/>
          <w:rtl/>
        </w:rPr>
        <w:t xml:space="preserve">, שאותם יזמה שלא במסגרת קול קורא נוסף לאור צורכיהן הייחודיים והדחופים בעקבות אירועי השבעה באוקטובר, נקבע כי להתקשרויות בהיקפים תקציביים גבוהים יוקצו מנהלי פרויקטים בהיקף של חצי משרה, שיהיו אחראיים להוצאה לפועל של ההתקשרות ולמיצוי מיטבי של התקציב. עוד ציינה כי בימים אלה היא פועלת לפרסום קול קורא נוסף וכי בכוונתה ליישם את הלקחים בעניין זה בהתאם. </w:t>
      </w:r>
    </w:p>
    <w:p w14:paraId="0B4A2157" w14:textId="77777777" w:rsidR="00817399" w:rsidRPr="002F2BC5" w:rsidRDefault="00817399" w:rsidP="00817399">
      <w:pPr>
        <w:spacing w:line="269" w:lineRule="auto"/>
        <w:rPr>
          <w:rtl/>
        </w:rPr>
      </w:pPr>
    </w:p>
    <w:p w14:paraId="35EDBE34" w14:textId="77777777" w:rsidR="00817399" w:rsidRPr="002F2BC5" w:rsidRDefault="00817399" w:rsidP="00817399">
      <w:pPr>
        <w:spacing w:line="269" w:lineRule="auto"/>
        <w:rPr>
          <w:rtl/>
        </w:rPr>
      </w:pPr>
      <w:r w:rsidRPr="002F2BC5">
        <w:rPr>
          <w:rFonts w:hint="cs"/>
          <w:rtl/>
        </w:rPr>
        <w:t>הרשות לקידום מעמד האישה הוסיפה בתשובתה כי לצד האמור היא פועלת להסברה ולהעלאת המודעות באוכלוסייה הכללית לתופעת האלימות בכללותה ולתופעת האלימות כלפי נשים בפרט, בין השאר באמצעות הענקת אות הוקרה של השרה לשוויון חברתי וקידום מעמד האישה לגופים וליחידים הפועלים בתחום; קיום סדנאות להקניית מיומנויות בסיסיות בהגנה עצמית, בשיתוף משטרת ישראל (סדנאות אביב); וכן באמצעות פרסום קמפיינים בעצמה ובאמצעות הרשויות המקומיות</w:t>
      </w:r>
      <w:r w:rsidRPr="002F2BC5">
        <w:rPr>
          <w:rStyle w:val="af9"/>
          <w:rtl/>
        </w:rPr>
        <w:footnoteReference w:id="244"/>
      </w:r>
      <w:r w:rsidRPr="002F2BC5">
        <w:rPr>
          <w:rFonts w:hint="cs"/>
          <w:rtl/>
        </w:rPr>
        <w:t xml:space="preserve">, קידום תיקוני חקיקה והגשת ניירות עמדה. </w:t>
      </w:r>
    </w:p>
    <w:p w14:paraId="7CA6A22F" w14:textId="77777777" w:rsidR="00817399" w:rsidRPr="002F2BC5" w:rsidRDefault="00817399" w:rsidP="00817399">
      <w:pPr>
        <w:spacing w:line="269" w:lineRule="auto"/>
        <w:rPr>
          <w:rtl/>
        </w:rPr>
      </w:pPr>
    </w:p>
    <w:p w14:paraId="1FA8E85A"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2DE6812A" w14:textId="77777777" w:rsidR="00817399" w:rsidRPr="002F2BC5" w:rsidRDefault="00817399" w:rsidP="00817399">
      <w:pPr>
        <w:pStyle w:val="afffffff7"/>
        <w:spacing w:before="0" w:line="269" w:lineRule="auto"/>
        <w:rPr>
          <w:rtl/>
        </w:rPr>
      </w:pPr>
      <w:bookmarkStart w:id="1108" w:name="_Toc198312247"/>
      <w:bookmarkStart w:id="1109" w:name="_Toc198312722"/>
      <w:bookmarkStart w:id="1110" w:name="_Toc189072235"/>
      <w:r w:rsidRPr="002F2BC5">
        <w:rPr>
          <w:noProof/>
        </w:rPr>
        <w:drawing>
          <wp:inline distT="0" distB="0" distL="0" distR="0" wp14:anchorId="4F98CC59" wp14:editId="33E4607A">
            <wp:extent cx="4324350" cy="933450"/>
            <wp:effectExtent l="0" t="0" r="0" b="0"/>
            <wp:docPr id="27"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108"/>
      <w:bookmarkEnd w:id="1109"/>
    </w:p>
    <w:bookmarkEnd w:id="1110"/>
    <w:p w14:paraId="7EF5F222" w14:textId="77777777" w:rsidR="00817399" w:rsidRPr="002F2BC5" w:rsidRDefault="00817399" w:rsidP="00817399">
      <w:pPr>
        <w:spacing w:line="269" w:lineRule="auto"/>
        <w:rPr>
          <w:rtl/>
        </w:rPr>
      </w:pPr>
    </w:p>
    <w:p w14:paraId="3C57064D" w14:textId="77777777" w:rsidR="00817399" w:rsidRPr="002F2BC5" w:rsidRDefault="00817399" w:rsidP="00817399">
      <w:pPr>
        <w:pStyle w:val="4"/>
        <w:spacing w:before="0" w:line="269" w:lineRule="auto"/>
        <w:rPr>
          <w:rtl/>
        </w:rPr>
      </w:pPr>
      <w:bookmarkStart w:id="1111" w:name="_Toc189072236"/>
      <w:bookmarkStart w:id="1112" w:name="_Toc191987021"/>
      <w:bookmarkStart w:id="1113" w:name="_Toc191891397"/>
      <w:bookmarkStart w:id="1114" w:name="_Toc192093106"/>
      <w:bookmarkStart w:id="1115" w:name="_Toc193110613"/>
      <w:bookmarkStart w:id="1116" w:name="_Toc192612814"/>
      <w:bookmarkStart w:id="1117" w:name="_Toc192778831"/>
      <w:bookmarkStart w:id="1118" w:name="_Toc198312248"/>
      <w:bookmarkStart w:id="1119" w:name="_Toc198312723"/>
      <w:bookmarkStart w:id="1120" w:name="_Toc200636809"/>
      <w:bookmarkStart w:id="1121" w:name="_Toc200636903"/>
      <w:bookmarkStart w:id="1122" w:name="_Toc200439808"/>
      <w:bookmarkStart w:id="1123" w:name="_Toc200439901"/>
      <w:bookmarkStart w:id="1124" w:name="_Toc201241006"/>
      <w:bookmarkStart w:id="1125" w:name="_Toc192784385"/>
      <w:bookmarkStart w:id="1126" w:name="_Toc201759371"/>
      <w:bookmarkStart w:id="1127" w:name="_Toc203488007"/>
      <w:r w:rsidRPr="002F2BC5">
        <w:rPr>
          <w:rFonts w:hint="cs"/>
          <w:rtl/>
        </w:rPr>
        <w:t>המדיניות הממשלתית והיקף ההוצאה הממשלתית בתחום המניעה הראשונית</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1998CDD" w14:textId="77777777" w:rsidR="00817399" w:rsidRPr="002F2BC5" w:rsidRDefault="00817399" w:rsidP="00817399">
      <w:pPr>
        <w:spacing w:line="269" w:lineRule="auto"/>
        <w:rPr>
          <w:rtl/>
        </w:rPr>
      </w:pPr>
    </w:p>
    <w:p w14:paraId="2ABDF2C5" w14:textId="77777777" w:rsidR="00817399" w:rsidRPr="002F2BC5" w:rsidRDefault="00817399" w:rsidP="00817399">
      <w:pPr>
        <w:spacing w:line="269" w:lineRule="auto"/>
        <w:rPr>
          <w:rtl/>
        </w:rPr>
      </w:pPr>
      <w:bookmarkStart w:id="1128" w:name="_Toc191987022"/>
      <w:r w:rsidRPr="002F2BC5">
        <w:rPr>
          <w:rStyle w:val="70"/>
          <w:rFonts w:hint="cs"/>
          <w:rtl/>
        </w:rPr>
        <w:t>הביקורת הקודמת:</w:t>
      </w:r>
      <w:bookmarkEnd w:id="1128"/>
      <w:r w:rsidRPr="002F2BC5">
        <w:rPr>
          <w:rStyle w:val="70"/>
          <w:rFonts w:hint="cs"/>
          <w:rtl/>
        </w:rPr>
        <w:t xml:space="preserve"> </w:t>
      </w:r>
      <w:r w:rsidRPr="002F2BC5">
        <w:rPr>
          <w:rFonts w:hint="cs"/>
          <w:rtl/>
        </w:rPr>
        <w:t>נמצא כי משרד הרווחה, משרד החינוך והרשות לביטחון קהילתי אינם פועלים לפי מדיניות אחודה ומתואמת בתחום המניעה הראשונית. נוסף על כך הועלה כי בשנת 2019 ההוצאה הממשלתית המוערכת על פעולות בתחום המניעה הראשונית הייתה בהיקף מזערי מול ההוצאה הממשלתית המוערכת על פעולות בתחום המניעה השלישונית (כ-1.4%, שהם כ-2.9 מיליוני ש"ח מול כ-212.5 מיליוני ש"ח)</w:t>
      </w:r>
      <w:r w:rsidRPr="002F2BC5">
        <w:rPr>
          <w:rStyle w:val="af9"/>
          <w:rtl/>
        </w:rPr>
        <w:footnoteReference w:id="245"/>
      </w:r>
      <w:r w:rsidRPr="002F2BC5">
        <w:rPr>
          <w:rFonts w:hint="cs"/>
          <w:rtl/>
        </w:rPr>
        <w:t>.</w:t>
      </w:r>
    </w:p>
    <w:p w14:paraId="54174C67" w14:textId="77777777" w:rsidR="00817399" w:rsidRPr="002F2BC5" w:rsidRDefault="00817399" w:rsidP="00817399">
      <w:pPr>
        <w:spacing w:line="269" w:lineRule="auto"/>
        <w:rPr>
          <w:rtl/>
        </w:rPr>
      </w:pPr>
      <w:r w:rsidRPr="002F2BC5">
        <w:rPr>
          <w:rFonts w:hint="eastAsia"/>
          <w:rtl/>
        </w:rPr>
        <w:lastRenderedPageBreak/>
        <w:t>משרד</w:t>
      </w:r>
      <w:r w:rsidRPr="002F2BC5">
        <w:rPr>
          <w:rtl/>
        </w:rPr>
        <w:t xml:space="preserve"> מבקר המדינה </w:t>
      </w:r>
      <w:r w:rsidRPr="002F2BC5">
        <w:rPr>
          <w:rFonts w:hint="cs"/>
          <w:rtl/>
        </w:rPr>
        <w:t>ה</w:t>
      </w:r>
      <w:r w:rsidRPr="002F2BC5">
        <w:rPr>
          <w:rtl/>
        </w:rPr>
        <w:t xml:space="preserve">מליץ </w:t>
      </w:r>
      <w:r w:rsidRPr="002F2BC5">
        <w:rPr>
          <w:rFonts w:hint="cs"/>
          <w:rtl/>
        </w:rPr>
        <w:t xml:space="preserve">בביקורת הקודמת </w:t>
      </w:r>
      <w:r w:rsidRPr="002F2BC5">
        <w:rPr>
          <w:rtl/>
        </w:rPr>
        <w:t xml:space="preserve">למשרד הרווחה, למשרד החינוך, למשרד הבריאות, למשרד לביטחון </w:t>
      </w:r>
      <w:r w:rsidRPr="002F2BC5">
        <w:rPr>
          <w:rFonts w:hint="cs"/>
          <w:rtl/>
        </w:rPr>
        <w:t>לאומי</w:t>
      </w:r>
      <w:r w:rsidRPr="002F2BC5">
        <w:rPr>
          <w:rtl/>
        </w:rPr>
        <w:t xml:space="preserve"> ולרשות </w:t>
      </w:r>
      <w:r w:rsidRPr="002F2BC5">
        <w:rPr>
          <w:rFonts w:hint="cs"/>
          <w:rtl/>
        </w:rPr>
        <w:t>לביטחון קהילתי</w:t>
      </w:r>
      <w:r w:rsidRPr="002F2BC5">
        <w:rPr>
          <w:rtl/>
        </w:rPr>
        <w:t xml:space="preserve"> לקדם מדיניות מקיפה, אחידה ומתואמת </w:t>
      </w:r>
      <w:r w:rsidRPr="002F2BC5">
        <w:rPr>
          <w:rFonts w:hint="cs"/>
          <w:rtl/>
        </w:rPr>
        <w:t>בתחום המניעה הראשונית</w:t>
      </w:r>
      <w:r w:rsidRPr="002F2BC5">
        <w:rPr>
          <w:rtl/>
        </w:rPr>
        <w:t xml:space="preserve"> שתלו</w:t>
      </w:r>
      <w:r w:rsidRPr="002F2BC5">
        <w:rPr>
          <w:rFonts w:hint="cs"/>
          <w:rtl/>
        </w:rPr>
        <w:t>ּ</w:t>
      </w:r>
      <w:r w:rsidRPr="002F2BC5">
        <w:rPr>
          <w:rtl/>
        </w:rPr>
        <w:t>וה ב</w:t>
      </w:r>
      <w:r w:rsidRPr="002F2BC5">
        <w:rPr>
          <w:rFonts w:hint="cs"/>
          <w:rtl/>
        </w:rPr>
        <w:t>מחקר הערכה וב</w:t>
      </w:r>
      <w:r w:rsidRPr="002F2BC5">
        <w:rPr>
          <w:rtl/>
        </w:rPr>
        <w:t>מ</w:t>
      </w:r>
      <w:r w:rsidRPr="002F2BC5">
        <w:rPr>
          <w:rFonts w:hint="cs"/>
          <w:rtl/>
        </w:rPr>
        <w:t>דידת תוצאות</w:t>
      </w:r>
      <w:r w:rsidRPr="002F2BC5">
        <w:rPr>
          <w:rtl/>
        </w:rPr>
        <w:t xml:space="preserve">. </w:t>
      </w:r>
      <w:r w:rsidRPr="002F2BC5">
        <w:rPr>
          <w:rFonts w:hint="cs"/>
          <w:rtl/>
        </w:rPr>
        <w:t>עוד הומלץ למשרדים הללו לפעול להרחבת היקפן של פעולות המניעה הראשונית לצד נקיטת פעולות נוספות בתחום זה תוך הקצאת תקציבים מתאימים לשם כך.</w:t>
      </w:r>
    </w:p>
    <w:p w14:paraId="1CDAE748" w14:textId="77777777" w:rsidR="00817399" w:rsidRPr="002F2BC5" w:rsidRDefault="00817399" w:rsidP="00817399">
      <w:pPr>
        <w:spacing w:line="269" w:lineRule="auto"/>
        <w:rPr>
          <w:rtl/>
        </w:rPr>
      </w:pPr>
    </w:p>
    <w:p w14:paraId="14E78329"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הוא מכיר בצורך לגבש מדיניות שלובה ומתואמת בתחום המניעה הראשונית. עוד הוסיף כי להערכתו העברת האחריות להובלת תוכנית חברות וזוגיות למערכת החינוך הרשמית, לצד קליטתם של עובדים סוציאליים קהילתיים ברשויות המקומיות בתקן קבוע, יתרמו לחיזוק שיתוף הפעולה בנושא זה בין משרד הרווחה למשרד החינוך, לרשות לביטחון קהילתי ולרשויות המקומיות.</w:t>
      </w:r>
    </w:p>
    <w:p w14:paraId="109F72BF" w14:textId="77777777" w:rsidR="00817399" w:rsidRPr="002F2BC5" w:rsidRDefault="00817399" w:rsidP="00817399">
      <w:pPr>
        <w:spacing w:line="269" w:lineRule="auto"/>
        <w:rPr>
          <w:rtl/>
        </w:rPr>
      </w:pPr>
    </w:p>
    <w:p w14:paraId="5001BB5D" w14:textId="77777777" w:rsidR="00817399" w:rsidRPr="002F2BC5" w:rsidRDefault="00817399" w:rsidP="00817399">
      <w:pPr>
        <w:spacing w:line="269" w:lineRule="auto"/>
        <w:rPr>
          <w:rtl/>
        </w:rPr>
      </w:pPr>
      <w:bookmarkStart w:id="1129" w:name="_Toc191987023"/>
      <w:r w:rsidRPr="002F2BC5">
        <w:rPr>
          <w:rStyle w:val="70"/>
          <w:rFonts w:hint="cs"/>
          <w:rtl/>
        </w:rPr>
        <w:t>ביקורת המעקב:</w:t>
      </w:r>
      <w:bookmarkEnd w:id="1129"/>
      <w:r w:rsidRPr="002F2BC5">
        <w:rPr>
          <w:rStyle w:val="70"/>
          <w:rFonts w:hint="cs"/>
          <w:rtl/>
        </w:rPr>
        <w:t xml:space="preserve"> </w:t>
      </w:r>
      <w:r w:rsidRPr="002F2BC5">
        <w:rPr>
          <w:rFonts w:hint="cs"/>
          <w:rtl/>
        </w:rPr>
        <w:t>נמצא כי משרד הרווחה, משרד החינוך, משרד הבריאות, המשרד לביטחון לאומי והרשות לביטחון קהילתי לא קבעו מדיניות מקיפה ומתואמת בתחום המניעה הראשונית. כך גם לא נעשו מחקרי הערכה לצד התוכניות והפעולות שהמשיכו להינקט בתחום המניעה הראשונית מאז הביקורת הקודמת, ומכאן שגם לא נעשתה מדידת תוצאות שלהן</w:t>
      </w:r>
      <w:r w:rsidRPr="002F2BC5">
        <w:rPr>
          <w:rStyle w:val="af9"/>
          <w:rtl/>
        </w:rPr>
        <w:footnoteReference w:id="246"/>
      </w:r>
      <w:r w:rsidRPr="002F2BC5">
        <w:rPr>
          <w:rFonts w:hint="cs"/>
          <w:rtl/>
        </w:rPr>
        <w:t xml:space="preserve">. </w:t>
      </w:r>
    </w:p>
    <w:p w14:paraId="6D7DBE8B" w14:textId="77777777" w:rsidR="00817399" w:rsidRPr="002F2BC5" w:rsidRDefault="00817399" w:rsidP="00817399">
      <w:pPr>
        <w:spacing w:line="269" w:lineRule="auto"/>
        <w:rPr>
          <w:rtl/>
        </w:rPr>
      </w:pPr>
    </w:p>
    <w:p w14:paraId="0C03B995" w14:textId="77777777" w:rsidR="00817399" w:rsidRPr="002F2BC5" w:rsidRDefault="00817399" w:rsidP="00817399">
      <w:pPr>
        <w:spacing w:line="269" w:lineRule="auto"/>
        <w:rPr>
          <w:rtl/>
        </w:rPr>
      </w:pPr>
      <w:r w:rsidRPr="002F2BC5">
        <w:rPr>
          <w:rFonts w:hint="cs"/>
          <w:rtl/>
        </w:rPr>
        <w:t xml:space="preserve">היעדרה של מדיניות מתואמת בתחום המניעה הראשונית עלולה להוביל להקצאה לא מיטבית ולא מתואמת של משאבים לטובת קידום הנושא. כך ביקורת המעקב העלתה כי לכ-18% (18 מתוך 99) מבין הרשויות המקומיות שהוקצו להן תקני עובדים סוציאליים קהילתיים במימון משרד הרווחה, הוקצו גם תקנים במימון הרשות לביטחון קהילתי, וברוב הרשויות המקומיות הללו (15 מתוך 18) אוישו בו-זמנית שני סוגי התקנים. </w:t>
      </w:r>
    </w:p>
    <w:p w14:paraId="05F34FF1" w14:textId="77777777" w:rsidR="00817399" w:rsidRPr="002F2BC5" w:rsidRDefault="00817399" w:rsidP="00817399">
      <w:pPr>
        <w:spacing w:line="269" w:lineRule="auto"/>
        <w:rPr>
          <w:rtl/>
        </w:rPr>
      </w:pPr>
    </w:p>
    <w:p w14:paraId="624E769D" w14:textId="574BC654" w:rsidR="00817399" w:rsidRPr="002F2BC5" w:rsidRDefault="00817399" w:rsidP="00817399">
      <w:pPr>
        <w:spacing w:line="269" w:lineRule="auto"/>
        <w:rPr>
          <w:rtl/>
        </w:rPr>
      </w:pPr>
      <w:r w:rsidRPr="002F2BC5">
        <w:rPr>
          <w:rFonts w:hint="cs"/>
          <w:rtl/>
        </w:rPr>
        <w:t>אשר לשיעורה של ההוצאה הממשלתית המוערכת על פעולות בתחום המניעה הראשונית מול ההוצאה הממשלתית המוערכת על פעולות בתחום המניעה השלישונית, שיעור זה עלה במעט אך נותר מזערי (כ-3.6%, שהם כ-8.5 מיליוני ש"ח מול כ-233.5 מיליוני ש"ח)</w:t>
      </w:r>
      <w:r w:rsidRPr="002F2BC5">
        <w:rPr>
          <w:rStyle w:val="af9"/>
          <w:rtl/>
        </w:rPr>
        <w:footnoteReference w:id="247"/>
      </w:r>
      <w:r w:rsidRPr="002F2BC5">
        <w:rPr>
          <w:rFonts w:hint="cs"/>
          <w:rtl/>
        </w:rPr>
        <w:t xml:space="preserve">. </w:t>
      </w:r>
      <w:r w:rsidRPr="002F2BC5">
        <w:rPr>
          <w:rFonts w:hint="eastAsia"/>
          <w:rtl/>
        </w:rPr>
        <w:t>הנתונים</w:t>
      </w:r>
      <w:r w:rsidRPr="002F2BC5">
        <w:rPr>
          <w:rtl/>
        </w:rPr>
        <w:t xml:space="preserve"> על היחס שבין ההוצאה הממשלתית המוערכת על פעולות בתחום המניעה הראשונית מול ההוצאה הממשלתית המוערכת על פעולות בתחום המניעה השלישונית </w:t>
      </w:r>
      <w:r w:rsidRPr="002F2BC5">
        <w:rPr>
          <w:rFonts w:hint="cs"/>
          <w:rtl/>
        </w:rPr>
        <w:t>בשנת 2019 ובשנת 2023</w:t>
      </w:r>
      <w:r w:rsidRPr="002F2BC5">
        <w:rPr>
          <w:rtl/>
        </w:rPr>
        <w:t xml:space="preserve"> מוצגים </w:t>
      </w:r>
      <w:r w:rsidRPr="002F2BC5">
        <w:rPr>
          <w:rFonts w:hint="eastAsia"/>
          <w:rtl/>
        </w:rPr>
        <w:t>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Ref192585016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15</w:t>
      </w:r>
      <w:r w:rsidRPr="002F2BC5">
        <w:rPr>
          <w:rtl/>
        </w:rPr>
        <w:fldChar w:fldCharType="end"/>
      </w:r>
      <w:r w:rsidRPr="002F2BC5">
        <w:rPr>
          <w:rtl/>
        </w:rPr>
        <w:t xml:space="preserve"> </w:t>
      </w:r>
      <w:r w:rsidRPr="002F2BC5">
        <w:rPr>
          <w:rFonts w:hint="cs"/>
          <w:rtl/>
        </w:rPr>
        <w:t>ש</w:t>
      </w:r>
      <w:r w:rsidRPr="002F2BC5">
        <w:rPr>
          <w:rtl/>
        </w:rPr>
        <w:t>להלן.</w:t>
      </w:r>
    </w:p>
    <w:p w14:paraId="7729495C" w14:textId="77777777" w:rsidR="00817399" w:rsidRPr="002F2BC5" w:rsidRDefault="00817399" w:rsidP="00817399">
      <w:pPr>
        <w:spacing w:line="269" w:lineRule="auto"/>
        <w:rPr>
          <w:rtl/>
        </w:rPr>
      </w:pPr>
    </w:p>
    <w:p w14:paraId="05F056F2" w14:textId="77777777" w:rsidR="00817399" w:rsidRPr="002F2BC5" w:rsidRDefault="00817399" w:rsidP="00817399">
      <w:pPr>
        <w:pStyle w:val="a9"/>
        <w:spacing w:line="269" w:lineRule="auto"/>
        <w:rPr>
          <w:rtl/>
        </w:rPr>
      </w:pPr>
      <w:bookmarkStart w:id="1131" w:name="_Toc192672907"/>
      <w:bookmarkStart w:id="1132" w:name="_Ref192585016"/>
      <w:r w:rsidRPr="002F2BC5">
        <w:rPr>
          <w:rtl/>
        </w:rPr>
        <w:lastRenderedPageBreak/>
        <w:t xml:space="preserve">: </w:t>
      </w:r>
      <w:bookmarkStart w:id="1133" w:name="_Hlk192585459"/>
      <w:r w:rsidRPr="002F2BC5">
        <w:rPr>
          <w:b w:val="0"/>
          <w:bCs/>
          <w:rtl/>
        </w:rPr>
        <w:t xml:space="preserve">היחס שבין ההוצאה הממשלתית המוערכת על פעולות בתחום המניעה הראשונית מול ההוצאה הממשלתית המוערכת על פעולות בתחום המניעה השלישונית בביקורת, 2019 </w:t>
      </w:r>
      <w:r w:rsidRPr="002F2BC5">
        <w:rPr>
          <w:rFonts w:hint="eastAsia"/>
          <w:b w:val="0"/>
          <w:bCs/>
          <w:rtl/>
        </w:rPr>
        <w:t>ו</w:t>
      </w:r>
      <w:r w:rsidRPr="002F2BC5">
        <w:rPr>
          <w:b w:val="0"/>
          <w:bCs/>
          <w:rtl/>
        </w:rPr>
        <w:t>-2023</w:t>
      </w:r>
      <w:bookmarkEnd w:id="1133"/>
      <w:r w:rsidRPr="002F2BC5">
        <w:rPr>
          <w:rtl/>
        </w:rPr>
        <w:t>*</w:t>
      </w:r>
      <w:bookmarkEnd w:id="1131"/>
    </w:p>
    <w:bookmarkEnd w:id="1132"/>
    <w:p w14:paraId="70443397"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5B56029C" wp14:editId="0DAEEFCB">
            <wp:extent cx="5040000" cy="3131936"/>
            <wp:effectExtent l="0" t="0" r="0" b="0"/>
            <wp:docPr id="2052770987" name="תמונה 205277098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000" cy="3131936"/>
                    </a:xfrm>
                    <a:prstGeom prst="rect">
                      <a:avLst/>
                    </a:prstGeom>
                    <a:noFill/>
                  </pic:spPr>
                </pic:pic>
              </a:graphicData>
            </a:graphic>
          </wp:inline>
        </w:drawing>
      </w:r>
    </w:p>
    <w:p w14:paraId="037C121C" w14:textId="77777777" w:rsidR="00817399" w:rsidRPr="002F2BC5" w:rsidRDefault="00817399" w:rsidP="00817399">
      <w:pPr>
        <w:pStyle w:val="afffffff1"/>
        <w:bidi/>
        <w:spacing w:line="269" w:lineRule="auto"/>
        <w:rPr>
          <w:rtl/>
        </w:rPr>
      </w:pPr>
      <w:bookmarkStart w:id="1134" w:name="_Hlk192585473"/>
      <w:r w:rsidRPr="002F2BC5">
        <w:rPr>
          <w:rFonts w:hint="eastAsia"/>
          <w:rtl/>
        </w:rPr>
        <w:t>על</w:t>
      </w:r>
      <w:r w:rsidRPr="002F2BC5">
        <w:rPr>
          <w:rtl/>
        </w:rPr>
        <w:t xml:space="preserve"> פי </w:t>
      </w:r>
      <w:r w:rsidRPr="002F2BC5">
        <w:rPr>
          <w:rFonts w:hint="eastAsia"/>
          <w:rtl/>
        </w:rPr>
        <w:t>נתוני</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משרד החינוך</w:t>
      </w:r>
      <w:r w:rsidRPr="002F2BC5">
        <w:rPr>
          <w:rFonts w:hint="cs"/>
          <w:rtl/>
        </w:rPr>
        <w:t>, הרשות לביטחון קהילתי</w:t>
      </w:r>
      <w:r w:rsidRPr="002F2BC5">
        <w:rPr>
          <w:rtl/>
        </w:rPr>
        <w:t xml:space="preserve"> ושירות בתי הסוהר </w:t>
      </w:r>
      <w:r w:rsidRPr="002F2BC5">
        <w:rPr>
          <w:rFonts w:hint="eastAsia"/>
          <w:rtl/>
        </w:rPr>
        <w:t>לשנים</w:t>
      </w:r>
      <w:r w:rsidRPr="002F2BC5">
        <w:rPr>
          <w:rtl/>
        </w:rPr>
        <w:t xml:space="preserve"> 2019 </w:t>
      </w:r>
      <w:r w:rsidRPr="002F2BC5">
        <w:rPr>
          <w:rFonts w:hint="eastAsia"/>
          <w:rtl/>
        </w:rPr>
        <w:t>ו</w:t>
      </w:r>
      <w:r w:rsidRPr="002F2BC5">
        <w:rPr>
          <w:rtl/>
        </w:rPr>
        <w:t>-2023</w:t>
      </w:r>
      <w:r w:rsidRPr="002F2BC5">
        <w:rPr>
          <w:rFonts w:hint="cs"/>
          <w:rtl/>
        </w:rPr>
        <w:t xml:space="preserve"> ועל פי נתוני מרכב"ה </w:t>
      </w:r>
      <w:r w:rsidRPr="002F2BC5">
        <w:rPr>
          <w:rFonts w:hint="eastAsia"/>
          <w:rtl/>
        </w:rPr>
        <w:t>לשנ</w:t>
      </w:r>
      <w:r w:rsidRPr="002F2BC5">
        <w:rPr>
          <w:rFonts w:hint="cs"/>
          <w:rtl/>
        </w:rPr>
        <w:t xml:space="preserve">ת </w:t>
      </w:r>
      <w:r w:rsidRPr="002F2BC5">
        <w:rPr>
          <w:rtl/>
        </w:rPr>
        <w:t xml:space="preserve">2023, </w:t>
      </w:r>
      <w:r w:rsidRPr="002F2BC5">
        <w:rPr>
          <w:rFonts w:hint="eastAsia"/>
          <w:rtl/>
        </w:rPr>
        <w:t>בעיבוד</w:t>
      </w:r>
      <w:r w:rsidRPr="002F2BC5">
        <w:rPr>
          <w:rtl/>
        </w:rPr>
        <w:t xml:space="preserve"> </w:t>
      </w:r>
      <w:r w:rsidRPr="002F2BC5">
        <w:rPr>
          <w:rFonts w:hint="eastAsia"/>
          <w:rtl/>
        </w:rPr>
        <w:t>משרד</w:t>
      </w:r>
      <w:r w:rsidRPr="002F2BC5">
        <w:rPr>
          <w:rtl/>
        </w:rPr>
        <w:t xml:space="preserve"> </w:t>
      </w:r>
      <w:r w:rsidRPr="002F2BC5">
        <w:rPr>
          <w:rFonts w:hint="eastAsia"/>
          <w:rtl/>
        </w:rPr>
        <w:t>מבקר</w:t>
      </w:r>
      <w:r w:rsidRPr="002F2BC5">
        <w:rPr>
          <w:rtl/>
        </w:rPr>
        <w:t xml:space="preserve"> </w:t>
      </w:r>
      <w:r w:rsidRPr="002F2BC5">
        <w:rPr>
          <w:rFonts w:hint="eastAsia"/>
          <w:rtl/>
        </w:rPr>
        <w:t>המדינה</w:t>
      </w:r>
      <w:r w:rsidRPr="002F2BC5">
        <w:rPr>
          <w:rtl/>
        </w:rPr>
        <w:t>.</w:t>
      </w:r>
    </w:p>
    <w:p w14:paraId="49CF5F2A" w14:textId="77777777" w:rsidR="00817399" w:rsidRPr="002F2BC5" w:rsidRDefault="00817399" w:rsidP="00817399">
      <w:pPr>
        <w:pStyle w:val="afffffff1"/>
        <w:bidi/>
        <w:spacing w:line="269" w:lineRule="auto"/>
        <w:rPr>
          <w:rtl/>
        </w:rPr>
      </w:pPr>
      <w:r w:rsidRPr="002F2BC5">
        <w:rPr>
          <w:rtl/>
        </w:rPr>
        <w:t xml:space="preserve">* </w:t>
      </w:r>
      <w:r w:rsidRPr="002F2BC5">
        <w:rPr>
          <w:rFonts w:hint="eastAsia"/>
          <w:rtl/>
        </w:rPr>
        <w:t>עלויות</w:t>
      </w:r>
      <w:r w:rsidRPr="002F2BC5">
        <w:rPr>
          <w:rtl/>
        </w:rPr>
        <w:t xml:space="preserve"> </w:t>
      </w:r>
      <w:r w:rsidRPr="002F2BC5">
        <w:rPr>
          <w:rFonts w:hint="eastAsia"/>
          <w:rtl/>
        </w:rPr>
        <w:t>המניעה</w:t>
      </w:r>
      <w:r w:rsidRPr="002F2BC5">
        <w:rPr>
          <w:rtl/>
        </w:rPr>
        <w:t xml:space="preserve"> </w:t>
      </w:r>
      <w:r w:rsidRPr="002F2BC5">
        <w:rPr>
          <w:rFonts w:hint="eastAsia"/>
          <w:rtl/>
        </w:rPr>
        <w:t>הראשונית</w:t>
      </w:r>
      <w:r w:rsidRPr="002F2BC5">
        <w:rPr>
          <w:rtl/>
        </w:rPr>
        <w:t xml:space="preserve"> </w:t>
      </w:r>
      <w:r w:rsidRPr="002F2BC5">
        <w:rPr>
          <w:rFonts w:hint="eastAsia"/>
          <w:rtl/>
        </w:rPr>
        <w:t>המוערכות</w:t>
      </w:r>
      <w:r w:rsidRPr="002F2BC5">
        <w:rPr>
          <w:rtl/>
        </w:rPr>
        <w:t xml:space="preserve"> כוללות </w:t>
      </w:r>
      <w:r w:rsidRPr="002F2BC5">
        <w:rPr>
          <w:rFonts w:hint="eastAsia"/>
          <w:rtl/>
        </w:rPr>
        <w:t>את</w:t>
      </w:r>
      <w:r w:rsidRPr="002F2BC5">
        <w:rPr>
          <w:rtl/>
        </w:rPr>
        <w:t xml:space="preserve"> עלויות הפעלת </w:t>
      </w:r>
      <w:r w:rsidRPr="002F2BC5">
        <w:rPr>
          <w:rFonts w:hint="cs"/>
          <w:rtl/>
        </w:rPr>
        <w:t>ה</w:t>
      </w:r>
      <w:r w:rsidRPr="002F2BC5">
        <w:rPr>
          <w:rtl/>
        </w:rPr>
        <w:t xml:space="preserve">תוכנית "חברות וזוגיות" והעסקת עובדים סוציאליים קהילתיים במימון הרשות לביטחון קהילתי. </w:t>
      </w:r>
      <w:r w:rsidRPr="002F2BC5">
        <w:rPr>
          <w:rFonts w:hint="eastAsia"/>
          <w:rtl/>
        </w:rPr>
        <w:t>בשנת</w:t>
      </w:r>
      <w:r w:rsidRPr="002F2BC5">
        <w:rPr>
          <w:rtl/>
        </w:rPr>
        <w:t xml:space="preserve"> 2019 כוללות עלויות אלו גם את עלויות הפעלתה של תוכנית "שומרי סף". </w:t>
      </w:r>
      <w:r w:rsidRPr="002F2BC5">
        <w:rPr>
          <w:rFonts w:hint="eastAsia"/>
          <w:rtl/>
        </w:rPr>
        <w:t>עלויות</w:t>
      </w:r>
      <w:r w:rsidRPr="002F2BC5">
        <w:rPr>
          <w:rtl/>
        </w:rPr>
        <w:t xml:space="preserve"> המניעה השלישונית </w:t>
      </w:r>
      <w:r w:rsidRPr="002F2BC5">
        <w:rPr>
          <w:rFonts w:hint="eastAsia"/>
          <w:rtl/>
        </w:rPr>
        <w:t>כוללות</w:t>
      </w:r>
      <w:r w:rsidRPr="002F2BC5">
        <w:rPr>
          <w:rtl/>
        </w:rPr>
        <w:t xml:space="preserve"> את עלויות הכליאה וההגנה המי</w:t>
      </w:r>
      <w:r w:rsidRPr="002F2BC5">
        <w:rPr>
          <w:rFonts w:hint="cs"/>
          <w:rtl/>
        </w:rPr>
        <w:t>י</w:t>
      </w:r>
      <w:r w:rsidRPr="002F2BC5">
        <w:rPr>
          <w:rtl/>
        </w:rPr>
        <w:t xml:space="preserve">דית. בחישוב עלויות </w:t>
      </w:r>
      <w:bookmarkStart w:id="1135" w:name="_Hlk198027688"/>
      <w:r w:rsidRPr="002F2BC5">
        <w:rPr>
          <w:rFonts w:hint="cs"/>
          <w:rtl/>
        </w:rPr>
        <w:t xml:space="preserve">המניעה הראשונית </w:t>
      </w:r>
      <w:r w:rsidRPr="002F2BC5">
        <w:rPr>
          <w:rtl/>
        </w:rPr>
        <w:t>לא נכללו עלויות מערכת הבריאות</w:t>
      </w:r>
      <w:r w:rsidRPr="002F2BC5">
        <w:rPr>
          <w:rFonts w:hint="cs"/>
          <w:rtl/>
        </w:rPr>
        <w:t>,</w:t>
      </w:r>
      <w:r w:rsidRPr="002F2BC5">
        <w:rPr>
          <w:rtl/>
        </w:rPr>
        <w:t xml:space="preserve"> ובעלויות המניעה השלישונית לא נכללו עלויות הסיוע החומרי לנפגעי אלימות ועלויות השיקום של הפוגעים</w:t>
      </w:r>
      <w:bookmarkEnd w:id="1135"/>
      <w:r w:rsidRPr="002F2BC5">
        <w:rPr>
          <w:rtl/>
        </w:rPr>
        <w:t>.</w:t>
      </w:r>
    </w:p>
    <w:bookmarkEnd w:id="1134"/>
    <w:p w14:paraId="3382A16E" w14:textId="77777777" w:rsidR="00817399" w:rsidRPr="002F2BC5" w:rsidRDefault="00817399" w:rsidP="00817399">
      <w:pPr>
        <w:spacing w:line="269" w:lineRule="auto"/>
        <w:rPr>
          <w:rtl/>
        </w:rPr>
      </w:pPr>
    </w:p>
    <w:p w14:paraId="3577C444" w14:textId="77777777" w:rsidR="00817399" w:rsidRPr="002F2BC5" w:rsidRDefault="00817399" w:rsidP="00817399">
      <w:pPr>
        <w:pStyle w:val="afffffff9"/>
        <w:spacing w:line="269" w:lineRule="auto"/>
        <w:rPr>
          <w:rtl/>
        </w:rPr>
      </w:pPr>
      <w:bookmarkStart w:id="1136" w:name="_Hlk191901611"/>
      <w:bookmarkStart w:id="1137" w:name="_Toc191987024"/>
      <w:bookmarkStart w:id="1138" w:name="_Toc192093107"/>
      <w:bookmarkStart w:id="1139" w:name="_Toc192612815"/>
      <w:bookmarkStart w:id="1140" w:name="_Toc198312249"/>
      <w:bookmarkStart w:id="1141" w:name="_Toc198312724"/>
      <w:bookmarkStart w:id="1142" w:name="_Toc200636904"/>
      <w:bookmarkStart w:id="1143" w:name="_Toc200439902"/>
      <w:bookmarkStart w:id="1144" w:name="_Toc201241007"/>
      <w:r w:rsidRPr="002F2BC5">
        <w:rPr>
          <w:rtl/>
        </w:rPr>
        <w:t>הביקורת הקודמת העלתה כי משרד הרווחה, משרד החינוך והרשות לביטחון קהילתי אינם פועלים לפי מדיניות אחודה ומתואמת בתחום המניעה הראשונית</w:t>
      </w:r>
      <w:r w:rsidRPr="002F2BC5">
        <w:rPr>
          <w:rFonts w:hint="cs"/>
          <w:rtl/>
        </w:rPr>
        <w:t xml:space="preserve"> ו</w:t>
      </w:r>
      <w:r w:rsidRPr="002F2BC5">
        <w:rPr>
          <w:rFonts w:hint="eastAsia"/>
          <w:rtl/>
        </w:rPr>
        <w:t>ההוצאה</w:t>
      </w:r>
      <w:r w:rsidRPr="002F2BC5">
        <w:rPr>
          <w:rtl/>
        </w:rPr>
        <w:t xml:space="preserve"> הממשלתית המוערכת על פעולות בתחום המניעה הראשונית הייתה בהיקף מזערי (כ-1.4%) </w:t>
      </w:r>
      <w:r w:rsidRPr="002F2BC5">
        <w:rPr>
          <w:rFonts w:hint="eastAsia"/>
          <w:rtl/>
        </w:rPr>
        <w:t>מול</w:t>
      </w:r>
      <w:r w:rsidRPr="002F2BC5">
        <w:rPr>
          <w:rtl/>
        </w:rPr>
        <w:t xml:space="preserve"> </w:t>
      </w:r>
      <w:r w:rsidRPr="002F2BC5">
        <w:rPr>
          <w:rFonts w:hint="eastAsia"/>
          <w:rtl/>
        </w:rPr>
        <w:t>ההוצאה</w:t>
      </w:r>
      <w:r w:rsidRPr="002F2BC5">
        <w:rPr>
          <w:rtl/>
        </w:rPr>
        <w:t xml:space="preserve"> </w:t>
      </w:r>
      <w:r w:rsidRPr="002F2BC5">
        <w:rPr>
          <w:rFonts w:hint="eastAsia"/>
          <w:rtl/>
        </w:rPr>
        <w:t>הממשלתית</w:t>
      </w:r>
      <w:r w:rsidRPr="002F2BC5">
        <w:rPr>
          <w:rtl/>
        </w:rPr>
        <w:t xml:space="preserve"> </w:t>
      </w:r>
      <w:r w:rsidRPr="002F2BC5">
        <w:rPr>
          <w:rFonts w:hint="eastAsia"/>
          <w:rtl/>
        </w:rPr>
        <w:t>המוערכת</w:t>
      </w:r>
      <w:r w:rsidRPr="002F2BC5">
        <w:rPr>
          <w:rtl/>
        </w:rPr>
        <w:t xml:space="preserve"> </w:t>
      </w:r>
      <w:r w:rsidRPr="002F2BC5">
        <w:rPr>
          <w:rFonts w:hint="eastAsia"/>
          <w:rtl/>
        </w:rPr>
        <w:t>על</w:t>
      </w:r>
      <w:r w:rsidRPr="002F2BC5">
        <w:rPr>
          <w:rtl/>
        </w:rPr>
        <w:t xml:space="preserve"> </w:t>
      </w:r>
      <w:r w:rsidRPr="002F2BC5">
        <w:rPr>
          <w:rFonts w:hint="eastAsia"/>
          <w:rtl/>
        </w:rPr>
        <w:t>פעולות</w:t>
      </w:r>
      <w:r w:rsidRPr="002F2BC5">
        <w:rPr>
          <w:rtl/>
        </w:rPr>
        <w:t xml:space="preserve"> </w:t>
      </w:r>
      <w:r w:rsidRPr="002F2BC5">
        <w:rPr>
          <w:rFonts w:hint="eastAsia"/>
          <w:rtl/>
        </w:rPr>
        <w:t>בתחום</w:t>
      </w:r>
      <w:r w:rsidRPr="002F2BC5">
        <w:rPr>
          <w:rtl/>
        </w:rPr>
        <w:t xml:space="preserve"> </w:t>
      </w:r>
      <w:r w:rsidRPr="002F2BC5">
        <w:rPr>
          <w:rFonts w:hint="eastAsia"/>
          <w:rtl/>
        </w:rPr>
        <w:t>המניעה</w:t>
      </w:r>
      <w:r w:rsidRPr="002F2BC5">
        <w:rPr>
          <w:rtl/>
        </w:rPr>
        <w:t xml:space="preserve"> </w:t>
      </w:r>
      <w:r w:rsidRPr="002F2BC5">
        <w:rPr>
          <w:rFonts w:hint="eastAsia"/>
          <w:rtl/>
        </w:rPr>
        <w:t>השלישונית</w:t>
      </w:r>
      <w:r w:rsidRPr="002F2BC5">
        <w:rPr>
          <w:rtl/>
        </w:rPr>
        <w:t xml:space="preserve">. </w:t>
      </w:r>
      <w:r w:rsidRPr="002F2BC5">
        <w:rPr>
          <w:rFonts w:hint="cs"/>
          <w:rtl/>
        </w:rPr>
        <w:t xml:space="preserve">בביקורת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w:t>
      </w:r>
      <w:r w:rsidRPr="002F2BC5">
        <w:rPr>
          <w:rFonts w:hint="cs"/>
          <w:rtl/>
        </w:rPr>
        <w:t>ה</w:t>
      </w:r>
      <w:r w:rsidRPr="002F2BC5">
        <w:rPr>
          <w:rtl/>
        </w:rPr>
        <w:t xml:space="preserve"> </w:t>
      </w:r>
      <w:r w:rsidRPr="002F2BC5">
        <w:rPr>
          <w:rFonts w:hint="eastAsia"/>
          <w:rtl/>
        </w:rPr>
        <w:t>מועטה</w:t>
      </w:r>
      <w:r w:rsidRPr="002F2BC5">
        <w:rPr>
          <w:rFonts w:hint="cs"/>
          <w:rtl/>
        </w:rPr>
        <w:t xml:space="preserve">. </w:t>
      </w:r>
      <w:r w:rsidRPr="002F2BC5">
        <w:rPr>
          <w:rFonts w:hint="eastAsia"/>
          <w:rtl/>
        </w:rPr>
        <w:t>אף</w:t>
      </w:r>
      <w:r w:rsidRPr="002F2BC5">
        <w:rPr>
          <w:rtl/>
        </w:rPr>
        <w:t xml:space="preserve"> שתוכניות קיימות הורחבו מאז הביקורת הקודמת,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משרד</w:t>
      </w:r>
      <w:r w:rsidRPr="002F2BC5">
        <w:rPr>
          <w:rtl/>
        </w:rPr>
        <w:t xml:space="preserve"> </w:t>
      </w:r>
      <w:r w:rsidRPr="002F2BC5">
        <w:rPr>
          <w:rFonts w:hint="eastAsia"/>
          <w:rtl/>
        </w:rPr>
        <w:t>החינוך</w:t>
      </w:r>
      <w:r w:rsidRPr="002F2BC5">
        <w:rPr>
          <w:rtl/>
        </w:rPr>
        <w:t xml:space="preserve">, </w:t>
      </w:r>
      <w:r w:rsidRPr="002F2BC5">
        <w:rPr>
          <w:rFonts w:hint="eastAsia"/>
          <w:rtl/>
        </w:rPr>
        <w:t>משרד</w:t>
      </w:r>
      <w:r w:rsidRPr="002F2BC5">
        <w:rPr>
          <w:rtl/>
        </w:rPr>
        <w:t xml:space="preserve"> </w:t>
      </w:r>
      <w:r w:rsidRPr="002F2BC5">
        <w:rPr>
          <w:rFonts w:hint="eastAsia"/>
          <w:rtl/>
        </w:rPr>
        <w:t>הבריאות</w:t>
      </w:r>
      <w:r w:rsidRPr="002F2BC5">
        <w:rPr>
          <w:rtl/>
        </w:rPr>
        <w:t xml:space="preserve">, </w:t>
      </w:r>
      <w:r w:rsidRPr="002F2BC5">
        <w:rPr>
          <w:rFonts w:hint="eastAsia"/>
          <w:rtl/>
        </w:rPr>
        <w:t>המשרד</w:t>
      </w:r>
      <w:r w:rsidRPr="002F2BC5">
        <w:rPr>
          <w:rtl/>
        </w:rPr>
        <w:t xml:space="preserve"> </w:t>
      </w:r>
      <w:r w:rsidRPr="002F2BC5">
        <w:rPr>
          <w:rFonts w:hint="eastAsia"/>
          <w:rtl/>
        </w:rPr>
        <w:t>לביטחון</w:t>
      </w:r>
      <w:r w:rsidRPr="002F2BC5">
        <w:rPr>
          <w:rtl/>
        </w:rPr>
        <w:t xml:space="preserve"> </w:t>
      </w:r>
      <w:r w:rsidRPr="002F2BC5">
        <w:rPr>
          <w:rFonts w:hint="eastAsia"/>
          <w:rtl/>
        </w:rPr>
        <w:t>לאומי</w:t>
      </w:r>
      <w:r w:rsidRPr="002F2BC5">
        <w:rPr>
          <w:rtl/>
        </w:rPr>
        <w:t xml:space="preserve"> </w:t>
      </w:r>
      <w:r w:rsidRPr="002F2BC5">
        <w:rPr>
          <w:rFonts w:hint="eastAsia"/>
          <w:rtl/>
        </w:rPr>
        <w:t>והרשות</w:t>
      </w:r>
      <w:r w:rsidRPr="002F2BC5">
        <w:rPr>
          <w:rtl/>
        </w:rPr>
        <w:t xml:space="preserve"> </w:t>
      </w:r>
      <w:r w:rsidRPr="002F2BC5">
        <w:rPr>
          <w:rFonts w:hint="eastAsia"/>
          <w:rtl/>
        </w:rPr>
        <w:t>לביטחון</w:t>
      </w:r>
      <w:r w:rsidRPr="002F2BC5">
        <w:rPr>
          <w:rtl/>
        </w:rPr>
        <w:t xml:space="preserve"> </w:t>
      </w:r>
      <w:r w:rsidRPr="002F2BC5">
        <w:rPr>
          <w:rFonts w:hint="eastAsia"/>
          <w:rtl/>
        </w:rPr>
        <w:t>קהילתי</w:t>
      </w:r>
      <w:r w:rsidRPr="002F2BC5">
        <w:rPr>
          <w:rtl/>
        </w:rPr>
        <w:t xml:space="preserve"> </w:t>
      </w:r>
      <w:r w:rsidRPr="002F2BC5">
        <w:rPr>
          <w:rFonts w:hint="eastAsia"/>
          <w:rtl/>
        </w:rPr>
        <w:t>לא</w:t>
      </w:r>
      <w:r w:rsidRPr="002F2BC5">
        <w:rPr>
          <w:rtl/>
        </w:rPr>
        <w:t xml:space="preserve"> </w:t>
      </w:r>
      <w:r w:rsidRPr="002F2BC5">
        <w:rPr>
          <w:rFonts w:hint="eastAsia"/>
          <w:rtl/>
        </w:rPr>
        <w:t>קבעו</w:t>
      </w:r>
      <w:r w:rsidRPr="002F2BC5">
        <w:rPr>
          <w:rtl/>
        </w:rPr>
        <w:t xml:space="preserve"> </w:t>
      </w:r>
      <w:r w:rsidRPr="002F2BC5">
        <w:rPr>
          <w:rFonts w:hint="eastAsia"/>
          <w:rtl/>
        </w:rPr>
        <w:t>מדיניות</w:t>
      </w:r>
      <w:r w:rsidRPr="002F2BC5">
        <w:rPr>
          <w:rtl/>
        </w:rPr>
        <w:t xml:space="preserve"> </w:t>
      </w:r>
      <w:r w:rsidRPr="002F2BC5">
        <w:rPr>
          <w:rFonts w:hint="eastAsia"/>
          <w:rtl/>
        </w:rPr>
        <w:t>מקיפה</w:t>
      </w:r>
      <w:r w:rsidRPr="002F2BC5">
        <w:rPr>
          <w:rtl/>
        </w:rPr>
        <w:t xml:space="preserve"> </w:t>
      </w:r>
      <w:r w:rsidRPr="002F2BC5">
        <w:rPr>
          <w:rFonts w:hint="eastAsia"/>
          <w:rtl/>
        </w:rPr>
        <w:t>ומתואמת</w:t>
      </w:r>
      <w:r w:rsidRPr="002F2BC5">
        <w:rPr>
          <w:rtl/>
        </w:rPr>
        <w:t xml:space="preserve"> </w:t>
      </w:r>
      <w:r w:rsidRPr="002F2BC5">
        <w:rPr>
          <w:rFonts w:hint="eastAsia"/>
          <w:rtl/>
        </w:rPr>
        <w:t>בתחום</w:t>
      </w:r>
      <w:r w:rsidRPr="002F2BC5">
        <w:rPr>
          <w:rtl/>
        </w:rPr>
        <w:t xml:space="preserve"> </w:t>
      </w:r>
      <w:r w:rsidRPr="002F2BC5">
        <w:rPr>
          <w:rFonts w:hint="eastAsia"/>
          <w:rtl/>
        </w:rPr>
        <w:t>המניעה</w:t>
      </w:r>
      <w:r w:rsidRPr="002F2BC5">
        <w:rPr>
          <w:rtl/>
        </w:rPr>
        <w:t xml:space="preserve"> </w:t>
      </w:r>
      <w:r w:rsidRPr="002F2BC5">
        <w:rPr>
          <w:rFonts w:hint="eastAsia"/>
          <w:rtl/>
        </w:rPr>
        <w:t>הראשונית</w:t>
      </w:r>
      <w:r w:rsidRPr="002F2BC5">
        <w:rPr>
          <w:rtl/>
        </w:rPr>
        <w:t>.</w:t>
      </w:r>
      <w:r w:rsidRPr="002F2BC5">
        <w:rPr>
          <w:rFonts w:hint="cs"/>
          <w:rtl/>
        </w:rPr>
        <w:t xml:space="preserve"> נוסף על כך, </w:t>
      </w:r>
      <w:r w:rsidRPr="002F2BC5">
        <w:rPr>
          <w:rtl/>
        </w:rPr>
        <w:t xml:space="preserve">שיעורה של ההוצאה הממשלתית המוערכת על פעולות בתחום המניעה הראשונית מול ההוצאה הממשלתית המוערכת על פעולות בתחום המניעה השלישונית נותר מזערי </w:t>
      </w:r>
      <w:r w:rsidRPr="002F2BC5">
        <w:rPr>
          <w:rFonts w:hint="cs"/>
          <w:rtl/>
        </w:rPr>
        <w:t>(3.6%).</w:t>
      </w:r>
      <w:bookmarkEnd w:id="1136"/>
      <w:bookmarkEnd w:id="1137"/>
      <w:bookmarkEnd w:id="1138"/>
      <w:bookmarkEnd w:id="1139"/>
      <w:bookmarkEnd w:id="1140"/>
      <w:bookmarkEnd w:id="1141"/>
      <w:bookmarkEnd w:id="1142"/>
      <w:bookmarkEnd w:id="1143"/>
      <w:bookmarkEnd w:id="1144"/>
    </w:p>
    <w:p w14:paraId="4EB12D3C" w14:textId="77777777" w:rsidR="00817399" w:rsidRPr="002F2BC5" w:rsidRDefault="00817399" w:rsidP="00817399">
      <w:pPr>
        <w:spacing w:line="269" w:lineRule="auto"/>
        <w:rPr>
          <w:rtl/>
        </w:rPr>
      </w:pPr>
    </w:p>
    <w:p w14:paraId="7E212A0A" w14:textId="77777777" w:rsidR="00817399" w:rsidRPr="002F2BC5" w:rsidRDefault="00817399" w:rsidP="00817399">
      <w:pPr>
        <w:pStyle w:val="afffffff9"/>
        <w:spacing w:line="269" w:lineRule="auto"/>
        <w:rPr>
          <w:rtl/>
        </w:rPr>
      </w:pPr>
      <w:bookmarkStart w:id="1145" w:name="_Toc191987025"/>
      <w:bookmarkStart w:id="1146" w:name="_Toc192093108"/>
      <w:bookmarkStart w:id="1147" w:name="_Toc192612816"/>
      <w:bookmarkStart w:id="1148" w:name="_Toc198312250"/>
      <w:bookmarkStart w:id="1149" w:name="_Toc198312725"/>
      <w:bookmarkStart w:id="1150" w:name="_Toc200636905"/>
      <w:bookmarkStart w:id="1151" w:name="_Toc200439903"/>
      <w:bookmarkStart w:id="1152" w:name="_Toc201241008"/>
      <w:r w:rsidRPr="002F2BC5">
        <w:rPr>
          <w:rFonts w:hint="eastAsia"/>
          <w:rtl/>
        </w:rPr>
        <w:t>יתרה</w:t>
      </w:r>
      <w:r w:rsidRPr="002F2BC5">
        <w:rPr>
          <w:rtl/>
        </w:rPr>
        <w:t xml:space="preserve"> מזו, </w:t>
      </w:r>
      <w:r w:rsidRPr="002F2BC5">
        <w:rPr>
          <w:rFonts w:hint="cs"/>
          <w:rtl/>
        </w:rPr>
        <w:t>על אף הקצאתם של יותר מ-100 תקנים ייעודיים במימונם של הרשות לביטחון קהילתי ומשרד הרווחה, נמצא כי תקנים אלו היו מאוישים ב-80 רשויות מקומיות בלבד. נוסף על כך, חלק מהרשויות הללו מאיישות את שני סוגי התקנים, על אף החפיפה המשמעותית בתפקידיהם של העובדים הסוציאליים הקהילתיים, בין שהעסקתם נעשית במימון הרשות לביטחון קהילתי ובין שהיא נעשית במימון משרד הרווחה.</w:t>
      </w:r>
      <w:bookmarkEnd w:id="1145"/>
      <w:bookmarkEnd w:id="1146"/>
      <w:bookmarkEnd w:id="1147"/>
      <w:bookmarkEnd w:id="1148"/>
      <w:bookmarkEnd w:id="1149"/>
      <w:bookmarkEnd w:id="1150"/>
      <w:bookmarkEnd w:id="1151"/>
      <w:bookmarkEnd w:id="1152"/>
    </w:p>
    <w:p w14:paraId="5956BA44" w14:textId="77777777" w:rsidR="00817399" w:rsidRPr="002F2BC5" w:rsidRDefault="00817399" w:rsidP="00817399">
      <w:pPr>
        <w:spacing w:line="269" w:lineRule="auto"/>
        <w:rPr>
          <w:rtl/>
        </w:rPr>
      </w:pPr>
    </w:p>
    <w:p w14:paraId="6F34ADA0" w14:textId="77777777" w:rsidR="00817399" w:rsidRPr="002F2BC5" w:rsidRDefault="00817399" w:rsidP="00817399">
      <w:pPr>
        <w:spacing w:line="269" w:lineRule="auto"/>
        <w:rPr>
          <w:rtl/>
        </w:rPr>
      </w:pPr>
      <w:r w:rsidRPr="002F2BC5">
        <w:rPr>
          <w:rFonts w:hint="cs"/>
          <w:rtl/>
        </w:rPr>
        <w:t xml:space="preserve">משרד הבריאות מסר בתשובתו כי הוא פועל בתחום המניעה הראשונית, בשיתוף קופות החולים, ארגוני החברה האזרחית ויוזמת "שיתופים", וכי פעולותיו כוללות תשאול </w:t>
      </w:r>
      <w:r w:rsidRPr="002F2BC5">
        <w:rPr>
          <w:rtl/>
        </w:rPr>
        <w:t>בקרב נשים אחרי לידה</w:t>
      </w:r>
      <w:r w:rsidRPr="002F2BC5">
        <w:rPr>
          <w:rFonts w:hint="cs"/>
          <w:rtl/>
        </w:rPr>
        <w:t xml:space="preserve"> </w:t>
      </w:r>
      <w:r w:rsidRPr="002F2BC5">
        <w:rPr>
          <w:rFonts w:hint="eastAsia"/>
          <w:rtl/>
        </w:rPr>
        <w:t>וקבוצות</w:t>
      </w:r>
      <w:r w:rsidRPr="002F2BC5">
        <w:rPr>
          <w:rtl/>
        </w:rPr>
        <w:t xml:space="preserve"> </w:t>
      </w:r>
      <w:r w:rsidRPr="002F2BC5">
        <w:rPr>
          <w:rFonts w:hint="eastAsia"/>
          <w:rtl/>
        </w:rPr>
        <w:t>תמיכה</w:t>
      </w:r>
      <w:r w:rsidRPr="002F2BC5">
        <w:rPr>
          <w:rtl/>
        </w:rPr>
        <w:t xml:space="preserve"> </w:t>
      </w:r>
      <w:r w:rsidRPr="002F2BC5">
        <w:rPr>
          <w:rFonts w:hint="eastAsia"/>
          <w:rtl/>
        </w:rPr>
        <w:t>באבות</w:t>
      </w:r>
      <w:r w:rsidRPr="002F2BC5">
        <w:rPr>
          <w:rtl/>
        </w:rPr>
        <w:t xml:space="preserve"> </w:t>
      </w:r>
      <w:r w:rsidRPr="002F2BC5">
        <w:rPr>
          <w:rFonts w:hint="eastAsia"/>
          <w:rtl/>
        </w:rPr>
        <w:t>טריים</w:t>
      </w:r>
      <w:r w:rsidRPr="002F2BC5">
        <w:rPr>
          <w:rFonts w:hint="cs"/>
          <w:rtl/>
        </w:rPr>
        <w:t xml:space="preserve"> במסגרת הפיילוט "אב נולד" (בתחנות טיפות חלב) וכן מעורבות בפרויקטים במתכונת פיילוט לפיתוח מודלים להתערבות המתמקדים בילדים נפגעי אלימות. עוד </w:t>
      </w:r>
      <w:r w:rsidRPr="002F2BC5">
        <w:rPr>
          <w:rFonts w:hint="cs"/>
          <w:rtl/>
        </w:rPr>
        <w:lastRenderedPageBreak/>
        <w:t xml:space="preserve">הוסיף משרד הבריאות כי במסגרת יום עיון למנהלות שירותים סוציאליים ולרכזות אלימות במשפחה בבתי החולים ובקופות החולים התקיימה חשיבה משותפת בנושא. </w:t>
      </w:r>
    </w:p>
    <w:p w14:paraId="52F5B4AE" w14:textId="77777777" w:rsidR="00817399" w:rsidRPr="002F2BC5" w:rsidRDefault="00817399" w:rsidP="00817399">
      <w:pPr>
        <w:pStyle w:val="afffffffa"/>
        <w:spacing w:line="269" w:lineRule="auto"/>
        <w:rPr>
          <w:rtl/>
        </w:rPr>
      </w:pPr>
      <w:bookmarkStart w:id="1153" w:name="_Toc191987026"/>
      <w:bookmarkStart w:id="1154" w:name="_Toc192093109"/>
      <w:bookmarkStart w:id="1155" w:name="_Toc192612817"/>
      <w:bookmarkStart w:id="1156" w:name="_Toc198312251"/>
      <w:bookmarkStart w:id="1157" w:name="_Toc198312726"/>
      <w:bookmarkStart w:id="1158" w:name="_Toc200636906"/>
      <w:bookmarkStart w:id="1159" w:name="_Toc200439904"/>
      <w:bookmarkStart w:id="1160" w:name="_Toc201241009"/>
      <w:r w:rsidRPr="002F2BC5">
        <w:rPr>
          <w:rFonts w:hint="cs"/>
          <w:rtl/>
        </w:rPr>
        <w:t xml:space="preserve">משרד מבקר המדינה שב וממליץ </w:t>
      </w:r>
      <w:r w:rsidRPr="002F2BC5">
        <w:rPr>
          <w:rtl/>
        </w:rPr>
        <w:t xml:space="preserve">למשרד הרווחה, למשרד החינוך, למשרד הבריאות, למשרד לביטחון </w:t>
      </w:r>
      <w:r w:rsidRPr="002F2BC5">
        <w:rPr>
          <w:rFonts w:hint="cs"/>
          <w:rtl/>
        </w:rPr>
        <w:t>לאומי</w:t>
      </w:r>
      <w:r w:rsidRPr="002F2BC5">
        <w:rPr>
          <w:rtl/>
        </w:rPr>
        <w:t xml:space="preserve"> ולרשות </w:t>
      </w:r>
      <w:r w:rsidRPr="002F2BC5">
        <w:rPr>
          <w:rFonts w:hint="cs"/>
          <w:rtl/>
        </w:rPr>
        <w:t>לביטחון קהילתי, בתיאום עם הרשות לקידום מעמד האישה - שעליה מוטלת בחוק האחריות לגיבוש, קידום ועידוד של מדיניות ופעילות למניעת אלימות נגד נשים, ובכלל זה אלימות המופנית כלפי נשים בתוך התא המשפחתי</w:t>
      </w:r>
      <w:r w:rsidRPr="002F2BC5">
        <w:rPr>
          <w:rStyle w:val="af9"/>
          <w:rtl/>
        </w:rPr>
        <w:footnoteReference w:id="248"/>
      </w:r>
      <w:r w:rsidRPr="002F2BC5">
        <w:rPr>
          <w:rFonts w:hint="cs"/>
          <w:rtl/>
        </w:rPr>
        <w:t xml:space="preserve"> -</w:t>
      </w:r>
      <w:r w:rsidRPr="002F2BC5">
        <w:rPr>
          <w:rtl/>
        </w:rPr>
        <w:t xml:space="preserve"> לקדם מדיניות מקיפה, אחידה ומתואמת </w:t>
      </w:r>
      <w:r w:rsidRPr="002F2BC5">
        <w:rPr>
          <w:rFonts w:hint="cs"/>
          <w:rtl/>
        </w:rPr>
        <w:t>בתחום המניעה הראשונית,</w:t>
      </w:r>
      <w:r w:rsidRPr="002F2BC5">
        <w:rPr>
          <w:rtl/>
        </w:rPr>
        <w:t xml:space="preserve"> שתלו</w:t>
      </w:r>
      <w:r w:rsidRPr="002F2BC5">
        <w:rPr>
          <w:rFonts w:hint="cs"/>
          <w:rtl/>
        </w:rPr>
        <w:t>ּ</w:t>
      </w:r>
      <w:r w:rsidRPr="002F2BC5">
        <w:rPr>
          <w:rtl/>
        </w:rPr>
        <w:t>וה ב</w:t>
      </w:r>
      <w:r w:rsidRPr="002F2BC5">
        <w:rPr>
          <w:rFonts w:hint="cs"/>
          <w:rtl/>
        </w:rPr>
        <w:t>מחקר הערכה וב</w:t>
      </w:r>
      <w:r w:rsidRPr="002F2BC5">
        <w:rPr>
          <w:rtl/>
        </w:rPr>
        <w:t>מ</w:t>
      </w:r>
      <w:r w:rsidRPr="002F2BC5">
        <w:rPr>
          <w:rFonts w:hint="cs"/>
          <w:rtl/>
        </w:rPr>
        <w:t>דידת תוצאות</w:t>
      </w:r>
      <w:r w:rsidRPr="002F2BC5">
        <w:rPr>
          <w:rtl/>
        </w:rPr>
        <w:t>.</w:t>
      </w:r>
      <w:r w:rsidRPr="002F2BC5">
        <w:rPr>
          <w:rFonts w:hint="cs"/>
          <w:rtl/>
        </w:rPr>
        <w:t xml:space="preserve"> בתוך כך מומלץ למשרד הרווחה ולרשות לביטחון קהילתי לפעול במשותף לאסדרה אחידה ומתואמת של עבודתם של העובדים הסוציאליים הקהילתיים המועסקים ברשויות המקומיות במימון ממשלתי. לצד זאת מומלץ </w:t>
      </w:r>
      <w:r w:rsidRPr="002F2BC5">
        <w:rPr>
          <w:rFonts w:hint="eastAsia"/>
          <w:rtl/>
        </w:rPr>
        <w:t>למשרד</w:t>
      </w:r>
      <w:r w:rsidRPr="002F2BC5">
        <w:rPr>
          <w:rtl/>
        </w:rPr>
        <w:t xml:space="preserve"> הרווחה ולרשות לביטחון קהילתי </w:t>
      </w:r>
      <w:r w:rsidRPr="002F2BC5">
        <w:rPr>
          <w:rFonts w:hint="eastAsia"/>
          <w:rtl/>
        </w:rPr>
        <w:t>לתאם</w:t>
      </w:r>
      <w:r w:rsidRPr="002F2BC5">
        <w:rPr>
          <w:rtl/>
        </w:rPr>
        <w:t xml:space="preserve"> את </w:t>
      </w:r>
      <w:r w:rsidRPr="002F2BC5">
        <w:rPr>
          <w:rFonts w:hint="eastAsia"/>
          <w:rtl/>
        </w:rPr>
        <w:t>הקצאת</w:t>
      </w:r>
      <w:r w:rsidRPr="002F2BC5">
        <w:rPr>
          <w:rtl/>
        </w:rPr>
        <w:t xml:space="preserve"> תקני</w:t>
      </w:r>
      <w:r w:rsidRPr="002F2BC5">
        <w:rPr>
          <w:rFonts w:hint="cs"/>
          <w:rtl/>
        </w:rPr>
        <w:t xml:space="preserve"> כוח האדם של העובדים הסוציאליים הקהילתיים באופן שיבטיח ניצול מיטבי של המשאבים המוגבלים המוקצים לתחום המניעה הראשונית.</w:t>
      </w:r>
      <w:bookmarkEnd w:id="1153"/>
      <w:bookmarkEnd w:id="1154"/>
      <w:bookmarkEnd w:id="1155"/>
      <w:bookmarkEnd w:id="1156"/>
      <w:bookmarkEnd w:id="1157"/>
      <w:bookmarkEnd w:id="1158"/>
      <w:bookmarkEnd w:id="1159"/>
      <w:bookmarkEnd w:id="1160"/>
    </w:p>
    <w:p w14:paraId="3721643C" w14:textId="77777777" w:rsidR="00817399" w:rsidRPr="002F2BC5" w:rsidRDefault="00817399" w:rsidP="00817399">
      <w:pPr>
        <w:spacing w:line="269" w:lineRule="auto"/>
        <w:rPr>
          <w:rtl/>
        </w:rPr>
      </w:pPr>
    </w:p>
    <w:p w14:paraId="170F104A" w14:textId="77777777" w:rsidR="00817399" w:rsidRPr="002F2BC5" w:rsidRDefault="00817399" w:rsidP="00817399">
      <w:pPr>
        <w:spacing w:line="269" w:lineRule="auto"/>
        <w:rPr>
          <w:rtl/>
        </w:rPr>
      </w:pPr>
      <w:r w:rsidRPr="002F2BC5">
        <w:rPr>
          <w:rFonts w:hint="cs"/>
          <w:rtl/>
        </w:rPr>
        <w:t xml:space="preserve">משרד הרווחה, המשרד לביטחון לאומי ומשרד החינוך מסרו בתשובותיהם כי </w:t>
      </w:r>
      <w:bookmarkStart w:id="1161" w:name="_Hlk200917693"/>
      <w:r w:rsidRPr="002F2BC5">
        <w:rPr>
          <w:rFonts w:hint="cs"/>
          <w:rtl/>
        </w:rPr>
        <w:t xml:space="preserve">לפי החלטתה של הוועדה הבין-משרדית הקבועה </w:t>
      </w:r>
      <w:r w:rsidRPr="002F2BC5">
        <w:rPr>
          <w:rFonts w:hint="eastAsia"/>
          <w:rtl/>
        </w:rPr>
        <w:t>ממרץ</w:t>
      </w:r>
      <w:r w:rsidRPr="002F2BC5">
        <w:rPr>
          <w:rtl/>
        </w:rPr>
        <w:t xml:space="preserve"> 2025</w:t>
      </w:r>
      <w:r w:rsidRPr="002F2BC5">
        <w:rPr>
          <w:rFonts w:hint="cs"/>
          <w:rtl/>
        </w:rPr>
        <w:t xml:space="preserve"> הוקם</w:t>
      </w:r>
      <w:bookmarkEnd w:id="1161"/>
      <w:r w:rsidRPr="002F2BC5">
        <w:rPr>
          <w:rFonts w:hint="cs"/>
          <w:rtl/>
        </w:rPr>
        <w:t xml:space="preserve"> צוות בין-משרדי בתחום המניעה ("פורום מניעה"). משרד החינוך הוסיף בתשובתו כי לפי החלטתה של הוועדה הבין-משרדית, הצוות יתכנס במועדים קבועים לאורך השנה, בהשתתפות משרד הרווחה, משרד הבריאות, המשרד לביטחון לאומי, הרשות לביטחון קהילתי וכן בהשתתפותו הפעילה של משרד החינוך. המשרד לביטחון לאומי הוסיף בתשובתו כי כחלק מעבודתו של הצוות הבין-משרדי בתחום המניעה, הוא ממפה את תוכניות המניעה הקיימות ומקיים דיונים בצורך בשיתופי פעולה בין-משרדיים, וזאת כדי להציע מדיניות משרדית מתכללת בנושא המניעה. </w:t>
      </w:r>
    </w:p>
    <w:p w14:paraId="37F0AD17" w14:textId="77777777" w:rsidR="00817399" w:rsidRPr="002F2BC5" w:rsidRDefault="00817399" w:rsidP="00817399">
      <w:pPr>
        <w:spacing w:line="269" w:lineRule="auto"/>
        <w:rPr>
          <w:rtl/>
        </w:rPr>
      </w:pPr>
    </w:p>
    <w:p w14:paraId="272D2CC4"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0B1B13C7" w14:textId="77777777" w:rsidR="00817399" w:rsidRPr="002F2BC5" w:rsidRDefault="00817399" w:rsidP="00817399">
      <w:pPr>
        <w:pStyle w:val="afffffff7"/>
        <w:spacing w:before="0" w:line="269" w:lineRule="auto"/>
        <w:rPr>
          <w:rtl/>
        </w:rPr>
      </w:pPr>
      <w:bookmarkStart w:id="1162" w:name="_Toc198312252"/>
      <w:bookmarkStart w:id="1163" w:name="_Toc198312727"/>
      <w:bookmarkStart w:id="1164" w:name="_Toc189072237"/>
      <w:r w:rsidRPr="002F2BC5">
        <w:rPr>
          <w:noProof/>
        </w:rPr>
        <w:drawing>
          <wp:inline distT="0" distB="0" distL="0" distR="0" wp14:anchorId="0B31FF6A" wp14:editId="18202F9F">
            <wp:extent cx="4324350" cy="933450"/>
            <wp:effectExtent l="0" t="0" r="0" b="0"/>
            <wp:docPr id="2052770955"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162"/>
      <w:bookmarkEnd w:id="1163"/>
    </w:p>
    <w:bookmarkEnd w:id="1164"/>
    <w:p w14:paraId="28D27217" w14:textId="77777777" w:rsidR="00817399" w:rsidRPr="002F2BC5" w:rsidRDefault="00817399" w:rsidP="00817399">
      <w:pPr>
        <w:spacing w:line="269" w:lineRule="auto"/>
        <w:rPr>
          <w:rtl/>
        </w:rPr>
      </w:pPr>
    </w:p>
    <w:p w14:paraId="2C6FAA0F" w14:textId="77777777" w:rsidR="00817399" w:rsidRPr="002F2BC5" w:rsidRDefault="00817399" w:rsidP="00817399">
      <w:pPr>
        <w:pStyle w:val="31"/>
        <w:spacing w:before="0" w:line="269" w:lineRule="auto"/>
        <w:rPr>
          <w:rtl/>
        </w:rPr>
      </w:pPr>
      <w:bookmarkStart w:id="1165" w:name="_Ref186570505"/>
      <w:bookmarkStart w:id="1166" w:name="_Toc189072238"/>
      <w:bookmarkStart w:id="1167" w:name="_Toc191987027"/>
      <w:bookmarkStart w:id="1168" w:name="_Toc191891398"/>
      <w:bookmarkStart w:id="1169" w:name="_Toc192093110"/>
      <w:bookmarkStart w:id="1170" w:name="_Toc193110614"/>
      <w:bookmarkStart w:id="1171" w:name="_Toc192612818"/>
      <w:bookmarkStart w:id="1172" w:name="_Toc192778832"/>
      <w:bookmarkStart w:id="1173" w:name="_Toc198312253"/>
      <w:bookmarkStart w:id="1174" w:name="_Toc198312728"/>
      <w:bookmarkStart w:id="1175" w:name="_Toc200636810"/>
      <w:bookmarkStart w:id="1176" w:name="_Toc200636907"/>
      <w:bookmarkStart w:id="1177" w:name="_Toc200439809"/>
      <w:bookmarkStart w:id="1178" w:name="_Toc200439905"/>
      <w:bookmarkStart w:id="1179" w:name="_Toc201241010"/>
      <w:bookmarkStart w:id="1180" w:name="_Toc192784386"/>
      <w:bookmarkStart w:id="1181" w:name="_Toc201759372"/>
      <w:bookmarkStart w:id="1182" w:name="_Toc203488008"/>
      <w:r w:rsidRPr="002F2BC5">
        <w:rPr>
          <w:rFonts w:hint="cs"/>
          <w:rtl/>
        </w:rPr>
        <w:t xml:space="preserve">מניעה שניונית: איתור משפחות במעגל האלימות </w:t>
      </w:r>
      <w:bookmarkEnd w:id="1028"/>
      <w:r w:rsidRPr="002F2BC5">
        <w:rPr>
          <w:rFonts w:hint="cs"/>
          <w:rtl/>
        </w:rPr>
        <w:t>ופיתוח מענים בקהילה</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52DBC2C9" w14:textId="77777777" w:rsidR="00817399" w:rsidRPr="002F2BC5" w:rsidRDefault="00817399" w:rsidP="00817399">
      <w:pPr>
        <w:spacing w:line="269" w:lineRule="auto"/>
        <w:rPr>
          <w:rtl/>
        </w:rPr>
      </w:pPr>
    </w:p>
    <w:p w14:paraId="53CC81D8" w14:textId="77777777" w:rsidR="00817399" w:rsidRPr="002F2BC5" w:rsidRDefault="00817399" w:rsidP="00817399">
      <w:pPr>
        <w:spacing w:line="269" w:lineRule="auto"/>
        <w:rPr>
          <w:rtl/>
        </w:rPr>
      </w:pPr>
      <w:r w:rsidRPr="002F2BC5">
        <w:rPr>
          <w:rFonts w:hint="cs"/>
          <w:rtl/>
        </w:rPr>
        <w:t xml:space="preserve">האחריות העיקרית לאיתור, זיהוי ויישוג </w:t>
      </w:r>
      <w:r w:rsidRPr="002F2BC5">
        <w:rPr>
          <w:rFonts w:ascii="David" w:hAnsi="David"/>
          <w:sz w:val="24"/>
        </w:rPr>
        <w:t>(Outreach)</w:t>
      </w:r>
      <w:r w:rsidRPr="002F2BC5">
        <w:rPr>
          <w:rFonts w:ascii="David" w:hAnsi="David"/>
          <w:sz w:val="24"/>
          <w:rtl/>
        </w:rPr>
        <w:t xml:space="preserve"> </w:t>
      </w:r>
      <w:r w:rsidRPr="002F2BC5">
        <w:rPr>
          <w:rFonts w:hint="cs"/>
          <w:rtl/>
        </w:rPr>
        <w:t xml:space="preserve">של אוכלוסיות בסיכון מוטלת על המחלקות לשירותים חברתיים ברשויות המקומיות. מהלך של איתור ויישוג אוכלוסיות אלו הוא חשוב משום שהוא עשוי </w:t>
      </w:r>
      <w:r w:rsidRPr="002F2BC5">
        <w:rPr>
          <w:rtl/>
        </w:rPr>
        <w:t xml:space="preserve">לאפשר גיבוש תוכניות מניעה והתערבות מוקדמת </w:t>
      </w:r>
      <w:r w:rsidRPr="002F2BC5">
        <w:rPr>
          <w:rFonts w:hint="cs"/>
          <w:rtl/>
        </w:rPr>
        <w:t xml:space="preserve">ובכך </w:t>
      </w:r>
      <w:r w:rsidRPr="002F2BC5">
        <w:rPr>
          <w:rtl/>
        </w:rPr>
        <w:t xml:space="preserve">להבטיח מתן טיפול ושירות נאותים יותר </w:t>
      </w:r>
      <w:r w:rsidRPr="002F2BC5">
        <w:rPr>
          <w:rFonts w:hint="cs"/>
          <w:rtl/>
        </w:rPr>
        <w:t>למקבלי השירותים</w:t>
      </w:r>
      <w:r w:rsidRPr="002F2BC5">
        <w:rPr>
          <w:rStyle w:val="af9"/>
          <w:rtl/>
        </w:rPr>
        <w:footnoteReference w:id="249"/>
      </w:r>
      <w:r w:rsidRPr="002F2BC5">
        <w:rPr>
          <w:rFonts w:hint="cs"/>
          <w:rtl/>
        </w:rPr>
        <w:t>; כן הוא חשוב גם לקידום מיצוי זכויותיהן של אוכלוסיות אלו</w:t>
      </w:r>
      <w:r w:rsidRPr="002F2BC5">
        <w:rPr>
          <w:rtl/>
        </w:rPr>
        <w:t>.</w:t>
      </w:r>
      <w:r w:rsidRPr="002F2BC5">
        <w:rPr>
          <w:rFonts w:hint="cs"/>
          <w:rtl/>
        </w:rPr>
        <w:t xml:space="preserve"> בתחום האלימות במשפחה, לאיתור ויישוג מוקדמים חשיבות רבה במיוחד לנוכח השלכותיה הנרחבות של התופעה במישור הפרטי והציבורי וכן מתוך הבנה שככל שההתערבות תיעשה בשלב מוקדם יותר, כך מועילותה תהיה רבה יותר במניעת החמרת האלימות והגעה לנקודת האל-חזור</w:t>
      </w:r>
      <w:r w:rsidRPr="002F2BC5">
        <w:rPr>
          <w:rStyle w:val="af9"/>
          <w:rtl/>
        </w:rPr>
        <w:footnoteReference w:id="250"/>
      </w:r>
      <w:r w:rsidRPr="002F2BC5">
        <w:rPr>
          <w:rFonts w:hint="cs"/>
          <w:rtl/>
        </w:rPr>
        <w:t>. נקיטת פעולות יזומות של איתור ויישוג של משפחות במעגל האלימות במשפחה מקבלת משנה חשיבות גם לנוכח "קשר השתיקה" המאפיין את התופעה, ונטייתם של המעורבים באלימות להימנע מדיווח עליה ומפנייה לסיוע.</w:t>
      </w:r>
    </w:p>
    <w:p w14:paraId="679E19BA" w14:textId="77777777" w:rsidR="00817399" w:rsidRPr="002F2BC5" w:rsidRDefault="00817399" w:rsidP="00817399">
      <w:pPr>
        <w:spacing w:line="269" w:lineRule="auto"/>
        <w:rPr>
          <w:rtl/>
        </w:rPr>
      </w:pPr>
    </w:p>
    <w:p w14:paraId="374DE1BE" w14:textId="77777777" w:rsidR="00817399" w:rsidRPr="002F2BC5" w:rsidRDefault="00817399" w:rsidP="00817399">
      <w:pPr>
        <w:spacing w:line="269" w:lineRule="auto"/>
        <w:rPr>
          <w:rtl/>
        </w:rPr>
      </w:pPr>
      <w:r w:rsidRPr="002F2BC5">
        <w:rPr>
          <w:rFonts w:hint="cs"/>
          <w:rtl/>
        </w:rPr>
        <w:t xml:space="preserve">המחלקות לשירותים חברתיים משמשות אומנם חוליה מרכזית בכל הנוגע לאיתור וזיהוי משפחות במעגל האלימות, אך לצידן שותפות למאמץ גם מערכות השירותים האוניברסליות - מערכת הבריאות, מערכת אכיפת החוק ומערכת החינוך. בביקורת הקודמת נבדקו פעולותיהן של מערכת </w:t>
      </w:r>
      <w:r w:rsidRPr="002F2BC5">
        <w:rPr>
          <w:rFonts w:hint="cs"/>
          <w:rtl/>
        </w:rPr>
        <w:lastRenderedPageBreak/>
        <w:t>הבריאות ומשטרת ישראל לאיתור משפחות במעגל האלימות וכן נבחנו פעולותיהן של הרשויות המקומיות, באמצעות המחלקות לשירותים חברתיים, לאיתור וטיפול במשפחות במעגל האלימות. להלן יפורטו ממצאי ביקורת המעקב בנושאים אלה.</w:t>
      </w:r>
    </w:p>
    <w:p w14:paraId="41DA0273" w14:textId="77777777" w:rsidR="00817399" w:rsidRPr="002F2BC5" w:rsidRDefault="00817399" w:rsidP="00817399">
      <w:pPr>
        <w:spacing w:line="269" w:lineRule="auto"/>
        <w:rPr>
          <w:rtl/>
        </w:rPr>
      </w:pPr>
    </w:p>
    <w:p w14:paraId="639CDA1B" w14:textId="77777777" w:rsidR="00817399" w:rsidRPr="002F2BC5" w:rsidRDefault="00817399" w:rsidP="00817399">
      <w:pPr>
        <w:pStyle w:val="4"/>
        <w:spacing w:before="0" w:line="269" w:lineRule="auto"/>
        <w:rPr>
          <w:rtl/>
        </w:rPr>
      </w:pPr>
      <w:bookmarkStart w:id="1183" w:name="_Toc189072239"/>
      <w:bookmarkStart w:id="1184" w:name="_Toc191987028"/>
      <w:bookmarkStart w:id="1185" w:name="_Toc191891399"/>
      <w:bookmarkStart w:id="1186" w:name="_Toc192093111"/>
      <w:bookmarkStart w:id="1187" w:name="_Toc193110615"/>
      <w:bookmarkStart w:id="1188" w:name="_Toc192612819"/>
      <w:bookmarkStart w:id="1189" w:name="_Toc192778833"/>
      <w:bookmarkStart w:id="1190" w:name="_Toc198312254"/>
      <w:bookmarkStart w:id="1191" w:name="_Toc198312729"/>
      <w:bookmarkStart w:id="1192" w:name="_Toc200636811"/>
      <w:bookmarkStart w:id="1193" w:name="_Toc200636908"/>
      <w:bookmarkStart w:id="1194" w:name="_Toc200439810"/>
      <w:bookmarkStart w:id="1195" w:name="_Toc200439906"/>
      <w:bookmarkStart w:id="1196" w:name="_Toc201241011"/>
      <w:bookmarkStart w:id="1197" w:name="_Toc192784387"/>
      <w:bookmarkStart w:id="1198" w:name="_Toc201759373"/>
      <w:bookmarkStart w:id="1199" w:name="_Hlk183326684"/>
      <w:bookmarkStart w:id="1200" w:name="_Hlk183446155"/>
      <w:bookmarkStart w:id="1201" w:name="_Toc203488009"/>
      <w:r w:rsidRPr="002F2BC5">
        <w:rPr>
          <w:rFonts w:hint="cs"/>
          <w:rtl/>
        </w:rPr>
        <w:t>פעולות מערכת הבריאות לאיתור משפחות במעגל האלימות</w:t>
      </w:r>
      <w:r w:rsidRPr="002F2BC5">
        <w:rPr>
          <w:rStyle w:val="af9"/>
          <w:rtl/>
        </w:rPr>
        <w:footnoteReference w:id="251"/>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201"/>
    </w:p>
    <w:p w14:paraId="13681FF8" w14:textId="77777777" w:rsidR="00817399" w:rsidRPr="002F2BC5" w:rsidRDefault="00817399" w:rsidP="00817399">
      <w:pPr>
        <w:spacing w:line="269" w:lineRule="auto"/>
        <w:rPr>
          <w:rtl/>
        </w:rPr>
      </w:pPr>
    </w:p>
    <w:p w14:paraId="1C9F1EA0" w14:textId="77777777" w:rsidR="00817399" w:rsidRPr="002F2BC5" w:rsidRDefault="00817399" w:rsidP="00817399">
      <w:pPr>
        <w:spacing w:line="269" w:lineRule="auto"/>
        <w:rPr>
          <w:rtl/>
        </w:rPr>
      </w:pPr>
      <w:r w:rsidRPr="002F2BC5">
        <w:rPr>
          <w:rtl/>
        </w:rPr>
        <w:t>מערכת הבריאות על כלל</w:t>
      </w:r>
      <w:r w:rsidRPr="002F2BC5">
        <w:rPr>
          <w:rFonts w:hint="cs"/>
          <w:rtl/>
        </w:rPr>
        <w:t xml:space="preserve"> מוסדותיה - ובהם בתי החולים, קופות החולים, תחנות טיפת חלב ומרפאות בריאות הנפש - ממלאת תפקיד מרכזי בהקשר הרפואי בטיפול בנזקיה הישירים והעקיפים של תופעת האלימות במשפחה. לצד זאת היא נתפסת כעומדת בחזית המאמץ של איתור נפגעי האלימות במשפחה והפנייתם להמשך טיפול של גורמים ייעודיים בקהילה, שכן היא נמנית עם מערכות השירותים האוניברסליות, שהפנייה אליהן היא רחבת היקף, וככלל, לא נלוות לה תפיסות חברתיות שליליות</w:t>
      </w:r>
      <w:r w:rsidRPr="002F2BC5">
        <w:rPr>
          <w:rStyle w:val="af9"/>
          <w:rtl/>
        </w:rPr>
        <w:footnoteReference w:id="252"/>
      </w:r>
      <w:r w:rsidRPr="002F2BC5">
        <w:rPr>
          <w:rFonts w:hint="cs"/>
          <w:rtl/>
        </w:rPr>
        <w:t>.</w:t>
      </w:r>
    </w:p>
    <w:p w14:paraId="1F669613" w14:textId="77777777" w:rsidR="00817399" w:rsidRPr="002F2BC5" w:rsidRDefault="00817399" w:rsidP="00817399">
      <w:pPr>
        <w:spacing w:line="269" w:lineRule="auto"/>
        <w:rPr>
          <w:rtl/>
        </w:rPr>
      </w:pPr>
    </w:p>
    <w:p w14:paraId="3D98285A" w14:textId="77777777" w:rsidR="00817399" w:rsidRPr="002F2BC5" w:rsidRDefault="00817399" w:rsidP="00817399">
      <w:pPr>
        <w:spacing w:line="269" w:lineRule="auto"/>
        <w:rPr>
          <w:rtl/>
        </w:rPr>
      </w:pPr>
      <w:r w:rsidRPr="002F2BC5">
        <w:rPr>
          <w:rFonts w:hint="cs"/>
          <w:rtl/>
        </w:rPr>
        <w:t>אחריותה ומחויבותה של מערכת הבריאות לפעול, לצד הטיפול הרפואי, גם לאיתור של נפגעי אלימות במשפחה והפנייתם לטיפול של גורמי הרווחה ואכיפת החוק עוגנה במהלך שלושת העשורים האחרונים בחקיקה וכן בהנחיות ובחוזרים שפרסם משרד הבריאות. העיקרי שבהם הוא חוזר שפורסם בשנת 2003 העוסק בדרכי האיתור והטיפול בנפגעי אלימות במשפחה במערך הבריאות הכללי ובמערך בריאות הנפש במהלך אשפוז ובקהילה (להלן - חוזר מנכ"ל משרד הבריאות 23/03)</w:t>
      </w:r>
      <w:r w:rsidRPr="002F2BC5">
        <w:rPr>
          <w:rStyle w:val="af9"/>
          <w:rtl/>
        </w:rPr>
        <w:footnoteReference w:id="253"/>
      </w:r>
      <w:r w:rsidRPr="002F2BC5">
        <w:rPr>
          <w:rFonts w:hint="cs"/>
          <w:rtl/>
        </w:rPr>
        <w:t>. חוזר זה עומד על שילוב איתורם של נפגעי האלימות במשפחה בשגרת עבודתם של גורמי הבריאות, והוא מפרט את האופן שבו יוקנו תשתיות הידע בנושא ויוטמעו כלים לאיתור של מקרי אלימות במשפחה; עוד הוא בוחן את דרכי ההתערבות ואופני ההפניה לגורמי טיפול בקהילה, מרגע שאותרו מקרים כאלו; וכן עומד על האופן שבו יתועדו, ידווחו וינוטרו מקרי האלימות במשפחה שיאותרו במערכת הבריאות. להלן יובאו ממצאי ביקורת המעקב בנושאים אלו.</w:t>
      </w:r>
    </w:p>
    <w:p w14:paraId="1150C92F" w14:textId="77777777" w:rsidR="00817399" w:rsidRPr="002F2BC5" w:rsidRDefault="00817399" w:rsidP="00817399">
      <w:pPr>
        <w:spacing w:line="269" w:lineRule="auto"/>
        <w:rPr>
          <w:rtl/>
        </w:rPr>
      </w:pPr>
    </w:p>
    <w:p w14:paraId="6342C44C" w14:textId="77777777" w:rsidR="00817399" w:rsidRPr="002F2BC5" w:rsidRDefault="00817399" w:rsidP="00817399">
      <w:pPr>
        <w:pStyle w:val="50"/>
        <w:spacing w:line="269" w:lineRule="auto"/>
      </w:pPr>
      <w:bookmarkStart w:id="1202" w:name="_Toc189072240"/>
      <w:bookmarkStart w:id="1203" w:name="_Toc191987029"/>
      <w:bookmarkStart w:id="1204" w:name="_Toc192093112"/>
      <w:bookmarkStart w:id="1205" w:name="_Toc193110616"/>
      <w:bookmarkStart w:id="1206" w:name="_Toc192612820"/>
      <w:bookmarkStart w:id="1207" w:name="_Toc198312730"/>
      <w:bookmarkStart w:id="1208" w:name="_Toc200636909"/>
      <w:bookmarkStart w:id="1209" w:name="_Toc200439907"/>
      <w:bookmarkStart w:id="1210" w:name="_Toc201241012"/>
      <w:r w:rsidRPr="002F2BC5">
        <w:rPr>
          <w:rFonts w:hint="cs"/>
          <w:rtl/>
        </w:rPr>
        <w:t>איתור נפגעי אלימות במשפחה במערכת הבריאות והפנייתם לטיפול</w:t>
      </w:r>
      <w:bookmarkEnd w:id="1202"/>
      <w:bookmarkEnd w:id="1203"/>
      <w:bookmarkEnd w:id="1204"/>
      <w:bookmarkEnd w:id="1205"/>
      <w:bookmarkEnd w:id="1206"/>
      <w:bookmarkEnd w:id="1207"/>
      <w:bookmarkEnd w:id="1208"/>
      <w:bookmarkEnd w:id="1209"/>
      <w:bookmarkEnd w:id="1210"/>
    </w:p>
    <w:p w14:paraId="1371889B" w14:textId="77777777" w:rsidR="00817399" w:rsidRPr="002F2BC5" w:rsidRDefault="00817399" w:rsidP="00817399">
      <w:pPr>
        <w:spacing w:line="269" w:lineRule="auto"/>
        <w:rPr>
          <w:rtl/>
        </w:rPr>
      </w:pPr>
    </w:p>
    <w:p w14:paraId="0592527E" w14:textId="77777777" w:rsidR="00817399" w:rsidRPr="002F2BC5" w:rsidRDefault="00817399" w:rsidP="00817399">
      <w:pPr>
        <w:spacing w:line="269" w:lineRule="auto"/>
        <w:rPr>
          <w:rtl/>
        </w:rPr>
      </w:pPr>
      <w:r w:rsidRPr="002F2BC5">
        <w:rPr>
          <w:rFonts w:hint="cs"/>
          <w:rtl/>
        </w:rPr>
        <w:t>חוזר מנכ"ל משרד הבריאות 23/03 מגדיר את השיטה שבה ייעשה האיתור של נפגעי אלימות במשפחה, לרבות העיתוי והתנאים לתשאול המטופל</w:t>
      </w:r>
      <w:r w:rsidRPr="002F2BC5">
        <w:rPr>
          <w:rStyle w:val="af9"/>
          <w:rtl/>
        </w:rPr>
        <w:footnoteReference w:id="254"/>
      </w:r>
      <w:r w:rsidRPr="002F2BC5">
        <w:rPr>
          <w:rFonts w:hint="cs"/>
          <w:rtl/>
        </w:rPr>
        <w:t>, וכן עומד על הפעולות שעל הגורם המתשאל לנקוט במקרה שאיתר וזיהה מקרה של אלימות במשפחה ועל דרכי הרישום והתיעוד של הפעולות הללו. אשר לדרכי ההתערבות במקרי אלימות במשפחה שאותרו על ידי גורמי הבריאות, מצוין בחוזר כי חלה על גורמי הבריאות החובה בדין ליידע את נפגע האלימות בדבר האפשרות לפנות לגורמי טיפול לקבלת סיוע, ובכללם משטרת ישראל, המחלקות לשירותים חברתיים והמרכזים לטיפול ומניעת אלימות במשפחה</w:t>
      </w:r>
      <w:r w:rsidRPr="002F2BC5">
        <w:rPr>
          <w:rStyle w:val="af9"/>
          <w:rtl/>
        </w:rPr>
        <w:footnoteReference w:id="255"/>
      </w:r>
      <w:r w:rsidRPr="002F2BC5">
        <w:rPr>
          <w:rFonts w:hint="cs"/>
          <w:rtl/>
        </w:rPr>
        <w:t xml:space="preserve">. לצד האמור, לפי תקנות בריאות העם </w:t>
      </w:r>
      <w:r w:rsidRPr="002F2BC5">
        <w:rPr>
          <w:rFonts w:hint="cs"/>
          <w:rtl/>
        </w:rPr>
        <w:lastRenderedPageBreak/>
        <w:t xml:space="preserve">(הודעה על חשש אלימות), התשל"ו-1975, כאשר יש חשש סביר שאדם פצוע, חסר הכרה או מת, שהגיע בית החולים היה מעורב במעשה אלימות, על האחראי על קבלת החולים לדווח על כך מיידית למשטרה, </w:t>
      </w:r>
      <w:r w:rsidRPr="002F2BC5">
        <w:rPr>
          <w:rFonts w:hint="eastAsia"/>
          <w:rtl/>
        </w:rPr>
        <w:t>ואם</w:t>
      </w:r>
      <w:r w:rsidRPr="002F2BC5">
        <w:rPr>
          <w:rtl/>
        </w:rPr>
        <w:t xml:space="preserve"> </w:t>
      </w:r>
      <w:r w:rsidRPr="002F2BC5">
        <w:rPr>
          <w:rFonts w:hint="eastAsia"/>
          <w:rtl/>
        </w:rPr>
        <w:t>הדיווח</w:t>
      </w:r>
      <w:r w:rsidRPr="002F2BC5">
        <w:rPr>
          <w:rtl/>
        </w:rPr>
        <w:t xml:space="preserve"> </w:t>
      </w:r>
      <w:r w:rsidRPr="002F2BC5">
        <w:rPr>
          <w:rFonts w:hint="eastAsia"/>
          <w:rtl/>
        </w:rPr>
        <w:t>לא</w:t>
      </w:r>
      <w:r w:rsidRPr="002F2BC5">
        <w:rPr>
          <w:rtl/>
        </w:rPr>
        <w:t xml:space="preserve"> </w:t>
      </w:r>
      <w:r w:rsidRPr="002F2BC5">
        <w:rPr>
          <w:rFonts w:hint="eastAsia"/>
          <w:rtl/>
        </w:rPr>
        <w:t>נעשה</w:t>
      </w:r>
      <w:r w:rsidRPr="002F2BC5">
        <w:rPr>
          <w:rtl/>
        </w:rPr>
        <w:t xml:space="preserve"> </w:t>
      </w:r>
      <w:r w:rsidRPr="002F2BC5">
        <w:rPr>
          <w:rFonts w:hint="eastAsia"/>
          <w:rtl/>
        </w:rPr>
        <w:t>בעת</w:t>
      </w:r>
      <w:r w:rsidRPr="002F2BC5">
        <w:rPr>
          <w:rtl/>
        </w:rPr>
        <w:t xml:space="preserve"> </w:t>
      </w:r>
      <w:r w:rsidRPr="002F2BC5">
        <w:rPr>
          <w:rFonts w:hint="eastAsia"/>
          <w:rtl/>
        </w:rPr>
        <w:t>קבלת</w:t>
      </w:r>
      <w:r w:rsidRPr="002F2BC5">
        <w:rPr>
          <w:rtl/>
        </w:rPr>
        <w:t xml:space="preserve"> </w:t>
      </w:r>
      <w:r w:rsidRPr="002F2BC5">
        <w:rPr>
          <w:rFonts w:hint="eastAsia"/>
          <w:rtl/>
        </w:rPr>
        <w:t>החולה</w:t>
      </w:r>
      <w:r w:rsidRPr="002F2BC5">
        <w:rPr>
          <w:rtl/>
        </w:rPr>
        <w:t xml:space="preserve">, </w:t>
      </w:r>
      <w:r w:rsidRPr="002F2BC5">
        <w:rPr>
          <w:rFonts w:hint="eastAsia"/>
          <w:rtl/>
        </w:rPr>
        <w:t>על</w:t>
      </w:r>
      <w:r w:rsidRPr="002F2BC5">
        <w:rPr>
          <w:rtl/>
        </w:rPr>
        <w:t xml:space="preserve"> </w:t>
      </w:r>
      <w:r w:rsidRPr="002F2BC5">
        <w:rPr>
          <w:rFonts w:hint="eastAsia"/>
          <w:rtl/>
        </w:rPr>
        <w:t>הרופא</w:t>
      </w:r>
      <w:r w:rsidRPr="002F2BC5">
        <w:rPr>
          <w:rtl/>
        </w:rPr>
        <w:t xml:space="preserve"> </w:t>
      </w:r>
      <w:r w:rsidRPr="002F2BC5">
        <w:rPr>
          <w:rFonts w:hint="eastAsia"/>
          <w:rtl/>
        </w:rPr>
        <w:t>המטפל</w:t>
      </w:r>
      <w:r w:rsidRPr="002F2BC5">
        <w:rPr>
          <w:rtl/>
        </w:rPr>
        <w:t xml:space="preserve"> </w:t>
      </w:r>
      <w:r w:rsidRPr="002F2BC5">
        <w:rPr>
          <w:rFonts w:hint="eastAsia"/>
          <w:rtl/>
        </w:rPr>
        <w:t>או</w:t>
      </w:r>
      <w:r w:rsidRPr="002F2BC5">
        <w:rPr>
          <w:rtl/>
        </w:rPr>
        <w:t xml:space="preserve"> </w:t>
      </w:r>
      <w:r w:rsidRPr="002F2BC5">
        <w:rPr>
          <w:rFonts w:hint="eastAsia"/>
          <w:rtl/>
        </w:rPr>
        <w:t>האחות</w:t>
      </w:r>
      <w:r w:rsidRPr="002F2BC5">
        <w:rPr>
          <w:rtl/>
        </w:rPr>
        <w:t xml:space="preserve"> </w:t>
      </w:r>
      <w:r w:rsidRPr="002F2BC5">
        <w:rPr>
          <w:rFonts w:hint="eastAsia"/>
          <w:rtl/>
        </w:rPr>
        <w:t>לדווח</w:t>
      </w:r>
      <w:r w:rsidRPr="002F2BC5">
        <w:rPr>
          <w:rtl/>
        </w:rPr>
        <w:t xml:space="preserve"> </w:t>
      </w:r>
      <w:r w:rsidRPr="002F2BC5">
        <w:rPr>
          <w:rFonts w:hint="eastAsia"/>
          <w:rtl/>
        </w:rPr>
        <w:t>על</w:t>
      </w:r>
      <w:r w:rsidRPr="002F2BC5">
        <w:rPr>
          <w:rtl/>
        </w:rPr>
        <w:t xml:space="preserve"> </w:t>
      </w:r>
      <w:r w:rsidRPr="002F2BC5">
        <w:rPr>
          <w:rFonts w:hint="eastAsia"/>
          <w:rtl/>
        </w:rPr>
        <w:t>כך</w:t>
      </w:r>
      <w:r w:rsidRPr="002F2BC5">
        <w:rPr>
          <w:rtl/>
        </w:rPr>
        <w:t xml:space="preserve"> </w:t>
      </w:r>
      <w:r w:rsidRPr="002F2BC5">
        <w:rPr>
          <w:rFonts w:hint="eastAsia"/>
          <w:rtl/>
        </w:rPr>
        <w:t>למנהל</w:t>
      </w:r>
      <w:r w:rsidRPr="002F2BC5">
        <w:rPr>
          <w:rtl/>
        </w:rPr>
        <w:t xml:space="preserve"> </w:t>
      </w:r>
      <w:r w:rsidRPr="002F2BC5">
        <w:rPr>
          <w:rFonts w:hint="eastAsia"/>
          <w:rtl/>
        </w:rPr>
        <w:t>בית</w:t>
      </w:r>
      <w:r w:rsidRPr="002F2BC5">
        <w:rPr>
          <w:rtl/>
        </w:rPr>
        <w:t xml:space="preserve"> </w:t>
      </w:r>
      <w:r w:rsidRPr="002F2BC5">
        <w:rPr>
          <w:rFonts w:hint="eastAsia"/>
          <w:rtl/>
        </w:rPr>
        <w:t>החולים</w:t>
      </w:r>
      <w:r w:rsidRPr="002F2BC5">
        <w:rPr>
          <w:rtl/>
        </w:rPr>
        <w:t xml:space="preserve"> - </w:t>
      </w:r>
      <w:r w:rsidRPr="002F2BC5">
        <w:rPr>
          <w:rFonts w:hint="eastAsia"/>
          <w:rtl/>
        </w:rPr>
        <w:t>שידווח</w:t>
      </w:r>
      <w:r w:rsidRPr="002F2BC5">
        <w:rPr>
          <w:rtl/>
        </w:rPr>
        <w:t xml:space="preserve"> </w:t>
      </w:r>
      <w:r w:rsidRPr="002F2BC5">
        <w:rPr>
          <w:rFonts w:hint="eastAsia"/>
          <w:rtl/>
        </w:rPr>
        <w:t>על</w:t>
      </w:r>
      <w:r w:rsidRPr="002F2BC5">
        <w:rPr>
          <w:rtl/>
        </w:rPr>
        <w:t xml:space="preserve"> </w:t>
      </w:r>
      <w:r w:rsidRPr="002F2BC5">
        <w:rPr>
          <w:rFonts w:hint="eastAsia"/>
          <w:rtl/>
        </w:rPr>
        <w:t>כך</w:t>
      </w:r>
      <w:r w:rsidRPr="002F2BC5">
        <w:rPr>
          <w:rtl/>
        </w:rPr>
        <w:t xml:space="preserve"> </w:t>
      </w:r>
      <w:r w:rsidRPr="002F2BC5">
        <w:rPr>
          <w:rFonts w:hint="eastAsia"/>
          <w:rtl/>
        </w:rPr>
        <w:t>למשטרה</w:t>
      </w:r>
      <w:r w:rsidRPr="002F2BC5">
        <w:rPr>
          <w:rFonts w:hint="cs"/>
          <w:rtl/>
        </w:rPr>
        <w:t xml:space="preserve">. </w:t>
      </w:r>
    </w:p>
    <w:p w14:paraId="59735761" w14:textId="77777777" w:rsidR="00817399" w:rsidRPr="002F2BC5" w:rsidRDefault="00817399" w:rsidP="00817399">
      <w:pPr>
        <w:spacing w:line="269" w:lineRule="auto"/>
        <w:rPr>
          <w:rtl/>
        </w:rPr>
      </w:pPr>
    </w:p>
    <w:p w14:paraId="38EC1980" w14:textId="77777777" w:rsidR="00817399" w:rsidRPr="002F2BC5" w:rsidRDefault="00817399" w:rsidP="00817399">
      <w:pPr>
        <w:spacing w:line="269" w:lineRule="auto"/>
        <w:rPr>
          <w:rtl/>
        </w:rPr>
      </w:pPr>
      <w:r w:rsidRPr="002F2BC5">
        <w:rPr>
          <w:rFonts w:hint="cs"/>
          <w:rtl/>
        </w:rPr>
        <w:t>חוזר מנכ"ל משרד הבריאות 23/03 מגדיר גם את המנגנונים לניטור מקרי האלימות במשפחה שאותרו במערכת הבריאות וכן את דרכי העברת המידע ואיסוף הנתונים בנושא. האחריות בכל הקשור לאיסוף נתונים וניטור מקרי האלימות במשפחה שאותרו הוטלה על ועדה קבועה לנושא אלימות במשפחה, ניצול מיני והזנחה של קטינים וחסרי ישע (להלן - הוועדה הקבועה לאלימות במשפחה), שאמורה לקום בכל מוסד רפואי לפי חוזר מנכ"ל משרד הבריאות 26/03. בין השאר נקבע בחוזר כי הוועדה הקבועה תפעל להבטחת חובת הדיווח או חובת היידוע כנדרש בדין, וכן תפעל לפיתוח דרכי עבודה משותפות עם גורמי טיפול בקהילה. לצד זאת, הוועדה הקבועה אמורה לשמש גורם מייעץ בכל הקשור לאיתור מקרי אלימות במשפחה במוסד הרפואי, וכן עליה לפתח תוכניות למניעה, זיהוי ואיתור מוקדם</w:t>
      </w:r>
      <w:r w:rsidRPr="002F2BC5">
        <w:rPr>
          <w:rStyle w:val="af9"/>
          <w:rtl/>
        </w:rPr>
        <w:footnoteReference w:id="256"/>
      </w:r>
      <w:r w:rsidRPr="002F2BC5">
        <w:rPr>
          <w:rFonts w:hint="cs"/>
          <w:rtl/>
        </w:rPr>
        <w:t>.</w:t>
      </w:r>
    </w:p>
    <w:p w14:paraId="549B279A" w14:textId="77777777" w:rsidR="00817399" w:rsidRPr="002F2BC5" w:rsidRDefault="00817399" w:rsidP="00817399">
      <w:pPr>
        <w:spacing w:line="269" w:lineRule="auto"/>
        <w:rPr>
          <w:rtl/>
        </w:rPr>
      </w:pPr>
    </w:p>
    <w:p w14:paraId="5F4B328F" w14:textId="77777777" w:rsidR="00817399" w:rsidRPr="002F2BC5" w:rsidRDefault="00817399" w:rsidP="00817399">
      <w:pPr>
        <w:spacing w:line="269" w:lineRule="auto"/>
        <w:rPr>
          <w:rtl/>
        </w:rPr>
      </w:pPr>
      <w:bookmarkStart w:id="1211" w:name="_Toc191987030"/>
      <w:r w:rsidRPr="002F2BC5">
        <w:rPr>
          <w:rStyle w:val="70"/>
          <w:rFonts w:hint="cs"/>
          <w:rtl/>
        </w:rPr>
        <w:t>הביקורת הקודמת:</w:t>
      </w:r>
      <w:bookmarkEnd w:id="1211"/>
      <w:r w:rsidRPr="002F2BC5">
        <w:rPr>
          <w:rStyle w:val="70"/>
          <w:rFonts w:hint="cs"/>
          <w:rtl/>
        </w:rPr>
        <w:t xml:space="preserve"> </w:t>
      </w:r>
      <w:r w:rsidRPr="002F2BC5">
        <w:rPr>
          <w:rFonts w:hint="cs"/>
          <w:rtl/>
        </w:rPr>
        <w:t>נמצא כי קיים פער ניכר בין מספר נפגעי האלימות בקרב בני זוג שאותרו במערכת הבריאות והופנו לטיפול במרכזים לטיפול ומניעת אלימות במשפחה לבין מספר הפונים בפועל למרכזים, בעקבות ההפניות האמורות: לפי נתוני משרד הבריאות לשנת 2019, מערכת הבריאות הפנתה בשנה זו לרשויות הרווחה 2,611 נפגעי אלימות בין בני זוג. אולם לפי משרד הרווחה פנו בפועל למרכזים רק כ-410 נפגעים שהופנו ממערכת הבריאות (כ-15% מכלל המקרים שאותרו).</w:t>
      </w:r>
    </w:p>
    <w:p w14:paraId="62DF7C34" w14:textId="77777777" w:rsidR="00817399" w:rsidRPr="002F2BC5" w:rsidRDefault="00817399" w:rsidP="00817399">
      <w:pPr>
        <w:spacing w:line="269" w:lineRule="auto"/>
        <w:rPr>
          <w:rtl/>
        </w:rPr>
      </w:pPr>
    </w:p>
    <w:p w14:paraId="32ACB214" w14:textId="77777777" w:rsidR="00817399" w:rsidRPr="002F2BC5" w:rsidRDefault="00817399" w:rsidP="00817399">
      <w:pPr>
        <w:spacing w:line="269" w:lineRule="auto"/>
        <w:rPr>
          <w:rtl/>
        </w:rPr>
      </w:pPr>
      <w:r w:rsidRPr="002F2BC5">
        <w:rPr>
          <w:rFonts w:hint="cs"/>
          <w:rtl/>
        </w:rPr>
        <w:t>משרד הבריאות מסר בתשובתו לביקורת הקודמת מפברואר 2021 כי ממצאיה הדגישו את החשיבות שבשמירה על רצף טיפולי ובקרה על מי שאותרו על ידי מערכת הבריאות כמצויים במעגל האלימות הזוגית והופנו בשל כך לטיפול. עוד נמסר כי בעקבות הביקורת נבנה טופס ייעודי המיועד למילוי על ידי גורמי הבריאות, ובאמצעותו יהיה אפשר לקיים מעקב ובקרה אחר הנפגעים (</w:t>
      </w:r>
      <w:bookmarkStart w:id="1212" w:name="_Hlk202259428"/>
      <w:r w:rsidRPr="002F2BC5">
        <w:rPr>
          <w:rFonts w:hint="cs"/>
          <w:rtl/>
        </w:rPr>
        <w:t>להלן - טופס ההפניה למרכזים</w:t>
      </w:r>
      <w:bookmarkEnd w:id="1212"/>
      <w:r w:rsidRPr="002F2BC5">
        <w:rPr>
          <w:rFonts w:hint="cs"/>
          <w:rtl/>
        </w:rPr>
        <w:t>). נמסר כי ישנה כוונה להטמיע את השימוש בטופס במהלך שנת 2021.</w:t>
      </w:r>
    </w:p>
    <w:p w14:paraId="26388548" w14:textId="77777777" w:rsidR="00817399" w:rsidRPr="002F2BC5" w:rsidRDefault="00817399" w:rsidP="00817399">
      <w:pPr>
        <w:spacing w:line="269" w:lineRule="auto"/>
        <w:rPr>
          <w:rtl/>
        </w:rPr>
      </w:pPr>
    </w:p>
    <w:p w14:paraId="615DD0BA" w14:textId="77777777" w:rsidR="00817399" w:rsidRPr="002F2BC5" w:rsidRDefault="00817399" w:rsidP="00817399">
      <w:pPr>
        <w:spacing w:line="269" w:lineRule="auto"/>
        <w:rPr>
          <w:rtl/>
        </w:rPr>
      </w:pPr>
      <w:bookmarkStart w:id="1213" w:name="_Toc191987031"/>
      <w:r w:rsidRPr="002F2BC5">
        <w:rPr>
          <w:rStyle w:val="70"/>
          <w:rFonts w:hint="cs"/>
          <w:rtl/>
        </w:rPr>
        <w:t>ביקורת המעקב</w:t>
      </w:r>
      <w:bookmarkEnd w:id="1213"/>
      <w:r w:rsidRPr="002F2BC5">
        <w:rPr>
          <w:rStyle w:val="70"/>
          <w:rFonts w:hint="cs"/>
          <w:rtl/>
        </w:rPr>
        <w:t xml:space="preserve">: </w:t>
      </w:r>
      <w:r w:rsidRPr="002F2BC5">
        <w:rPr>
          <w:rFonts w:hint="cs"/>
          <w:rtl/>
        </w:rPr>
        <w:t>לפי נתוני משרד הבריאות, משרד הרווחה והמרכזים לטיפול ומניעת אלימות במשפחה, בשנים 2022 ו-2023 בהתאמה הפנתה מערכת הבריאות למחלקות לשירותים חברתיים ולמרכזים 2,269 ו-1,694 נפגעי אלימות במשפחה, ואילו במרכזים תועדו 409 ו-336 פניות בלבד בעקבות הפניה שלהם ממערכת הבריאות</w:t>
      </w:r>
      <w:r w:rsidRPr="002F2BC5">
        <w:rPr>
          <w:rStyle w:val="af9"/>
          <w:rtl/>
        </w:rPr>
        <w:footnoteReference w:id="257"/>
      </w:r>
      <w:r w:rsidRPr="002F2BC5">
        <w:rPr>
          <w:rFonts w:hint="cs"/>
          <w:rtl/>
        </w:rPr>
        <w:t>. ניתוח הנתונים על כלל ההפניות של נפגעי אלימות למרכזים בשנים אלו העלה עוד כי שיעור ההפניות שהתקבלו ממערכת הבריאות עמד על כ-2% בלבד מכלל ההפניות החדשות שהתקבלו במרכזים באותן השנים</w:t>
      </w:r>
      <w:r w:rsidRPr="002F2BC5">
        <w:rPr>
          <w:rStyle w:val="af9"/>
          <w:rtl/>
        </w:rPr>
        <w:footnoteReference w:id="258"/>
      </w:r>
      <w:r w:rsidRPr="002F2BC5">
        <w:rPr>
          <w:rFonts w:hint="cs"/>
          <w:rtl/>
        </w:rPr>
        <w:t xml:space="preserve">. </w:t>
      </w:r>
    </w:p>
    <w:p w14:paraId="671D6AE6" w14:textId="77777777" w:rsidR="00817399" w:rsidRPr="002F2BC5" w:rsidRDefault="00817399" w:rsidP="00817399">
      <w:pPr>
        <w:spacing w:line="269" w:lineRule="auto"/>
        <w:rPr>
          <w:rtl/>
        </w:rPr>
      </w:pPr>
    </w:p>
    <w:p w14:paraId="6E9AF901" w14:textId="77777777" w:rsidR="00817399" w:rsidRPr="002F2BC5" w:rsidRDefault="00817399" w:rsidP="00817399">
      <w:pPr>
        <w:spacing w:line="269" w:lineRule="auto"/>
        <w:rPr>
          <w:b/>
          <w:bCs/>
          <w:rtl/>
        </w:rPr>
      </w:pPr>
      <w:r w:rsidRPr="002F2BC5">
        <w:rPr>
          <w:rFonts w:hint="cs"/>
          <w:b/>
          <w:bCs/>
          <w:rtl/>
        </w:rPr>
        <w:t xml:space="preserve">כך גם נמצא כי </w:t>
      </w:r>
      <w:r w:rsidRPr="002F2BC5">
        <w:rPr>
          <w:b/>
          <w:bCs/>
          <w:rtl/>
        </w:rPr>
        <w:t xml:space="preserve">נתוני משרד הבריאות מסתמכים על נתונים </w:t>
      </w:r>
      <w:r w:rsidRPr="002F2BC5">
        <w:rPr>
          <w:rFonts w:hint="cs"/>
          <w:b/>
          <w:bCs/>
          <w:rtl/>
        </w:rPr>
        <w:t>שמדווחים ונאספים באופן אגרגטיבי</w:t>
      </w:r>
      <w:r w:rsidRPr="002F2BC5">
        <w:rPr>
          <w:b/>
          <w:bCs/>
          <w:rtl/>
        </w:rPr>
        <w:t xml:space="preserve"> (ללא פרטים מזהים)</w:t>
      </w:r>
      <w:r w:rsidRPr="002F2BC5">
        <w:rPr>
          <w:rFonts w:hint="cs"/>
          <w:b/>
          <w:bCs/>
          <w:rtl/>
        </w:rPr>
        <w:t xml:space="preserve">. משכך, </w:t>
      </w:r>
      <w:r w:rsidRPr="002F2BC5">
        <w:rPr>
          <w:b/>
          <w:bCs/>
          <w:rtl/>
        </w:rPr>
        <w:t xml:space="preserve">הדיווח עשוי לכלול את אותו אדם יותר מפעם אחת, לדוגמה אם ביקר במוסד </w:t>
      </w:r>
      <w:r w:rsidRPr="002F2BC5">
        <w:rPr>
          <w:rFonts w:hint="cs"/>
          <w:b/>
          <w:bCs/>
          <w:rtl/>
        </w:rPr>
        <w:t>ה</w:t>
      </w:r>
      <w:r w:rsidRPr="002F2BC5">
        <w:rPr>
          <w:b/>
          <w:bCs/>
          <w:rtl/>
        </w:rPr>
        <w:t xml:space="preserve">רפואי יותר מפעם אחת או שהתקבל דיווח בגינו על ידי </w:t>
      </w:r>
      <w:r w:rsidRPr="002F2BC5">
        <w:rPr>
          <w:rFonts w:hint="cs"/>
          <w:b/>
          <w:bCs/>
          <w:rtl/>
        </w:rPr>
        <w:t>כמה</w:t>
      </w:r>
      <w:r w:rsidRPr="002F2BC5">
        <w:rPr>
          <w:b/>
          <w:bCs/>
          <w:rtl/>
        </w:rPr>
        <w:t xml:space="preserve"> מוסדות.</w:t>
      </w:r>
    </w:p>
    <w:p w14:paraId="4A4F9A71" w14:textId="77777777" w:rsidR="00817399" w:rsidRPr="002F2BC5" w:rsidRDefault="00817399" w:rsidP="00817399">
      <w:pPr>
        <w:spacing w:line="269" w:lineRule="auto"/>
        <w:rPr>
          <w:rtl/>
        </w:rPr>
      </w:pPr>
    </w:p>
    <w:p w14:paraId="6AE4BD49" w14:textId="77777777" w:rsidR="00817399" w:rsidRPr="002F2BC5" w:rsidRDefault="00817399" w:rsidP="00817399">
      <w:pPr>
        <w:spacing w:line="269" w:lineRule="auto"/>
        <w:rPr>
          <w:b/>
          <w:bCs/>
          <w:rtl/>
        </w:rPr>
      </w:pPr>
      <w:r w:rsidRPr="002F2BC5">
        <w:rPr>
          <w:rFonts w:hint="eastAsia"/>
          <w:b/>
          <w:bCs/>
          <w:rtl/>
        </w:rPr>
        <w:t>עוד</w:t>
      </w:r>
      <w:r w:rsidRPr="002F2BC5">
        <w:rPr>
          <w:b/>
          <w:bCs/>
          <w:rtl/>
        </w:rPr>
        <w:t xml:space="preserve"> </w:t>
      </w:r>
      <w:r w:rsidRPr="002F2BC5">
        <w:rPr>
          <w:rFonts w:hint="eastAsia"/>
          <w:b/>
          <w:bCs/>
          <w:rtl/>
        </w:rPr>
        <w:t>העלתה</w:t>
      </w:r>
      <w:r w:rsidRPr="002F2BC5">
        <w:rPr>
          <w:b/>
          <w:bCs/>
          <w:rtl/>
        </w:rPr>
        <w:t xml:space="preserve"> </w:t>
      </w:r>
      <w:r w:rsidRPr="002F2BC5">
        <w:rPr>
          <w:rFonts w:hint="eastAsia"/>
          <w:b/>
          <w:bCs/>
          <w:rtl/>
        </w:rPr>
        <w:t>ביקורת</w:t>
      </w:r>
      <w:r w:rsidRPr="002F2BC5">
        <w:rPr>
          <w:b/>
          <w:bCs/>
          <w:rtl/>
        </w:rPr>
        <w:t xml:space="preserve"> המעקב </w:t>
      </w:r>
      <w:r w:rsidRPr="002F2BC5">
        <w:rPr>
          <w:rFonts w:hint="eastAsia"/>
          <w:b/>
          <w:bCs/>
          <w:rtl/>
        </w:rPr>
        <w:t>כי</w:t>
      </w:r>
      <w:r w:rsidRPr="002F2BC5">
        <w:rPr>
          <w:b/>
          <w:bCs/>
          <w:rtl/>
        </w:rPr>
        <w:t xml:space="preserve"> </w:t>
      </w:r>
      <w:r w:rsidRPr="002F2BC5">
        <w:rPr>
          <w:rFonts w:hint="eastAsia"/>
          <w:b/>
          <w:bCs/>
          <w:rtl/>
        </w:rPr>
        <w:t>טופס</w:t>
      </w:r>
      <w:r w:rsidRPr="002F2BC5">
        <w:rPr>
          <w:b/>
          <w:bCs/>
          <w:rtl/>
        </w:rPr>
        <w:t xml:space="preserve"> </w:t>
      </w:r>
      <w:r w:rsidRPr="002F2BC5">
        <w:rPr>
          <w:rFonts w:hint="eastAsia"/>
          <w:b/>
          <w:bCs/>
          <w:rtl/>
        </w:rPr>
        <w:t>ההפניה</w:t>
      </w:r>
      <w:r w:rsidRPr="002F2BC5">
        <w:rPr>
          <w:b/>
          <w:bCs/>
          <w:rtl/>
        </w:rPr>
        <w:t xml:space="preserve"> </w:t>
      </w:r>
      <w:r w:rsidRPr="002F2BC5">
        <w:rPr>
          <w:rFonts w:hint="eastAsia"/>
          <w:b/>
          <w:bCs/>
          <w:rtl/>
        </w:rPr>
        <w:t>למרכזים</w:t>
      </w:r>
      <w:r w:rsidRPr="002F2BC5">
        <w:rPr>
          <w:b/>
          <w:bCs/>
          <w:rtl/>
        </w:rPr>
        <w:t xml:space="preserve"> </w:t>
      </w:r>
      <w:r w:rsidRPr="002F2BC5">
        <w:rPr>
          <w:rFonts w:hint="eastAsia"/>
          <w:b/>
          <w:bCs/>
          <w:rtl/>
        </w:rPr>
        <w:t>לא</w:t>
      </w:r>
      <w:r w:rsidRPr="002F2BC5">
        <w:rPr>
          <w:b/>
          <w:bCs/>
          <w:rtl/>
        </w:rPr>
        <w:t xml:space="preserve"> </w:t>
      </w:r>
      <w:r w:rsidRPr="002F2BC5">
        <w:rPr>
          <w:rFonts w:hint="eastAsia"/>
          <w:b/>
          <w:bCs/>
          <w:rtl/>
        </w:rPr>
        <w:t>הוטמע</w:t>
      </w:r>
      <w:r w:rsidRPr="002F2BC5">
        <w:rPr>
          <w:b/>
          <w:bCs/>
          <w:rtl/>
        </w:rPr>
        <w:t xml:space="preserve"> </w:t>
      </w:r>
      <w:r w:rsidRPr="002F2BC5">
        <w:rPr>
          <w:rFonts w:hint="eastAsia"/>
          <w:b/>
          <w:bCs/>
          <w:rtl/>
        </w:rPr>
        <w:t>לבסוף</w:t>
      </w:r>
      <w:r w:rsidRPr="002F2BC5">
        <w:rPr>
          <w:b/>
          <w:bCs/>
          <w:rtl/>
        </w:rPr>
        <w:t xml:space="preserve"> </w:t>
      </w:r>
      <w:r w:rsidRPr="002F2BC5">
        <w:rPr>
          <w:rFonts w:hint="eastAsia"/>
          <w:b/>
          <w:bCs/>
          <w:rtl/>
        </w:rPr>
        <w:t>בעבודתם</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גורמי</w:t>
      </w:r>
      <w:r w:rsidRPr="002F2BC5">
        <w:rPr>
          <w:b/>
          <w:bCs/>
          <w:rtl/>
        </w:rPr>
        <w:t xml:space="preserve"> </w:t>
      </w:r>
      <w:r w:rsidRPr="002F2BC5">
        <w:rPr>
          <w:rFonts w:hint="eastAsia"/>
          <w:b/>
          <w:bCs/>
          <w:rtl/>
        </w:rPr>
        <w:t>הטיפול</w:t>
      </w:r>
      <w:r w:rsidRPr="002F2BC5">
        <w:rPr>
          <w:b/>
          <w:bCs/>
          <w:rtl/>
        </w:rPr>
        <w:t xml:space="preserve"> </w:t>
      </w:r>
      <w:r w:rsidRPr="002F2BC5">
        <w:rPr>
          <w:rFonts w:hint="eastAsia"/>
          <w:b/>
          <w:bCs/>
          <w:rtl/>
        </w:rPr>
        <w:t>במערכת</w:t>
      </w:r>
      <w:r w:rsidRPr="002F2BC5">
        <w:rPr>
          <w:b/>
          <w:bCs/>
          <w:rtl/>
        </w:rPr>
        <w:t xml:space="preserve"> </w:t>
      </w:r>
      <w:r w:rsidRPr="002F2BC5">
        <w:rPr>
          <w:rFonts w:hint="eastAsia"/>
          <w:b/>
          <w:bCs/>
          <w:rtl/>
        </w:rPr>
        <w:t>הבריאות</w:t>
      </w:r>
      <w:r w:rsidRPr="002F2BC5">
        <w:rPr>
          <w:b/>
          <w:bCs/>
          <w:rtl/>
        </w:rPr>
        <w:t xml:space="preserve">. </w:t>
      </w:r>
      <w:r w:rsidRPr="002F2BC5">
        <w:rPr>
          <w:rFonts w:hint="eastAsia"/>
          <w:b/>
          <w:bCs/>
          <w:rtl/>
        </w:rPr>
        <w:t>מסיבה</w:t>
      </w:r>
      <w:r w:rsidRPr="002F2BC5">
        <w:rPr>
          <w:b/>
          <w:bCs/>
          <w:rtl/>
        </w:rPr>
        <w:t xml:space="preserve"> </w:t>
      </w:r>
      <w:r w:rsidRPr="002F2BC5">
        <w:rPr>
          <w:rFonts w:hint="eastAsia"/>
          <w:b/>
          <w:bCs/>
          <w:rtl/>
        </w:rPr>
        <w:t>זו</w:t>
      </w:r>
      <w:r w:rsidRPr="002F2BC5">
        <w:rPr>
          <w:b/>
          <w:bCs/>
          <w:rtl/>
        </w:rPr>
        <w:t xml:space="preserve"> נותר משרד הבריאות ללא כלי מעקב ובקרה אחר הפניות של נפגעי אלימות במשפחה </w:t>
      </w:r>
      <w:r w:rsidRPr="002F2BC5">
        <w:rPr>
          <w:rFonts w:hint="eastAsia"/>
          <w:b/>
          <w:bCs/>
          <w:rtl/>
        </w:rPr>
        <w:t>ממערכת</w:t>
      </w:r>
      <w:r w:rsidRPr="002F2BC5">
        <w:rPr>
          <w:b/>
          <w:bCs/>
          <w:rtl/>
        </w:rPr>
        <w:t xml:space="preserve"> </w:t>
      </w:r>
      <w:r w:rsidRPr="002F2BC5">
        <w:rPr>
          <w:rFonts w:hint="eastAsia"/>
          <w:b/>
          <w:bCs/>
          <w:rtl/>
        </w:rPr>
        <w:t>הבריאות</w:t>
      </w:r>
      <w:r w:rsidRPr="002F2BC5">
        <w:rPr>
          <w:b/>
          <w:bCs/>
          <w:rtl/>
        </w:rPr>
        <w:t xml:space="preserve"> למרכזים, </w:t>
      </w:r>
      <w:r w:rsidRPr="002F2BC5">
        <w:rPr>
          <w:rFonts w:hint="eastAsia"/>
          <w:b/>
          <w:bCs/>
          <w:rtl/>
        </w:rPr>
        <w:t>אף</w:t>
      </w:r>
      <w:r w:rsidRPr="002F2BC5">
        <w:rPr>
          <w:b/>
          <w:bCs/>
          <w:rtl/>
        </w:rPr>
        <w:t xml:space="preserve"> שניכר כי באפשרותו לתרום באופן ממשי להבטחת רצף טיפולי </w:t>
      </w:r>
      <w:r w:rsidRPr="002F2BC5">
        <w:rPr>
          <w:rFonts w:hint="eastAsia"/>
          <w:b/>
          <w:bCs/>
          <w:rtl/>
        </w:rPr>
        <w:t>לנפגעים</w:t>
      </w:r>
      <w:r w:rsidRPr="002F2BC5">
        <w:rPr>
          <w:b/>
          <w:bCs/>
          <w:rtl/>
        </w:rPr>
        <w:t>. משרד הבריאות מסר במהלך ביקורת המעקב</w:t>
      </w:r>
      <w:r w:rsidRPr="002F2BC5">
        <w:rPr>
          <w:rFonts w:hint="cs"/>
          <w:b/>
          <w:bCs/>
          <w:rtl/>
        </w:rPr>
        <w:t>, בינואר 2025,</w:t>
      </w:r>
      <w:r w:rsidRPr="002F2BC5">
        <w:rPr>
          <w:b/>
          <w:bCs/>
          <w:rtl/>
        </w:rPr>
        <w:t xml:space="preserve"> כי </w:t>
      </w:r>
      <w:r w:rsidRPr="002F2BC5">
        <w:rPr>
          <w:rFonts w:hint="eastAsia"/>
          <w:b/>
          <w:bCs/>
          <w:rtl/>
        </w:rPr>
        <w:t>אפשרות</w:t>
      </w:r>
      <w:r w:rsidRPr="002F2BC5">
        <w:rPr>
          <w:b/>
          <w:bCs/>
          <w:rtl/>
        </w:rPr>
        <w:t xml:space="preserve"> </w:t>
      </w:r>
      <w:r w:rsidRPr="002F2BC5">
        <w:rPr>
          <w:rFonts w:hint="eastAsia"/>
          <w:b/>
          <w:bCs/>
          <w:rtl/>
        </w:rPr>
        <w:t>הטמעתו</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הטופס</w:t>
      </w:r>
      <w:r w:rsidRPr="002F2BC5">
        <w:rPr>
          <w:b/>
          <w:bCs/>
          <w:rtl/>
        </w:rPr>
        <w:t xml:space="preserve"> </w:t>
      </w:r>
      <w:r w:rsidRPr="002F2BC5">
        <w:rPr>
          <w:rFonts w:hint="eastAsia"/>
          <w:b/>
          <w:bCs/>
          <w:rtl/>
        </w:rPr>
        <w:t>תועלה</w:t>
      </w:r>
      <w:r w:rsidRPr="002F2BC5">
        <w:rPr>
          <w:b/>
          <w:bCs/>
          <w:rtl/>
        </w:rPr>
        <w:t xml:space="preserve"> </w:t>
      </w:r>
      <w:r w:rsidRPr="002F2BC5">
        <w:rPr>
          <w:rFonts w:hint="eastAsia"/>
          <w:b/>
          <w:bCs/>
          <w:rtl/>
        </w:rPr>
        <w:t>לדיון</w:t>
      </w:r>
      <w:r w:rsidRPr="002F2BC5">
        <w:rPr>
          <w:b/>
          <w:bCs/>
          <w:rtl/>
        </w:rPr>
        <w:t xml:space="preserve"> </w:t>
      </w:r>
      <w:r w:rsidRPr="002F2BC5">
        <w:rPr>
          <w:rFonts w:hint="eastAsia"/>
          <w:b/>
          <w:bCs/>
          <w:rtl/>
        </w:rPr>
        <w:t>מחודש</w:t>
      </w:r>
      <w:r w:rsidRPr="002F2BC5">
        <w:rPr>
          <w:b/>
          <w:bCs/>
          <w:rtl/>
        </w:rPr>
        <w:t xml:space="preserve"> </w:t>
      </w:r>
      <w:r w:rsidRPr="002F2BC5">
        <w:rPr>
          <w:rFonts w:hint="eastAsia"/>
          <w:b/>
          <w:bCs/>
          <w:rtl/>
        </w:rPr>
        <w:t>אל</w:t>
      </w:r>
      <w:r w:rsidRPr="002F2BC5">
        <w:rPr>
          <w:b/>
          <w:bCs/>
          <w:rtl/>
        </w:rPr>
        <w:t xml:space="preserve"> </w:t>
      </w:r>
      <w:r w:rsidRPr="002F2BC5">
        <w:rPr>
          <w:rFonts w:hint="eastAsia"/>
          <w:b/>
          <w:bCs/>
          <w:rtl/>
        </w:rPr>
        <w:t>מול</w:t>
      </w:r>
      <w:r w:rsidRPr="002F2BC5">
        <w:rPr>
          <w:b/>
          <w:bCs/>
          <w:rtl/>
        </w:rPr>
        <w:t xml:space="preserve"> </w:t>
      </w:r>
      <w:r w:rsidRPr="002F2BC5">
        <w:rPr>
          <w:rFonts w:hint="eastAsia"/>
          <w:b/>
          <w:bCs/>
          <w:rtl/>
        </w:rPr>
        <w:t>משרד</w:t>
      </w:r>
      <w:r w:rsidRPr="002F2BC5">
        <w:rPr>
          <w:b/>
          <w:bCs/>
          <w:rtl/>
        </w:rPr>
        <w:t xml:space="preserve"> </w:t>
      </w:r>
      <w:r w:rsidRPr="002F2BC5">
        <w:rPr>
          <w:rFonts w:hint="eastAsia"/>
          <w:b/>
          <w:bCs/>
          <w:rtl/>
        </w:rPr>
        <w:t>הרווחה</w:t>
      </w:r>
      <w:r w:rsidRPr="002F2BC5">
        <w:rPr>
          <w:b/>
          <w:bCs/>
          <w:rtl/>
        </w:rPr>
        <w:t>.</w:t>
      </w:r>
    </w:p>
    <w:p w14:paraId="643E8A5C" w14:textId="77777777" w:rsidR="004311A2" w:rsidRDefault="004311A2" w:rsidP="00817399">
      <w:pPr>
        <w:spacing w:line="269" w:lineRule="auto"/>
        <w:rPr>
          <w:rtl/>
        </w:rPr>
      </w:pPr>
    </w:p>
    <w:p w14:paraId="4E4EDA8A" w14:textId="77777777" w:rsidR="00817399" w:rsidRPr="002F2BC5" w:rsidRDefault="00817399" w:rsidP="00817399">
      <w:pPr>
        <w:spacing w:line="269" w:lineRule="auto"/>
        <w:rPr>
          <w:rtl/>
        </w:rPr>
      </w:pPr>
      <w:r w:rsidRPr="002F2BC5">
        <w:rPr>
          <w:rFonts w:hint="eastAsia"/>
          <w:rtl/>
        </w:rPr>
        <w:lastRenderedPageBreak/>
        <w:t>במהלך</w:t>
      </w:r>
      <w:r w:rsidRPr="002F2BC5">
        <w:rPr>
          <w:rtl/>
        </w:rPr>
        <w:t xml:space="preserve"> </w:t>
      </w:r>
      <w:r w:rsidRPr="002F2BC5">
        <w:rPr>
          <w:rFonts w:hint="cs"/>
          <w:rtl/>
        </w:rPr>
        <w:t>ה</w:t>
      </w:r>
      <w:r w:rsidRPr="002F2BC5">
        <w:rPr>
          <w:rtl/>
        </w:rPr>
        <w:t xml:space="preserve">ביקורת </w:t>
      </w:r>
      <w:r w:rsidRPr="002F2BC5">
        <w:rPr>
          <w:rFonts w:hint="cs"/>
          <w:rtl/>
        </w:rPr>
        <w:t xml:space="preserve">הנוכחית </w:t>
      </w:r>
      <w:r w:rsidRPr="002F2BC5">
        <w:rPr>
          <w:rFonts w:hint="eastAsia"/>
          <w:rtl/>
        </w:rPr>
        <w:t>גם</w:t>
      </w:r>
      <w:r w:rsidRPr="002F2BC5">
        <w:rPr>
          <w:rtl/>
        </w:rPr>
        <w:t xml:space="preserve"> </w:t>
      </w:r>
      <w:r w:rsidRPr="002F2BC5">
        <w:rPr>
          <w:rFonts w:hint="eastAsia"/>
          <w:rtl/>
        </w:rPr>
        <w:t>התברר</w:t>
      </w:r>
      <w:r w:rsidRPr="002F2BC5">
        <w:rPr>
          <w:rtl/>
        </w:rPr>
        <w:t xml:space="preserve"> </w:t>
      </w:r>
      <w:r w:rsidRPr="002F2BC5">
        <w:rPr>
          <w:rFonts w:hint="eastAsia"/>
          <w:rtl/>
        </w:rPr>
        <w:t>כי</w:t>
      </w:r>
      <w:r w:rsidRPr="002F2BC5">
        <w:rPr>
          <w:rtl/>
        </w:rPr>
        <w:t xml:space="preserve"> </w:t>
      </w:r>
      <w:r w:rsidRPr="002F2BC5">
        <w:rPr>
          <w:rFonts w:hint="eastAsia"/>
          <w:rtl/>
        </w:rPr>
        <w:t>לפי</w:t>
      </w:r>
      <w:r w:rsidRPr="002F2BC5">
        <w:rPr>
          <w:rtl/>
        </w:rPr>
        <w:t xml:space="preserve"> </w:t>
      </w:r>
      <w:r w:rsidRPr="002F2BC5">
        <w:rPr>
          <w:rFonts w:hint="eastAsia"/>
          <w:rtl/>
        </w:rPr>
        <w:t>מחקר</w:t>
      </w:r>
      <w:r w:rsidRPr="002F2BC5">
        <w:rPr>
          <w:rtl/>
        </w:rPr>
        <w:t xml:space="preserve"> משנת 2024</w:t>
      </w:r>
      <w:r w:rsidRPr="002F2BC5">
        <w:rPr>
          <w:rFonts w:hint="cs"/>
          <w:rtl/>
        </w:rPr>
        <w:t xml:space="preserve">, שהוזמן על ידי </w:t>
      </w:r>
      <w:r w:rsidRPr="002F2BC5">
        <w:rPr>
          <w:rtl/>
        </w:rPr>
        <w:t xml:space="preserve">המחלקה לטיפול באלימות במשפחה ותקיפה מינית בשירות הארצי לעבודה סוציאלית </w:t>
      </w:r>
      <w:r w:rsidRPr="002F2BC5">
        <w:rPr>
          <w:rFonts w:hint="cs"/>
          <w:rtl/>
        </w:rPr>
        <w:t>ב</w:t>
      </w:r>
      <w:r w:rsidRPr="002F2BC5">
        <w:rPr>
          <w:rtl/>
        </w:rPr>
        <w:t>משרד הבריאות ומומן בסיועה</w:t>
      </w:r>
      <w:r w:rsidRPr="002F2BC5">
        <w:rPr>
          <w:rFonts w:hint="cs"/>
          <w:rtl/>
        </w:rPr>
        <w:t>,</w:t>
      </w:r>
      <w:r w:rsidRPr="002F2BC5">
        <w:rPr>
          <w:rtl/>
        </w:rPr>
        <w:t xml:space="preserve"> על </w:t>
      </w:r>
      <w:r w:rsidRPr="002F2BC5">
        <w:rPr>
          <w:rFonts w:hint="eastAsia"/>
          <w:rtl/>
        </w:rPr>
        <w:t>מאפייניהן</w:t>
      </w:r>
      <w:r w:rsidRPr="002F2BC5">
        <w:rPr>
          <w:rtl/>
        </w:rPr>
        <w:t xml:space="preserve"> של הוועדות הקבועות לאלימות במשפחה </w:t>
      </w:r>
      <w:r w:rsidRPr="002F2BC5">
        <w:rPr>
          <w:rFonts w:hint="eastAsia"/>
          <w:rtl/>
        </w:rPr>
        <w:t>ודרכי</w:t>
      </w:r>
      <w:r w:rsidRPr="002F2BC5">
        <w:rPr>
          <w:rtl/>
        </w:rPr>
        <w:t xml:space="preserve"> פעולתן</w:t>
      </w:r>
      <w:r w:rsidRPr="002F2BC5">
        <w:rPr>
          <w:rFonts w:hint="cs"/>
          <w:rtl/>
        </w:rPr>
        <w:t>,</w:t>
      </w:r>
      <w:r w:rsidRPr="002F2BC5">
        <w:rPr>
          <w:rtl/>
        </w:rPr>
        <w:t xml:space="preserve"> </w:t>
      </w:r>
      <w:r w:rsidRPr="002F2BC5">
        <w:rPr>
          <w:rFonts w:hint="eastAsia"/>
          <w:rtl/>
        </w:rPr>
        <w:t>כ</w:t>
      </w:r>
      <w:r w:rsidRPr="002F2BC5">
        <w:rPr>
          <w:rtl/>
        </w:rPr>
        <w:t xml:space="preserve">-43% </w:t>
      </w:r>
      <w:r w:rsidRPr="002F2BC5">
        <w:rPr>
          <w:rFonts w:hint="eastAsia"/>
          <w:rtl/>
        </w:rPr>
        <w:t>מהוועדות</w:t>
      </w:r>
      <w:r w:rsidRPr="002F2BC5">
        <w:rPr>
          <w:rtl/>
        </w:rPr>
        <w:t xml:space="preserve"> </w:t>
      </w:r>
      <w:r w:rsidRPr="002F2BC5">
        <w:rPr>
          <w:rFonts w:hint="eastAsia"/>
          <w:rtl/>
        </w:rPr>
        <w:t>אינן</w:t>
      </w:r>
      <w:r w:rsidRPr="002F2BC5">
        <w:rPr>
          <w:rtl/>
        </w:rPr>
        <w:t xml:space="preserve"> </w:t>
      </w:r>
      <w:r w:rsidRPr="002F2BC5">
        <w:rPr>
          <w:rFonts w:hint="eastAsia"/>
          <w:rtl/>
        </w:rPr>
        <w:t>מנהלות</w:t>
      </w:r>
      <w:r w:rsidRPr="002F2BC5">
        <w:rPr>
          <w:rtl/>
        </w:rPr>
        <w:t xml:space="preserve"> </w:t>
      </w:r>
      <w:r w:rsidRPr="002F2BC5">
        <w:rPr>
          <w:rFonts w:hint="eastAsia"/>
          <w:rtl/>
        </w:rPr>
        <w:t>כלל</w:t>
      </w:r>
      <w:r w:rsidRPr="002F2BC5">
        <w:rPr>
          <w:rtl/>
        </w:rPr>
        <w:t xml:space="preserve"> </w:t>
      </w:r>
      <w:r w:rsidRPr="002F2BC5">
        <w:rPr>
          <w:rFonts w:hint="eastAsia"/>
          <w:rtl/>
        </w:rPr>
        <w:t>מעקב</w:t>
      </w:r>
      <w:r w:rsidRPr="002F2BC5">
        <w:rPr>
          <w:rtl/>
        </w:rPr>
        <w:t xml:space="preserve"> </w:t>
      </w:r>
      <w:r w:rsidRPr="002F2BC5">
        <w:rPr>
          <w:rFonts w:hint="eastAsia"/>
          <w:rtl/>
        </w:rPr>
        <w:t>אחר</w:t>
      </w:r>
      <w:r w:rsidRPr="002F2BC5">
        <w:rPr>
          <w:rtl/>
        </w:rPr>
        <w:t xml:space="preserve"> </w:t>
      </w:r>
      <w:r w:rsidRPr="002F2BC5">
        <w:rPr>
          <w:rFonts w:hint="eastAsia"/>
          <w:rtl/>
        </w:rPr>
        <w:t>מטופלים</w:t>
      </w:r>
      <w:r w:rsidRPr="002F2BC5">
        <w:rPr>
          <w:rtl/>
        </w:rPr>
        <w:t xml:space="preserve"> </w:t>
      </w:r>
      <w:r w:rsidRPr="002F2BC5">
        <w:rPr>
          <w:rFonts w:hint="eastAsia"/>
          <w:rtl/>
        </w:rPr>
        <w:t>שאותרו</w:t>
      </w:r>
      <w:r w:rsidRPr="002F2BC5">
        <w:rPr>
          <w:rtl/>
        </w:rPr>
        <w:t xml:space="preserve"> </w:t>
      </w:r>
      <w:r w:rsidRPr="002F2BC5">
        <w:rPr>
          <w:rFonts w:hint="eastAsia"/>
          <w:rtl/>
        </w:rPr>
        <w:t>במוסד</w:t>
      </w:r>
      <w:r w:rsidRPr="002F2BC5">
        <w:rPr>
          <w:rtl/>
        </w:rPr>
        <w:t xml:space="preserve"> </w:t>
      </w:r>
      <w:r w:rsidRPr="002F2BC5">
        <w:rPr>
          <w:rFonts w:hint="eastAsia"/>
          <w:rtl/>
        </w:rPr>
        <w:t>הרפואי</w:t>
      </w:r>
      <w:r w:rsidRPr="002F2BC5">
        <w:rPr>
          <w:rFonts w:hint="cs"/>
          <w:rtl/>
        </w:rPr>
        <w:t>,</w:t>
      </w:r>
      <w:r w:rsidRPr="002F2BC5">
        <w:rPr>
          <w:rtl/>
        </w:rPr>
        <w:t xml:space="preserve"> </w:t>
      </w:r>
      <w:r w:rsidRPr="002F2BC5">
        <w:rPr>
          <w:rFonts w:hint="eastAsia"/>
          <w:rtl/>
        </w:rPr>
        <w:t>או</w:t>
      </w:r>
      <w:r w:rsidRPr="002F2BC5">
        <w:rPr>
          <w:rtl/>
        </w:rPr>
        <w:t xml:space="preserve"> </w:t>
      </w:r>
      <w:r w:rsidRPr="002F2BC5">
        <w:rPr>
          <w:rFonts w:hint="eastAsia"/>
          <w:rtl/>
        </w:rPr>
        <w:t>שהן</w:t>
      </w:r>
      <w:r w:rsidRPr="002F2BC5">
        <w:rPr>
          <w:rtl/>
        </w:rPr>
        <w:t xml:space="preserve"> </w:t>
      </w:r>
      <w:r w:rsidRPr="002F2BC5">
        <w:rPr>
          <w:rFonts w:hint="eastAsia"/>
          <w:rtl/>
        </w:rPr>
        <w:t>מנהלות</w:t>
      </w:r>
      <w:r w:rsidRPr="002F2BC5">
        <w:rPr>
          <w:rtl/>
        </w:rPr>
        <w:t xml:space="preserve"> </w:t>
      </w:r>
      <w:r w:rsidRPr="002F2BC5">
        <w:rPr>
          <w:rFonts w:hint="eastAsia"/>
          <w:rtl/>
        </w:rPr>
        <w:t>מעקב</w:t>
      </w:r>
      <w:r w:rsidRPr="002F2BC5">
        <w:rPr>
          <w:rtl/>
        </w:rPr>
        <w:t xml:space="preserve"> </w:t>
      </w:r>
      <w:r w:rsidRPr="002F2BC5">
        <w:rPr>
          <w:rFonts w:hint="eastAsia"/>
          <w:rtl/>
        </w:rPr>
        <w:t>אחר</w:t>
      </w:r>
      <w:r w:rsidRPr="002F2BC5">
        <w:rPr>
          <w:rtl/>
        </w:rPr>
        <w:t xml:space="preserve"> </w:t>
      </w:r>
      <w:r w:rsidRPr="002F2BC5">
        <w:rPr>
          <w:rFonts w:hint="eastAsia"/>
          <w:rtl/>
        </w:rPr>
        <w:t>המטופלים</w:t>
      </w:r>
      <w:r w:rsidRPr="002F2BC5">
        <w:rPr>
          <w:rtl/>
        </w:rPr>
        <w:t xml:space="preserve"> </w:t>
      </w:r>
      <w:r w:rsidRPr="002F2BC5">
        <w:rPr>
          <w:rFonts w:hint="eastAsia"/>
          <w:rtl/>
        </w:rPr>
        <w:t>הללו</w:t>
      </w:r>
      <w:r w:rsidRPr="002F2BC5">
        <w:rPr>
          <w:rtl/>
        </w:rPr>
        <w:t xml:space="preserve"> </w:t>
      </w:r>
      <w:r w:rsidRPr="002F2BC5">
        <w:rPr>
          <w:rFonts w:hint="eastAsia"/>
          <w:rtl/>
        </w:rPr>
        <w:t>רק</w:t>
      </w:r>
      <w:r w:rsidRPr="002F2BC5">
        <w:rPr>
          <w:rtl/>
        </w:rPr>
        <w:t xml:space="preserve"> </w:t>
      </w:r>
      <w:r w:rsidRPr="002F2BC5">
        <w:rPr>
          <w:rFonts w:hint="cs"/>
          <w:rtl/>
        </w:rPr>
        <w:t>ב</w:t>
      </w:r>
      <w:r w:rsidRPr="002F2BC5">
        <w:rPr>
          <w:rFonts w:hint="eastAsia"/>
          <w:rtl/>
        </w:rPr>
        <w:t>מקרים</w:t>
      </w:r>
      <w:r w:rsidRPr="002F2BC5">
        <w:rPr>
          <w:rFonts w:hint="cs"/>
          <w:rtl/>
        </w:rPr>
        <w:t xml:space="preserve"> מעטים. בכך יש כדי</w:t>
      </w:r>
      <w:r w:rsidRPr="002F2BC5">
        <w:rPr>
          <w:rtl/>
        </w:rPr>
        <w:t xml:space="preserve"> </w:t>
      </w:r>
      <w:r w:rsidRPr="002F2BC5">
        <w:rPr>
          <w:rFonts w:hint="cs"/>
          <w:rtl/>
        </w:rPr>
        <w:t>לה</w:t>
      </w:r>
      <w:r w:rsidRPr="002F2BC5">
        <w:rPr>
          <w:rtl/>
        </w:rPr>
        <w:t xml:space="preserve">צביע על קושי נוסף </w:t>
      </w:r>
      <w:r w:rsidRPr="002F2BC5">
        <w:rPr>
          <w:rFonts w:hint="eastAsia"/>
          <w:rtl/>
        </w:rPr>
        <w:t>בבקרה</w:t>
      </w:r>
      <w:r w:rsidRPr="002F2BC5">
        <w:rPr>
          <w:rtl/>
        </w:rPr>
        <w:t xml:space="preserve"> </w:t>
      </w:r>
      <w:r w:rsidRPr="002F2BC5">
        <w:rPr>
          <w:rFonts w:hint="eastAsia"/>
          <w:rtl/>
        </w:rPr>
        <w:t>על</w:t>
      </w:r>
      <w:r w:rsidRPr="002F2BC5">
        <w:rPr>
          <w:rtl/>
        </w:rPr>
        <w:t xml:space="preserve"> </w:t>
      </w:r>
      <w:r w:rsidRPr="002F2BC5">
        <w:rPr>
          <w:rFonts w:hint="eastAsia"/>
          <w:rtl/>
        </w:rPr>
        <w:t>מי</w:t>
      </w:r>
      <w:r w:rsidRPr="002F2BC5">
        <w:rPr>
          <w:rtl/>
        </w:rPr>
        <w:t xml:space="preserve"> </w:t>
      </w:r>
      <w:r w:rsidRPr="002F2BC5">
        <w:rPr>
          <w:rFonts w:hint="eastAsia"/>
          <w:rtl/>
        </w:rPr>
        <w:t>שאותרו</w:t>
      </w:r>
      <w:r w:rsidRPr="002F2BC5">
        <w:rPr>
          <w:rtl/>
        </w:rPr>
        <w:t xml:space="preserve"> </w:t>
      </w:r>
      <w:r w:rsidRPr="002F2BC5">
        <w:rPr>
          <w:rFonts w:hint="eastAsia"/>
          <w:rtl/>
        </w:rPr>
        <w:t>על</w:t>
      </w:r>
      <w:r w:rsidRPr="002F2BC5">
        <w:rPr>
          <w:rtl/>
        </w:rPr>
        <w:t xml:space="preserve"> </w:t>
      </w:r>
      <w:r w:rsidRPr="002F2BC5">
        <w:rPr>
          <w:rFonts w:hint="eastAsia"/>
          <w:rtl/>
        </w:rPr>
        <w:t>ידי</w:t>
      </w:r>
      <w:r w:rsidRPr="002F2BC5">
        <w:rPr>
          <w:rtl/>
        </w:rPr>
        <w:t xml:space="preserve"> </w:t>
      </w:r>
      <w:r w:rsidRPr="002F2BC5">
        <w:rPr>
          <w:rFonts w:hint="eastAsia"/>
          <w:rtl/>
        </w:rPr>
        <w:t>מערכת</w:t>
      </w:r>
      <w:r w:rsidRPr="002F2BC5">
        <w:rPr>
          <w:rtl/>
        </w:rPr>
        <w:t xml:space="preserve"> </w:t>
      </w:r>
      <w:r w:rsidRPr="002F2BC5">
        <w:rPr>
          <w:rFonts w:hint="eastAsia"/>
          <w:rtl/>
        </w:rPr>
        <w:t>הבריאות</w:t>
      </w:r>
      <w:r w:rsidRPr="002F2BC5">
        <w:rPr>
          <w:rtl/>
        </w:rPr>
        <w:t xml:space="preserve"> </w:t>
      </w:r>
      <w:r w:rsidRPr="002F2BC5">
        <w:rPr>
          <w:rFonts w:hint="eastAsia"/>
          <w:rtl/>
        </w:rPr>
        <w:t>כמצויים</w:t>
      </w:r>
      <w:r w:rsidRPr="002F2BC5">
        <w:rPr>
          <w:rtl/>
        </w:rPr>
        <w:t xml:space="preserve"> </w:t>
      </w:r>
      <w:r w:rsidRPr="002F2BC5">
        <w:rPr>
          <w:rFonts w:hint="eastAsia"/>
          <w:rtl/>
        </w:rPr>
        <w:t>במעגל</w:t>
      </w:r>
      <w:r w:rsidRPr="002F2BC5">
        <w:rPr>
          <w:rtl/>
        </w:rPr>
        <w:t xml:space="preserve"> </w:t>
      </w:r>
      <w:r w:rsidRPr="002F2BC5">
        <w:rPr>
          <w:rFonts w:hint="eastAsia"/>
          <w:rtl/>
        </w:rPr>
        <w:t>האלימות</w:t>
      </w:r>
      <w:r w:rsidRPr="002F2BC5">
        <w:rPr>
          <w:rtl/>
        </w:rPr>
        <w:t xml:space="preserve"> </w:t>
      </w:r>
      <w:r w:rsidRPr="002F2BC5">
        <w:rPr>
          <w:rFonts w:hint="eastAsia"/>
          <w:rtl/>
        </w:rPr>
        <w:t>הזוגית</w:t>
      </w:r>
      <w:r w:rsidRPr="002F2BC5">
        <w:rPr>
          <w:rtl/>
        </w:rPr>
        <w:t xml:space="preserve"> </w:t>
      </w:r>
      <w:r w:rsidRPr="002F2BC5">
        <w:rPr>
          <w:rFonts w:hint="eastAsia"/>
          <w:rtl/>
        </w:rPr>
        <w:t>והופנו</w:t>
      </w:r>
      <w:r w:rsidRPr="002F2BC5">
        <w:rPr>
          <w:rtl/>
        </w:rPr>
        <w:t xml:space="preserve"> </w:t>
      </w:r>
      <w:r w:rsidRPr="002F2BC5">
        <w:rPr>
          <w:rFonts w:hint="eastAsia"/>
          <w:rtl/>
        </w:rPr>
        <w:t>בשל</w:t>
      </w:r>
      <w:r w:rsidRPr="002F2BC5">
        <w:rPr>
          <w:rtl/>
        </w:rPr>
        <w:t xml:space="preserve"> </w:t>
      </w:r>
      <w:r w:rsidRPr="002F2BC5">
        <w:rPr>
          <w:rFonts w:hint="eastAsia"/>
          <w:rtl/>
        </w:rPr>
        <w:t>כך</w:t>
      </w:r>
      <w:r w:rsidRPr="002F2BC5">
        <w:rPr>
          <w:rtl/>
        </w:rPr>
        <w:t xml:space="preserve"> </w:t>
      </w:r>
      <w:r w:rsidRPr="002F2BC5">
        <w:rPr>
          <w:rFonts w:hint="eastAsia"/>
          <w:rtl/>
        </w:rPr>
        <w:t>לטיפול</w:t>
      </w:r>
      <w:r w:rsidRPr="002F2BC5">
        <w:rPr>
          <w:rStyle w:val="af9"/>
          <w:rtl/>
        </w:rPr>
        <w:footnoteReference w:id="259"/>
      </w:r>
      <w:r w:rsidRPr="002F2BC5">
        <w:rPr>
          <w:rtl/>
        </w:rPr>
        <w:t>.</w:t>
      </w:r>
    </w:p>
    <w:p w14:paraId="4222C849" w14:textId="77777777" w:rsidR="00817399" w:rsidRPr="002F2BC5" w:rsidRDefault="00817399" w:rsidP="00817399">
      <w:pPr>
        <w:spacing w:line="269" w:lineRule="auto"/>
        <w:rPr>
          <w:rtl/>
        </w:rPr>
      </w:pPr>
    </w:p>
    <w:p w14:paraId="4B6A5E6D" w14:textId="77777777" w:rsidR="00817399" w:rsidRPr="002F2BC5" w:rsidRDefault="00817399" w:rsidP="00817399">
      <w:pPr>
        <w:pStyle w:val="afffffff9"/>
        <w:spacing w:line="269" w:lineRule="auto"/>
        <w:rPr>
          <w:rtl/>
        </w:rPr>
      </w:pPr>
      <w:bookmarkStart w:id="1214" w:name="_Toc191987032"/>
      <w:bookmarkStart w:id="1215" w:name="_Toc192093113"/>
      <w:bookmarkStart w:id="1216" w:name="_Toc192612821"/>
      <w:bookmarkStart w:id="1217" w:name="_Toc198312255"/>
      <w:bookmarkStart w:id="1218" w:name="_Toc198312731"/>
      <w:bookmarkStart w:id="1219" w:name="_Toc200636910"/>
      <w:bookmarkStart w:id="1220" w:name="_Toc200439908"/>
      <w:bookmarkStart w:id="1221" w:name="_Toc201241013"/>
      <w:r w:rsidRPr="002F2BC5">
        <w:rPr>
          <w:rtl/>
        </w:rPr>
        <w:t>הביקורת הקודמת העלתה פער ניכר בין מספר נפגעי האלימות בקרב בני זוג שאותרו במערכת הבריאות והופנו לטיפול במרכזים לטיפול ומניעת אלימות במשפחה לבין מספר הפונים בפועל למרכזים, בעקבות ההפניות האמורות</w:t>
      </w:r>
      <w:r w:rsidRPr="002F2BC5">
        <w:rPr>
          <w:rFonts w:hint="cs"/>
          <w:rtl/>
        </w:rPr>
        <w:t xml:space="preserve"> (כ-15% מכלל המקרים שאותרו בשנת 2019). בביקורת המעקב הועלה כי הליקוי לא תוקן - נותר </w:t>
      </w:r>
      <w:r w:rsidRPr="002F2BC5">
        <w:rPr>
          <w:rtl/>
        </w:rPr>
        <w:t xml:space="preserve">פער ניכר בין מספר נפגעי האלימות </w:t>
      </w:r>
      <w:r w:rsidRPr="002F2BC5">
        <w:rPr>
          <w:rFonts w:hint="cs"/>
          <w:rtl/>
        </w:rPr>
        <w:t>כאמור</w:t>
      </w:r>
      <w:r w:rsidRPr="002F2BC5">
        <w:rPr>
          <w:rtl/>
        </w:rPr>
        <w:t xml:space="preserve"> שאותרו במערכת הבריאות והופנו לטיפול במרכזים </w:t>
      </w:r>
      <w:r w:rsidRPr="002F2BC5">
        <w:rPr>
          <w:rFonts w:hint="cs"/>
          <w:rtl/>
        </w:rPr>
        <w:t>ל</w:t>
      </w:r>
      <w:r w:rsidRPr="002F2BC5">
        <w:rPr>
          <w:rtl/>
        </w:rPr>
        <w:t>בין מספר הפונים בפועל למרכזים</w:t>
      </w:r>
      <w:r w:rsidRPr="002F2BC5">
        <w:rPr>
          <w:rFonts w:hint="cs"/>
          <w:rtl/>
        </w:rPr>
        <w:t>,</w:t>
      </w:r>
      <w:r w:rsidRPr="002F2BC5">
        <w:rPr>
          <w:rtl/>
        </w:rPr>
        <w:t xml:space="preserve"> בעקבות ההפניות האמורות</w:t>
      </w:r>
      <w:r w:rsidRPr="002F2BC5">
        <w:rPr>
          <w:rFonts w:hint="cs"/>
          <w:rtl/>
        </w:rPr>
        <w:t xml:space="preserve"> (כ-19% </w:t>
      </w:r>
      <w:r w:rsidRPr="002F2BC5">
        <w:rPr>
          <w:rFonts w:hint="eastAsia"/>
          <w:rtl/>
        </w:rPr>
        <w:t>מהמקרים</w:t>
      </w:r>
      <w:r w:rsidRPr="002F2BC5">
        <w:rPr>
          <w:rFonts w:hint="cs"/>
          <w:rtl/>
        </w:rPr>
        <w:t xml:space="preserve"> בלבד בממוצע לשנים 2022 - 2023).</w:t>
      </w:r>
      <w:bookmarkEnd w:id="1214"/>
      <w:bookmarkEnd w:id="1215"/>
      <w:bookmarkEnd w:id="1216"/>
      <w:bookmarkEnd w:id="1217"/>
      <w:bookmarkEnd w:id="1218"/>
      <w:bookmarkEnd w:id="1219"/>
      <w:bookmarkEnd w:id="1220"/>
      <w:bookmarkEnd w:id="1221"/>
    </w:p>
    <w:p w14:paraId="4AB5677E" w14:textId="77777777" w:rsidR="00817399" w:rsidRPr="002F2BC5" w:rsidRDefault="00817399" w:rsidP="00817399">
      <w:pPr>
        <w:spacing w:line="269" w:lineRule="auto"/>
        <w:rPr>
          <w:rtl/>
        </w:rPr>
      </w:pPr>
    </w:p>
    <w:p w14:paraId="2C503C31" w14:textId="77777777" w:rsidR="00817399" w:rsidRPr="002F2BC5" w:rsidRDefault="00817399" w:rsidP="00817399">
      <w:pPr>
        <w:pStyle w:val="afffffffa"/>
        <w:spacing w:line="269" w:lineRule="auto"/>
        <w:rPr>
          <w:rtl/>
        </w:rPr>
      </w:pPr>
      <w:bookmarkStart w:id="1222" w:name="_Toc191987033"/>
      <w:bookmarkStart w:id="1223" w:name="_Toc192093114"/>
      <w:bookmarkStart w:id="1224" w:name="_Toc192612822"/>
      <w:bookmarkStart w:id="1225" w:name="_Toc198312256"/>
      <w:bookmarkStart w:id="1226" w:name="_Toc198312732"/>
      <w:bookmarkStart w:id="1227" w:name="_Toc200636911"/>
      <w:bookmarkStart w:id="1228" w:name="_Toc200439909"/>
      <w:bookmarkStart w:id="1229" w:name="_Toc201241014"/>
      <w:r w:rsidRPr="002F2BC5">
        <w:rPr>
          <w:rFonts w:hint="cs"/>
          <w:rtl/>
        </w:rPr>
        <w:t>מומלץ למשרד הבריאות לפתח ולהטמיע כלי מעקב ובקרה אחר הפניות של גורמי רפואה למרכזים לטיפול ומניעת אלימות במשפחה, כמו גם לגורמי טיפול אחרים או לגורמי אכיפת החוק. בתוך כך מומלץ להגביר את מעורבותן של הוועדות הקבועות לאלימות במשפחה במוסדות הרפואיים ובמחוזות משרד הבריאות בכל הקשור לתיעוד ואיסוף של הנתונים על המקרים המאותרים ולביסוס ממשקי העבודה עם גורמי הטיפול בקהילה. זאת לשם שיפור העברת המידע והרצף הטיפולי. מומלץ כי תפקידיהן של הוועדות הקבועות לאלימות במשפחה בעניינים אלו יעוגנו באופן מפורש ומפורט בהנחיות או בנהלים</w:t>
      </w:r>
      <w:r w:rsidRPr="002F2BC5">
        <w:rPr>
          <w:rStyle w:val="af9"/>
          <w:b w:val="0"/>
          <w:bCs w:val="0"/>
          <w:rtl/>
        </w:rPr>
        <w:footnoteReference w:id="260"/>
      </w:r>
      <w:r w:rsidRPr="002F2BC5">
        <w:rPr>
          <w:rFonts w:hint="cs"/>
          <w:rtl/>
        </w:rPr>
        <w:t>.</w:t>
      </w:r>
      <w:bookmarkEnd w:id="1222"/>
      <w:bookmarkEnd w:id="1223"/>
      <w:bookmarkEnd w:id="1224"/>
      <w:bookmarkEnd w:id="1225"/>
      <w:bookmarkEnd w:id="1226"/>
      <w:bookmarkEnd w:id="1227"/>
      <w:bookmarkEnd w:id="1228"/>
      <w:bookmarkEnd w:id="1229"/>
    </w:p>
    <w:p w14:paraId="1D220177" w14:textId="77777777" w:rsidR="00817399" w:rsidRPr="002F2BC5" w:rsidRDefault="00817399" w:rsidP="00817399">
      <w:pPr>
        <w:spacing w:line="269" w:lineRule="auto"/>
        <w:rPr>
          <w:rtl/>
        </w:rPr>
      </w:pPr>
    </w:p>
    <w:p w14:paraId="3C9EE7A8" w14:textId="77777777" w:rsidR="00817399" w:rsidRPr="002F2BC5" w:rsidRDefault="00817399" w:rsidP="00817399">
      <w:pPr>
        <w:pStyle w:val="afffffffa"/>
        <w:spacing w:line="269" w:lineRule="auto"/>
        <w:rPr>
          <w:rtl/>
        </w:rPr>
      </w:pPr>
      <w:bookmarkStart w:id="1230" w:name="_Toc191987034"/>
      <w:bookmarkStart w:id="1231" w:name="_Toc192093115"/>
      <w:bookmarkStart w:id="1232" w:name="_Toc192612823"/>
      <w:bookmarkStart w:id="1233" w:name="_Toc198312257"/>
      <w:bookmarkStart w:id="1234" w:name="_Toc198312733"/>
      <w:bookmarkStart w:id="1235" w:name="_Toc200636912"/>
      <w:bookmarkStart w:id="1236" w:name="_Toc200439910"/>
      <w:bookmarkStart w:id="1237" w:name="_Toc201241015"/>
      <w:r w:rsidRPr="002F2BC5">
        <w:rPr>
          <w:rFonts w:hint="cs"/>
          <w:rtl/>
        </w:rPr>
        <w:t>עוד מומלץ למשרד הבריאות לפעול לשיפור ולטיוב הנתונים הנאספים על ידו באופן שיגביר את אמינותם ומהימנותם. זאת כדי למנוע למשל כפילות בדיווחים המועברים</w:t>
      </w:r>
      <w:r w:rsidRPr="002F2BC5">
        <w:rPr>
          <w:rtl/>
        </w:rPr>
        <w:t xml:space="preserve">, לדוגמה אם </w:t>
      </w:r>
      <w:r w:rsidRPr="002F2BC5">
        <w:rPr>
          <w:rFonts w:hint="cs"/>
          <w:rtl/>
        </w:rPr>
        <w:t xml:space="preserve">מטופל </w:t>
      </w:r>
      <w:r w:rsidRPr="002F2BC5">
        <w:rPr>
          <w:rtl/>
        </w:rPr>
        <w:t>ביקר במוסד רפואי יותר מפעם אחת או שהתקבל דיווח בגינו על ידי מספר מוסדות.</w:t>
      </w:r>
      <w:bookmarkEnd w:id="1230"/>
      <w:bookmarkEnd w:id="1231"/>
      <w:bookmarkEnd w:id="1232"/>
      <w:bookmarkEnd w:id="1233"/>
      <w:bookmarkEnd w:id="1234"/>
      <w:bookmarkEnd w:id="1235"/>
      <w:bookmarkEnd w:id="1236"/>
      <w:bookmarkEnd w:id="1237"/>
      <w:r w:rsidRPr="002F2BC5">
        <w:rPr>
          <w:rFonts w:hint="cs"/>
          <w:rtl/>
        </w:rPr>
        <w:t xml:space="preserve"> </w:t>
      </w:r>
    </w:p>
    <w:p w14:paraId="3729DF10" w14:textId="77777777" w:rsidR="00817399" w:rsidRPr="002F2BC5" w:rsidRDefault="00817399" w:rsidP="00817399">
      <w:pPr>
        <w:spacing w:line="269" w:lineRule="auto"/>
        <w:rPr>
          <w:rtl/>
        </w:rPr>
      </w:pPr>
    </w:p>
    <w:p w14:paraId="5C5F4A25" w14:textId="77777777" w:rsidR="00817399" w:rsidRPr="002F2BC5" w:rsidRDefault="00817399" w:rsidP="00817399">
      <w:pPr>
        <w:spacing w:line="269" w:lineRule="auto"/>
        <w:rPr>
          <w:rtl/>
        </w:rPr>
      </w:pPr>
      <w:r w:rsidRPr="002F2BC5">
        <w:rPr>
          <w:rFonts w:hint="cs"/>
          <w:rtl/>
        </w:rPr>
        <w:t xml:space="preserve">משרד הבריאות מסר בתשובתו כי הוא מכיר בחשיבות נושא </w:t>
      </w:r>
      <w:r w:rsidRPr="002F2BC5">
        <w:rPr>
          <w:rtl/>
        </w:rPr>
        <w:t>איתור נפגעי אלימות במשפחה במערכת הבריאות והפנייתם לטיפול</w:t>
      </w:r>
      <w:r w:rsidRPr="002F2BC5">
        <w:rPr>
          <w:rFonts w:hint="cs"/>
          <w:rtl/>
        </w:rPr>
        <w:t xml:space="preserve"> וכי הוא פועל בכמה מישורים בהתאם להמלצות הביקורת. לעניין המעקב והבקרה אחר הפניות לטיפול ממערכת הבריאות הוא מסר כי הוא מקיים, בשיתוף משרד הרווחה, מחקר הבוחן מאפיינים של צריכת שירותי בריאות על ידי נשים נפגעות אלימות. המחקר, שתוצאותיו הראשוניות צפויות להתקבל באוגוסט 2025, נועד לסייע בפיתוח של אלגוריתם שיסייע לאנשי הצוות הרפואי באיתור מוקדם. כמו כן, מתקיים פיילוט בתחנות טיפת חלב במחוז חיפה על כלי תשאול ייעודי שנועד להעלות את שיעורי האיתור של נשים נפגעות אלימות ובמטרה להרחיב את מנעד כלי האיתור שנעשה בהם שימוש</w:t>
      </w:r>
      <w:r w:rsidRPr="002F2BC5">
        <w:rPr>
          <w:rtl/>
        </w:rPr>
        <w:t>.</w:t>
      </w:r>
      <w:r w:rsidRPr="002F2BC5">
        <w:rPr>
          <w:rFonts w:hint="cs"/>
          <w:rtl/>
        </w:rPr>
        <w:t xml:space="preserve"> לעניין הוועדות הקבועות לאלימות במשפחה הוא מסר כי הוקמה קבוצת עבודה ייעודית למיפוי התהליכים והאתגרים בכל הקשור לתיעוד מקרי אלימות במשפחה במערכת הבריאות, שתחל בעבודתה ברבעון השלישי של שנת 2025; וכן מסר כי לאחר קבלת המלצותיה בכוונתו לבחון את תפקידן של הוועדות הקבועות בכל הנוגע לתיעוד, לאיסוף נתונים </w:t>
      </w:r>
      <w:r w:rsidRPr="002F2BC5">
        <w:rPr>
          <w:rtl/>
        </w:rPr>
        <w:t>ו</w:t>
      </w:r>
      <w:r w:rsidRPr="002F2BC5">
        <w:rPr>
          <w:rFonts w:hint="cs"/>
          <w:rtl/>
        </w:rPr>
        <w:t>ל</w:t>
      </w:r>
      <w:r w:rsidRPr="002F2BC5">
        <w:rPr>
          <w:rtl/>
        </w:rPr>
        <w:t>ביסוס ממשקי עבודה עם גורמי הטיפול</w:t>
      </w:r>
      <w:r w:rsidRPr="002F2BC5">
        <w:rPr>
          <w:rFonts w:hint="cs"/>
          <w:rtl/>
        </w:rPr>
        <w:t xml:space="preserve"> ולעגנם</w:t>
      </w:r>
      <w:r w:rsidRPr="002F2BC5">
        <w:rPr>
          <w:rtl/>
        </w:rPr>
        <w:t xml:space="preserve"> באופן </w:t>
      </w:r>
      <w:r w:rsidRPr="002F2BC5">
        <w:rPr>
          <w:rFonts w:hint="cs"/>
          <w:rtl/>
        </w:rPr>
        <w:t>ברור</w:t>
      </w:r>
      <w:r w:rsidRPr="002F2BC5">
        <w:rPr>
          <w:rtl/>
        </w:rPr>
        <w:t xml:space="preserve"> בהנחיות או</w:t>
      </w:r>
      <w:r w:rsidRPr="002F2BC5">
        <w:rPr>
          <w:rFonts w:hint="cs"/>
          <w:rtl/>
        </w:rPr>
        <w:t xml:space="preserve"> </w:t>
      </w:r>
      <w:r w:rsidRPr="002F2BC5">
        <w:rPr>
          <w:rtl/>
        </w:rPr>
        <w:t xml:space="preserve">בנהלים רשמיים. </w:t>
      </w:r>
      <w:r w:rsidRPr="002F2BC5">
        <w:rPr>
          <w:rFonts w:hint="cs"/>
          <w:rtl/>
        </w:rPr>
        <w:t>לעניין מנגנון ההפניה לטיפול מסר כי הוא פועל במשותף עם משרד הרווחה ליצירת מנגנון הפניה רשמי ממערכת הבריאות למרכזים לטיפול ומניעת אלימות במשפחה ולמענים נוספים בקהילה במטרה לסייע בטיוב הנתונים בנושא זה, ובכלל זה למנוע דיווח כפול, וכי מהלך זה צפוי להתקדם משמעותית עד סוף שנת 2025.</w:t>
      </w:r>
    </w:p>
    <w:p w14:paraId="4EAC4568" w14:textId="77777777" w:rsidR="00817399" w:rsidRPr="002F2BC5" w:rsidRDefault="00817399" w:rsidP="00817399">
      <w:pPr>
        <w:spacing w:line="269" w:lineRule="auto"/>
        <w:rPr>
          <w:rtl/>
        </w:rPr>
      </w:pPr>
    </w:p>
    <w:p w14:paraId="41EF8A10" w14:textId="77777777" w:rsidR="00817399" w:rsidRPr="002F2BC5" w:rsidRDefault="00817399" w:rsidP="00817399">
      <w:pPr>
        <w:spacing w:line="269" w:lineRule="auto"/>
        <w:rPr>
          <w:rtl/>
        </w:rPr>
      </w:pPr>
    </w:p>
    <w:p w14:paraId="1D905524" w14:textId="77777777" w:rsidR="00817399" w:rsidRPr="002F2BC5" w:rsidRDefault="00817399" w:rsidP="00817399">
      <w:pPr>
        <w:pStyle w:val="afffffff2"/>
        <w:spacing w:line="269" w:lineRule="auto"/>
        <w:rPr>
          <w:sz w:val="24"/>
          <w:rtl/>
        </w:rPr>
      </w:pPr>
      <w:r w:rsidRPr="002F2BC5">
        <w:rPr>
          <w:rFonts w:hint="cs"/>
          <w:rtl/>
        </w:rPr>
        <w:lastRenderedPageBreak/>
        <w:t>מידת תיקון הליקוי</w:t>
      </w:r>
    </w:p>
    <w:p w14:paraId="451F0AF0" w14:textId="77777777" w:rsidR="00817399" w:rsidRPr="002F2BC5" w:rsidRDefault="00817399" w:rsidP="00817399">
      <w:pPr>
        <w:pStyle w:val="afffffff7"/>
        <w:spacing w:before="0" w:line="269" w:lineRule="auto"/>
        <w:rPr>
          <w:rtl/>
        </w:rPr>
      </w:pPr>
      <w:bookmarkStart w:id="1238" w:name="_Toc198312258"/>
      <w:bookmarkStart w:id="1239" w:name="_Toc198312734"/>
      <w:bookmarkStart w:id="1240" w:name="_Toc189072241"/>
      <w:r w:rsidRPr="002F2BC5">
        <w:rPr>
          <w:noProof/>
        </w:rPr>
        <w:drawing>
          <wp:inline distT="0" distB="0" distL="0" distR="0" wp14:anchorId="25CF9D63" wp14:editId="28D5A267">
            <wp:extent cx="4324350" cy="933450"/>
            <wp:effectExtent l="0" t="0" r="0" b="0"/>
            <wp:docPr id="28"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238"/>
      <w:bookmarkEnd w:id="1239"/>
    </w:p>
    <w:bookmarkEnd w:id="1240"/>
    <w:p w14:paraId="52F37041" w14:textId="77777777" w:rsidR="00817399" w:rsidRPr="002F2BC5" w:rsidRDefault="00817399" w:rsidP="00817399">
      <w:pPr>
        <w:spacing w:line="269" w:lineRule="auto"/>
        <w:rPr>
          <w:rtl/>
        </w:rPr>
      </w:pPr>
    </w:p>
    <w:p w14:paraId="60264A00" w14:textId="77777777" w:rsidR="00817399" w:rsidRPr="002F2BC5" w:rsidRDefault="00817399" w:rsidP="00817399">
      <w:pPr>
        <w:pStyle w:val="50"/>
        <w:spacing w:line="269" w:lineRule="auto"/>
        <w:rPr>
          <w:rtl/>
        </w:rPr>
      </w:pPr>
      <w:bookmarkStart w:id="1241" w:name="_Toc189072242"/>
      <w:bookmarkStart w:id="1242" w:name="_Toc191987035"/>
      <w:bookmarkStart w:id="1243" w:name="_Toc192093116"/>
      <w:bookmarkStart w:id="1244" w:name="_Toc193110617"/>
      <w:bookmarkStart w:id="1245" w:name="_Toc192612824"/>
      <w:bookmarkStart w:id="1246" w:name="_Toc198312735"/>
      <w:bookmarkStart w:id="1247" w:name="_Toc200636913"/>
      <w:bookmarkStart w:id="1248" w:name="_Toc200439911"/>
      <w:bookmarkStart w:id="1249" w:name="_Toc201241016"/>
      <w:r w:rsidRPr="002F2BC5">
        <w:rPr>
          <w:rFonts w:hint="cs"/>
          <w:rtl/>
        </w:rPr>
        <w:t>ריכוז נושא האלימות במשפחה במערכת הבריאות</w:t>
      </w:r>
      <w:bookmarkEnd w:id="1241"/>
      <w:bookmarkEnd w:id="1242"/>
      <w:bookmarkEnd w:id="1243"/>
      <w:bookmarkEnd w:id="1244"/>
      <w:bookmarkEnd w:id="1245"/>
      <w:bookmarkEnd w:id="1246"/>
      <w:bookmarkEnd w:id="1247"/>
      <w:bookmarkEnd w:id="1248"/>
      <w:bookmarkEnd w:id="1249"/>
    </w:p>
    <w:p w14:paraId="37F1BA6B" w14:textId="77777777" w:rsidR="00817399" w:rsidRPr="002F2BC5" w:rsidRDefault="00817399" w:rsidP="00817399">
      <w:pPr>
        <w:spacing w:line="269" w:lineRule="auto"/>
        <w:rPr>
          <w:rtl/>
        </w:rPr>
      </w:pPr>
    </w:p>
    <w:p w14:paraId="4F895B3C" w14:textId="77777777" w:rsidR="00817399" w:rsidRPr="002F2BC5" w:rsidRDefault="00817399" w:rsidP="00817399">
      <w:pPr>
        <w:spacing w:line="269" w:lineRule="auto"/>
        <w:rPr>
          <w:rtl/>
        </w:rPr>
      </w:pPr>
      <w:r w:rsidRPr="002F2BC5">
        <w:rPr>
          <w:rFonts w:hint="cs"/>
          <w:rtl/>
        </w:rPr>
        <w:t xml:space="preserve">החל משנת 2013 מתקצב משרד הבריאות באופן דיפרנציאלי את עלות העסקתם של עובדים סוציאליים </w:t>
      </w:r>
      <w:r w:rsidRPr="002F2BC5">
        <w:rPr>
          <w:rtl/>
        </w:rPr>
        <w:t xml:space="preserve">כמרכזי נושא אלימות במשפחה </w:t>
      </w:r>
      <w:r w:rsidRPr="002F2BC5">
        <w:rPr>
          <w:rFonts w:hint="cs"/>
          <w:rtl/>
        </w:rPr>
        <w:t>בבתי החולים הכלליים, בקופות החולים ובשני בתי חולים פסיכיאטריים</w:t>
      </w:r>
      <w:r w:rsidRPr="002F2BC5">
        <w:rPr>
          <w:rStyle w:val="af9"/>
          <w:rtl/>
        </w:rPr>
        <w:footnoteReference w:id="261"/>
      </w:r>
      <w:r w:rsidRPr="002F2BC5">
        <w:rPr>
          <w:rFonts w:hint="cs"/>
          <w:rtl/>
        </w:rPr>
        <w:t xml:space="preserve"> (</w:t>
      </w:r>
      <w:bookmarkStart w:id="1250" w:name="_Hlk202259628"/>
      <w:r w:rsidRPr="002F2BC5">
        <w:rPr>
          <w:rFonts w:hint="cs"/>
          <w:rtl/>
        </w:rPr>
        <w:t>להלן - רכזי אלימות במשפחה</w:t>
      </w:r>
      <w:bookmarkEnd w:id="1250"/>
      <w:r w:rsidRPr="002F2BC5">
        <w:rPr>
          <w:rFonts w:hint="cs"/>
          <w:rtl/>
        </w:rPr>
        <w:t>). רכזי האלימות במשפחה אחראים בין השאר לריכוז הדיווחים על איתור מקרי אלימות במשפחה במוסדות הרפואיים; מתן מענה מקצועי בנושא האלימות במשפחה בתוך המוסד הרפואי; הכשרת הצוותים הרפואיים; וניהול ממשקי עבודה עם גורמי טיפול אחרים במערכות הבריאות, הרווחה ואכיפת החוק. רכזי האלימות במשפחה אמונים גם על ריכוז עבודתן של הוועדות הקבועות לאלימות במשפחה</w:t>
      </w:r>
      <w:r w:rsidRPr="002F2BC5">
        <w:rPr>
          <w:rStyle w:val="af9"/>
          <w:rtl/>
        </w:rPr>
        <w:footnoteReference w:id="262"/>
      </w:r>
      <w:r w:rsidRPr="002F2BC5">
        <w:rPr>
          <w:rFonts w:hint="cs"/>
          <w:rtl/>
        </w:rPr>
        <w:t xml:space="preserve">. </w:t>
      </w:r>
    </w:p>
    <w:p w14:paraId="637DE7C2" w14:textId="77777777" w:rsidR="00817399" w:rsidRPr="002F2BC5" w:rsidRDefault="00817399" w:rsidP="00817399">
      <w:pPr>
        <w:spacing w:line="269" w:lineRule="auto"/>
        <w:rPr>
          <w:rtl/>
        </w:rPr>
      </w:pPr>
    </w:p>
    <w:p w14:paraId="7030EAF2" w14:textId="77777777" w:rsidR="00817399" w:rsidRPr="002F2BC5" w:rsidRDefault="00817399" w:rsidP="00817399">
      <w:pPr>
        <w:spacing w:line="269" w:lineRule="auto"/>
        <w:rPr>
          <w:rtl/>
        </w:rPr>
      </w:pPr>
      <w:r w:rsidRPr="002F2BC5">
        <w:rPr>
          <w:rFonts w:hint="cs"/>
          <w:rtl/>
        </w:rPr>
        <w:t>בביקורת המעקב נבדק ניצול התקציב המוקצה לטובת העסקתם של רכזי אלימות במשפחה בבתי החולים הכלליים ובקופות החולים. לצד זאת נכללו בביקורת הנוכחית שני נושאים נוספים: ריכוז נושא האלימות במשפחה במערך בריאות הנפש בכללותו וכן העסקת עובדים סוציאליים האמונים על ריכוז רצף הטיפול בריאות-רווחה בנושא מניעה וטיפול באלימות במשפחה ואוכלוסיות בסיכון בקופות החולים (להלן - רכזי רצף טיפול באלימות במשפחה). להלן יפורטו ממצאי ביקורת המעקב והביקורת הנוכחית בנושאים אלו.</w:t>
      </w:r>
    </w:p>
    <w:p w14:paraId="1FB22E37" w14:textId="77777777" w:rsidR="00817399" w:rsidRPr="002F2BC5" w:rsidRDefault="00817399" w:rsidP="00817399">
      <w:pPr>
        <w:spacing w:line="269" w:lineRule="auto"/>
        <w:rPr>
          <w:rtl/>
        </w:rPr>
      </w:pPr>
    </w:p>
    <w:p w14:paraId="11A3C7D4" w14:textId="77777777" w:rsidR="00817399" w:rsidRPr="002F2BC5" w:rsidRDefault="00817399" w:rsidP="00817399">
      <w:pPr>
        <w:pStyle w:val="6"/>
        <w:spacing w:line="269" w:lineRule="auto"/>
        <w:rPr>
          <w:rtl/>
        </w:rPr>
      </w:pPr>
      <w:bookmarkStart w:id="1251" w:name="_Toc189072243"/>
      <w:bookmarkStart w:id="1252" w:name="_Toc191987036"/>
      <w:bookmarkStart w:id="1253" w:name="_Toc193110618"/>
      <w:r w:rsidRPr="002F2BC5">
        <w:rPr>
          <w:rFonts w:hint="cs"/>
          <w:rtl/>
        </w:rPr>
        <w:t>העסקת רכזי אלימות במשפחה בבתי החולים הכלליים ובקופות החולים</w:t>
      </w:r>
      <w:bookmarkEnd w:id="1251"/>
      <w:bookmarkEnd w:id="1252"/>
      <w:bookmarkEnd w:id="1253"/>
    </w:p>
    <w:p w14:paraId="5335CD4E" w14:textId="77777777" w:rsidR="00817399" w:rsidRPr="002F2BC5" w:rsidRDefault="00817399" w:rsidP="00817399">
      <w:pPr>
        <w:spacing w:line="269" w:lineRule="auto"/>
        <w:rPr>
          <w:rtl/>
        </w:rPr>
      </w:pPr>
    </w:p>
    <w:p w14:paraId="52121981" w14:textId="77777777" w:rsidR="00817399" w:rsidRPr="002F2BC5" w:rsidRDefault="00817399" w:rsidP="00817399">
      <w:pPr>
        <w:spacing w:line="269" w:lineRule="auto"/>
        <w:rPr>
          <w:rtl/>
        </w:rPr>
      </w:pPr>
      <w:bookmarkStart w:id="1254" w:name="_Toc191987037"/>
      <w:r w:rsidRPr="002F2BC5">
        <w:rPr>
          <w:rStyle w:val="70"/>
          <w:rFonts w:hint="cs"/>
          <w:rtl/>
        </w:rPr>
        <w:t>הביקורת הקודמת:</w:t>
      </w:r>
      <w:bookmarkEnd w:id="1254"/>
      <w:r w:rsidRPr="002F2BC5">
        <w:rPr>
          <w:rStyle w:val="70"/>
          <w:rFonts w:hint="cs"/>
          <w:rtl/>
        </w:rPr>
        <w:t xml:space="preserve"> </w:t>
      </w:r>
      <w:r w:rsidRPr="002F2BC5">
        <w:rPr>
          <w:rFonts w:hint="cs"/>
          <w:rtl/>
        </w:rPr>
        <w:t xml:space="preserve">נמצא כי לאומית שירותי בריאות ואחד מבתי החולים הכלליים (להלן - בית החולים א') לא ניצלו באף אחת מהשנים, משנת 2013, את התקציב שהקצה להם משרד הבריאות לטובת העסקת רכז אלימות במשפחה. </w:t>
      </w:r>
    </w:p>
    <w:p w14:paraId="1B69407C" w14:textId="77777777" w:rsidR="00817399" w:rsidRPr="002F2BC5" w:rsidRDefault="00817399" w:rsidP="00817399">
      <w:pPr>
        <w:spacing w:line="269" w:lineRule="auto"/>
        <w:rPr>
          <w:rtl/>
        </w:rPr>
      </w:pPr>
    </w:p>
    <w:p w14:paraId="2FDB87A0"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כי כלל בתי החולים וקופות החולים יפעלו לניצול מלוא התקציב הייעודי שמקצה משרד הבריאות לטובת העסקת רכזי אלימות במשפחה. </w:t>
      </w:r>
      <w:r w:rsidRPr="002F2BC5">
        <w:rPr>
          <w:rFonts w:hint="eastAsia"/>
          <w:rtl/>
        </w:rPr>
        <w:t>עוד</w:t>
      </w:r>
      <w:r w:rsidRPr="002F2BC5">
        <w:rPr>
          <w:rtl/>
        </w:rPr>
        <w:t xml:space="preserve"> </w:t>
      </w:r>
      <w:r w:rsidRPr="002F2BC5">
        <w:rPr>
          <w:rFonts w:hint="cs"/>
          <w:rtl/>
        </w:rPr>
        <w:t xml:space="preserve">המליץ משרד מבקר המדינה </w:t>
      </w:r>
      <w:r w:rsidRPr="002F2BC5">
        <w:rPr>
          <w:rtl/>
        </w:rPr>
        <w:t xml:space="preserve">כי משרד הבריאות יעקוב אחר </w:t>
      </w:r>
      <w:r w:rsidRPr="002F2BC5">
        <w:rPr>
          <w:rFonts w:hint="cs"/>
          <w:rtl/>
        </w:rPr>
        <w:t>ניצול התקציב,</w:t>
      </w:r>
      <w:r w:rsidRPr="002F2BC5">
        <w:rPr>
          <w:rtl/>
        </w:rPr>
        <w:t xml:space="preserve"> ו</w:t>
      </w:r>
      <w:r w:rsidRPr="002F2BC5">
        <w:rPr>
          <w:rFonts w:hint="cs"/>
          <w:rtl/>
        </w:rPr>
        <w:t>במידת הצורך ינחה</w:t>
      </w:r>
      <w:r w:rsidRPr="002F2BC5">
        <w:rPr>
          <w:rtl/>
        </w:rPr>
        <w:t xml:space="preserve"> את בתי החולים </w:t>
      </w:r>
      <w:r w:rsidRPr="002F2BC5">
        <w:rPr>
          <w:rFonts w:hint="eastAsia"/>
          <w:rtl/>
        </w:rPr>
        <w:t>וקופות</w:t>
      </w:r>
      <w:r w:rsidRPr="002F2BC5">
        <w:rPr>
          <w:rtl/>
        </w:rPr>
        <w:t xml:space="preserve"> </w:t>
      </w:r>
      <w:r w:rsidRPr="002F2BC5">
        <w:rPr>
          <w:rFonts w:hint="eastAsia"/>
          <w:rtl/>
        </w:rPr>
        <w:t>החולים</w:t>
      </w:r>
      <w:r w:rsidRPr="002F2BC5">
        <w:rPr>
          <w:rtl/>
        </w:rPr>
        <w:t xml:space="preserve"> </w:t>
      </w:r>
      <w:r w:rsidRPr="002F2BC5">
        <w:rPr>
          <w:rFonts w:hint="cs"/>
          <w:rtl/>
        </w:rPr>
        <w:t>לפעול לניצול התקציב כנדרש</w:t>
      </w:r>
      <w:r w:rsidRPr="002F2BC5">
        <w:rPr>
          <w:rtl/>
        </w:rPr>
        <w:t>.</w:t>
      </w:r>
    </w:p>
    <w:p w14:paraId="13EECFE8" w14:textId="77777777" w:rsidR="00817399" w:rsidRPr="002F2BC5" w:rsidRDefault="00817399" w:rsidP="00817399">
      <w:pPr>
        <w:spacing w:line="269" w:lineRule="auto"/>
        <w:rPr>
          <w:rtl/>
        </w:rPr>
      </w:pPr>
    </w:p>
    <w:p w14:paraId="4BAAB565" w14:textId="77777777" w:rsidR="00817399" w:rsidRPr="002F2BC5" w:rsidRDefault="00817399" w:rsidP="00817399">
      <w:pPr>
        <w:spacing w:line="269" w:lineRule="auto"/>
        <w:rPr>
          <w:rtl/>
        </w:rPr>
      </w:pPr>
      <w:r w:rsidRPr="002F2BC5">
        <w:rPr>
          <w:rFonts w:hint="cs"/>
          <w:rtl/>
        </w:rPr>
        <w:t>לאומית שירותי בריאות מסרה בתשובתה לביקורת הקודמת מפברואר 2021 כי לא ניצלה את התקציב הייעודי בשל מגבלות כוח אדם ושיטת התקצוב, אך ציינה כי היא פועלת מול משרד הבריאות לקדם את הנושא בשנת 2021. בית החולים א' מסר בתשובתו כי הוא מממן את נושא הטיפול באלימות במשפחה ללא קבלת תקצוב מהמדינה.</w:t>
      </w:r>
    </w:p>
    <w:p w14:paraId="6EFDD3C8" w14:textId="77777777" w:rsidR="00817399" w:rsidRPr="002F2BC5" w:rsidRDefault="00817399" w:rsidP="00817399">
      <w:pPr>
        <w:spacing w:line="269" w:lineRule="auto"/>
        <w:rPr>
          <w:rtl/>
        </w:rPr>
      </w:pPr>
    </w:p>
    <w:p w14:paraId="1AB295AC" w14:textId="77777777" w:rsidR="00817399" w:rsidRPr="002F2BC5" w:rsidRDefault="00817399" w:rsidP="00817399">
      <w:pPr>
        <w:spacing w:line="269" w:lineRule="auto"/>
        <w:rPr>
          <w:b/>
          <w:bCs/>
          <w:rtl/>
        </w:rPr>
      </w:pPr>
      <w:bookmarkStart w:id="1255" w:name="_Toc191987038"/>
      <w:r w:rsidRPr="002F2BC5">
        <w:rPr>
          <w:rStyle w:val="70"/>
          <w:rFonts w:hint="cs"/>
          <w:rtl/>
        </w:rPr>
        <w:t>ביקורת המעקב:</w:t>
      </w:r>
      <w:bookmarkEnd w:id="1255"/>
      <w:r w:rsidRPr="002F2BC5">
        <w:rPr>
          <w:rStyle w:val="70"/>
          <w:rFonts w:hint="cs"/>
          <w:rtl/>
        </w:rPr>
        <w:t xml:space="preserve"> </w:t>
      </w:r>
      <w:r w:rsidRPr="002F2BC5">
        <w:rPr>
          <w:rFonts w:hint="cs"/>
          <w:rtl/>
        </w:rPr>
        <w:t xml:space="preserve">נכון למועד סיום ביקורת המעקב, בדצמבר 2024, הועסקו כ-50 רכזי אלימות בבתי החולים הכלליים ובקופות החולים. ביקורת המעקב העלתה כי התקציב הייעודי שהקצה משרד הבריאות לטובת העסקת רכזי אלימות במשפחה נותר ללא שינוי בשנים 2021 - 2024, והוא עמד על כ-1.5 מיליוני ש"ח בכל שנה. נוסף על כך, משרד הבריאות הקצה תקציב </w:t>
      </w:r>
      <w:r w:rsidRPr="002F2BC5">
        <w:rPr>
          <w:rFonts w:hint="cs"/>
          <w:rtl/>
        </w:rPr>
        <w:lastRenderedPageBreak/>
        <w:t>הכשרה, הדרכה ופיתוח בנושא האלימות במשפחה בסכום של 200 אלפי ש"ח בכל שנה. בשנים 2021 ו-2022 נוצל התקציב הייעודי בשיעור של כ-90%. עם זאת, בשנת 2023, מבין בתי החולים הכלליים וקופות החולים שמשרד הבריאות הקצה להם תקציב ייעודי לטובת העסקת רכזי אלימות במשפחה - בית החולים א', שני בתי חולים כלליים נוספים (להלן - בתי החולים הנוספים) ולאומית שירותי בריאות לא מימשו את התקציב שהוקצה להם בסכום כולל של כ-250 אלפי ש"ח. תקציב ההכשרה, ההדרכה והפיתוח נוצל במלואו בכל אחת מהשנים 2021 - 2023.</w:t>
      </w:r>
    </w:p>
    <w:p w14:paraId="50249E42" w14:textId="77777777" w:rsidR="00817399" w:rsidRPr="002F2BC5" w:rsidRDefault="00817399" w:rsidP="00817399">
      <w:pPr>
        <w:spacing w:line="269" w:lineRule="auto"/>
        <w:rPr>
          <w:rtl/>
        </w:rPr>
      </w:pPr>
    </w:p>
    <w:p w14:paraId="27D81B5A" w14:textId="77777777" w:rsidR="00817399" w:rsidRPr="002F2BC5" w:rsidRDefault="00817399" w:rsidP="00817399">
      <w:pPr>
        <w:pStyle w:val="afffffff9"/>
        <w:spacing w:line="269" w:lineRule="auto"/>
        <w:rPr>
          <w:rtl/>
        </w:rPr>
      </w:pPr>
      <w:bookmarkStart w:id="1256" w:name="_Toc198312259"/>
      <w:bookmarkStart w:id="1257" w:name="_Toc198312736"/>
      <w:bookmarkStart w:id="1258" w:name="_Toc200636914"/>
      <w:bookmarkStart w:id="1259" w:name="_Toc200439912"/>
      <w:bookmarkStart w:id="1260" w:name="_Toc201241017"/>
      <w:bookmarkStart w:id="1261" w:name="_Toc191987039"/>
      <w:bookmarkStart w:id="1262" w:name="_Toc192093117"/>
      <w:bookmarkStart w:id="1263" w:name="_Toc192612825"/>
      <w:r w:rsidRPr="002F2BC5">
        <w:rPr>
          <w:rtl/>
        </w:rPr>
        <w:t xml:space="preserve">הביקורת הקודמת העלתה כי לאומית שירותי בריאות ובית החולים א' לא ניצלו באף אחת מהשנים, משנת 2013, את התקציב שהקצה להם משרד הבריאות לטובת העסקת רכז אלימות במשפחה. </w:t>
      </w:r>
      <w:r w:rsidRPr="002F2BC5">
        <w:rPr>
          <w:rFonts w:hint="cs"/>
          <w:rtl/>
        </w:rPr>
        <w:t xml:space="preserve">בביקורת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לא</w:t>
      </w:r>
      <w:r w:rsidRPr="002F2BC5">
        <w:rPr>
          <w:rtl/>
        </w:rPr>
        <w:t xml:space="preserve"> </w:t>
      </w:r>
      <w:r w:rsidRPr="002F2BC5">
        <w:rPr>
          <w:rFonts w:hint="eastAsia"/>
          <w:rtl/>
        </w:rPr>
        <w:t>תוקן</w:t>
      </w:r>
      <w:r w:rsidRPr="002F2BC5">
        <w:rPr>
          <w:rtl/>
        </w:rPr>
        <w:t>.</w:t>
      </w:r>
      <w:r w:rsidRPr="002F2BC5">
        <w:rPr>
          <w:rFonts w:hint="cs"/>
          <w:rtl/>
        </w:rPr>
        <w:t xml:space="preserve"> נמצא כי גם בשנים 2022 - 2023 לאומית שירותי בריאות ובית החולים א' לא ניצלו את התקציב האמור. יתרה מזו, בשנת 2023 לא נוצלה כשישית מהתקציב הייעודי שהקצה משרד הבריאות לטובת העסקתם של רכזי אלימות במשפחה בבתי החולים הכלליים ובקופות החולים (כ-250 אלפי ש"ח מתוך כ-1.5 מיליוני ש"ח).</w:t>
      </w:r>
      <w:bookmarkEnd w:id="1256"/>
      <w:bookmarkEnd w:id="1257"/>
      <w:bookmarkEnd w:id="1258"/>
      <w:bookmarkEnd w:id="1259"/>
      <w:bookmarkEnd w:id="1260"/>
      <w:r w:rsidRPr="002F2BC5">
        <w:rPr>
          <w:rFonts w:hint="cs"/>
          <w:rtl/>
        </w:rPr>
        <w:t xml:space="preserve"> </w:t>
      </w:r>
      <w:bookmarkEnd w:id="1261"/>
      <w:bookmarkEnd w:id="1262"/>
      <w:bookmarkEnd w:id="1263"/>
    </w:p>
    <w:p w14:paraId="289E0937" w14:textId="77777777" w:rsidR="00817399" w:rsidRPr="002F2BC5" w:rsidRDefault="00817399" w:rsidP="00817399">
      <w:pPr>
        <w:spacing w:line="269" w:lineRule="auto"/>
        <w:rPr>
          <w:rtl/>
        </w:rPr>
      </w:pPr>
    </w:p>
    <w:p w14:paraId="51D43B53" w14:textId="77777777" w:rsidR="00817399" w:rsidRPr="002F2BC5" w:rsidRDefault="00817399" w:rsidP="00817399">
      <w:pPr>
        <w:spacing w:line="269" w:lineRule="auto"/>
        <w:rPr>
          <w:rtl/>
        </w:rPr>
      </w:pPr>
      <w:r w:rsidRPr="002F2BC5">
        <w:rPr>
          <w:rFonts w:hint="cs"/>
          <w:rtl/>
        </w:rPr>
        <w:t xml:space="preserve">ביקורת המעקב העלתה עוד כי בתי החולים הנוספים לא מימשו בשנת 2023 את התקציב הייעודי על רקע מחלוקת על גובה שכרם של רכזי האלימות במשפחה. אשר ללאומית שירותי בריאות, </w:t>
      </w:r>
      <w:bookmarkStart w:id="1264" w:name="_Hlk183445685"/>
      <w:r w:rsidRPr="002F2BC5">
        <w:rPr>
          <w:rFonts w:hint="cs"/>
          <w:rtl/>
        </w:rPr>
        <w:t xml:space="preserve">ממשרד הבריאות נמסר במהלך ביקורת </w:t>
      </w:r>
      <w:bookmarkEnd w:id="1264"/>
      <w:r w:rsidRPr="002F2BC5">
        <w:rPr>
          <w:rFonts w:hint="cs"/>
          <w:rtl/>
        </w:rPr>
        <w:t>המעקב, בנובמבר 2024, כי התקציב לא נוצל בשנת 2023 בשל קושי באיוש התפקיד.</w:t>
      </w:r>
    </w:p>
    <w:p w14:paraId="55F4CFC5" w14:textId="77777777" w:rsidR="00817399" w:rsidRPr="002F2BC5" w:rsidRDefault="00817399" w:rsidP="00817399">
      <w:pPr>
        <w:spacing w:line="269" w:lineRule="auto"/>
        <w:rPr>
          <w:rtl/>
        </w:rPr>
      </w:pPr>
    </w:p>
    <w:p w14:paraId="2BD392A2" w14:textId="77777777" w:rsidR="00817399" w:rsidRPr="002F2BC5" w:rsidRDefault="00817399" w:rsidP="00817399">
      <w:pPr>
        <w:spacing w:line="269" w:lineRule="auto"/>
        <w:rPr>
          <w:rtl/>
        </w:rPr>
      </w:pPr>
      <w:r w:rsidRPr="002F2BC5">
        <w:rPr>
          <w:rFonts w:hint="cs"/>
          <w:rtl/>
        </w:rPr>
        <w:t>יצוין כי לפי נתוני משרד הבריאות, בבית החולים א' ובלאומית שירותי בריאות, שכאמור לא מימשו את התקציב שהוקצה להם לטובת העסקתם של רכזי אלימות במשפחה, ה</w:t>
      </w:r>
      <w:r w:rsidRPr="002F2BC5">
        <w:rPr>
          <w:rtl/>
        </w:rPr>
        <w:t xml:space="preserve">אחראים בין השאר </w:t>
      </w:r>
      <w:r w:rsidRPr="002F2BC5">
        <w:rPr>
          <w:rFonts w:hint="cs"/>
          <w:rtl/>
        </w:rPr>
        <w:t>ל</w:t>
      </w:r>
      <w:r w:rsidRPr="002F2BC5">
        <w:rPr>
          <w:rtl/>
        </w:rPr>
        <w:t>ריכוז הדיווחים על איתור מקרי אלימות במשפחה במוסדות הרפואיים</w:t>
      </w:r>
      <w:r w:rsidRPr="002F2BC5">
        <w:rPr>
          <w:rFonts w:hint="cs"/>
          <w:rtl/>
        </w:rPr>
        <w:t xml:space="preserve"> - גם לא התקבל כל דיווח על מקרי אלימות במשפחה שאותרו על ידי גורמי הבריאות במוסדות אלו בשנים 2022 ו-2023.</w:t>
      </w:r>
    </w:p>
    <w:p w14:paraId="6EAD1110" w14:textId="77777777" w:rsidR="00817399" w:rsidRPr="002F2BC5" w:rsidRDefault="00817399" w:rsidP="00817399">
      <w:pPr>
        <w:spacing w:line="269" w:lineRule="auto"/>
        <w:rPr>
          <w:rtl/>
        </w:rPr>
      </w:pPr>
    </w:p>
    <w:p w14:paraId="00748635" w14:textId="77777777" w:rsidR="00817399" w:rsidRPr="002F2BC5" w:rsidRDefault="00817399" w:rsidP="00817399">
      <w:pPr>
        <w:spacing w:line="269" w:lineRule="auto"/>
        <w:rPr>
          <w:rtl/>
        </w:rPr>
      </w:pPr>
      <w:r w:rsidRPr="002F2BC5">
        <w:rPr>
          <w:rFonts w:hint="cs"/>
          <w:rtl/>
        </w:rPr>
        <w:t xml:space="preserve">לאומית שירותי בריאות מסרה בתשובתה מאפריל 2025 כי לא עלה בידה לאייש את התקן של רכז אלימות במשפחה מקרב עובדיה בשל חוסר נכונותם להגדיל את היקף משרתם והוסיפה שהיא עושה מאמצים לגייס עובד חדש לאיוש תפקיד חשוב ורגיש זה, אך קיים קושי לגייס עובד איכותי לתפקיד בחלקיות משרה. בתי החולים הנוספים מסרו בתשובתם ממרץ 2025 כי אומנם לא הועבר תקציב ייעודי ממשרד הבריאות </w:t>
      </w:r>
      <w:r w:rsidRPr="002F2BC5">
        <w:rPr>
          <w:rtl/>
        </w:rPr>
        <w:t>בשנת 2023</w:t>
      </w:r>
      <w:r w:rsidRPr="002F2BC5">
        <w:rPr>
          <w:rFonts w:hint="cs"/>
          <w:rtl/>
        </w:rPr>
        <w:t>,</w:t>
      </w:r>
      <w:r w:rsidRPr="002F2BC5">
        <w:rPr>
          <w:rtl/>
        </w:rPr>
        <w:t xml:space="preserve"> </w:t>
      </w:r>
      <w:r w:rsidRPr="002F2BC5">
        <w:rPr>
          <w:rFonts w:hint="cs"/>
          <w:rtl/>
        </w:rPr>
        <w:t xml:space="preserve">אולם הם המשיכו לאייש את התפקיד, וכי התקציב עבור שנה זו </w:t>
      </w:r>
      <w:r w:rsidRPr="002F2BC5">
        <w:rPr>
          <w:rFonts w:hint="eastAsia"/>
          <w:rtl/>
        </w:rPr>
        <w:t>צפוי</w:t>
      </w:r>
      <w:r w:rsidRPr="002F2BC5">
        <w:rPr>
          <w:rtl/>
        </w:rPr>
        <w:t xml:space="preserve"> </w:t>
      </w:r>
      <w:r w:rsidRPr="002F2BC5">
        <w:rPr>
          <w:rFonts w:hint="eastAsia"/>
          <w:rtl/>
        </w:rPr>
        <w:t>לעבור</w:t>
      </w:r>
      <w:r w:rsidRPr="002F2BC5">
        <w:rPr>
          <w:rtl/>
        </w:rPr>
        <w:t xml:space="preserve"> </w:t>
      </w:r>
      <w:r w:rsidRPr="002F2BC5">
        <w:rPr>
          <w:rFonts w:hint="eastAsia"/>
          <w:rtl/>
        </w:rPr>
        <w:t>אליהם</w:t>
      </w:r>
      <w:r w:rsidRPr="002F2BC5">
        <w:rPr>
          <w:rFonts w:hint="cs"/>
          <w:rtl/>
        </w:rPr>
        <w:t xml:space="preserve"> לאחר פתרון המחלוקות בנושא</w:t>
      </w:r>
      <w:r w:rsidRPr="002F2BC5">
        <w:rPr>
          <w:rtl/>
        </w:rPr>
        <w:t>.</w:t>
      </w:r>
    </w:p>
    <w:p w14:paraId="114D483E" w14:textId="77777777" w:rsidR="00817399" w:rsidRPr="002F2BC5" w:rsidRDefault="00817399" w:rsidP="00817399">
      <w:pPr>
        <w:spacing w:line="269" w:lineRule="auto"/>
        <w:rPr>
          <w:rtl/>
        </w:rPr>
      </w:pPr>
    </w:p>
    <w:p w14:paraId="5CD933B6" w14:textId="77777777" w:rsidR="00817399" w:rsidRPr="002F2BC5" w:rsidRDefault="00817399" w:rsidP="00817399">
      <w:pPr>
        <w:pStyle w:val="afffffffa"/>
        <w:spacing w:line="269" w:lineRule="auto"/>
        <w:rPr>
          <w:rtl/>
        </w:rPr>
      </w:pPr>
      <w:bookmarkStart w:id="1265" w:name="_Toc191987040"/>
      <w:bookmarkStart w:id="1266" w:name="_Toc192093118"/>
      <w:bookmarkStart w:id="1267" w:name="_Toc192612826"/>
      <w:bookmarkStart w:id="1268" w:name="_Toc198312260"/>
      <w:bookmarkStart w:id="1269" w:name="_Toc198312737"/>
      <w:bookmarkStart w:id="1270" w:name="_Toc200636915"/>
      <w:bookmarkStart w:id="1271" w:name="_Toc200439913"/>
      <w:bookmarkStart w:id="1272" w:name="_Toc201241018"/>
      <w:r w:rsidRPr="002F2BC5">
        <w:rPr>
          <w:rFonts w:hint="cs"/>
          <w:rtl/>
        </w:rPr>
        <w:t>מומלץ ל</w:t>
      </w:r>
      <w:r w:rsidRPr="002F2BC5">
        <w:rPr>
          <w:rtl/>
        </w:rPr>
        <w:t xml:space="preserve">משרד הבריאות </w:t>
      </w:r>
      <w:r w:rsidRPr="002F2BC5">
        <w:rPr>
          <w:rFonts w:hint="cs"/>
          <w:rtl/>
        </w:rPr>
        <w:t xml:space="preserve">לפעול להסרת החסמים העומדים בפני לאומית שירותי בריאות בניצול התקציב הייעודי להעסקת רכז אלימות במשפחה. מומלץ עוד כי משרד הבריאות יפעל לפתרון המחלוקות עם </w:t>
      </w:r>
      <w:r w:rsidRPr="002F2BC5">
        <w:rPr>
          <w:rFonts w:hint="eastAsia"/>
          <w:rtl/>
        </w:rPr>
        <w:t>בתי</w:t>
      </w:r>
      <w:r w:rsidRPr="002F2BC5">
        <w:rPr>
          <w:rtl/>
        </w:rPr>
        <w:t xml:space="preserve"> החולים </w:t>
      </w:r>
      <w:r w:rsidRPr="002F2BC5">
        <w:rPr>
          <w:rFonts w:hint="eastAsia"/>
          <w:rtl/>
        </w:rPr>
        <w:t>הנוספים</w:t>
      </w:r>
      <w:r w:rsidRPr="002F2BC5">
        <w:rPr>
          <w:rtl/>
        </w:rPr>
        <w:t xml:space="preserve"> </w:t>
      </w:r>
      <w:r w:rsidRPr="002F2BC5">
        <w:rPr>
          <w:rFonts w:hint="cs"/>
          <w:rtl/>
        </w:rPr>
        <w:t>כדי לקדם את העסקתם של רכזי האלימות במשפחה. על משרד הבריאות לקיים מעקב אחר בתי החולים וקופות החולים שאינם מנצלים את התקציב הייעודי, כדי להבטיח כי גם כאשר התקציב הייעודי אינו מנוצל במלואו, ניתן בבתי החולים ובקופות החולים הללו מענה חלופי לנושא האלימות במשפחה, בפרט לנוכח היעדר הדיווח על מקרי אלימות במשפחה שאותרו בלאומית שירותי בריאות ובבית החולים א'</w:t>
      </w:r>
      <w:r w:rsidRPr="002F2BC5">
        <w:rPr>
          <w:rtl/>
        </w:rPr>
        <w:t>.</w:t>
      </w:r>
      <w:bookmarkEnd w:id="1265"/>
      <w:bookmarkEnd w:id="1266"/>
      <w:bookmarkEnd w:id="1267"/>
      <w:bookmarkEnd w:id="1268"/>
      <w:bookmarkEnd w:id="1269"/>
      <w:bookmarkEnd w:id="1270"/>
      <w:bookmarkEnd w:id="1271"/>
      <w:bookmarkEnd w:id="1272"/>
    </w:p>
    <w:p w14:paraId="13A1B382" w14:textId="77777777" w:rsidR="00817399" w:rsidRPr="002F2BC5" w:rsidRDefault="00817399" w:rsidP="00817399">
      <w:pPr>
        <w:spacing w:line="269" w:lineRule="auto"/>
        <w:rPr>
          <w:rtl/>
        </w:rPr>
      </w:pPr>
    </w:p>
    <w:p w14:paraId="3D70510D" w14:textId="77777777" w:rsidR="00817399" w:rsidRDefault="00817399" w:rsidP="00817399">
      <w:pPr>
        <w:spacing w:line="269" w:lineRule="auto"/>
        <w:rPr>
          <w:rtl/>
        </w:rPr>
      </w:pPr>
      <w:r w:rsidRPr="002F2BC5">
        <w:rPr>
          <w:rFonts w:hint="cs"/>
          <w:rtl/>
        </w:rPr>
        <w:t xml:space="preserve">משרד הבריאות מסר בתשובתו כי יקיים חשיבה מחודשת בכל הנוגע לניצול התקציב וידון עם הגורמים הרלוונטיים בבתי החולים בעניין החסמים לניצולו כדי לקדם את הסרתם. </w:t>
      </w:r>
    </w:p>
    <w:p w14:paraId="18E23CDC" w14:textId="77777777" w:rsidR="000F5D42" w:rsidRPr="002F2BC5" w:rsidRDefault="000F5D42" w:rsidP="00817399">
      <w:pPr>
        <w:spacing w:line="269" w:lineRule="auto"/>
        <w:rPr>
          <w:rtl/>
        </w:rPr>
      </w:pPr>
    </w:p>
    <w:p w14:paraId="3A45954B" w14:textId="77777777" w:rsidR="00817399" w:rsidRPr="002F2BC5" w:rsidRDefault="00817399" w:rsidP="00817399">
      <w:pPr>
        <w:pStyle w:val="afffffff2"/>
        <w:spacing w:line="269" w:lineRule="auto"/>
        <w:rPr>
          <w:sz w:val="24"/>
          <w:rtl/>
        </w:rPr>
      </w:pPr>
      <w:r w:rsidRPr="002F2BC5">
        <w:rPr>
          <w:rFonts w:hint="cs"/>
          <w:rtl/>
        </w:rPr>
        <w:lastRenderedPageBreak/>
        <w:t>מידת תיקון הליקוי</w:t>
      </w:r>
    </w:p>
    <w:p w14:paraId="1A7D4221" w14:textId="77777777" w:rsidR="00817399" w:rsidRPr="002F2BC5" w:rsidRDefault="00817399" w:rsidP="00817399">
      <w:pPr>
        <w:pStyle w:val="afffffff7"/>
        <w:spacing w:before="0" w:line="269" w:lineRule="auto"/>
        <w:rPr>
          <w:rtl/>
        </w:rPr>
      </w:pPr>
      <w:bookmarkStart w:id="1273" w:name="_Toc198312261"/>
      <w:bookmarkStart w:id="1274" w:name="_Toc198312738"/>
      <w:bookmarkStart w:id="1275" w:name="_Toc189072244"/>
      <w:r w:rsidRPr="002F2BC5">
        <w:rPr>
          <w:noProof/>
        </w:rPr>
        <w:drawing>
          <wp:inline distT="0" distB="0" distL="0" distR="0" wp14:anchorId="26C40F2E" wp14:editId="4A870F4F">
            <wp:extent cx="4324350" cy="933450"/>
            <wp:effectExtent l="0" t="0" r="0" b="0"/>
            <wp:docPr id="29"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273"/>
      <w:bookmarkEnd w:id="1274"/>
    </w:p>
    <w:bookmarkEnd w:id="1275"/>
    <w:p w14:paraId="525EA455" w14:textId="77777777" w:rsidR="00817399" w:rsidRPr="002F2BC5" w:rsidRDefault="00817399" w:rsidP="00817399">
      <w:pPr>
        <w:spacing w:line="269" w:lineRule="auto"/>
        <w:rPr>
          <w:rtl/>
        </w:rPr>
      </w:pPr>
    </w:p>
    <w:p w14:paraId="13D34180" w14:textId="77777777" w:rsidR="00817399" w:rsidRPr="002F2BC5" w:rsidRDefault="00817399" w:rsidP="00817399">
      <w:pPr>
        <w:pStyle w:val="6"/>
        <w:spacing w:line="269" w:lineRule="auto"/>
        <w:rPr>
          <w:rtl/>
        </w:rPr>
      </w:pPr>
      <w:bookmarkStart w:id="1276" w:name="_Toc189072245"/>
      <w:bookmarkStart w:id="1277" w:name="_Toc191987041"/>
      <w:bookmarkStart w:id="1278" w:name="_Toc193110619"/>
      <w:r w:rsidRPr="002F2BC5">
        <w:rPr>
          <w:rFonts w:hint="cs"/>
          <w:rtl/>
        </w:rPr>
        <w:t>העסקת רכזי אלימות במשפחה במערך בריאות הנפש</w:t>
      </w:r>
      <w:bookmarkEnd w:id="1276"/>
      <w:bookmarkEnd w:id="1277"/>
      <w:bookmarkEnd w:id="1278"/>
    </w:p>
    <w:p w14:paraId="2A847F34" w14:textId="77777777" w:rsidR="00817399" w:rsidRPr="002F2BC5" w:rsidRDefault="00817399" w:rsidP="00817399">
      <w:pPr>
        <w:spacing w:line="269" w:lineRule="auto"/>
        <w:rPr>
          <w:rtl/>
        </w:rPr>
      </w:pPr>
    </w:p>
    <w:p w14:paraId="3810AE1B" w14:textId="77777777" w:rsidR="00817399" w:rsidRPr="002F2BC5" w:rsidRDefault="00817399" w:rsidP="00817399">
      <w:pPr>
        <w:spacing w:line="269" w:lineRule="auto"/>
        <w:rPr>
          <w:rtl/>
        </w:rPr>
      </w:pPr>
      <w:bookmarkStart w:id="1279" w:name="_Toc191987042"/>
      <w:r w:rsidRPr="002F2BC5">
        <w:rPr>
          <w:rStyle w:val="70"/>
          <w:rFonts w:hint="cs"/>
          <w:rtl/>
        </w:rPr>
        <w:t>הנושא המפורט להלן נבדק לראשונה במסגרת ביקורת זו:</w:t>
      </w:r>
      <w:bookmarkEnd w:id="1279"/>
      <w:r w:rsidRPr="002F2BC5">
        <w:rPr>
          <w:rFonts w:hint="cs"/>
          <w:rtl/>
        </w:rPr>
        <w:t xml:space="preserve"> בין יתר הגורמים שלפי מחקרים עשויים לנבא חשיפה לאלימות בתוך התא המשפחתי ובתוך מערכת היחסים הזוגית נמנית התמודדות נפשית - הן של נפגעי האלימות והן של הפוגעים. בין השאר ישנם מחקרים המצביעים על כך שנשים וגברים שהם מתמודדי נפש עלולים להיות חשופים בשיעור גבוה יותר לאלימות בכלל ולאלימות בתוך התא המשפחתי ובמערכת היחסים הזוגית בפרט</w:t>
      </w:r>
      <w:r w:rsidRPr="002F2BC5">
        <w:rPr>
          <w:rStyle w:val="af9"/>
          <w:rtl/>
        </w:rPr>
        <w:footnoteReference w:id="263"/>
      </w:r>
      <w:r w:rsidRPr="002F2BC5">
        <w:rPr>
          <w:rFonts w:hint="cs"/>
          <w:rtl/>
        </w:rPr>
        <w:t>. מנגד מחקרים מצביעים גם על קשר בין התמודדות נפשית של אדם ובין מידת מסוכנותו של אותו אדם ונטייתו להתנהגות אלימה, בפרט כלפי בני משפחה, ובתוך כך כלפי בן זוגו</w:t>
      </w:r>
      <w:r w:rsidRPr="002F2BC5">
        <w:rPr>
          <w:rStyle w:val="af9"/>
          <w:rtl/>
        </w:rPr>
        <w:footnoteReference w:id="264"/>
      </w:r>
      <w:r w:rsidRPr="002F2BC5">
        <w:rPr>
          <w:rFonts w:hint="cs"/>
          <w:rtl/>
        </w:rPr>
        <w:t xml:space="preserve">. </w:t>
      </w:r>
    </w:p>
    <w:p w14:paraId="72F40ED5" w14:textId="77777777" w:rsidR="00817399" w:rsidRPr="002F2BC5" w:rsidRDefault="00817399" w:rsidP="00817399">
      <w:pPr>
        <w:spacing w:line="269" w:lineRule="auto"/>
        <w:rPr>
          <w:rtl/>
        </w:rPr>
      </w:pPr>
    </w:p>
    <w:p w14:paraId="17E9F718" w14:textId="77777777" w:rsidR="00817399" w:rsidRPr="002F2BC5" w:rsidRDefault="00817399" w:rsidP="00817399">
      <w:pPr>
        <w:spacing w:line="269" w:lineRule="auto"/>
        <w:rPr>
          <w:rtl/>
        </w:rPr>
      </w:pPr>
      <w:r w:rsidRPr="002F2BC5">
        <w:rPr>
          <w:rFonts w:hint="cs"/>
          <w:rtl/>
        </w:rPr>
        <w:t xml:space="preserve">משרד הבריאות אוסף ומנטר נתונים על נפגעי אלימות במשפחה שאותרו במערכת הבריאות, בין השאר לפי סיבת הפנייה המוצהרת של הנפגע למערכת הבריאות, שהובילה לאיתור וזיהוי שלו כנפגע אלימות במשפחה (להלן - סיבת הפּנייה המוצהרת). </w:t>
      </w:r>
    </w:p>
    <w:p w14:paraId="05B914FC" w14:textId="77777777" w:rsidR="00817399" w:rsidRPr="002F2BC5" w:rsidRDefault="00817399" w:rsidP="00817399">
      <w:pPr>
        <w:spacing w:line="269" w:lineRule="auto"/>
        <w:rPr>
          <w:rtl/>
        </w:rPr>
      </w:pPr>
    </w:p>
    <w:p w14:paraId="2866C30B" w14:textId="77777777" w:rsidR="00817399" w:rsidRPr="002F2BC5" w:rsidRDefault="00817399" w:rsidP="00817399">
      <w:pPr>
        <w:pStyle w:val="afffffff9"/>
        <w:spacing w:line="269" w:lineRule="auto"/>
        <w:rPr>
          <w:rtl/>
        </w:rPr>
      </w:pPr>
      <w:bookmarkStart w:id="1280" w:name="_Toc191987043"/>
      <w:bookmarkStart w:id="1281" w:name="_Toc192093119"/>
      <w:bookmarkStart w:id="1282" w:name="_Toc192612827"/>
      <w:bookmarkStart w:id="1283" w:name="_Toc198312262"/>
      <w:bookmarkStart w:id="1284" w:name="_Toc198312739"/>
      <w:bookmarkStart w:id="1285" w:name="_Toc200636916"/>
      <w:bookmarkStart w:id="1286" w:name="_Toc200439914"/>
      <w:bookmarkStart w:id="1287" w:name="_Toc201241019"/>
      <w:r w:rsidRPr="002F2BC5">
        <w:rPr>
          <w:rFonts w:hint="cs"/>
          <w:rtl/>
        </w:rPr>
        <w:t>הביקורת הנוכחית העלתה כי בשנת 2021 קרוב לחמישית (כ-18%) ממקרי האלימות במשפחה שאותרו במערכת הבריאות</w:t>
      </w:r>
      <w:r w:rsidRPr="002F2BC5">
        <w:rPr>
          <w:rStyle w:val="af9"/>
          <w:b w:val="0"/>
          <w:bCs w:val="0"/>
          <w:rtl/>
        </w:rPr>
        <w:footnoteReference w:id="265"/>
      </w:r>
      <w:r w:rsidRPr="002F2BC5">
        <w:rPr>
          <w:rFonts w:hint="cs"/>
          <w:rtl/>
        </w:rPr>
        <w:t xml:space="preserve"> היו בעקבות פנייה מוצהרת על רקע תסמינים נפשיים, לרבות ניסיונות אובדניים והתמכרות (1,630 מתוך 8,814). עם זאת, משרד הבריאות אינו מקצה תקציב ייעודי לטובת העסקת רכזי אלימות במשפחה בבתי החולים הפסיכיאטריים ובמערך בריאות הנפש בקהילה, ונכון למועד סיום הביקורת הנוכחית, בדצמבר 2024, רכזים כאלו מועסקים רק בשני בתי חולים פסיכיאטריים</w:t>
      </w:r>
      <w:r w:rsidRPr="002F2BC5">
        <w:rPr>
          <w:rStyle w:val="af9"/>
          <w:b w:val="0"/>
          <w:bCs w:val="0"/>
          <w:rtl/>
        </w:rPr>
        <w:footnoteReference w:id="266"/>
      </w:r>
      <w:r w:rsidRPr="002F2BC5">
        <w:rPr>
          <w:rFonts w:hint="cs"/>
          <w:rtl/>
        </w:rPr>
        <w:t>.</w:t>
      </w:r>
      <w:bookmarkEnd w:id="1280"/>
      <w:bookmarkEnd w:id="1281"/>
      <w:bookmarkEnd w:id="1282"/>
      <w:bookmarkEnd w:id="1283"/>
      <w:bookmarkEnd w:id="1284"/>
      <w:bookmarkEnd w:id="1285"/>
      <w:bookmarkEnd w:id="1286"/>
      <w:bookmarkEnd w:id="1287"/>
    </w:p>
    <w:p w14:paraId="09553904" w14:textId="77777777" w:rsidR="00817399" w:rsidRPr="002F2BC5" w:rsidRDefault="00817399" w:rsidP="00817399">
      <w:pPr>
        <w:spacing w:line="269" w:lineRule="auto"/>
        <w:rPr>
          <w:rtl/>
        </w:rPr>
      </w:pPr>
    </w:p>
    <w:p w14:paraId="257914E3" w14:textId="77777777" w:rsidR="00817399" w:rsidRPr="002F2BC5" w:rsidRDefault="00817399" w:rsidP="00817399">
      <w:pPr>
        <w:pStyle w:val="afffffffa"/>
        <w:spacing w:line="269" w:lineRule="auto"/>
        <w:rPr>
          <w:rtl/>
        </w:rPr>
      </w:pPr>
      <w:bookmarkStart w:id="1288" w:name="_Toc191987044"/>
      <w:bookmarkStart w:id="1289" w:name="_Toc192093120"/>
      <w:bookmarkStart w:id="1290" w:name="_Toc192612828"/>
      <w:bookmarkStart w:id="1291" w:name="_Toc198312263"/>
      <w:bookmarkStart w:id="1292" w:name="_Toc198312740"/>
      <w:bookmarkStart w:id="1293" w:name="_Toc200636917"/>
      <w:bookmarkStart w:id="1294" w:name="_Toc200439915"/>
      <w:bookmarkStart w:id="1295" w:name="_Toc201241020"/>
      <w:r w:rsidRPr="002F2BC5">
        <w:rPr>
          <w:rFonts w:hint="cs"/>
          <w:rtl/>
        </w:rPr>
        <w:t>לנוכח שיעורם של מקרי האלימות במשפחה, שאותרו בעקבות פניות למערכת הבריאות על רקע תסמינים נפשיים בשנת 2021 (כ-18% מכלל המקרים), כמו גם הקשר בין התמודדות נפש ובין מסוכנות ונטייה להתנהגות אלימה, מומלץ למשרד הבריאות, בשיתוף הוועדה הבין-משרדית הקבועה, להקצות תקציב ייעודי לטובת העסקת רכזי אלימות במשפחה במערך בריאות הנפש בכללותו.</w:t>
      </w:r>
      <w:bookmarkEnd w:id="1288"/>
      <w:bookmarkEnd w:id="1289"/>
      <w:bookmarkEnd w:id="1290"/>
      <w:bookmarkEnd w:id="1291"/>
      <w:bookmarkEnd w:id="1292"/>
      <w:bookmarkEnd w:id="1293"/>
      <w:bookmarkEnd w:id="1294"/>
      <w:bookmarkEnd w:id="1295"/>
    </w:p>
    <w:p w14:paraId="3123186A" w14:textId="77777777" w:rsidR="00817399" w:rsidRPr="002F2BC5" w:rsidRDefault="00817399" w:rsidP="00817399">
      <w:pPr>
        <w:spacing w:line="269" w:lineRule="auto"/>
        <w:rPr>
          <w:rtl/>
        </w:rPr>
      </w:pPr>
    </w:p>
    <w:p w14:paraId="2A6C6D15" w14:textId="77777777" w:rsidR="00817399" w:rsidRPr="002F2BC5" w:rsidRDefault="00817399" w:rsidP="00817399">
      <w:pPr>
        <w:spacing w:line="269" w:lineRule="auto"/>
        <w:rPr>
          <w:rtl/>
        </w:rPr>
      </w:pPr>
      <w:r w:rsidRPr="002F2BC5">
        <w:rPr>
          <w:rFonts w:hint="cs"/>
          <w:rtl/>
        </w:rPr>
        <w:t xml:space="preserve">משרד הבריאות מסר בתשובתו כי בעקבות הביקורת בכוונתו לפנות לוועדה הבין-משרדית לצורך הקצאת תקציב ייעודי </w:t>
      </w:r>
      <w:r w:rsidRPr="002F2BC5">
        <w:rPr>
          <w:rtl/>
        </w:rPr>
        <w:t>לטובת העסקת רכזי אלימות במשפחה בבתי</w:t>
      </w:r>
      <w:r w:rsidRPr="002F2BC5">
        <w:rPr>
          <w:rFonts w:hint="cs"/>
          <w:rtl/>
        </w:rPr>
        <w:t xml:space="preserve"> </w:t>
      </w:r>
      <w:r w:rsidRPr="002F2BC5">
        <w:rPr>
          <w:rtl/>
        </w:rPr>
        <w:t>החולים הפסיכיאטריים ובמערך בריאות הנפש בקהיל</w:t>
      </w:r>
      <w:r w:rsidRPr="002F2BC5">
        <w:rPr>
          <w:rFonts w:hint="cs"/>
          <w:rtl/>
        </w:rPr>
        <w:t>ה.</w:t>
      </w:r>
    </w:p>
    <w:p w14:paraId="1CA1788D" w14:textId="77777777" w:rsidR="00817399" w:rsidRPr="002F2BC5" w:rsidRDefault="00817399" w:rsidP="00817399">
      <w:pPr>
        <w:spacing w:line="269" w:lineRule="auto"/>
        <w:rPr>
          <w:b/>
          <w:bCs/>
          <w:rtl/>
        </w:rPr>
      </w:pPr>
    </w:p>
    <w:p w14:paraId="799A7C5B" w14:textId="77777777" w:rsidR="00817399" w:rsidRPr="002F2BC5" w:rsidRDefault="00817399" w:rsidP="00817399">
      <w:pPr>
        <w:pStyle w:val="6"/>
        <w:spacing w:line="269" w:lineRule="auto"/>
        <w:rPr>
          <w:rtl/>
        </w:rPr>
      </w:pPr>
      <w:bookmarkStart w:id="1296" w:name="_Toc189072246"/>
      <w:bookmarkStart w:id="1297" w:name="_Toc191987045"/>
      <w:bookmarkStart w:id="1298" w:name="_Toc193110620"/>
      <w:r w:rsidRPr="002F2BC5">
        <w:rPr>
          <w:rFonts w:hint="cs"/>
          <w:rtl/>
        </w:rPr>
        <w:t>העסקת רכזי רצף טיפול באלימות במשפחה בקופות החולים</w:t>
      </w:r>
      <w:bookmarkEnd w:id="1296"/>
      <w:bookmarkEnd w:id="1297"/>
      <w:bookmarkEnd w:id="1298"/>
    </w:p>
    <w:p w14:paraId="36A1A5AC" w14:textId="77777777" w:rsidR="00817399" w:rsidRPr="002F2BC5" w:rsidRDefault="00817399" w:rsidP="00817399">
      <w:pPr>
        <w:spacing w:line="269" w:lineRule="auto"/>
        <w:rPr>
          <w:rtl/>
        </w:rPr>
      </w:pPr>
    </w:p>
    <w:p w14:paraId="725D7FA3" w14:textId="77777777" w:rsidR="00817399" w:rsidRPr="002F2BC5" w:rsidRDefault="00817399" w:rsidP="00817399">
      <w:pPr>
        <w:spacing w:line="269" w:lineRule="auto"/>
        <w:rPr>
          <w:rtl/>
        </w:rPr>
      </w:pPr>
      <w:bookmarkStart w:id="1299" w:name="_Toc191987046"/>
      <w:r w:rsidRPr="002F2BC5">
        <w:rPr>
          <w:rStyle w:val="70"/>
          <w:rFonts w:hint="cs"/>
          <w:rtl/>
        </w:rPr>
        <w:lastRenderedPageBreak/>
        <w:t>הנושא המפורט להלן נבדק לראשונה במסגרת ביקורת זו:</w:t>
      </w:r>
      <w:bookmarkEnd w:id="1299"/>
      <w:r w:rsidRPr="002F2BC5">
        <w:rPr>
          <w:rFonts w:hint="cs"/>
          <w:rtl/>
        </w:rPr>
        <w:t xml:space="preserve"> החל משנת 2020, בעקבות החלטתה של הוועדה הבין-משרדית הקבועה, משרד הרווחה מתקצב באופן דיפרנציאלי (לפי מספר המבוטחים) את עלות העסקתם של רכזי רצף טיפול באלימות במשפחה. רכזים אלו, המועסקים לצד רכזי האלימות במשפחה, אמונים על שיפור השירותים הניתנים למבוטחי קופות החולים בתחום האלימות במשפחה והפגיעות המיניות. באחריותם, בין היתר, לפעול ליצירת שיתופי פעולה והסרת חסמים במתן מענים בתוך מערכת הבריאות; להסדיר את תהליכי העבודה וממשקי העבודה; וכן לאסוף נתונים ולהעביר דיווחים למטה משרד הבריאות. העברת התקציב שמעמיד משרד הרווחה לטובת העסקת רכזי רצף טיפול באלימות במשפחה בקופות החולים אמורה להתבצע במסגרת התקשרות חוזית בין משרד הבריאות לבין קופות החולים.</w:t>
      </w:r>
    </w:p>
    <w:p w14:paraId="07F68D59" w14:textId="77777777" w:rsidR="00817399" w:rsidRPr="002F2BC5" w:rsidRDefault="00817399" w:rsidP="00817399">
      <w:pPr>
        <w:spacing w:line="269" w:lineRule="auto"/>
        <w:rPr>
          <w:rtl/>
        </w:rPr>
      </w:pPr>
    </w:p>
    <w:p w14:paraId="18994FFF" w14:textId="77777777" w:rsidR="00817399" w:rsidRPr="002F2BC5" w:rsidRDefault="00817399" w:rsidP="00817399">
      <w:pPr>
        <w:spacing w:line="269" w:lineRule="auto"/>
        <w:rPr>
          <w:b/>
          <w:bCs/>
          <w:rtl/>
        </w:rPr>
      </w:pPr>
      <w:r w:rsidRPr="002F2BC5">
        <w:rPr>
          <w:rFonts w:hint="eastAsia"/>
          <w:b/>
          <w:bCs/>
          <w:rtl/>
        </w:rPr>
        <w:t>הועלה</w:t>
      </w:r>
      <w:r w:rsidRPr="002F2BC5">
        <w:rPr>
          <w:b/>
          <w:bCs/>
          <w:rtl/>
        </w:rPr>
        <w:t xml:space="preserve"> כי </w:t>
      </w:r>
      <w:r w:rsidRPr="002F2BC5">
        <w:rPr>
          <w:rFonts w:hint="eastAsia"/>
          <w:b/>
          <w:bCs/>
          <w:rtl/>
        </w:rPr>
        <w:t>בשל</w:t>
      </w:r>
      <w:r w:rsidRPr="002F2BC5">
        <w:rPr>
          <w:b/>
          <w:bCs/>
          <w:rtl/>
        </w:rPr>
        <w:t xml:space="preserve"> חסמים משפטיים </w:t>
      </w:r>
      <w:r w:rsidRPr="002F2BC5">
        <w:rPr>
          <w:rFonts w:hint="eastAsia"/>
          <w:b/>
          <w:bCs/>
          <w:rtl/>
        </w:rPr>
        <w:t>ומינהליים</w:t>
      </w:r>
      <w:r w:rsidRPr="002F2BC5">
        <w:rPr>
          <w:rFonts w:hint="cs"/>
          <w:b/>
          <w:bCs/>
          <w:rtl/>
        </w:rPr>
        <w:t xml:space="preserve">, </w:t>
      </w:r>
      <w:r w:rsidRPr="002F2BC5">
        <w:rPr>
          <w:rFonts w:hint="eastAsia"/>
          <w:b/>
          <w:bCs/>
          <w:rtl/>
        </w:rPr>
        <w:t>הקשורים</w:t>
      </w:r>
      <w:r w:rsidRPr="002F2BC5">
        <w:rPr>
          <w:b/>
          <w:bCs/>
          <w:rtl/>
        </w:rPr>
        <w:t xml:space="preserve"> </w:t>
      </w:r>
      <w:r w:rsidRPr="002F2BC5">
        <w:rPr>
          <w:rFonts w:hint="eastAsia"/>
          <w:b/>
          <w:bCs/>
          <w:rtl/>
        </w:rPr>
        <w:t>לאופן</w:t>
      </w:r>
      <w:r w:rsidRPr="002F2BC5">
        <w:rPr>
          <w:b/>
          <w:bCs/>
          <w:rtl/>
        </w:rPr>
        <w:t xml:space="preserve"> </w:t>
      </w:r>
      <w:r w:rsidRPr="002F2BC5">
        <w:rPr>
          <w:rFonts w:hint="eastAsia"/>
          <w:b/>
          <w:bCs/>
          <w:rtl/>
        </w:rPr>
        <w:t>העברת</w:t>
      </w:r>
      <w:r w:rsidRPr="002F2BC5">
        <w:rPr>
          <w:b/>
          <w:bCs/>
          <w:rtl/>
        </w:rPr>
        <w:t xml:space="preserve"> </w:t>
      </w:r>
      <w:r w:rsidRPr="002F2BC5">
        <w:rPr>
          <w:rFonts w:hint="eastAsia"/>
          <w:b/>
          <w:bCs/>
          <w:rtl/>
        </w:rPr>
        <w:t>התקציב</w:t>
      </w:r>
      <w:r w:rsidRPr="002F2BC5">
        <w:rPr>
          <w:b/>
          <w:bCs/>
          <w:rtl/>
        </w:rPr>
        <w:t xml:space="preserve"> </w:t>
      </w:r>
      <w:r w:rsidRPr="002F2BC5">
        <w:rPr>
          <w:rFonts w:hint="eastAsia"/>
          <w:b/>
          <w:bCs/>
          <w:rtl/>
        </w:rPr>
        <w:t>ממשרד</w:t>
      </w:r>
      <w:r w:rsidRPr="002F2BC5">
        <w:rPr>
          <w:b/>
          <w:bCs/>
          <w:rtl/>
        </w:rPr>
        <w:t xml:space="preserve"> </w:t>
      </w:r>
      <w:r w:rsidRPr="002F2BC5">
        <w:rPr>
          <w:rFonts w:hint="eastAsia"/>
          <w:b/>
          <w:bCs/>
          <w:rtl/>
        </w:rPr>
        <w:t>הרווחה</w:t>
      </w:r>
      <w:r w:rsidRPr="002F2BC5">
        <w:rPr>
          <w:b/>
          <w:bCs/>
          <w:rtl/>
        </w:rPr>
        <w:t xml:space="preserve"> </w:t>
      </w:r>
      <w:r w:rsidRPr="002F2BC5">
        <w:rPr>
          <w:rFonts w:hint="eastAsia"/>
          <w:b/>
          <w:bCs/>
          <w:rtl/>
        </w:rPr>
        <w:t>למשרד</w:t>
      </w:r>
      <w:r w:rsidRPr="002F2BC5">
        <w:rPr>
          <w:b/>
          <w:bCs/>
          <w:rtl/>
        </w:rPr>
        <w:t xml:space="preserve"> </w:t>
      </w:r>
      <w:r w:rsidRPr="002F2BC5">
        <w:rPr>
          <w:rFonts w:hint="eastAsia"/>
          <w:b/>
          <w:bCs/>
          <w:rtl/>
        </w:rPr>
        <w:t>הבריאות</w:t>
      </w:r>
      <w:r w:rsidRPr="002F2BC5">
        <w:rPr>
          <w:b/>
          <w:bCs/>
          <w:rtl/>
        </w:rPr>
        <w:t xml:space="preserve"> </w:t>
      </w:r>
      <w:r w:rsidRPr="002F2BC5">
        <w:rPr>
          <w:rFonts w:hint="eastAsia"/>
          <w:b/>
          <w:bCs/>
          <w:rtl/>
        </w:rPr>
        <w:t>ולהליכי</w:t>
      </w:r>
      <w:r w:rsidRPr="002F2BC5">
        <w:rPr>
          <w:b/>
          <w:bCs/>
          <w:rtl/>
        </w:rPr>
        <w:t xml:space="preserve"> </w:t>
      </w:r>
      <w:r w:rsidRPr="002F2BC5">
        <w:rPr>
          <w:rFonts w:hint="eastAsia"/>
          <w:b/>
          <w:bCs/>
          <w:rtl/>
        </w:rPr>
        <w:t>ההתקשרות</w:t>
      </w:r>
      <w:r w:rsidRPr="002F2BC5">
        <w:rPr>
          <w:b/>
          <w:bCs/>
          <w:rtl/>
        </w:rPr>
        <w:t xml:space="preserve"> </w:t>
      </w:r>
      <w:r w:rsidRPr="002F2BC5">
        <w:rPr>
          <w:rFonts w:hint="eastAsia"/>
          <w:b/>
          <w:bCs/>
          <w:rtl/>
        </w:rPr>
        <w:t>הרכש</w:t>
      </w:r>
      <w:r w:rsidRPr="002F2BC5">
        <w:rPr>
          <w:b/>
          <w:bCs/>
          <w:rtl/>
        </w:rPr>
        <w:t xml:space="preserve"> </w:t>
      </w:r>
      <w:r w:rsidRPr="002F2BC5">
        <w:rPr>
          <w:rFonts w:hint="eastAsia"/>
          <w:b/>
          <w:bCs/>
          <w:rtl/>
        </w:rPr>
        <w:t>בין</w:t>
      </w:r>
      <w:r w:rsidRPr="002F2BC5">
        <w:rPr>
          <w:b/>
          <w:bCs/>
          <w:rtl/>
        </w:rPr>
        <w:t xml:space="preserve"> </w:t>
      </w:r>
      <w:r w:rsidRPr="002F2BC5">
        <w:rPr>
          <w:rFonts w:hint="eastAsia"/>
          <w:b/>
          <w:bCs/>
          <w:rtl/>
        </w:rPr>
        <w:t>משרד</w:t>
      </w:r>
      <w:r w:rsidRPr="002F2BC5">
        <w:rPr>
          <w:b/>
          <w:bCs/>
          <w:rtl/>
        </w:rPr>
        <w:t xml:space="preserve"> </w:t>
      </w:r>
      <w:r w:rsidRPr="002F2BC5">
        <w:rPr>
          <w:rFonts w:hint="eastAsia"/>
          <w:b/>
          <w:bCs/>
          <w:rtl/>
        </w:rPr>
        <w:t>הבריאות</w:t>
      </w:r>
      <w:r w:rsidRPr="002F2BC5">
        <w:rPr>
          <w:b/>
          <w:bCs/>
          <w:rtl/>
        </w:rPr>
        <w:t xml:space="preserve"> </w:t>
      </w:r>
      <w:r w:rsidRPr="002F2BC5">
        <w:rPr>
          <w:rFonts w:hint="eastAsia"/>
          <w:b/>
          <w:bCs/>
          <w:rtl/>
        </w:rPr>
        <w:t>וקופות</w:t>
      </w:r>
      <w:r w:rsidRPr="002F2BC5">
        <w:rPr>
          <w:b/>
          <w:bCs/>
          <w:rtl/>
        </w:rPr>
        <w:t xml:space="preserve"> </w:t>
      </w:r>
      <w:r w:rsidRPr="002F2BC5">
        <w:rPr>
          <w:rFonts w:hint="eastAsia"/>
          <w:b/>
          <w:bCs/>
          <w:rtl/>
        </w:rPr>
        <w:t>החולים</w:t>
      </w:r>
      <w:r w:rsidRPr="002F2BC5">
        <w:rPr>
          <w:b/>
          <w:bCs/>
          <w:rtl/>
        </w:rPr>
        <w:t xml:space="preserve">, </w:t>
      </w:r>
      <w:r w:rsidRPr="002F2BC5">
        <w:rPr>
          <w:rFonts w:hint="eastAsia"/>
          <w:b/>
          <w:bCs/>
          <w:rtl/>
        </w:rPr>
        <w:t>התקציב</w:t>
      </w:r>
      <w:r w:rsidRPr="002F2BC5">
        <w:rPr>
          <w:b/>
          <w:bCs/>
          <w:rtl/>
        </w:rPr>
        <w:t xml:space="preserve"> שהוקצה לטובת העסקתם של רכזי רצף טיפול </w:t>
      </w:r>
      <w:r w:rsidRPr="002F2BC5">
        <w:rPr>
          <w:rFonts w:hint="eastAsia"/>
          <w:b/>
          <w:bCs/>
          <w:rtl/>
        </w:rPr>
        <w:t>באלימות</w:t>
      </w:r>
      <w:r w:rsidRPr="002F2BC5">
        <w:rPr>
          <w:b/>
          <w:bCs/>
          <w:rtl/>
        </w:rPr>
        <w:t xml:space="preserve"> במשפחה </w:t>
      </w:r>
      <w:r w:rsidRPr="002F2BC5">
        <w:rPr>
          <w:rFonts w:hint="eastAsia"/>
          <w:b/>
          <w:bCs/>
          <w:rtl/>
        </w:rPr>
        <w:t>בסך</w:t>
      </w:r>
      <w:r w:rsidRPr="002F2BC5">
        <w:rPr>
          <w:b/>
          <w:bCs/>
          <w:rtl/>
        </w:rPr>
        <w:t xml:space="preserve"> של 600,000 ש"ח </w:t>
      </w:r>
      <w:r w:rsidRPr="002F2BC5">
        <w:rPr>
          <w:rFonts w:hint="eastAsia"/>
          <w:b/>
          <w:bCs/>
          <w:rtl/>
        </w:rPr>
        <w:t>לא</w:t>
      </w:r>
      <w:r w:rsidRPr="002F2BC5">
        <w:rPr>
          <w:b/>
          <w:bCs/>
          <w:rtl/>
        </w:rPr>
        <w:t xml:space="preserve"> </w:t>
      </w:r>
      <w:r w:rsidRPr="002F2BC5">
        <w:rPr>
          <w:rFonts w:hint="eastAsia"/>
          <w:b/>
          <w:bCs/>
          <w:rtl/>
        </w:rPr>
        <w:t>נוצל</w:t>
      </w:r>
      <w:r w:rsidRPr="002F2BC5">
        <w:rPr>
          <w:b/>
          <w:bCs/>
          <w:rtl/>
        </w:rPr>
        <w:t xml:space="preserve"> </w:t>
      </w:r>
      <w:r w:rsidRPr="002F2BC5">
        <w:rPr>
          <w:rFonts w:hint="eastAsia"/>
          <w:b/>
          <w:bCs/>
          <w:rtl/>
        </w:rPr>
        <w:t>בשנים</w:t>
      </w:r>
      <w:r w:rsidRPr="002F2BC5">
        <w:rPr>
          <w:b/>
          <w:bCs/>
          <w:rtl/>
        </w:rPr>
        <w:t xml:space="preserve"> 2021 - 2023. עוד הועלה כי מכבי </w:t>
      </w:r>
      <w:r w:rsidRPr="002F2BC5">
        <w:rPr>
          <w:rFonts w:hint="eastAsia"/>
          <w:b/>
          <w:bCs/>
          <w:rtl/>
        </w:rPr>
        <w:t>שירותי</w:t>
      </w:r>
      <w:r w:rsidRPr="002F2BC5">
        <w:rPr>
          <w:b/>
          <w:bCs/>
          <w:rtl/>
        </w:rPr>
        <w:t xml:space="preserve"> בריאות </w:t>
      </w:r>
      <w:r w:rsidRPr="002F2BC5">
        <w:rPr>
          <w:rFonts w:hint="eastAsia"/>
          <w:b/>
          <w:bCs/>
          <w:rtl/>
        </w:rPr>
        <w:t>איישה</w:t>
      </w:r>
      <w:r w:rsidRPr="002F2BC5">
        <w:rPr>
          <w:b/>
          <w:bCs/>
          <w:rtl/>
        </w:rPr>
        <w:t xml:space="preserve"> </w:t>
      </w:r>
      <w:r w:rsidRPr="002F2BC5">
        <w:rPr>
          <w:rFonts w:hint="eastAsia"/>
          <w:b/>
          <w:bCs/>
          <w:rtl/>
        </w:rPr>
        <w:t>את</w:t>
      </w:r>
      <w:r w:rsidRPr="002F2BC5">
        <w:rPr>
          <w:b/>
          <w:bCs/>
          <w:rtl/>
        </w:rPr>
        <w:t xml:space="preserve"> </w:t>
      </w:r>
      <w:r w:rsidRPr="002F2BC5">
        <w:rPr>
          <w:rFonts w:hint="eastAsia"/>
          <w:b/>
          <w:bCs/>
          <w:rtl/>
        </w:rPr>
        <w:t>המשרה</w:t>
      </w:r>
      <w:r w:rsidRPr="002F2BC5">
        <w:rPr>
          <w:b/>
          <w:bCs/>
          <w:rtl/>
        </w:rPr>
        <w:t xml:space="preserve"> </w:t>
      </w:r>
      <w:r w:rsidRPr="002F2BC5">
        <w:rPr>
          <w:rFonts w:hint="eastAsia"/>
          <w:b/>
          <w:bCs/>
          <w:rtl/>
        </w:rPr>
        <w:t>במאי</w:t>
      </w:r>
      <w:r w:rsidRPr="002F2BC5">
        <w:rPr>
          <w:b/>
          <w:bCs/>
          <w:rtl/>
        </w:rPr>
        <w:t xml:space="preserve"> 2024; </w:t>
      </w:r>
      <w:r w:rsidRPr="002F2BC5">
        <w:rPr>
          <w:rFonts w:hint="eastAsia"/>
          <w:b/>
          <w:bCs/>
          <w:rtl/>
        </w:rPr>
        <w:t>שירותי</w:t>
      </w:r>
      <w:r w:rsidRPr="002F2BC5">
        <w:rPr>
          <w:b/>
          <w:bCs/>
          <w:rtl/>
        </w:rPr>
        <w:t xml:space="preserve"> </w:t>
      </w:r>
      <w:r w:rsidRPr="002F2BC5">
        <w:rPr>
          <w:rFonts w:hint="eastAsia"/>
          <w:b/>
          <w:bCs/>
          <w:rtl/>
        </w:rPr>
        <w:t>בריאות</w:t>
      </w:r>
      <w:r w:rsidRPr="002F2BC5">
        <w:rPr>
          <w:b/>
          <w:bCs/>
          <w:rtl/>
        </w:rPr>
        <w:t xml:space="preserve"> כללית </w:t>
      </w:r>
      <w:r w:rsidRPr="002F2BC5">
        <w:rPr>
          <w:rFonts w:hint="eastAsia"/>
          <w:b/>
          <w:bCs/>
          <w:rtl/>
        </w:rPr>
        <w:t>איישה</w:t>
      </w:r>
      <w:r w:rsidRPr="002F2BC5">
        <w:rPr>
          <w:b/>
          <w:bCs/>
          <w:rtl/>
        </w:rPr>
        <w:t xml:space="preserve"> </w:t>
      </w:r>
      <w:r w:rsidRPr="002F2BC5">
        <w:rPr>
          <w:rFonts w:hint="eastAsia"/>
          <w:b/>
          <w:bCs/>
          <w:rtl/>
        </w:rPr>
        <w:t>את</w:t>
      </w:r>
      <w:r w:rsidRPr="002F2BC5">
        <w:rPr>
          <w:b/>
          <w:bCs/>
          <w:rtl/>
        </w:rPr>
        <w:t xml:space="preserve"> </w:t>
      </w:r>
      <w:r w:rsidRPr="002F2BC5">
        <w:rPr>
          <w:rFonts w:hint="eastAsia"/>
          <w:b/>
          <w:bCs/>
          <w:rtl/>
        </w:rPr>
        <w:t>המשרה</w:t>
      </w:r>
      <w:r w:rsidRPr="002F2BC5">
        <w:rPr>
          <w:b/>
          <w:bCs/>
          <w:rtl/>
        </w:rPr>
        <w:t xml:space="preserve"> </w:t>
      </w:r>
      <w:r w:rsidRPr="002F2BC5">
        <w:rPr>
          <w:rFonts w:hint="cs"/>
          <w:b/>
          <w:bCs/>
          <w:rtl/>
        </w:rPr>
        <w:t xml:space="preserve">רק </w:t>
      </w:r>
      <w:r w:rsidRPr="002F2BC5">
        <w:rPr>
          <w:rFonts w:hint="eastAsia"/>
          <w:b/>
          <w:bCs/>
          <w:rtl/>
        </w:rPr>
        <w:t>בינואר</w:t>
      </w:r>
      <w:r w:rsidRPr="002F2BC5">
        <w:rPr>
          <w:b/>
          <w:bCs/>
          <w:rtl/>
        </w:rPr>
        <w:t xml:space="preserve"> 2025; </w:t>
      </w:r>
      <w:r w:rsidRPr="002F2BC5">
        <w:rPr>
          <w:rFonts w:hint="eastAsia"/>
          <w:b/>
          <w:bCs/>
          <w:rtl/>
        </w:rPr>
        <w:t>נכון</w:t>
      </w:r>
      <w:r w:rsidRPr="002F2BC5">
        <w:rPr>
          <w:b/>
          <w:bCs/>
          <w:rtl/>
        </w:rPr>
        <w:t xml:space="preserve"> למועד סיום הביקורת הנוכחית, </w:t>
      </w:r>
      <w:r w:rsidRPr="002F2BC5">
        <w:rPr>
          <w:rFonts w:hint="eastAsia"/>
          <w:b/>
          <w:bCs/>
          <w:rtl/>
        </w:rPr>
        <w:t>בדצמבר</w:t>
      </w:r>
      <w:r w:rsidRPr="002F2BC5">
        <w:rPr>
          <w:b/>
          <w:bCs/>
          <w:rtl/>
        </w:rPr>
        <w:t xml:space="preserve"> 2024, </w:t>
      </w:r>
      <w:r w:rsidRPr="002F2BC5">
        <w:rPr>
          <w:rFonts w:hint="eastAsia"/>
          <w:b/>
          <w:bCs/>
          <w:rtl/>
        </w:rPr>
        <w:t>לאומית</w:t>
      </w:r>
      <w:r w:rsidRPr="002F2BC5">
        <w:rPr>
          <w:b/>
          <w:bCs/>
          <w:rtl/>
        </w:rPr>
        <w:t xml:space="preserve"> </w:t>
      </w:r>
      <w:r w:rsidRPr="002F2BC5">
        <w:rPr>
          <w:rFonts w:hint="eastAsia"/>
          <w:b/>
          <w:bCs/>
          <w:rtl/>
        </w:rPr>
        <w:t>שירותי</w:t>
      </w:r>
      <w:r w:rsidRPr="002F2BC5">
        <w:rPr>
          <w:b/>
          <w:bCs/>
          <w:rtl/>
        </w:rPr>
        <w:t xml:space="preserve"> </w:t>
      </w:r>
      <w:r w:rsidRPr="002F2BC5">
        <w:rPr>
          <w:rFonts w:hint="eastAsia"/>
          <w:b/>
          <w:bCs/>
          <w:rtl/>
        </w:rPr>
        <w:t>בריאות</w:t>
      </w:r>
      <w:r w:rsidRPr="002F2BC5">
        <w:rPr>
          <w:b/>
          <w:bCs/>
          <w:rtl/>
        </w:rPr>
        <w:t xml:space="preserve"> </w:t>
      </w:r>
      <w:r w:rsidRPr="002F2BC5">
        <w:rPr>
          <w:rFonts w:hint="eastAsia"/>
          <w:b/>
          <w:bCs/>
          <w:rtl/>
        </w:rPr>
        <w:t>הייתה</w:t>
      </w:r>
      <w:r w:rsidRPr="002F2BC5">
        <w:rPr>
          <w:b/>
          <w:bCs/>
          <w:rtl/>
        </w:rPr>
        <w:t xml:space="preserve"> מצויה בהליכים לאיוש התפקיד, </w:t>
      </w:r>
      <w:r w:rsidRPr="002F2BC5">
        <w:rPr>
          <w:rFonts w:hint="eastAsia"/>
          <w:b/>
          <w:bCs/>
          <w:rtl/>
        </w:rPr>
        <w:t>ואילו</w:t>
      </w:r>
      <w:r w:rsidRPr="002F2BC5">
        <w:rPr>
          <w:b/>
          <w:bCs/>
          <w:rtl/>
        </w:rPr>
        <w:t xml:space="preserve"> קופת חולים מאוחדת הייתה מצויה בהליכים להסדרת </w:t>
      </w:r>
      <w:r w:rsidRPr="002F2BC5">
        <w:rPr>
          <w:rFonts w:hint="eastAsia"/>
          <w:b/>
          <w:bCs/>
          <w:rtl/>
        </w:rPr>
        <w:t>ההתקשרות</w:t>
      </w:r>
      <w:r w:rsidRPr="002F2BC5">
        <w:rPr>
          <w:b/>
          <w:bCs/>
          <w:rtl/>
        </w:rPr>
        <w:t xml:space="preserve"> בי</w:t>
      </w:r>
      <w:r w:rsidRPr="002F2BC5">
        <w:rPr>
          <w:rFonts w:hint="eastAsia"/>
          <w:b/>
          <w:bCs/>
          <w:rtl/>
        </w:rPr>
        <w:t>נה</w:t>
      </w:r>
      <w:r w:rsidRPr="002F2BC5">
        <w:rPr>
          <w:b/>
          <w:bCs/>
          <w:rtl/>
        </w:rPr>
        <w:t xml:space="preserve"> </w:t>
      </w:r>
      <w:r w:rsidRPr="002F2BC5">
        <w:rPr>
          <w:rFonts w:hint="eastAsia"/>
          <w:b/>
          <w:bCs/>
          <w:rtl/>
        </w:rPr>
        <w:t>לבין</w:t>
      </w:r>
      <w:r w:rsidRPr="002F2BC5">
        <w:rPr>
          <w:b/>
          <w:bCs/>
          <w:rtl/>
        </w:rPr>
        <w:t xml:space="preserve"> </w:t>
      </w:r>
      <w:r w:rsidRPr="002F2BC5">
        <w:rPr>
          <w:rFonts w:hint="eastAsia"/>
          <w:b/>
          <w:bCs/>
          <w:rtl/>
        </w:rPr>
        <w:t>משרד</w:t>
      </w:r>
      <w:r w:rsidRPr="002F2BC5">
        <w:rPr>
          <w:b/>
          <w:bCs/>
          <w:rtl/>
        </w:rPr>
        <w:t xml:space="preserve"> </w:t>
      </w:r>
      <w:r w:rsidRPr="002F2BC5">
        <w:rPr>
          <w:rFonts w:hint="eastAsia"/>
          <w:b/>
          <w:bCs/>
          <w:rtl/>
        </w:rPr>
        <w:t>הבריאות</w:t>
      </w:r>
      <w:r w:rsidRPr="002F2BC5">
        <w:rPr>
          <w:b/>
          <w:bCs/>
          <w:rtl/>
        </w:rPr>
        <w:t xml:space="preserve"> </w:t>
      </w:r>
      <w:r w:rsidRPr="002F2BC5">
        <w:rPr>
          <w:rFonts w:hint="eastAsia"/>
          <w:b/>
          <w:bCs/>
          <w:rtl/>
        </w:rPr>
        <w:t>בעניין</w:t>
      </w:r>
      <w:r w:rsidRPr="002F2BC5">
        <w:rPr>
          <w:b/>
          <w:bCs/>
          <w:rtl/>
        </w:rPr>
        <w:t xml:space="preserve"> </w:t>
      </w:r>
      <w:r w:rsidRPr="002F2BC5">
        <w:rPr>
          <w:rFonts w:hint="eastAsia"/>
          <w:b/>
          <w:bCs/>
          <w:rtl/>
        </w:rPr>
        <w:t>זה</w:t>
      </w:r>
      <w:r w:rsidRPr="002F2BC5">
        <w:rPr>
          <w:b/>
          <w:bCs/>
          <w:rtl/>
        </w:rPr>
        <w:t xml:space="preserve">. </w:t>
      </w:r>
    </w:p>
    <w:p w14:paraId="4C9EBA1C" w14:textId="77777777" w:rsidR="00817399" w:rsidRPr="002F2BC5" w:rsidRDefault="00817399" w:rsidP="00817399">
      <w:pPr>
        <w:spacing w:line="269" w:lineRule="auto"/>
        <w:rPr>
          <w:rtl/>
        </w:rPr>
      </w:pPr>
    </w:p>
    <w:p w14:paraId="0056A129" w14:textId="77777777" w:rsidR="00817399" w:rsidRPr="002F2BC5" w:rsidRDefault="00817399" w:rsidP="00817399">
      <w:pPr>
        <w:pStyle w:val="afffffff9"/>
        <w:spacing w:line="269" w:lineRule="auto"/>
        <w:rPr>
          <w:rtl/>
        </w:rPr>
      </w:pPr>
      <w:bookmarkStart w:id="1300" w:name="_Toc192093121"/>
      <w:bookmarkStart w:id="1301" w:name="_Toc191987047"/>
      <w:bookmarkStart w:id="1302" w:name="_Toc192612829"/>
      <w:bookmarkStart w:id="1303" w:name="_Toc198312264"/>
      <w:bookmarkStart w:id="1304" w:name="_Toc198312741"/>
      <w:bookmarkStart w:id="1305" w:name="_Toc200636918"/>
      <w:bookmarkStart w:id="1306" w:name="_Toc200439916"/>
      <w:bookmarkStart w:id="1307" w:name="_Toc201241021"/>
      <w:r w:rsidRPr="002F2BC5">
        <w:rPr>
          <w:rFonts w:hint="cs"/>
          <w:rtl/>
        </w:rPr>
        <w:t xml:space="preserve">יוצא מן האמור כי על אף </w:t>
      </w:r>
      <w:r w:rsidRPr="002F2BC5">
        <w:rPr>
          <w:rtl/>
        </w:rPr>
        <w:t>החלטתה של הוועדה הבין-משרדית הקבועה</w:t>
      </w:r>
      <w:r w:rsidRPr="002F2BC5">
        <w:rPr>
          <w:rFonts w:hint="cs"/>
          <w:rtl/>
        </w:rPr>
        <w:t xml:space="preserve"> משנת 2020 לתקצב</w:t>
      </w:r>
      <w:r w:rsidRPr="002F2BC5">
        <w:rPr>
          <w:rtl/>
        </w:rPr>
        <w:t xml:space="preserve"> את עלות העסקתם של רכזי רצף טיפול באלימות במשפחה</w:t>
      </w:r>
      <w:r w:rsidRPr="002F2BC5">
        <w:rPr>
          <w:rFonts w:hint="cs"/>
          <w:rtl/>
        </w:rPr>
        <w:t>,</w:t>
      </w:r>
      <w:r w:rsidRPr="002F2BC5">
        <w:rPr>
          <w:rtl/>
        </w:rPr>
        <w:t xml:space="preserve"> </w:t>
      </w:r>
      <w:r w:rsidRPr="002F2BC5">
        <w:rPr>
          <w:rFonts w:hint="cs"/>
          <w:rtl/>
        </w:rPr>
        <w:t>נכון למועד סיום הביקורת, בדצמבר 2024, תפקיד רכז רצף טיפול באלימות במשפחה אויש בקופת חולים אחת בלבד.</w:t>
      </w:r>
      <w:bookmarkEnd w:id="1300"/>
      <w:bookmarkEnd w:id="1301"/>
      <w:bookmarkEnd w:id="1302"/>
      <w:bookmarkEnd w:id="1303"/>
      <w:bookmarkEnd w:id="1304"/>
      <w:bookmarkEnd w:id="1305"/>
      <w:bookmarkEnd w:id="1306"/>
      <w:bookmarkEnd w:id="1307"/>
    </w:p>
    <w:p w14:paraId="16716555" w14:textId="77777777" w:rsidR="00817399" w:rsidRPr="002F2BC5" w:rsidRDefault="00817399" w:rsidP="00817399">
      <w:pPr>
        <w:spacing w:line="269" w:lineRule="auto"/>
        <w:rPr>
          <w:rtl/>
        </w:rPr>
      </w:pPr>
    </w:p>
    <w:p w14:paraId="174933A4" w14:textId="77777777" w:rsidR="00817399" w:rsidRPr="002F2BC5" w:rsidRDefault="00817399" w:rsidP="00817399">
      <w:pPr>
        <w:spacing w:line="269" w:lineRule="auto"/>
        <w:rPr>
          <w:rtl/>
        </w:rPr>
      </w:pPr>
      <w:r w:rsidRPr="002F2BC5">
        <w:rPr>
          <w:rFonts w:hint="cs"/>
          <w:rtl/>
        </w:rPr>
        <w:t>משרד הבריאות מסר לצוות הביקורת במהלך הביקורת הנוכחית כי משרד הרווחה התחייב להמשיך לתקצב את עלות העסקתם של רכזי רצף טיפול אלימות במשפחה גם בשנים 2024 ו-2025, בכפוף להעברת דיווח על ניצול התקציב.</w:t>
      </w:r>
    </w:p>
    <w:p w14:paraId="6E4EE08A" w14:textId="77777777" w:rsidR="00817399" w:rsidRPr="002F2BC5" w:rsidRDefault="00817399" w:rsidP="00817399">
      <w:pPr>
        <w:spacing w:line="269" w:lineRule="auto"/>
        <w:rPr>
          <w:rtl/>
        </w:rPr>
      </w:pPr>
    </w:p>
    <w:p w14:paraId="630908D8" w14:textId="77777777" w:rsidR="00817399" w:rsidRPr="002F2BC5" w:rsidRDefault="00817399" w:rsidP="00817399">
      <w:pPr>
        <w:spacing w:line="269" w:lineRule="auto"/>
        <w:rPr>
          <w:rtl/>
        </w:rPr>
      </w:pPr>
      <w:r w:rsidRPr="002F2BC5">
        <w:rPr>
          <w:rFonts w:hint="cs"/>
          <w:rtl/>
        </w:rPr>
        <w:t xml:space="preserve">מכבי שירותי בריאות מסרה בתשובתה ממרץ 2025 כי החלה לאייש את תפקיד </w:t>
      </w:r>
      <w:r w:rsidRPr="002F2BC5">
        <w:rPr>
          <w:rtl/>
        </w:rPr>
        <w:t xml:space="preserve">רכז רצף טיפול </w:t>
      </w:r>
      <w:r w:rsidRPr="002F2BC5">
        <w:rPr>
          <w:rFonts w:hint="eastAsia"/>
          <w:rtl/>
        </w:rPr>
        <w:t>באלימות</w:t>
      </w:r>
      <w:r w:rsidRPr="002F2BC5">
        <w:rPr>
          <w:rtl/>
        </w:rPr>
        <w:t xml:space="preserve"> במשפחה</w:t>
      </w:r>
      <w:r w:rsidRPr="002F2BC5">
        <w:rPr>
          <w:rFonts w:hint="cs"/>
          <w:rtl/>
        </w:rPr>
        <w:t xml:space="preserve"> בהיקף משרה של 50% לאחר הסדרת ההתקשרות בנושא בינה ובין משרד הבריאות בדצמבר 2023, אך נכון למועד תשובתה המשרה אינה מאוישת, שכן טרם הוסדרה ההתקשרות בינה ובין משרד הבריאות לשנת 2025. קופת חולים מאוחדת מסרה בתשובתה מאפריל 2025 כי היא מצויה בהליכים לאיוש התפקיד והוסיפה כי את הנושא מרכזת נכון למועד התשובה מנהלת תחום עבודה סוציאלית במטה הקופה, ובמסגרת זו ננקטות בין השאר פעולות</w:t>
      </w:r>
      <w:r w:rsidRPr="002F2BC5">
        <w:rPr>
          <w:rtl/>
        </w:rPr>
        <w:t xml:space="preserve"> להעלאת מודעות העובדים </w:t>
      </w:r>
      <w:r w:rsidRPr="002F2BC5">
        <w:rPr>
          <w:rFonts w:hint="cs"/>
          <w:rtl/>
        </w:rPr>
        <w:t>בכל הנוגע לחובת ה</w:t>
      </w:r>
      <w:r w:rsidRPr="002F2BC5">
        <w:rPr>
          <w:rtl/>
        </w:rPr>
        <w:t xml:space="preserve">דיווח ואיתור מטופלים בסיכון וכן </w:t>
      </w:r>
      <w:r w:rsidRPr="002F2BC5">
        <w:rPr>
          <w:rFonts w:hint="cs"/>
          <w:rtl/>
        </w:rPr>
        <w:t xml:space="preserve">מתבצעת </w:t>
      </w:r>
      <w:r w:rsidRPr="002F2BC5">
        <w:rPr>
          <w:rtl/>
        </w:rPr>
        <w:t xml:space="preserve">עבודה שוטפת אל מול </w:t>
      </w:r>
      <w:r w:rsidRPr="002F2BC5">
        <w:rPr>
          <w:rFonts w:hint="cs"/>
          <w:rtl/>
        </w:rPr>
        <w:t xml:space="preserve">גורמי </w:t>
      </w:r>
      <w:r w:rsidRPr="002F2BC5">
        <w:rPr>
          <w:rtl/>
        </w:rPr>
        <w:t>רווחה.</w:t>
      </w:r>
      <w:r w:rsidRPr="002F2BC5">
        <w:rPr>
          <w:rFonts w:hint="cs"/>
          <w:rtl/>
        </w:rPr>
        <w:t xml:space="preserve"> לאומית שירותי בריאות מסרה בתשובתה מאפריל 2025 כי גם את התקן של רכז רצף טיפול באלימות במשפחה לא עלה בידה לאייש מקרב עובדיה בשל חוסר נכונותם להגדיל את היקף משרתם והוסיפה כי היא עושה מאמצים לגייס עובד חדש לאיוש תפקיד חשוב ורגיש זה, אך קיים קושי לגייס עובד איכותי לתפקיד בחלקיות משרה.</w:t>
      </w:r>
    </w:p>
    <w:p w14:paraId="6CA53C7A" w14:textId="77777777" w:rsidR="00817399" w:rsidRPr="002F2BC5" w:rsidRDefault="00817399" w:rsidP="00817399">
      <w:pPr>
        <w:spacing w:line="269" w:lineRule="auto"/>
        <w:rPr>
          <w:rtl/>
        </w:rPr>
      </w:pPr>
    </w:p>
    <w:p w14:paraId="1A0E17BF" w14:textId="77777777" w:rsidR="00817399" w:rsidRPr="002F2BC5" w:rsidRDefault="00817399" w:rsidP="00817399">
      <w:pPr>
        <w:pStyle w:val="afffffffa"/>
        <w:spacing w:line="269" w:lineRule="auto"/>
        <w:rPr>
          <w:rtl/>
        </w:rPr>
      </w:pPr>
      <w:bookmarkStart w:id="1308" w:name="_Toc191987048"/>
      <w:bookmarkStart w:id="1309" w:name="_Toc192093122"/>
      <w:bookmarkStart w:id="1310" w:name="_Toc192612830"/>
      <w:bookmarkStart w:id="1311" w:name="_Toc198312265"/>
      <w:bookmarkStart w:id="1312" w:name="_Toc198312742"/>
      <w:bookmarkStart w:id="1313" w:name="_Toc200636919"/>
      <w:bookmarkStart w:id="1314" w:name="_Toc200439917"/>
      <w:bookmarkStart w:id="1315" w:name="_Toc201241022"/>
      <w:r w:rsidRPr="002F2BC5">
        <w:rPr>
          <w:rFonts w:hint="eastAsia"/>
          <w:rtl/>
        </w:rPr>
        <w:t>על</w:t>
      </w:r>
      <w:r w:rsidRPr="002F2BC5">
        <w:rPr>
          <w:rtl/>
        </w:rPr>
        <w:t xml:space="preserve"> </w:t>
      </w:r>
      <w:r w:rsidRPr="002F2BC5">
        <w:rPr>
          <w:rFonts w:hint="eastAsia"/>
          <w:rtl/>
        </w:rPr>
        <w:t>לאומית שירותי בריאות</w:t>
      </w:r>
      <w:r w:rsidRPr="002F2BC5">
        <w:rPr>
          <w:rtl/>
        </w:rPr>
        <w:t xml:space="preserve"> </w:t>
      </w:r>
      <w:r w:rsidRPr="002F2BC5">
        <w:rPr>
          <w:rFonts w:hint="eastAsia"/>
          <w:rtl/>
        </w:rPr>
        <w:t>לפעול</w:t>
      </w:r>
      <w:r w:rsidRPr="002F2BC5">
        <w:rPr>
          <w:rtl/>
        </w:rPr>
        <w:t xml:space="preserve"> </w:t>
      </w:r>
      <w:r w:rsidRPr="002F2BC5">
        <w:rPr>
          <w:rFonts w:hint="eastAsia"/>
          <w:rtl/>
        </w:rPr>
        <w:t>בהקדם</w:t>
      </w:r>
      <w:r w:rsidRPr="002F2BC5">
        <w:rPr>
          <w:rtl/>
        </w:rPr>
        <w:t xml:space="preserve"> לאיוש</w:t>
      </w:r>
      <w:r w:rsidRPr="002F2BC5">
        <w:rPr>
          <w:rFonts w:hint="cs"/>
          <w:rtl/>
        </w:rPr>
        <w:t>ו של תפקיד רכז רצף טיפול באלימות במשפחה, וכן על משרד הבריאות לפעול בהקדם להסדרת ההתקשרות בינו ובין קופת חולים מאוחדת ומכבי שירותי בריאות כדי לקדם את איוש התפקיד ואת תקצובו כנדרש. מומלץ למשרד הבריאות לפעול לאיוש תפקיד רכז רצף טיפול באלימות במשפחה בכלל קופות החולים וכן לניצול התקציב שהקצה משרד הרווחה לטובת איוש התפקיד.</w:t>
      </w:r>
      <w:bookmarkEnd w:id="1308"/>
      <w:bookmarkEnd w:id="1309"/>
      <w:bookmarkEnd w:id="1310"/>
      <w:bookmarkEnd w:id="1311"/>
      <w:bookmarkEnd w:id="1312"/>
      <w:bookmarkEnd w:id="1313"/>
      <w:bookmarkEnd w:id="1314"/>
      <w:bookmarkEnd w:id="1315"/>
    </w:p>
    <w:p w14:paraId="29B1C4F1" w14:textId="77777777" w:rsidR="00817399" w:rsidRPr="002F2BC5" w:rsidRDefault="00817399" w:rsidP="00817399">
      <w:pPr>
        <w:spacing w:line="269" w:lineRule="auto"/>
        <w:rPr>
          <w:rtl/>
        </w:rPr>
      </w:pPr>
    </w:p>
    <w:p w14:paraId="23DD2120" w14:textId="77777777" w:rsidR="00817399" w:rsidRPr="002F2BC5" w:rsidRDefault="00817399" w:rsidP="00817399">
      <w:pPr>
        <w:spacing w:line="269" w:lineRule="auto"/>
        <w:rPr>
          <w:rtl/>
        </w:rPr>
      </w:pPr>
      <w:r w:rsidRPr="002F2BC5">
        <w:rPr>
          <w:rFonts w:hint="cs"/>
          <w:rtl/>
        </w:rPr>
        <w:t>משרד הבריאות מסר בתשובתו כי קיים קושי לאייש את תפקיד רכז רצף טיפול באלימות במשפחה, משום שהתקצוב הייעודי הוא זמני וכן בשל מודל התקצוב (תשלום שעות נוספות). לצד זאת מסר כי הוא רואה חשיבות רבה מאוד באיוש התפקיד וכי הוא פועל לאיוש המשרות בכלל קופות החולים ולבניית מודל עבודה משותף עימן לצורך כך.</w:t>
      </w:r>
    </w:p>
    <w:p w14:paraId="754C9EB7" w14:textId="77777777" w:rsidR="00817399" w:rsidRPr="002F2BC5" w:rsidRDefault="00817399" w:rsidP="00817399">
      <w:pPr>
        <w:pStyle w:val="4"/>
        <w:spacing w:before="0" w:line="269" w:lineRule="auto"/>
        <w:rPr>
          <w:rtl/>
        </w:rPr>
      </w:pPr>
      <w:bookmarkStart w:id="1316" w:name="_Toc189072247"/>
      <w:bookmarkStart w:id="1317" w:name="_Toc191987049"/>
      <w:bookmarkStart w:id="1318" w:name="_Toc191891400"/>
      <w:bookmarkStart w:id="1319" w:name="_Toc192093123"/>
      <w:bookmarkStart w:id="1320" w:name="_Toc193110621"/>
      <w:bookmarkStart w:id="1321" w:name="_Toc192612831"/>
      <w:bookmarkStart w:id="1322" w:name="_Toc192778834"/>
      <w:bookmarkStart w:id="1323" w:name="_Toc198312266"/>
      <w:bookmarkStart w:id="1324" w:name="_Toc198312743"/>
      <w:bookmarkStart w:id="1325" w:name="_Toc200636812"/>
      <w:bookmarkStart w:id="1326" w:name="_Toc200636920"/>
      <w:bookmarkStart w:id="1327" w:name="_Toc200439811"/>
      <w:bookmarkStart w:id="1328" w:name="_Toc200439918"/>
      <w:bookmarkStart w:id="1329" w:name="_Toc201241023"/>
      <w:bookmarkStart w:id="1330" w:name="_Toc192784388"/>
      <w:bookmarkStart w:id="1331" w:name="_Toc201759374"/>
      <w:bookmarkStart w:id="1332" w:name="_Toc203488010"/>
      <w:bookmarkEnd w:id="1199"/>
      <w:bookmarkEnd w:id="1200"/>
      <w:r w:rsidRPr="002F2BC5">
        <w:rPr>
          <w:rFonts w:hint="cs"/>
          <w:rtl/>
        </w:rPr>
        <w:lastRenderedPageBreak/>
        <w:t>איתור המעורבים במעגל האלימות והטיפול בהם במחלקות לשירותים חברתיים ובמרכזים לטיפול ומניעת אלימות במשפחה</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1771C75F" w14:textId="77777777" w:rsidR="00817399" w:rsidRPr="002F2BC5" w:rsidRDefault="00817399" w:rsidP="00817399">
      <w:pPr>
        <w:spacing w:line="269" w:lineRule="auto"/>
        <w:rPr>
          <w:rtl/>
        </w:rPr>
      </w:pPr>
    </w:p>
    <w:p w14:paraId="02FA48C7" w14:textId="77777777" w:rsidR="00817399" w:rsidRPr="002F2BC5" w:rsidRDefault="00817399" w:rsidP="00817399">
      <w:pPr>
        <w:spacing w:line="269" w:lineRule="auto"/>
        <w:rPr>
          <w:rtl/>
        </w:rPr>
      </w:pPr>
      <w:r w:rsidRPr="002F2BC5">
        <w:rPr>
          <w:rFonts w:hint="cs"/>
          <w:rtl/>
        </w:rPr>
        <w:t>המחלקות לשירותים חברתיים ברשויות המקומיות נושאות באחריות העיקרית לאספקתם של שירותי הרווחה בקהילה לתושבי הרשויות המקומיות, ובכללם שירותים בתחום האלימות במשפחה - שירותים המופנים לנפגעי האלימות (הישירים והעקיפים) ולפוגעים</w:t>
      </w:r>
      <w:r w:rsidRPr="002F2BC5">
        <w:rPr>
          <w:rStyle w:val="af9"/>
          <w:rtl/>
        </w:rPr>
        <w:footnoteReference w:id="267"/>
      </w:r>
      <w:r w:rsidRPr="002F2BC5">
        <w:rPr>
          <w:rFonts w:hint="cs"/>
          <w:rtl/>
        </w:rPr>
        <w:t>. איש המקצוע המרכזי במחלקה לשירותים חברתיים, המופקד על הקשר עם מקבלי השירות במחלקה, הוא עובד סוציאלי משפחה שעבר הכשרה ייעודית בתחום זה (להלן - עו"ס משפחה). עו"ס המשפחה אחראי לזיהוי ואיתור של מצבי אלימות בין בני זוג וכן לאבחון, הערכה ובניית תוכנית התערבות בהתאם למידת הסיכון, לרצונותיה, לצרכיה, למשאביה ולרקע החברתי-תרבותי של המשפחה. בחלק מהרשויות המקומיות, לצד המחלקות לשירותים חברתיים, פועל מרכז ייעודי האחראי לספק מענה טיפולי בתחומי הטיפול ומניעת האלימות במשפחה, והוא גם אמור לשמש גורם מייעץ לעו"ס המשפחה (</w:t>
      </w:r>
      <w:bookmarkStart w:id="1333" w:name="_Hlk202260351"/>
      <w:r w:rsidRPr="002F2BC5">
        <w:rPr>
          <w:rFonts w:hint="cs"/>
          <w:rtl/>
        </w:rPr>
        <w:t>להלן - המרכז לטיפול ומניעת אלימות במשפחה או המרכז</w:t>
      </w:r>
      <w:bookmarkEnd w:id="1333"/>
      <w:r w:rsidRPr="002F2BC5">
        <w:rPr>
          <w:rFonts w:hint="cs"/>
          <w:rtl/>
        </w:rPr>
        <w:t>)</w:t>
      </w:r>
      <w:r w:rsidRPr="002F2BC5">
        <w:rPr>
          <w:rStyle w:val="af9"/>
          <w:rtl/>
        </w:rPr>
        <w:footnoteReference w:id="268"/>
      </w:r>
      <w:r w:rsidRPr="002F2BC5">
        <w:rPr>
          <w:rFonts w:hint="cs"/>
          <w:rtl/>
        </w:rPr>
        <w:t>. עו"ס המשפחה אמון גם על יישום תוכנית ההתערבות ועל מעקב אחר יישומה, ולצורך כך עליו לעמוד בקשר עם גורמי הטיפול האחרים, ובהם המרכז לטיפול ומניעת אלימות במשפחה</w:t>
      </w:r>
      <w:r w:rsidRPr="002F2BC5">
        <w:rPr>
          <w:rStyle w:val="af9"/>
          <w:rtl/>
        </w:rPr>
        <w:footnoteReference w:id="269"/>
      </w:r>
      <w:r w:rsidRPr="002F2BC5">
        <w:rPr>
          <w:rFonts w:hint="cs"/>
          <w:rtl/>
        </w:rPr>
        <w:t>.</w:t>
      </w:r>
    </w:p>
    <w:p w14:paraId="56C6B5C9" w14:textId="77777777" w:rsidR="00817399" w:rsidRPr="002F2BC5" w:rsidRDefault="00817399" w:rsidP="00817399">
      <w:pPr>
        <w:spacing w:line="269" w:lineRule="auto"/>
        <w:rPr>
          <w:rtl/>
        </w:rPr>
      </w:pPr>
    </w:p>
    <w:p w14:paraId="2038C268" w14:textId="77777777" w:rsidR="00817399" w:rsidRPr="002F2BC5" w:rsidRDefault="00817399" w:rsidP="00817399">
      <w:pPr>
        <w:spacing w:line="269" w:lineRule="auto"/>
        <w:rPr>
          <w:rtl/>
        </w:rPr>
      </w:pPr>
      <w:r w:rsidRPr="002F2BC5">
        <w:rPr>
          <w:rFonts w:hint="cs"/>
          <w:rtl/>
        </w:rPr>
        <w:t>בביקורת הקודמת נבדקו מודל ההפעלה של המרכזים לטיפול ומניעת אלימות במשפחה, מנגנון הבקרה הפנימי על פעילותם וכן הזמינות והרמה המקצועית של השירותים הניתנים בהם. נוסף על כך, נבדקו בביקורת הקודמת מעורבותם של המחלקות לשירותים חברתיים והמרכזים באיתור נפגעי אלימות במשפחה וכן היבטים מסוימים הנוגעים לממשקי העבודה שבין המחלקות לשירותים חברתיים ובין המרכזים. להלן יפורטו ממצאי ביקורת המעקב בנושאים אלה.</w:t>
      </w:r>
    </w:p>
    <w:p w14:paraId="3C86C6DB" w14:textId="77777777" w:rsidR="00817399" w:rsidRPr="002F2BC5" w:rsidRDefault="00817399" w:rsidP="00817399">
      <w:pPr>
        <w:spacing w:line="269" w:lineRule="auto"/>
        <w:rPr>
          <w:rtl/>
        </w:rPr>
      </w:pPr>
    </w:p>
    <w:p w14:paraId="19878672" w14:textId="77777777" w:rsidR="00817399" w:rsidRPr="002F2BC5" w:rsidRDefault="00817399" w:rsidP="00817399">
      <w:pPr>
        <w:pStyle w:val="50"/>
        <w:spacing w:line="269" w:lineRule="auto"/>
        <w:rPr>
          <w:rtl/>
        </w:rPr>
      </w:pPr>
      <w:bookmarkStart w:id="1334" w:name="_Toc189072248"/>
      <w:bookmarkStart w:id="1335" w:name="_Toc191987050"/>
      <w:bookmarkStart w:id="1336" w:name="_Toc192093124"/>
      <w:bookmarkStart w:id="1337" w:name="_Toc193110622"/>
      <w:bookmarkStart w:id="1338" w:name="_Toc192612832"/>
      <w:bookmarkStart w:id="1339" w:name="_Toc198312744"/>
      <w:bookmarkStart w:id="1340" w:name="_Toc200636921"/>
      <w:bookmarkStart w:id="1341" w:name="_Toc200439919"/>
      <w:bookmarkStart w:id="1342" w:name="_Toc201241024"/>
      <w:r w:rsidRPr="002F2BC5">
        <w:rPr>
          <w:rFonts w:hint="cs"/>
          <w:rtl/>
        </w:rPr>
        <w:t>איתור וזיהוי של משפחות במעגל האלימות במחלקות ובמרכזים</w:t>
      </w:r>
      <w:bookmarkEnd w:id="1334"/>
      <w:bookmarkEnd w:id="1335"/>
      <w:bookmarkEnd w:id="1336"/>
      <w:bookmarkEnd w:id="1337"/>
      <w:bookmarkEnd w:id="1338"/>
      <w:bookmarkEnd w:id="1339"/>
      <w:bookmarkEnd w:id="1340"/>
      <w:bookmarkEnd w:id="1341"/>
      <w:bookmarkEnd w:id="1342"/>
    </w:p>
    <w:p w14:paraId="7F3D7071" w14:textId="77777777" w:rsidR="00817399" w:rsidRPr="002F2BC5" w:rsidRDefault="00817399" w:rsidP="00817399">
      <w:pPr>
        <w:spacing w:line="269" w:lineRule="auto"/>
        <w:rPr>
          <w:rtl/>
        </w:rPr>
      </w:pPr>
    </w:p>
    <w:p w14:paraId="730FA59F" w14:textId="77777777" w:rsidR="00817399" w:rsidRPr="002F2BC5" w:rsidRDefault="00817399" w:rsidP="00817399">
      <w:pPr>
        <w:spacing w:line="269" w:lineRule="auto"/>
        <w:rPr>
          <w:rtl/>
        </w:rPr>
      </w:pPr>
      <w:r w:rsidRPr="002F2BC5">
        <w:rPr>
          <w:rFonts w:hint="cs"/>
          <w:rtl/>
        </w:rPr>
        <w:t>האחריות לאיתור ויישוג של משפחות במעגל האלימות כוללת, מעצם טיבה, מחויבות לנקיטת פעולות יזומות (פרו-אקטיביות) כלפי מי שקיים חשד לגביו שהוא מצוי במעגל האלימות. לצד זאת נדרשת גם מחויבות להנגשה של דרכי הפנייה לקבלת סיוע וטיפול בתחום האלימות במשפחה, לרבות לבני משפחתם הקרובים של המעורבים במעגל האלימות, מכריהם או שכניהם</w:t>
      </w:r>
      <w:r w:rsidRPr="002F2BC5">
        <w:rPr>
          <w:rStyle w:val="af9"/>
          <w:rtl/>
        </w:rPr>
        <w:footnoteReference w:id="270"/>
      </w:r>
      <w:r w:rsidRPr="002F2BC5">
        <w:rPr>
          <w:rFonts w:hint="cs"/>
          <w:rtl/>
        </w:rPr>
        <w:t>. משכך, מכלול הפעולות בתחום האיתור והיישוג כולל מנעד רחב של תחומים, ובהם הפעלה של מוקדי סיוע טלפוניים</w:t>
      </w:r>
      <w:r w:rsidRPr="002F2BC5">
        <w:rPr>
          <w:rStyle w:val="af9"/>
          <w:rtl/>
        </w:rPr>
        <w:footnoteReference w:id="271"/>
      </w:r>
      <w:r w:rsidRPr="002F2BC5">
        <w:rPr>
          <w:rFonts w:hint="cs"/>
          <w:rtl/>
        </w:rPr>
        <w:t>; שאלון מקוון לזיהוי מצבי סיכון (</w:t>
      </w:r>
      <w:r w:rsidRPr="002F2BC5">
        <w:t>I-risk</w:t>
      </w:r>
      <w:r w:rsidRPr="002F2BC5">
        <w:rPr>
          <w:rFonts w:hint="cs"/>
          <w:rtl/>
        </w:rPr>
        <w:t>); וכן רתימה של בעלי מקצוע והכשרתם לזיהוי ומתן סיוע ראשוני ללקוחותיהם המצויים במעגל האלימות</w:t>
      </w:r>
      <w:r w:rsidRPr="002F2BC5">
        <w:rPr>
          <w:rStyle w:val="af9"/>
          <w:rtl/>
        </w:rPr>
        <w:footnoteReference w:id="272"/>
      </w:r>
      <w:r w:rsidRPr="002F2BC5">
        <w:rPr>
          <w:rFonts w:hint="cs"/>
          <w:rtl/>
        </w:rPr>
        <w:t>.</w:t>
      </w:r>
    </w:p>
    <w:p w14:paraId="3A51A74B" w14:textId="77777777" w:rsidR="00817399" w:rsidRPr="002F2BC5" w:rsidRDefault="00817399" w:rsidP="00817399">
      <w:pPr>
        <w:spacing w:line="269" w:lineRule="auto"/>
        <w:rPr>
          <w:rtl/>
        </w:rPr>
      </w:pPr>
    </w:p>
    <w:p w14:paraId="698BBCB0" w14:textId="77777777" w:rsidR="00817399" w:rsidRPr="002F2BC5" w:rsidRDefault="00817399" w:rsidP="00817399">
      <w:pPr>
        <w:pStyle w:val="6"/>
        <w:spacing w:line="269" w:lineRule="auto"/>
        <w:rPr>
          <w:rtl/>
        </w:rPr>
      </w:pPr>
      <w:bookmarkStart w:id="1343" w:name="_Toc189072249"/>
      <w:bookmarkStart w:id="1344" w:name="_Toc191987051"/>
      <w:bookmarkStart w:id="1345" w:name="_Toc193110623"/>
      <w:r w:rsidRPr="002F2BC5">
        <w:rPr>
          <w:rFonts w:hint="cs"/>
          <w:rtl/>
        </w:rPr>
        <w:t>מדיניות ונוהלי העבודה בתחום האיתור והזיהוי של משפחות במעגל האלימות במחלקות לשירותים חברתיים ובמרכזים לטיפול ומניעת אלימות במשפחה</w:t>
      </w:r>
      <w:bookmarkEnd w:id="1343"/>
      <w:bookmarkEnd w:id="1344"/>
      <w:bookmarkEnd w:id="1345"/>
    </w:p>
    <w:p w14:paraId="30D2A0FA" w14:textId="77777777" w:rsidR="00817399" w:rsidRPr="002F2BC5" w:rsidRDefault="00817399" w:rsidP="00817399">
      <w:pPr>
        <w:spacing w:line="269" w:lineRule="auto"/>
        <w:rPr>
          <w:rtl/>
        </w:rPr>
      </w:pPr>
    </w:p>
    <w:p w14:paraId="1B766606" w14:textId="77777777" w:rsidR="00817399" w:rsidRPr="002F2BC5" w:rsidRDefault="00817399" w:rsidP="00817399">
      <w:pPr>
        <w:spacing w:line="269" w:lineRule="auto"/>
        <w:rPr>
          <w:rtl/>
        </w:rPr>
      </w:pPr>
      <w:r w:rsidRPr="002F2BC5">
        <w:rPr>
          <w:rFonts w:hint="cs"/>
          <w:rtl/>
        </w:rPr>
        <w:lastRenderedPageBreak/>
        <w:t>לאורך השנים הכירו הוועדות הבין-משרדיות בצורך בקביעת מדיניות ממשלתית וגיבוש תוכנית פעולה בתחום האיתור של משפחות במעגל האלימות ובקביעת הסדרים ייחודיים בנושא</w:t>
      </w:r>
      <w:r w:rsidRPr="002F2BC5">
        <w:rPr>
          <w:rStyle w:val="af9"/>
          <w:rtl/>
        </w:rPr>
        <w:footnoteReference w:id="273"/>
      </w:r>
      <w:r w:rsidRPr="002F2BC5">
        <w:rPr>
          <w:rFonts w:hint="cs"/>
          <w:rtl/>
        </w:rPr>
        <w:t>. בהמשך לכך, בשנת 2020, על רקע משבר הקורונה והתגברות תופעת האלימות במשפחה, התקבלה החלטת ממשלה המורה למשרד הרווחה לגבש תוכנית פעולה לאיתור, זיהוי ויישוג של משפחות במעגל האלימות. כן נדרש משרד הרווחה לפי ההחלטה לכלול בתוכנית זו התייחסות לפעולות יזומות על ידי המחלקות לשירותים וכן לפעול לפיתוח כלים דיגיטליים חדשניים לצורך כך</w:t>
      </w:r>
      <w:r w:rsidRPr="002F2BC5">
        <w:rPr>
          <w:rStyle w:val="af9"/>
          <w:rtl/>
        </w:rPr>
        <w:footnoteReference w:id="274"/>
      </w:r>
      <w:r w:rsidRPr="002F2BC5">
        <w:rPr>
          <w:rFonts w:hint="cs"/>
          <w:rtl/>
        </w:rPr>
        <w:t>.</w:t>
      </w:r>
    </w:p>
    <w:p w14:paraId="2834A76F" w14:textId="77777777" w:rsidR="00817399" w:rsidRPr="002F2BC5" w:rsidRDefault="00817399" w:rsidP="00817399">
      <w:pPr>
        <w:spacing w:line="269" w:lineRule="auto"/>
        <w:rPr>
          <w:rtl/>
        </w:rPr>
      </w:pPr>
    </w:p>
    <w:p w14:paraId="07080A18" w14:textId="77777777" w:rsidR="00817399" w:rsidRPr="002F2BC5" w:rsidRDefault="00817399" w:rsidP="00817399">
      <w:pPr>
        <w:spacing w:line="269" w:lineRule="auto"/>
        <w:rPr>
          <w:rtl/>
        </w:rPr>
      </w:pPr>
      <w:r w:rsidRPr="002F2BC5">
        <w:rPr>
          <w:rFonts w:hint="cs"/>
          <w:rtl/>
        </w:rPr>
        <w:t xml:space="preserve">יש לציין כי הסדרתן של פעולות איתור וזיהוי, שייעשו בעקבות קבלת פנייה מצדדים שלישיים בנוגע לאדם הקרוב אליהם והמעורב באלימות במשפחה </w:t>
      </w:r>
      <w:r w:rsidRPr="002F2BC5">
        <w:rPr>
          <w:rtl/>
        </w:rPr>
        <w:t>-</w:t>
      </w:r>
      <w:r w:rsidRPr="002F2BC5">
        <w:rPr>
          <w:rFonts w:hint="cs"/>
          <w:rtl/>
        </w:rPr>
        <w:t xml:space="preserve"> מעמידה קושי מיוחד. זאת משום שפניות אלו נעשות לעיתים ללא הסכמתו של האדם, לעיתים על אף התנגדותו לכך וסירובו לטיפול. על רקע זאת, עוד בשנת 2002 המליץ משרד מבקר המדינה למשרד הרווחה לקבוע נוהל עבודה או הנחיות מפורטות בדבר סדרי העבודה והטיפול בנסיבות אלו. משרד מבקר המדינה התייחס אז גם לכך שבהיעדרן של הנחיות כתובות, הפעולות בתחום האיתור בכללותן מתאפיינות בחוסר אחידות, והמחלקות והמרכזים עלולים שלא למצות את כלל האפשרויות העומדות בפניהם לשם רתימתם לטיפול של המעורבים במעגל האלימות או לשם איתור מקרים שלא הובאו לידיעתם</w:t>
      </w:r>
      <w:r w:rsidRPr="002F2BC5">
        <w:rPr>
          <w:rStyle w:val="af9"/>
          <w:rtl/>
        </w:rPr>
        <w:footnoteReference w:id="275"/>
      </w:r>
      <w:r w:rsidRPr="002F2BC5">
        <w:rPr>
          <w:rFonts w:hint="cs"/>
          <w:rtl/>
        </w:rPr>
        <w:t>.</w:t>
      </w:r>
    </w:p>
    <w:p w14:paraId="5A77FA1B" w14:textId="77777777" w:rsidR="00817399" w:rsidRPr="002F2BC5" w:rsidRDefault="00817399" w:rsidP="00817399">
      <w:pPr>
        <w:spacing w:line="269" w:lineRule="auto"/>
        <w:rPr>
          <w:rtl/>
        </w:rPr>
      </w:pPr>
    </w:p>
    <w:p w14:paraId="47C2D146" w14:textId="77777777" w:rsidR="00817399" w:rsidRPr="002F2BC5" w:rsidRDefault="00817399" w:rsidP="00817399">
      <w:pPr>
        <w:spacing w:line="269" w:lineRule="auto"/>
        <w:rPr>
          <w:rtl/>
        </w:rPr>
      </w:pPr>
      <w:bookmarkStart w:id="1346" w:name="_Toc191987052"/>
      <w:r w:rsidRPr="002F2BC5">
        <w:rPr>
          <w:rStyle w:val="70"/>
          <w:rFonts w:hint="cs"/>
          <w:rtl/>
        </w:rPr>
        <w:t>הביקורת הקודמת:</w:t>
      </w:r>
      <w:bookmarkEnd w:id="1346"/>
      <w:r w:rsidRPr="002F2BC5">
        <w:rPr>
          <w:rStyle w:val="70"/>
          <w:rFonts w:hint="cs"/>
          <w:rtl/>
        </w:rPr>
        <w:t xml:space="preserve"> </w:t>
      </w:r>
      <w:r w:rsidRPr="002F2BC5">
        <w:rPr>
          <w:rFonts w:hint="cs"/>
          <w:rtl/>
        </w:rPr>
        <w:t>נמצא כי משרד הרווחה לא קבע מדיניות סדורה, לרבות בהוראות התע"ס, בכל הנוגע לפעולות האיתור והזיהוי של המעורבים באלימות במשפחה שהמחלקות לשירותים חברתיים והמרכזים לטיפול ומניעת אלימות במשפחה נדרשים לנקוט. כך גם הוא לא קבע הנחיות מפורטות בכל הנוגע לטיפול בפניות המתקבלות מצדדים שלישיים, לרבות באמצעות מוקד הסיוע הארצי שהוא מפעיל.</w:t>
      </w:r>
    </w:p>
    <w:p w14:paraId="17E340C0" w14:textId="77777777" w:rsidR="00817399" w:rsidRPr="002F2BC5" w:rsidRDefault="00817399" w:rsidP="00817399">
      <w:pPr>
        <w:spacing w:line="269" w:lineRule="auto"/>
        <w:rPr>
          <w:rtl/>
        </w:rPr>
      </w:pPr>
    </w:p>
    <w:p w14:paraId="0437C2D2" w14:textId="77777777" w:rsidR="00817399" w:rsidRPr="002F2BC5" w:rsidRDefault="00817399" w:rsidP="00817399">
      <w:pPr>
        <w:spacing w:line="269" w:lineRule="auto"/>
        <w:rPr>
          <w:rtl/>
        </w:rPr>
      </w:pPr>
      <w:r w:rsidRPr="002F2BC5">
        <w:rPr>
          <w:rFonts w:hint="cs"/>
          <w:rtl/>
        </w:rPr>
        <w:t xml:space="preserve">עוד הועלה בביקורת הקודמת כי רובן המוחלט של הרשויות המקומיות שנבדקו (למעט המועצה המקומית </w:t>
      </w:r>
      <w:r w:rsidRPr="002F2BC5">
        <w:rPr>
          <w:rFonts w:hint="cs"/>
          <w:b/>
          <w:bCs/>
          <w:rtl/>
        </w:rPr>
        <w:t>שיבלי - אום אל-ר'נם</w:t>
      </w:r>
      <w:r w:rsidRPr="002F2BC5">
        <w:rPr>
          <w:rFonts w:hint="cs"/>
          <w:rtl/>
        </w:rPr>
        <w:t>) ביצעו פעולות יזומות לאיתור משפחות במעגל האלימות, לרבות בעקבות פניות מצדדים שלישיים. עם זאת, פעולות אלו נעשו ללא הכוונה מקצועית של משרד הרווחה ובלי שהוקצה לכך כוח אדם ייעודי. עוד הועלה כי אף אחת מהרשויות הללו לא איגמה את הנתונים על הפעולות שנקטה בתחום האיתור, ורובן המוחלט לא איגמו נתונים על פניות שהתקבלו במחלקות או במרכזים באמצעות צדדים שלישיים, לרבות פניות שהתקבלו באופן זה ממוקד הסיוע הארצי שמפעיל משרד הרווחה</w:t>
      </w:r>
      <w:r w:rsidRPr="002F2BC5">
        <w:rPr>
          <w:rStyle w:val="af9"/>
          <w:rtl/>
        </w:rPr>
        <w:footnoteReference w:id="276"/>
      </w:r>
      <w:r w:rsidRPr="002F2BC5">
        <w:rPr>
          <w:rFonts w:hint="cs"/>
          <w:rtl/>
        </w:rPr>
        <w:t>.</w:t>
      </w:r>
    </w:p>
    <w:p w14:paraId="6A39A730" w14:textId="77777777" w:rsidR="00817399" w:rsidRPr="002F2BC5" w:rsidRDefault="00817399" w:rsidP="00817399">
      <w:pPr>
        <w:spacing w:line="269" w:lineRule="auto"/>
        <w:rPr>
          <w:rtl/>
        </w:rPr>
      </w:pPr>
    </w:p>
    <w:p w14:paraId="40CFBF6B"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להנחות את המרכזים לטיפול ומניעת אלימות במשפחה בדבר אחריותם בכל הקשור לפעולות של איתור וזיהוי המעורבים באלימות במשפחה; כן המליץ לקבוע נוהל בעניין הטיפול בפניות של צדדים שלישיים ובפניות המתקבלות מהמוקד הארצי שהוא מפעיל. עוד הומלץ למשרד הרווחה להנחות את המרכזים לאסוף נתונים בנושאים הללו וכן להנחותם בדבר אופן תיעוד הפניות המתקבלות כך.</w:t>
      </w:r>
    </w:p>
    <w:p w14:paraId="7CEF43AF" w14:textId="77777777" w:rsidR="00817399" w:rsidRPr="002F2BC5" w:rsidRDefault="00817399" w:rsidP="00817399">
      <w:pPr>
        <w:spacing w:line="269" w:lineRule="auto"/>
        <w:rPr>
          <w:rtl/>
        </w:rPr>
      </w:pPr>
    </w:p>
    <w:p w14:paraId="02048C49" w14:textId="77777777" w:rsidR="00817399" w:rsidRPr="002F2BC5" w:rsidRDefault="00817399" w:rsidP="00817399">
      <w:pPr>
        <w:spacing w:line="269" w:lineRule="auto"/>
        <w:rPr>
          <w:rtl/>
        </w:rPr>
      </w:pPr>
      <w:r w:rsidRPr="002F2BC5">
        <w:rPr>
          <w:rFonts w:hint="eastAsia"/>
          <w:rtl/>
        </w:rPr>
        <w:t>משרד</w:t>
      </w:r>
      <w:r w:rsidRPr="002F2BC5">
        <w:rPr>
          <w:rtl/>
        </w:rPr>
        <w:t xml:space="preserve"> הרווחה מסר בתשובתו </w:t>
      </w:r>
      <w:r w:rsidRPr="002F2BC5">
        <w:rPr>
          <w:rFonts w:hint="cs"/>
          <w:rtl/>
        </w:rPr>
        <w:t>לביקורת הקודמת</w:t>
      </w:r>
      <w:r w:rsidRPr="002F2BC5">
        <w:rPr>
          <w:rtl/>
        </w:rPr>
        <w:t xml:space="preserve"> </w:t>
      </w:r>
      <w:r w:rsidRPr="002F2BC5">
        <w:rPr>
          <w:rFonts w:hint="cs"/>
          <w:rtl/>
        </w:rPr>
        <w:t xml:space="preserve">מפברואר 2021 </w:t>
      </w:r>
      <w:r w:rsidRPr="002F2BC5">
        <w:rPr>
          <w:rtl/>
        </w:rPr>
        <w:t xml:space="preserve">כי </w:t>
      </w:r>
      <w:r w:rsidRPr="002F2BC5">
        <w:rPr>
          <w:rFonts w:hint="cs"/>
          <w:rtl/>
        </w:rPr>
        <w:t xml:space="preserve">יפעל לחידוד הנהלים בכל הנוגע לאיתור וזיהוי המעורבים במעגל האלימות, ובתוך כך יקבע מתכונת אחידה לאופן הטיפול בפניות המתקבלות מצדדים שלישיים. אשר לניהול הנתונים על פניות המתקבלות באופן זה, מסר כי למרכזים לטיפול ומניעת אלימות במשפחה אין אפשרות לתעדן באופן ממוחשב. </w:t>
      </w:r>
    </w:p>
    <w:p w14:paraId="03867BCE" w14:textId="77777777" w:rsidR="00817399" w:rsidRPr="002F2BC5" w:rsidRDefault="00817399" w:rsidP="00817399">
      <w:pPr>
        <w:spacing w:line="269" w:lineRule="auto"/>
        <w:rPr>
          <w:rtl/>
        </w:rPr>
      </w:pPr>
    </w:p>
    <w:p w14:paraId="5948328D" w14:textId="77777777" w:rsidR="00817399" w:rsidRPr="002F2BC5" w:rsidRDefault="00817399" w:rsidP="00817399">
      <w:pPr>
        <w:spacing w:line="269" w:lineRule="auto"/>
        <w:rPr>
          <w:rtl/>
        </w:rPr>
      </w:pPr>
      <w:bookmarkStart w:id="1347" w:name="_Toc191987053"/>
      <w:r w:rsidRPr="002F2BC5">
        <w:rPr>
          <w:rStyle w:val="70"/>
          <w:rFonts w:hint="cs"/>
          <w:rtl/>
        </w:rPr>
        <w:t>ביקורת המעקב:</w:t>
      </w:r>
      <w:bookmarkEnd w:id="1347"/>
      <w:r w:rsidRPr="002F2BC5">
        <w:rPr>
          <w:rStyle w:val="70"/>
          <w:rFonts w:hint="cs"/>
          <w:rtl/>
        </w:rPr>
        <w:t xml:space="preserve"> </w:t>
      </w:r>
      <w:r w:rsidRPr="002F2BC5">
        <w:rPr>
          <w:rFonts w:hint="eastAsia"/>
          <w:b/>
          <w:bCs/>
          <w:rtl/>
        </w:rPr>
        <w:t>נמצא</w:t>
      </w:r>
      <w:r w:rsidRPr="002F2BC5">
        <w:rPr>
          <w:b/>
          <w:bCs/>
          <w:rtl/>
        </w:rPr>
        <w:t xml:space="preserve"> </w:t>
      </w:r>
      <w:r w:rsidRPr="002F2BC5">
        <w:rPr>
          <w:rFonts w:hint="eastAsia"/>
          <w:b/>
          <w:bCs/>
          <w:rtl/>
        </w:rPr>
        <w:t>כי</w:t>
      </w:r>
      <w:r w:rsidRPr="002F2BC5">
        <w:rPr>
          <w:b/>
          <w:bCs/>
          <w:rtl/>
        </w:rPr>
        <w:t xml:space="preserve"> משרד הרווחה לא קבע מדיניות סדורה, לרבות בהוראות התע"ס, בכל הנוגע לפעולות האיתור והזיהוי של המעורבים באלימות במשפחה, שבאחריות</w:t>
      </w:r>
      <w:r w:rsidRPr="002F2BC5">
        <w:rPr>
          <w:rFonts w:hint="eastAsia"/>
          <w:b/>
          <w:bCs/>
          <w:rtl/>
        </w:rPr>
        <w:t>ם</w:t>
      </w:r>
      <w:r w:rsidRPr="002F2BC5">
        <w:rPr>
          <w:b/>
          <w:bCs/>
          <w:rtl/>
        </w:rPr>
        <w:t xml:space="preserve"> </w:t>
      </w:r>
      <w:r w:rsidRPr="002F2BC5">
        <w:rPr>
          <w:b/>
          <w:bCs/>
          <w:rtl/>
        </w:rPr>
        <w:lastRenderedPageBreak/>
        <w:t xml:space="preserve">של המחלקות לשירותים חברתיים והמרכזים לטיפול ומניעת אלימות במשפחה. </w:t>
      </w:r>
      <w:r w:rsidRPr="002F2BC5">
        <w:rPr>
          <w:rFonts w:hint="eastAsia"/>
          <w:b/>
          <w:bCs/>
          <w:rtl/>
        </w:rPr>
        <w:t>כך</w:t>
      </w:r>
      <w:r w:rsidRPr="002F2BC5">
        <w:rPr>
          <w:b/>
          <w:bCs/>
          <w:rtl/>
        </w:rPr>
        <w:t xml:space="preserve"> </w:t>
      </w:r>
      <w:r w:rsidRPr="002F2BC5">
        <w:rPr>
          <w:rFonts w:hint="eastAsia"/>
          <w:b/>
          <w:bCs/>
          <w:rtl/>
        </w:rPr>
        <w:t>גם</w:t>
      </w:r>
      <w:r w:rsidRPr="002F2BC5">
        <w:rPr>
          <w:b/>
          <w:bCs/>
          <w:rtl/>
        </w:rPr>
        <w:t xml:space="preserve"> </w:t>
      </w:r>
      <w:r w:rsidRPr="002F2BC5">
        <w:rPr>
          <w:rFonts w:hint="eastAsia"/>
          <w:b/>
          <w:bCs/>
          <w:rtl/>
        </w:rPr>
        <w:t>הועלה</w:t>
      </w:r>
      <w:r w:rsidRPr="002F2BC5">
        <w:rPr>
          <w:b/>
          <w:bCs/>
          <w:rtl/>
        </w:rPr>
        <w:t xml:space="preserve"> </w:t>
      </w:r>
      <w:r w:rsidRPr="002F2BC5">
        <w:rPr>
          <w:rFonts w:hint="eastAsia"/>
          <w:b/>
          <w:bCs/>
          <w:rtl/>
        </w:rPr>
        <w:t>כי</w:t>
      </w:r>
      <w:r w:rsidRPr="002F2BC5">
        <w:rPr>
          <w:b/>
          <w:bCs/>
          <w:rtl/>
        </w:rPr>
        <w:t xml:space="preserve"> </w:t>
      </w:r>
      <w:r w:rsidRPr="002F2BC5">
        <w:rPr>
          <w:rFonts w:hint="eastAsia"/>
          <w:b/>
          <w:bCs/>
          <w:rtl/>
        </w:rPr>
        <w:t>משרד</w:t>
      </w:r>
      <w:r w:rsidRPr="002F2BC5">
        <w:rPr>
          <w:b/>
          <w:bCs/>
          <w:rtl/>
        </w:rPr>
        <w:t xml:space="preserve"> </w:t>
      </w:r>
      <w:r w:rsidRPr="002F2BC5">
        <w:rPr>
          <w:rFonts w:hint="eastAsia"/>
          <w:b/>
          <w:bCs/>
          <w:rtl/>
        </w:rPr>
        <w:t>הרווחה</w:t>
      </w:r>
      <w:r w:rsidRPr="002F2BC5">
        <w:rPr>
          <w:b/>
          <w:bCs/>
          <w:rtl/>
        </w:rPr>
        <w:t xml:space="preserve"> לא קבע הנחיות מפורטות בכל הנוגע לטיפול בפניות המתקבלות מצדדים שלישיים.</w:t>
      </w:r>
    </w:p>
    <w:p w14:paraId="41C83C35" w14:textId="77777777" w:rsidR="00817399" w:rsidRPr="002F2BC5" w:rsidRDefault="00817399" w:rsidP="00817399">
      <w:pPr>
        <w:spacing w:line="269" w:lineRule="auto"/>
        <w:rPr>
          <w:rtl/>
        </w:rPr>
      </w:pPr>
    </w:p>
    <w:p w14:paraId="39BA8483" w14:textId="77777777" w:rsidR="00817399" w:rsidRPr="002F2BC5" w:rsidRDefault="00817399" w:rsidP="00817399">
      <w:pPr>
        <w:spacing w:line="269" w:lineRule="auto"/>
        <w:rPr>
          <w:rtl/>
        </w:rPr>
      </w:pPr>
      <w:r w:rsidRPr="002F2BC5">
        <w:rPr>
          <w:rFonts w:hint="cs"/>
          <w:rtl/>
        </w:rPr>
        <w:t xml:space="preserve">מתשובות הרשויות המקומיות שנבדקו על השאלונים עלה כי רק 4 מתוך 14 הרשויות המקומיות שנבדקו (העיריות </w:t>
      </w:r>
      <w:r w:rsidRPr="002F2BC5">
        <w:rPr>
          <w:rFonts w:hint="cs"/>
          <w:b/>
          <w:bCs/>
          <w:rtl/>
        </w:rPr>
        <w:t>חדרה</w:t>
      </w:r>
      <w:r w:rsidRPr="002F2BC5">
        <w:rPr>
          <w:rFonts w:hint="cs"/>
          <w:rtl/>
        </w:rPr>
        <w:t xml:space="preserve">, </w:t>
      </w:r>
      <w:r w:rsidRPr="002F2BC5">
        <w:rPr>
          <w:rFonts w:hint="cs"/>
          <w:b/>
          <w:bCs/>
          <w:rtl/>
        </w:rPr>
        <w:t>סח'נין</w:t>
      </w:r>
      <w:r w:rsidRPr="002F2BC5">
        <w:rPr>
          <w:rFonts w:hint="cs"/>
          <w:rtl/>
        </w:rPr>
        <w:t xml:space="preserve">, </w:t>
      </w:r>
      <w:r w:rsidRPr="002F2BC5">
        <w:rPr>
          <w:rFonts w:hint="cs"/>
          <w:b/>
          <w:bCs/>
          <w:rtl/>
        </w:rPr>
        <w:t>עכו</w:t>
      </w:r>
      <w:r w:rsidRPr="002F2BC5">
        <w:rPr>
          <w:rFonts w:hint="cs"/>
          <w:rtl/>
        </w:rPr>
        <w:t xml:space="preserve"> ו</w:t>
      </w:r>
      <w:r w:rsidRPr="002F2BC5">
        <w:rPr>
          <w:rFonts w:hint="cs"/>
          <w:b/>
          <w:bCs/>
          <w:rtl/>
        </w:rPr>
        <w:t>קריית מלאכי</w:t>
      </w:r>
      <w:r w:rsidRPr="002F2BC5">
        <w:rPr>
          <w:rFonts w:hint="cs"/>
          <w:rtl/>
        </w:rPr>
        <w:t xml:space="preserve">) נוהגות לתעד פניות שהתקבלו באמצעות מוקד הסיוע הארצי שמפעיל משרד הרווחה. עוד עלה מהתשובות על השאלונים כי פעולות איתור ויישוג של מי שקיים לגביו חשד למעורבות באלימות במשפחה נעשות באופן שאינו שיטתי, לרוב בלי שהן מתועדות במערכות המחשוב של המרכזים, משום שבדרך כלל נעשו על ידי עובדים סוציאליים במחלקות לשירותים חברתיים, או אם הפעולות לא הובילו לפתיחת תיק במחלקה או במרכז. אחת הרשויות המקומיות השיבה כי היא אינה מבצעת פעולות של איתור ויישוג בשל מחסור בכוח אדם. הרשויות המקומיות מסרו עוד שעיקר הפעולות בתחום האיתור והיישוג היו בעקבות מידע שהתקבל מתחנות המשטרה. </w:t>
      </w:r>
    </w:p>
    <w:p w14:paraId="437A6577" w14:textId="77777777" w:rsidR="00817399" w:rsidRPr="002F2BC5" w:rsidRDefault="00817399" w:rsidP="00817399">
      <w:pPr>
        <w:spacing w:line="269" w:lineRule="auto"/>
        <w:rPr>
          <w:rtl/>
        </w:rPr>
      </w:pPr>
    </w:p>
    <w:p w14:paraId="499351D5" w14:textId="77777777" w:rsidR="00817399" w:rsidRPr="002F2BC5" w:rsidRDefault="00817399" w:rsidP="00817399">
      <w:pPr>
        <w:pStyle w:val="afffffff9"/>
        <w:spacing w:line="269" w:lineRule="auto"/>
        <w:rPr>
          <w:rtl/>
        </w:rPr>
      </w:pPr>
      <w:bookmarkStart w:id="1348" w:name="_Toc198312267"/>
      <w:bookmarkStart w:id="1349" w:name="_Toc198312745"/>
      <w:bookmarkStart w:id="1350" w:name="_Toc200636922"/>
      <w:bookmarkStart w:id="1351" w:name="_Toc200439920"/>
      <w:bookmarkStart w:id="1352" w:name="_Toc201241025"/>
      <w:bookmarkStart w:id="1353" w:name="_Toc191987054"/>
      <w:bookmarkStart w:id="1354" w:name="_Toc192093125"/>
      <w:bookmarkStart w:id="1355" w:name="_Toc192612833"/>
      <w:r w:rsidRPr="002F2BC5">
        <w:rPr>
          <w:rFonts w:hint="cs"/>
          <w:rtl/>
        </w:rPr>
        <w:t xml:space="preserve">בביקורת הקודמת </w:t>
      </w:r>
      <w:r w:rsidRPr="002F2BC5">
        <w:rPr>
          <w:rtl/>
        </w:rPr>
        <w:t xml:space="preserve">הועלה כי משרד הרווחה לא קבע מדיניות סדורה, לרבות בהוראות התע"ס, בכל הנוגע לפעולות האיתור והזיהוי של המעורבים באלימות במשפחה שהמחלקות לשירותים חברתיים והמרכזים לטיפול ומניעת אלימות במשפחה נדרשים לנקוט. </w:t>
      </w:r>
      <w:r w:rsidRPr="002F2BC5">
        <w:rPr>
          <w:rFonts w:hint="eastAsia"/>
          <w:rtl/>
        </w:rPr>
        <w:t>בביקורת</w:t>
      </w:r>
      <w:r w:rsidRPr="002F2BC5">
        <w:rPr>
          <w:rtl/>
        </w:rPr>
        <w:t xml:space="preserve"> המעקב הועלה כי </w:t>
      </w:r>
      <w:r w:rsidRPr="002F2BC5">
        <w:rPr>
          <w:rFonts w:hint="eastAsia"/>
          <w:rtl/>
        </w:rPr>
        <w:t>הליקוי</w:t>
      </w:r>
      <w:r w:rsidRPr="002F2BC5">
        <w:rPr>
          <w:rtl/>
        </w:rPr>
        <w:t xml:space="preserve"> </w:t>
      </w:r>
      <w:r w:rsidRPr="002F2BC5">
        <w:rPr>
          <w:rFonts w:hint="eastAsia"/>
          <w:rtl/>
        </w:rPr>
        <w:t>לא</w:t>
      </w:r>
      <w:r w:rsidRPr="002F2BC5">
        <w:rPr>
          <w:rtl/>
        </w:rPr>
        <w:t xml:space="preserve"> </w:t>
      </w:r>
      <w:r w:rsidRPr="002F2BC5">
        <w:rPr>
          <w:rFonts w:hint="eastAsia"/>
          <w:rtl/>
        </w:rPr>
        <w:t>תוקן</w:t>
      </w:r>
      <w:r w:rsidRPr="002F2BC5">
        <w:rPr>
          <w:rFonts w:hint="cs"/>
          <w:rtl/>
        </w:rPr>
        <w:t>. בהיעדר מדיניות אחידה ומתואמת ובהיעדרן של הנחיות סדורות, מפורטות ומחייבות בכל הנוגע לסדרי עבודתן של המחלקות לשירותים חברתיים והמרכזים לטיפול ומניעת אלימות במשפחה בתחום האיתור והיישוג של המעורבים במעגל האלימות - פעולותיהן בתחום זה אינן משקפות תפיסה מערכתית מתואמת, והן נעשות באופן שאינו שיטתי ואחיד.</w:t>
      </w:r>
      <w:bookmarkEnd w:id="1348"/>
      <w:bookmarkEnd w:id="1349"/>
      <w:bookmarkEnd w:id="1350"/>
      <w:bookmarkEnd w:id="1351"/>
      <w:bookmarkEnd w:id="1352"/>
      <w:r w:rsidRPr="002F2BC5">
        <w:rPr>
          <w:rFonts w:hint="cs"/>
          <w:rtl/>
        </w:rPr>
        <w:t xml:space="preserve"> </w:t>
      </w:r>
      <w:bookmarkEnd w:id="1353"/>
      <w:bookmarkEnd w:id="1354"/>
      <w:bookmarkEnd w:id="1355"/>
    </w:p>
    <w:p w14:paraId="33B73CC9" w14:textId="77777777" w:rsidR="00817399" w:rsidRPr="002F2BC5" w:rsidRDefault="00817399" w:rsidP="00817399">
      <w:pPr>
        <w:spacing w:line="269" w:lineRule="auto"/>
        <w:rPr>
          <w:rtl/>
        </w:rPr>
      </w:pPr>
    </w:p>
    <w:p w14:paraId="17A3ADC9" w14:textId="77777777" w:rsidR="00817399" w:rsidRPr="002F2BC5" w:rsidRDefault="00817399" w:rsidP="00817399">
      <w:pPr>
        <w:spacing w:line="269" w:lineRule="auto"/>
        <w:rPr>
          <w:rtl/>
        </w:rPr>
      </w:pPr>
      <w:bookmarkStart w:id="1356" w:name="_Hlk199251391"/>
      <w:r w:rsidRPr="002F2BC5">
        <w:rPr>
          <w:rFonts w:hint="cs"/>
          <w:rtl/>
        </w:rPr>
        <w:t xml:space="preserve">עיריית </w:t>
      </w:r>
      <w:r w:rsidRPr="002F2BC5">
        <w:rPr>
          <w:rFonts w:hint="cs"/>
          <w:b/>
          <w:bCs/>
          <w:rtl/>
        </w:rPr>
        <w:t>עכו</w:t>
      </w:r>
      <w:r w:rsidRPr="002F2BC5">
        <w:rPr>
          <w:rFonts w:hint="cs"/>
          <w:rtl/>
        </w:rPr>
        <w:t xml:space="preserve"> מסרה בתשובתה כי כל פנייה למרכז שבהפעלתה מתועדת בקובץ </w:t>
      </w:r>
      <w:r w:rsidRPr="002F2BC5">
        <w:rPr>
          <w:rFonts w:hint="cs"/>
        </w:rPr>
        <w:t>E</w:t>
      </w:r>
      <w:r w:rsidRPr="002F2BC5">
        <w:t>xcel</w:t>
      </w:r>
      <w:r w:rsidRPr="002F2BC5">
        <w:rPr>
          <w:rFonts w:hint="cs"/>
          <w:rtl/>
        </w:rPr>
        <w:t>, ובלבד שהפונה מסר את פרטיו והביע רצון בהמשך הקשר עם המרכז, וכי רק לאחר שלב האינטייק</w:t>
      </w:r>
      <w:r w:rsidRPr="002F2BC5">
        <w:rPr>
          <w:rStyle w:val="af9"/>
          <w:rtl/>
        </w:rPr>
        <w:footnoteReference w:id="277"/>
      </w:r>
      <w:r w:rsidRPr="002F2BC5">
        <w:rPr>
          <w:rFonts w:hint="cs"/>
          <w:rtl/>
        </w:rPr>
        <w:t xml:space="preserve"> מתווסף תיעוד רשמי של הפנייה גם במערכת הממוחשבת. היא הוסיפה כי אין באפשרותה לתעד פניות של מי שאינם מעוניינים להזדהות או שאינם מעוניינים בהמשך הקשר עם המרכז. עיריית </w:t>
      </w:r>
      <w:r w:rsidRPr="002F2BC5">
        <w:rPr>
          <w:rFonts w:hint="eastAsia"/>
          <w:b/>
          <w:bCs/>
          <w:rtl/>
        </w:rPr>
        <w:t>סח</w:t>
      </w:r>
      <w:r w:rsidRPr="002F2BC5">
        <w:rPr>
          <w:b/>
          <w:bCs/>
          <w:rtl/>
        </w:rPr>
        <w:t>'נין</w:t>
      </w:r>
      <w:r w:rsidRPr="002F2BC5">
        <w:rPr>
          <w:rFonts w:hint="cs"/>
          <w:rtl/>
        </w:rPr>
        <w:t xml:space="preserve"> -</w:t>
      </w:r>
      <w:r w:rsidRPr="002F2BC5">
        <w:rPr>
          <w:rtl/>
        </w:rPr>
        <w:t xml:space="preserve"> </w:t>
      </w:r>
      <w:r w:rsidRPr="002F2BC5">
        <w:rPr>
          <w:rFonts w:hint="eastAsia"/>
          <w:rtl/>
        </w:rPr>
        <w:t>שבדומה</w:t>
      </w:r>
      <w:r w:rsidRPr="002F2BC5">
        <w:rPr>
          <w:rtl/>
        </w:rPr>
        <w:t xml:space="preserve"> לעיריית עכו נוהגת גם היא, </w:t>
      </w:r>
      <w:r w:rsidRPr="002F2BC5">
        <w:rPr>
          <w:rFonts w:hint="eastAsia"/>
          <w:rtl/>
        </w:rPr>
        <w:t>על</w:t>
      </w:r>
      <w:r w:rsidRPr="002F2BC5">
        <w:rPr>
          <w:rtl/>
        </w:rPr>
        <w:t xml:space="preserve"> </w:t>
      </w:r>
      <w:r w:rsidRPr="002F2BC5">
        <w:rPr>
          <w:rFonts w:hint="eastAsia"/>
          <w:rtl/>
        </w:rPr>
        <w:t>פי</w:t>
      </w:r>
      <w:r w:rsidRPr="002F2BC5">
        <w:rPr>
          <w:rtl/>
        </w:rPr>
        <w:t xml:space="preserve"> </w:t>
      </w:r>
      <w:r w:rsidRPr="002F2BC5">
        <w:rPr>
          <w:rFonts w:hint="eastAsia"/>
          <w:rtl/>
        </w:rPr>
        <w:t>תשובתה</w:t>
      </w:r>
      <w:r w:rsidRPr="002F2BC5">
        <w:rPr>
          <w:rtl/>
        </w:rPr>
        <w:t xml:space="preserve"> </w:t>
      </w:r>
      <w:r w:rsidRPr="002F2BC5">
        <w:rPr>
          <w:rFonts w:hint="eastAsia"/>
          <w:rtl/>
        </w:rPr>
        <w:t>על</w:t>
      </w:r>
      <w:r w:rsidRPr="002F2BC5">
        <w:rPr>
          <w:rtl/>
        </w:rPr>
        <w:t xml:space="preserve"> </w:t>
      </w:r>
      <w:r w:rsidRPr="002F2BC5">
        <w:rPr>
          <w:rFonts w:hint="eastAsia"/>
          <w:rtl/>
        </w:rPr>
        <w:t>השאלון</w:t>
      </w:r>
      <w:r w:rsidRPr="002F2BC5">
        <w:rPr>
          <w:rtl/>
        </w:rPr>
        <w:t>, לתעד פניות שהתקבלו באמצעות מוקד הסיוע הארצי</w:t>
      </w:r>
      <w:r w:rsidRPr="002F2BC5">
        <w:rPr>
          <w:rFonts w:hint="cs"/>
          <w:rtl/>
        </w:rPr>
        <w:t>, אף כי משרד הרווחה לא קבע הנחיות סדורות בעניין זה - מסרה בתשובתה כי קיים צורך להקצות תקנים ותקציבים ייעודיים לטובת פעולות איתור ויישוג.</w:t>
      </w:r>
    </w:p>
    <w:bookmarkEnd w:id="1356"/>
    <w:p w14:paraId="7D4EA56C" w14:textId="77777777" w:rsidR="00817399" w:rsidRPr="002F2BC5" w:rsidRDefault="00817399" w:rsidP="00817399">
      <w:pPr>
        <w:spacing w:line="269" w:lineRule="auto"/>
        <w:rPr>
          <w:rtl/>
        </w:rPr>
      </w:pPr>
    </w:p>
    <w:p w14:paraId="4D2D2349" w14:textId="77777777" w:rsidR="00817399" w:rsidRPr="002F2BC5" w:rsidRDefault="00817399" w:rsidP="00817399">
      <w:pPr>
        <w:pStyle w:val="afffffffa"/>
        <w:spacing w:line="269" w:lineRule="auto"/>
        <w:rPr>
          <w:rtl/>
        </w:rPr>
      </w:pPr>
      <w:bookmarkStart w:id="1357" w:name="_Toc192093126"/>
      <w:bookmarkStart w:id="1358" w:name="_Toc191987055"/>
      <w:bookmarkStart w:id="1359" w:name="_Toc192612834"/>
      <w:bookmarkStart w:id="1360" w:name="_Toc198312268"/>
      <w:bookmarkStart w:id="1361" w:name="_Toc198312746"/>
      <w:bookmarkStart w:id="1362" w:name="_Toc200636923"/>
      <w:bookmarkStart w:id="1363" w:name="_Toc200439921"/>
      <w:bookmarkStart w:id="1364" w:name="_Toc201241026"/>
      <w:r w:rsidRPr="002F2BC5">
        <w:rPr>
          <w:rFonts w:hint="cs"/>
          <w:rtl/>
        </w:rPr>
        <w:t>על משרד הרווחה לקבוע בהוראות התע"ס או בהנחיות מפורטות אחרות את סדרי עבודתם של המחלקות לשירותים חברתיים והמרכזים לטיפול ומניעת אלימות במשפחה בתחום האיתור והיישוג של המעורבים באלימות במשפחה. בתוך כך מומלץ כי המחלקות והמרכזים יונחו בדבר אופן תיעוד פניות שהתקבלו מצדדים שלישיים, לרבות באמצעות מוקד הסיוע הארצי שמפעיל משרד הרווחה, וכן בדבר אופן תיעוד פעולות האיתור והיישוג שמבוצעות על ידי המחלקות והמרכזים, גם במקרים שבהם הפעולות הללו לא הובילו לרתימתם של המעורבים באלימות לטיפול במחלקה או במרכז.</w:t>
      </w:r>
      <w:bookmarkEnd w:id="1357"/>
      <w:bookmarkEnd w:id="1358"/>
      <w:bookmarkEnd w:id="1359"/>
      <w:bookmarkEnd w:id="1360"/>
      <w:bookmarkEnd w:id="1361"/>
      <w:bookmarkEnd w:id="1362"/>
      <w:bookmarkEnd w:id="1363"/>
      <w:bookmarkEnd w:id="1364"/>
    </w:p>
    <w:p w14:paraId="57AF7585" w14:textId="77777777" w:rsidR="00817399" w:rsidRPr="002F2BC5" w:rsidRDefault="00817399" w:rsidP="00817399">
      <w:pPr>
        <w:spacing w:line="269" w:lineRule="auto"/>
        <w:rPr>
          <w:rtl/>
        </w:rPr>
      </w:pPr>
    </w:p>
    <w:p w14:paraId="013C4C88" w14:textId="77777777" w:rsidR="00817399" w:rsidRPr="002F2BC5" w:rsidRDefault="00817399" w:rsidP="00817399">
      <w:pPr>
        <w:spacing w:line="269" w:lineRule="auto"/>
        <w:rPr>
          <w:rtl/>
        </w:rPr>
      </w:pPr>
      <w:r w:rsidRPr="002F2BC5">
        <w:rPr>
          <w:rFonts w:hint="cs"/>
          <w:rtl/>
        </w:rPr>
        <w:t>משרד הרווחה מסר בתשובתו כי הוראות התע"ס מבהירות שהאחריות לכל רצף ההתמודדות עם תופעת האלימות במשפחה, ובכלל זה האיתור של המעורבים באלימות במשפחה, מסורה למרכזים לטיפול ומניעת אלימות במשפחה. עוד מסר כי הוקצו 100 תקני עובדים סוציאליים קהילתיים לצורך קידום הנושא בעבודה משותפת עם בעלי תפקידים שונים ברשות המקומית. לצד זאת ציין כי במסגרת העדכון להוראות התע"ס יובהרו ההנחיות לעניין הטיפול בפניות שהתקבלו מצדדים שלישיים ותיעודן במערכות המחשוב, והוסיף כי המערכת הממוחשבת החדשה תאפשר לתעד פניות אנונימיות ולהגדיר את מעורבות המרכזים בטיפול גם במקרים אלה.</w:t>
      </w:r>
    </w:p>
    <w:p w14:paraId="0150AF63" w14:textId="77777777" w:rsidR="00817399" w:rsidRPr="002F2BC5" w:rsidRDefault="00817399" w:rsidP="00817399">
      <w:pPr>
        <w:spacing w:line="269" w:lineRule="auto"/>
        <w:rPr>
          <w:rtl/>
        </w:rPr>
      </w:pPr>
    </w:p>
    <w:p w14:paraId="0F65225D" w14:textId="77777777" w:rsidR="00817399" w:rsidRPr="002F2BC5" w:rsidRDefault="00817399" w:rsidP="00817399">
      <w:pPr>
        <w:pStyle w:val="afffffff2"/>
        <w:spacing w:line="269" w:lineRule="auto"/>
        <w:rPr>
          <w:sz w:val="24"/>
          <w:rtl/>
        </w:rPr>
      </w:pPr>
      <w:r w:rsidRPr="002F2BC5">
        <w:rPr>
          <w:rFonts w:hint="cs"/>
          <w:rtl/>
        </w:rPr>
        <w:lastRenderedPageBreak/>
        <w:t>מידת תיקון הליקוי</w:t>
      </w:r>
    </w:p>
    <w:p w14:paraId="35E40E02" w14:textId="77777777" w:rsidR="00817399" w:rsidRPr="002F2BC5" w:rsidRDefault="00817399" w:rsidP="00817399">
      <w:pPr>
        <w:pStyle w:val="afffffff7"/>
        <w:spacing w:before="0" w:line="269" w:lineRule="auto"/>
        <w:rPr>
          <w:rtl/>
        </w:rPr>
      </w:pPr>
      <w:bookmarkStart w:id="1365" w:name="_Toc198312269"/>
      <w:bookmarkStart w:id="1366" w:name="_Toc198312747"/>
      <w:bookmarkStart w:id="1367" w:name="_Toc189072250"/>
      <w:r w:rsidRPr="002F2BC5">
        <w:rPr>
          <w:noProof/>
        </w:rPr>
        <w:drawing>
          <wp:inline distT="0" distB="0" distL="0" distR="0" wp14:anchorId="3A631AFF" wp14:editId="070F858D">
            <wp:extent cx="4324350" cy="933450"/>
            <wp:effectExtent l="0" t="0" r="0" b="0"/>
            <wp:docPr id="30"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365"/>
      <w:bookmarkEnd w:id="1366"/>
    </w:p>
    <w:bookmarkEnd w:id="1367"/>
    <w:p w14:paraId="08FA211C" w14:textId="77777777" w:rsidR="00817399" w:rsidRPr="002F2BC5" w:rsidRDefault="00817399" w:rsidP="00817399">
      <w:pPr>
        <w:spacing w:line="269" w:lineRule="auto"/>
        <w:rPr>
          <w:b/>
          <w:bCs/>
          <w:rtl/>
        </w:rPr>
      </w:pPr>
    </w:p>
    <w:p w14:paraId="7ED4D7C8" w14:textId="77777777" w:rsidR="00817399" w:rsidRPr="002F2BC5" w:rsidRDefault="00817399" w:rsidP="00817399">
      <w:pPr>
        <w:pStyle w:val="6"/>
        <w:spacing w:line="269" w:lineRule="auto"/>
        <w:rPr>
          <w:rtl/>
        </w:rPr>
      </w:pPr>
      <w:bookmarkStart w:id="1368" w:name="_Toc189072251"/>
      <w:bookmarkStart w:id="1369" w:name="_Toc191987056"/>
      <w:bookmarkStart w:id="1370" w:name="_Toc193110624"/>
      <w:r w:rsidRPr="002F2BC5">
        <w:rPr>
          <w:rFonts w:hint="cs"/>
          <w:rtl/>
        </w:rPr>
        <w:t>הנגשה של דרכי הפנייה ודרכי קבלת הסיוע בתחום האלימות במשפחה</w:t>
      </w:r>
      <w:bookmarkEnd w:id="1368"/>
      <w:bookmarkEnd w:id="1369"/>
      <w:bookmarkEnd w:id="1370"/>
    </w:p>
    <w:p w14:paraId="4666FEBB" w14:textId="77777777" w:rsidR="00817399" w:rsidRPr="002F2BC5" w:rsidRDefault="00817399" w:rsidP="00817399">
      <w:pPr>
        <w:spacing w:line="269" w:lineRule="auto"/>
        <w:rPr>
          <w:rtl/>
        </w:rPr>
      </w:pPr>
    </w:p>
    <w:p w14:paraId="78471523" w14:textId="77777777" w:rsidR="00817399" w:rsidRPr="002F2BC5" w:rsidRDefault="00817399" w:rsidP="00817399">
      <w:pPr>
        <w:spacing w:line="269" w:lineRule="auto"/>
        <w:rPr>
          <w:rtl/>
        </w:rPr>
      </w:pPr>
      <w:bookmarkStart w:id="1371" w:name="_Toc191987057"/>
      <w:r w:rsidRPr="002F2BC5">
        <w:rPr>
          <w:rStyle w:val="70"/>
          <w:rFonts w:hint="cs"/>
          <w:rtl/>
        </w:rPr>
        <w:t>הנושא המפורט להלן נבדק לראשונה במסגרת ביקורת זו:</w:t>
      </w:r>
      <w:bookmarkEnd w:id="1371"/>
      <w:r w:rsidRPr="002F2BC5">
        <w:rPr>
          <w:rFonts w:hint="cs"/>
          <w:rtl/>
        </w:rPr>
        <w:t xml:space="preserve"> להתפתחות הטכנולוגית תפקיד מרכזי בכל הקשור להנגשה של מידע וידע בנוגע לזכאות לשירותים חברתיים. כן יש לה תפקיד מרכזי בהנגשתן של דרכי מימוש הזכאות, ובכלל זה בהנגשת דרכי הפנייה של הזקוקים לשירות לקבלת סיוע באמצעים טכנולוגיים</w:t>
      </w:r>
      <w:r w:rsidRPr="002F2BC5">
        <w:rPr>
          <w:rStyle w:val="af9"/>
          <w:rtl/>
        </w:rPr>
        <w:footnoteReference w:id="278"/>
      </w:r>
      <w:r w:rsidRPr="002F2BC5">
        <w:rPr>
          <w:rFonts w:hint="cs"/>
          <w:rtl/>
        </w:rPr>
        <w:t>.</w:t>
      </w:r>
    </w:p>
    <w:p w14:paraId="5A02CB50" w14:textId="77777777" w:rsidR="00817399" w:rsidRPr="002F2BC5" w:rsidRDefault="00817399" w:rsidP="00817399">
      <w:pPr>
        <w:spacing w:line="269" w:lineRule="auto"/>
        <w:rPr>
          <w:rtl/>
        </w:rPr>
      </w:pPr>
    </w:p>
    <w:p w14:paraId="383E8F9C" w14:textId="77777777" w:rsidR="00817399" w:rsidRPr="002F2BC5" w:rsidRDefault="00817399" w:rsidP="00817399">
      <w:pPr>
        <w:spacing w:line="269" w:lineRule="auto"/>
        <w:rPr>
          <w:b/>
          <w:bCs/>
          <w:rtl/>
        </w:rPr>
      </w:pPr>
      <w:bookmarkStart w:id="1372" w:name="_Hlk191471670"/>
      <w:r w:rsidRPr="002F2BC5">
        <w:rPr>
          <w:rFonts w:hint="eastAsia"/>
          <w:b/>
          <w:bCs/>
          <w:rtl/>
        </w:rPr>
        <w:t>מהתשובות</w:t>
      </w:r>
      <w:r w:rsidRPr="002F2BC5">
        <w:rPr>
          <w:b/>
          <w:bCs/>
          <w:rtl/>
        </w:rPr>
        <w:t xml:space="preserve"> על השאלונים </w:t>
      </w:r>
      <w:r w:rsidRPr="002F2BC5">
        <w:rPr>
          <w:rFonts w:hint="cs"/>
          <w:b/>
          <w:bCs/>
          <w:rtl/>
        </w:rPr>
        <w:t xml:space="preserve">הועלה </w:t>
      </w:r>
      <w:r w:rsidRPr="002F2BC5">
        <w:rPr>
          <w:b/>
          <w:bCs/>
          <w:rtl/>
        </w:rPr>
        <w:t xml:space="preserve">כי מבין הרשויות המקומיות שנבדקו </w:t>
      </w:r>
      <w:r w:rsidRPr="002F2BC5">
        <w:rPr>
          <w:rFonts w:hint="cs"/>
          <w:b/>
          <w:bCs/>
          <w:rtl/>
        </w:rPr>
        <w:t>ו</w:t>
      </w:r>
      <w:r w:rsidRPr="002F2BC5">
        <w:rPr>
          <w:b/>
          <w:bCs/>
          <w:rtl/>
        </w:rPr>
        <w:t>מפעילות מרכז בתחומן</w:t>
      </w:r>
      <w:r w:rsidRPr="002F2BC5">
        <w:rPr>
          <w:rFonts w:hint="cs"/>
          <w:b/>
          <w:bCs/>
          <w:rtl/>
        </w:rPr>
        <w:t>,</w:t>
      </w:r>
      <w:r w:rsidRPr="002F2BC5">
        <w:rPr>
          <w:b/>
          <w:bCs/>
          <w:rtl/>
        </w:rPr>
        <w:t xml:space="preserve"> רובן (</w:t>
      </w:r>
      <w:r w:rsidRPr="002F2BC5">
        <w:rPr>
          <w:rFonts w:hint="cs"/>
          <w:b/>
          <w:bCs/>
          <w:rtl/>
        </w:rPr>
        <w:t>9</w:t>
      </w:r>
      <w:r w:rsidRPr="002F2BC5">
        <w:rPr>
          <w:b/>
          <w:bCs/>
          <w:rtl/>
        </w:rPr>
        <w:t xml:space="preserve"> מתוך 13) מאפשרות פנייה למרכז באמצעות המוקד </w:t>
      </w:r>
      <w:r w:rsidRPr="002F2BC5">
        <w:rPr>
          <w:rFonts w:hint="eastAsia"/>
          <w:b/>
          <w:bCs/>
          <w:rtl/>
        </w:rPr>
        <w:t>העירוני</w:t>
      </w:r>
      <w:r w:rsidRPr="002F2BC5">
        <w:rPr>
          <w:b/>
          <w:bCs/>
          <w:rtl/>
        </w:rPr>
        <w:t xml:space="preserve">; </w:t>
      </w:r>
      <w:r w:rsidRPr="002F2BC5">
        <w:rPr>
          <w:rFonts w:hint="eastAsia"/>
          <w:b/>
          <w:bCs/>
          <w:rtl/>
        </w:rPr>
        <w:t>רובן</w:t>
      </w:r>
      <w:r w:rsidRPr="002F2BC5">
        <w:rPr>
          <w:b/>
          <w:bCs/>
          <w:rtl/>
        </w:rPr>
        <w:t xml:space="preserve"> </w:t>
      </w:r>
      <w:r w:rsidRPr="002F2BC5">
        <w:rPr>
          <w:rFonts w:hint="cs"/>
          <w:b/>
          <w:bCs/>
          <w:rtl/>
        </w:rPr>
        <w:t xml:space="preserve">המוחלט </w:t>
      </w:r>
      <w:r w:rsidRPr="002F2BC5">
        <w:rPr>
          <w:b/>
          <w:bCs/>
          <w:rtl/>
        </w:rPr>
        <w:t>(1</w:t>
      </w:r>
      <w:r w:rsidRPr="002F2BC5">
        <w:rPr>
          <w:rFonts w:hint="cs"/>
          <w:b/>
          <w:bCs/>
          <w:rtl/>
        </w:rPr>
        <w:t>2</w:t>
      </w:r>
      <w:r w:rsidRPr="002F2BC5">
        <w:rPr>
          <w:b/>
          <w:bCs/>
          <w:rtl/>
        </w:rPr>
        <w:t xml:space="preserve"> </w:t>
      </w:r>
      <w:r w:rsidRPr="002F2BC5">
        <w:rPr>
          <w:rFonts w:hint="eastAsia"/>
          <w:b/>
          <w:bCs/>
          <w:rtl/>
        </w:rPr>
        <w:t>מתוך</w:t>
      </w:r>
      <w:r w:rsidRPr="002F2BC5">
        <w:rPr>
          <w:b/>
          <w:bCs/>
          <w:rtl/>
        </w:rPr>
        <w:t xml:space="preserve"> 13) </w:t>
      </w:r>
      <w:r w:rsidRPr="002F2BC5">
        <w:rPr>
          <w:rFonts w:hint="cs"/>
          <w:b/>
          <w:bCs/>
          <w:rtl/>
        </w:rPr>
        <w:t>גם</w:t>
      </w:r>
      <w:r w:rsidRPr="002F2BC5">
        <w:rPr>
          <w:b/>
          <w:bCs/>
          <w:rtl/>
        </w:rPr>
        <w:t xml:space="preserve"> </w:t>
      </w:r>
      <w:r w:rsidRPr="002F2BC5">
        <w:rPr>
          <w:rFonts w:hint="eastAsia"/>
          <w:b/>
          <w:bCs/>
          <w:rtl/>
        </w:rPr>
        <w:t>מאפשרות</w:t>
      </w:r>
      <w:r w:rsidRPr="002F2BC5">
        <w:rPr>
          <w:b/>
          <w:bCs/>
          <w:rtl/>
        </w:rPr>
        <w:t xml:space="preserve"> </w:t>
      </w:r>
      <w:r w:rsidRPr="002F2BC5">
        <w:rPr>
          <w:rFonts w:hint="eastAsia"/>
          <w:b/>
          <w:bCs/>
          <w:rtl/>
        </w:rPr>
        <w:t>פנייה</w:t>
      </w:r>
      <w:r w:rsidRPr="002F2BC5">
        <w:rPr>
          <w:b/>
          <w:bCs/>
          <w:rtl/>
        </w:rPr>
        <w:t xml:space="preserve"> </w:t>
      </w:r>
      <w:r w:rsidRPr="002F2BC5">
        <w:rPr>
          <w:rFonts w:hint="eastAsia"/>
          <w:b/>
          <w:bCs/>
          <w:rtl/>
        </w:rPr>
        <w:t>טלפונית</w:t>
      </w:r>
      <w:r w:rsidRPr="002F2BC5">
        <w:rPr>
          <w:b/>
          <w:bCs/>
          <w:rtl/>
        </w:rPr>
        <w:t xml:space="preserve"> </w:t>
      </w:r>
      <w:r w:rsidRPr="002F2BC5">
        <w:rPr>
          <w:rFonts w:hint="eastAsia"/>
          <w:b/>
          <w:bCs/>
          <w:rtl/>
        </w:rPr>
        <w:t>ישירות</w:t>
      </w:r>
      <w:r w:rsidRPr="002F2BC5">
        <w:rPr>
          <w:b/>
          <w:bCs/>
          <w:rtl/>
        </w:rPr>
        <w:t xml:space="preserve"> </w:t>
      </w:r>
      <w:r w:rsidRPr="002F2BC5">
        <w:rPr>
          <w:rFonts w:hint="eastAsia"/>
          <w:b/>
          <w:bCs/>
          <w:rtl/>
        </w:rPr>
        <w:t>למרכז</w:t>
      </w:r>
      <w:r w:rsidRPr="002F2BC5">
        <w:rPr>
          <w:b/>
          <w:bCs/>
          <w:rtl/>
        </w:rPr>
        <w:t xml:space="preserve"> או באמצעות דואר אלקטרוני; </w:t>
      </w:r>
      <w:r w:rsidRPr="002F2BC5">
        <w:rPr>
          <w:rFonts w:hint="eastAsia"/>
          <w:b/>
          <w:bCs/>
          <w:rtl/>
        </w:rPr>
        <w:t>ושלוש</w:t>
      </w:r>
      <w:r w:rsidRPr="002F2BC5">
        <w:rPr>
          <w:b/>
          <w:bCs/>
          <w:rtl/>
        </w:rPr>
        <w:t xml:space="preserve"> </w:t>
      </w:r>
      <w:r w:rsidRPr="002F2BC5">
        <w:rPr>
          <w:rFonts w:hint="eastAsia"/>
          <w:b/>
          <w:bCs/>
          <w:rtl/>
        </w:rPr>
        <w:t>מהן</w:t>
      </w:r>
      <w:r w:rsidRPr="002F2BC5">
        <w:rPr>
          <w:b/>
          <w:bCs/>
          <w:rtl/>
        </w:rPr>
        <w:t xml:space="preserve"> </w:t>
      </w:r>
      <w:r w:rsidRPr="002F2BC5">
        <w:rPr>
          <w:rFonts w:hint="eastAsia"/>
          <w:b/>
          <w:bCs/>
          <w:rtl/>
        </w:rPr>
        <w:t>מאפשרות</w:t>
      </w:r>
      <w:r w:rsidRPr="002F2BC5">
        <w:rPr>
          <w:b/>
          <w:bCs/>
          <w:rtl/>
        </w:rPr>
        <w:t xml:space="preserve"> </w:t>
      </w:r>
      <w:r w:rsidRPr="002F2BC5">
        <w:rPr>
          <w:rFonts w:hint="eastAsia"/>
          <w:b/>
          <w:bCs/>
          <w:rtl/>
        </w:rPr>
        <w:t>פנייה</w:t>
      </w:r>
      <w:r w:rsidRPr="002F2BC5">
        <w:rPr>
          <w:b/>
          <w:bCs/>
          <w:rtl/>
        </w:rPr>
        <w:t xml:space="preserve"> </w:t>
      </w:r>
      <w:r w:rsidRPr="002F2BC5">
        <w:rPr>
          <w:rFonts w:hint="eastAsia"/>
          <w:b/>
          <w:bCs/>
          <w:rtl/>
        </w:rPr>
        <w:t>למרכז</w:t>
      </w:r>
      <w:r w:rsidRPr="002F2BC5">
        <w:rPr>
          <w:b/>
          <w:bCs/>
          <w:rtl/>
        </w:rPr>
        <w:t xml:space="preserve"> </w:t>
      </w:r>
      <w:r w:rsidRPr="002F2BC5">
        <w:rPr>
          <w:rFonts w:hint="eastAsia"/>
          <w:b/>
          <w:bCs/>
          <w:rtl/>
        </w:rPr>
        <w:t>גם</w:t>
      </w:r>
      <w:r w:rsidRPr="002F2BC5">
        <w:rPr>
          <w:b/>
          <w:bCs/>
          <w:rtl/>
        </w:rPr>
        <w:t xml:space="preserve"> </w:t>
      </w:r>
      <w:r w:rsidRPr="002F2BC5">
        <w:rPr>
          <w:rFonts w:hint="eastAsia"/>
          <w:b/>
          <w:bCs/>
          <w:rtl/>
        </w:rPr>
        <w:t>באמצעות</w:t>
      </w:r>
      <w:r w:rsidRPr="002F2BC5">
        <w:rPr>
          <w:b/>
          <w:bCs/>
          <w:rtl/>
        </w:rPr>
        <w:t xml:space="preserve"> </w:t>
      </w:r>
      <w:r w:rsidRPr="002F2BC5">
        <w:rPr>
          <w:rFonts w:hint="eastAsia"/>
          <w:b/>
          <w:bCs/>
          <w:rtl/>
        </w:rPr>
        <w:t>טופס</w:t>
      </w:r>
      <w:r w:rsidRPr="002F2BC5">
        <w:rPr>
          <w:b/>
          <w:bCs/>
          <w:rtl/>
        </w:rPr>
        <w:t xml:space="preserve"> </w:t>
      </w:r>
      <w:r w:rsidRPr="002F2BC5">
        <w:rPr>
          <w:rFonts w:hint="eastAsia"/>
          <w:b/>
          <w:bCs/>
          <w:rtl/>
        </w:rPr>
        <w:t>מקוון</w:t>
      </w:r>
      <w:r w:rsidRPr="002F2BC5">
        <w:rPr>
          <w:b/>
          <w:bCs/>
          <w:rtl/>
        </w:rPr>
        <w:t xml:space="preserve">. </w:t>
      </w:r>
    </w:p>
    <w:bookmarkEnd w:id="1372"/>
    <w:p w14:paraId="53181B74" w14:textId="77777777" w:rsidR="00817399" w:rsidRPr="002F2BC5" w:rsidRDefault="00817399" w:rsidP="00817399">
      <w:pPr>
        <w:spacing w:line="269" w:lineRule="auto"/>
        <w:rPr>
          <w:rtl/>
        </w:rPr>
      </w:pPr>
    </w:p>
    <w:p w14:paraId="5EE20B6D" w14:textId="5A552E46" w:rsidR="00817399" w:rsidRPr="002F2BC5" w:rsidRDefault="00817399" w:rsidP="00817399">
      <w:pPr>
        <w:spacing w:line="269" w:lineRule="auto"/>
        <w:rPr>
          <w:rtl/>
        </w:rPr>
      </w:pPr>
      <w:r w:rsidRPr="002F2BC5">
        <w:rPr>
          <w:rFonts w:hint="cs"/>
          <w:rtl/>
        </w:rPr>
        <w:t>ריכוז דרכי הפנייה למרכזים לפי התשובות של הרשויות המקומיות שנבדקו לשאלונים מובא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Ref186612868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12</w:t>
      </w:r>
      <w:r w:rsidRPr="002F2BC5">
        <w:rPr>
          <w:rtl/>
        </w:rPr>
        <w:fldChar w:fldCharType="end"/>
      </w:r>
      <w:r w:rsidRPr="002F2BC5">
        <w:rPr>
          <w:rFonts w:hint="cs"/>
          <w:rtl/>
        </w:rPr>
        <w:t xml:space="preserve"> שלהלן.</w:t>
      </w:r>
    </w:p>
    <w:p w14:paraId="20DD5015" w14:textId="77777777" w:rsidR="00817399" w:rsidRPr="002F2BC5" w:rsidRDefault="00817399" w:rsidP="00817399">
      <w:pPr>
        <w:spacing w:line="269" w:lineRule="auto"/>
        <w:rPr>
          <w:rtl/>
        </w:rPr>
      </w:pPr>
    </w:p>
    <w:p w14:paraId="6555F64A" w14:textId="77777777" w:rsidR="00817399" w:rsidRPr="002F2BC5" w:rsidRDefault="00817399" w:rsidP="00817399">
      <w:pPr>
        <w:pStyle w:val="a0"/>
        <w:spacing w:line="269" w:lineRule="auto"/>
        <w:rPr>
          <w:rtl/>
        </w:rPr>
      </w:pPr>
      <w:bookmarkStart w:id="1373" w:name="_Ref186612868"/>
      <w:bookmarkStart w:id="1374" w:name="_Toc192674057"/>
      <w:r w:rsidRPr="002F2BC5">
        <w:rPr>
          <w:rFonts w:hint="cs"/>
          <w:b w:val="0"/>
          <w:bCs w:val="0"/>
          <w:rtl/>
        </w:rPr>
        <w:t>:</w:t>
      </w:r>
      <w:bookmarkEnd w:id="1373"/>
      <w:r w:rsidRPr="002F2BC5">
        <w:rPr>
          <w:rFonts w:hint="cs"/>
          <w:b w:val="0"/>
          <w:bCs w:val="0"/>
          <w:rtl/>
        </w:rPr>
        <w:t xml:space="preserve"> </w:t>
      </w:r>
      <w:r w:rsidRPr="002F2BC5">
        <w:rPr>
          <w:rFonts w:hint="cs"/>
          <w:rtl/>
        </w:rPr>
        <w:t xml:space="preserve">דרכי הפנייה למרכזים לטיפול ומניעת אלימות במשפחה </w:t>
      </w:r>
      <w:r w:rsidRPr="002F2BC5">
        <w:rPr>
          <w:rtl/>
        </w:rPr>
        <w:br/>
      </w:r>
      <w:r w:rsidRPr="002F2BC5">
        <w:rPr>
          <w:rFonts w:hint="cs"/>
          <w:rtl/>
        </w:rPr>
        <w:t>ברשויות המקומיות שנבדקו</w:t>
      </w:r>
      <w:bookmarkEnd w:id="1374"/>
    </w:p>
    <w:p w14:paraId="2DD66BB8" w14:textId="77777777" w:rsidR="00817399" w:rsidRPr="002F2BC5" w:rsidRDefault="00817399" w:rsidP="00817399">
      <w:pPr>
        <w:pStyle w:val="afffffff4"/>
        <w:bidi/>
        <w:spacing w:before="0" w:after="0" w:line="269" w:lineRule="auto"/>
      </w:pPr>
      <w:r w:rsidRPr="002F2BC5">
        <w:rPr>
          <w:noProof/>
        </w:rPr>
        <w:drawing>
          <wp:inline distT="0" distB="0" distL="0" distR="0" wp14:anchorId="79832EB0" wp14:editId="38A3062E">
            <wp:extent cx="5220335" cy="2399030"/>
            <wp:effectExtent l="0" t="0" r="0" b="1270"/>
            <wp:docPr id="2052770976" name="תמונה 205277097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0335" cy="2399030"/>
                    </a:xfrm>
                    <a:prstGeom prst="rect">
                      <a:avLst/>
                    </a:prstGeom>
                  </pic:spPr>
                </pic:pic>
              </a:graphicData>
            </a:graphic>
          </wp:inline>
        </w:drawing>
      </w:r>
    </w:p>
    <w:p w14:paraId="15EF4ED5" w14:textId="77777777" w:rsidR="00817399" w:rsidRPr="002F2BC5" w:rsidRDefault="00817399" w:rsidP="00817399">
      <w:pPr>
        <w:pStyle w:val="afffffff1"/>
        <w:bidi/>
        <w:spacing w:line="269" w:lineRule="auto"/>
        <w:rPr>
          <w:rtl/>
        </w:rPr>
      </w:pPr>
      <w:r w:rsidRPr="002F2BC5">
        <w:rPr>
          <w:rFonts w:hint="cs"/>
          <w:rtl/>
        </w:rPr>
        <w:t>לפי תשובות הרשויות המקומיות שנבדקו לשאלונים, בעיבוד משרד מבקר המדינה.</w:t>
      </w:r>
    </w:p>
    <w:p w14:paraId="18B004D1" w14:textId="77777777" w:rsidR="00817399" w:rsidRPr="002F2BC5" w:rsidRDefault="00817399" w:rsidP="00817399">
      <w:pPr>
        <w:pStyle w:val="afffffff1"/>
        <w:bidi/>
        <w:spacing w:line="269" w:lineRule="auto"/>
        <w:rPr>
          <w:rtl/>
        </w:rPr>
      </w:pPr>
      <w:r w:rsidRPr="002F2BC5">
        <w:rPr>
          <w:rFonts w:hint="cs"/>
          <w:rtl/>
        </w:rPr>
        <w:t>* שלא באמצעות המחלקה לשירותים חברתיים.</w:t>
      </w:r>
    </w:p>
    <w:p w14:paraId="33B58BAF" w14:textId="77777777" w:rsidR="00817399" w:rsidRPr="002F2BC5" w:rsidRDefault="00817399" w:rsidP="00817399">
      <w:pPr>
        <w:spacing w:line="269" w:lineRule="auto"/>
        <w:rPr>
          <w:rtl/>
        </w:rPr>
      </w:pPr>
    </w:p>
    <w:p w14:paraId="56BC9689" w14:textId="0FEA8CD9" w:rsidR="00817399" w:rsidRPr="002F2BC5" w:rsidRDefault="00817399" w:rsidP="00817399">
      <w:pPr>
        <w:spacing w:line="269" w:lineRule="auto"/>
        <w:rPr>
          <w:b/>
          <w:bCs/>
          <w:rtl/>
        </w:rPr>
      </w:pPr>
      <w:r w:rsidRPr="002F2BC5">
        <w:rPr>
          <w:rFonts w:hint="eastAsia"/>
          <w:b/>
          <w:bCs/>
          <w:rtl/>
        </w:rPr>
        <w:t>מהנתונים</w:t>
      </w:r>
      <w:r w:rsidRPr="002F2BC5">
        <w:rPr>
          <w:b/>
          <w:bCs/>
          <w:rtl/>
        </w:rPr>
        <w:t xml:space="preserve"> המובאים </w:t>
      </w:r>
      <w:r w:rsidRPr="002F2BC5">
        <w:rPr>
          <w:rFonts w:hint="eastAsia"/>
          <w:b/>
          <w:bCs/>
          <w:rtl/>
        </w:rPr>
        <w:t>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Ref186612868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12</w:t>
      </w:r>
      <w:r w:rsidRPr="002F2BC5">
        <w:rPr>
          <w:b/>
          <w:bCs/>
          <w:rtl/>
        </w:rPr>
        <w:fldChar w:fldCharType="end"/>
      </w:r>
      <w:r w:rsidRPr="002F2BC5">
        <w:rPr>
          <w:b/>
          <w:bCs/>
          <w:rtl/>
        </w:rPr>
        <w:t xml:space="preserve"> עולה כי הפנייה למרכז לטיפול ומניעת אלימות במשפחה שמפעיל</w:t>
      </w:r>
      <w:r w:rsidRPr="002F2BC5">
        <w:rPr>
          <w:rFonts w:hint="cs"/>
          <w:b/>
          <w:bCs/>
          <w:rtl/>
        </w:rPr>
        <w:t>ה</w:t>
      </w:r>
      <w:r w:rsidRPr="002F2BC5">
        <w:rPr>
          <w:b/>
          <w:bCs/>
          <w:rtl/>
        </w:rPr>
        <w:t xml:space="preserve"> </w:t>
      </w:r>
      <w:r w:rsidRPr="002F2BC5">
        <w:rPr>
          <w:rFonts w:hint="cs"/>
          <w:b/>
          <w:bCs/>
          <w:rtl/>
        </w:rPr>
        <w:t xml:space="preserve">עיריית </w:t>
      </w:r>
      <w:r w:rsidRPr="002F2BC5">
        <w:rPr>
          <w:rFonts w:hint="eastAsia"/>
          <w:b/>
          <w:bCs/>
          <w:rtl/>
        </w:rPr>
        <w:t>רהט</w:t>
      </w:r>
      <w:r w:rsidRPr="002F2BC5">
        <w:rPr>
          <w:b/>
          <w:bCs/>
          <w:rtl/>
        </w:rPr>
        <w:t xml:space="preserve"> מתאפשרת רק באמצעות פנייה טלפונית למרכז </w:t>
      </w:r>
      <w:r w:rsidRPr="002F2BC5">
        <w:rPr>
          <w:rFonts w:hint="cs"/>
          <w:b/>
          <w:bCs/>
          <w:rtl/>
        </w:rPr>
        <w:t xml:space="preserve">או למוקד העירוני </w:t>
      </w:r>
      <w:r w:rsidRPr="002F2BC5">
        <w:rPr>
          <w:b/>
          <w:bCs/>
          <w:rtl/>
        </w:rPr>
        <w:t xml:space="preserve">באופן שעלול לפגוע בנגישותן של דרכי הפנייה </w:t>
      </w:r>
      <w:r w:rsidRPr="002F2BC5">
        <w:rPr>
          <w:rFonts w:hint="cs"/>
          <w:b/>
          <w:bCs/>
          <w:rtl/>
        </w:rPr>
        <w:t>אליו</w:t>
      </w:r>
      <w:r w:rsidRPr="002F2BC5">
        <w:rPr>
          <w:b/>
          <w:bCs/>
          <w:rtl/>
        </w:rPr>
        <w:t xml:space="preserve">. על כך יש להוסיף כי המרכז בעיריית </w:t>
      </w:r>
      <w:r w:rsidRPr="002F2BC5">
        <w:rPr>
          <w:rFonts w:hint="eastAsia"/>
          <w:b/>
          <w:bCs/>
          <w:rtl/>
        </w:rPr>
        <w:t>סח</w:t>
      </w:r>
      <w:r w:rsidRPr="002F2BC5">
        <w:rPr>
          <w:b/>
          <w:bCs/>
          <w:rtl/>
        </w:rPr>
        <w:t xml:space="preserve">'נין </w:t>
      </w:r>
      <w:r w:rsidRPr="002F2BC5">
        <w:rPr>
          <w:rFonts w:hint="eastAsia"/>
          <w:b/>
          <w:bCs/>
          <w:rtl/>
        </w:rPr>
        <w:t>אינו</w:t>
      </w:r>
      <w:r w:rsidRPr="002F2BC5">
        <w:rPr>
          <w:b/>
          <w:bCs/>
          <w:rtl/>
        </w:rPr>
        <w:t xml:space="preserve"> פועל בימי ראשון ושישי</w:t>
      </w:r>
      <w:r w:rsidRPr="002F2BC5">
        <w:rPr>
          <w:rFonts w:hint="cs"/>
          <w:b/>
          <w:bCs/>
          <w:rtl/>
        </w:rPr>
        <w:t>,</w:t>
      </w:r>
      <w:r w:rsidRPr="002F2BC5">
        <w:rPr>
          <w:b/>
          <w:bCs/>
          <w:rtl/>
        </w:rPr>
        <w:t xml:space="preserve"> וביתר ימות השבוע הוא פועל בשעות העבודה הרגילות בלבד (8:00 - 15:30), באופן שעלול לפגוע </w:t>
      </w:r>
      <w:r w:rsidRPr="002F2BC5">
        <w:rPr>
          <w:rFonts w:hint="cs"/>
          <w:b/>
          <w:bCs/>
          <w:rtl/>
        </w:rPr>
        <w:t>אף</w:t>
      </w:r>
      <w:r w:rsidRPr="002F2BC5">
        <w:rPr>
          <w:b/>
          <w:bCs/>
          <w:rtl/>
        </w:rPr>
        <w:t xml:space="preserve"> יותר בנגישותן של דרכי הפנייה אליו </w:t>
      </w:r>
      <w:r w:rsidRPr="002F2BC5">
        <w:rPr>
          <w:rFonts w:hint="cs"/>
          <w:b/>
          <w:bCs/>
          <w:rtl/>
        </w:rPr>
        <w:t>מחוץ</w:t>
      </w:r>
      <w:r w:rsidRPr="002F2BC5">
        <w:rPr>
          <w:b/>
          <w:bCs/>
          <w:rtl/>
        </w:rPr>
        <w:t xml:space="preserve"> </w:t>
      </w:r>
      <w:r w:rsidRPr="002F2BC5">
        <w:rPr>
          <w:rFonts w:hint="cs"/>
          <w:b/>
          <w:bCs/>
          <w:rtl/>
        </w:rPr>
        <w:t>לשעות</w:t>
      </w:r>
      <w:r w:rsidRPr="002F2BC5">
        <w:rPr>
          <w:b/>
          <w:bCs/>
          <w:rtl/>
        </w:rPr>
        <w:t xml:space="preserve"> הפעילות הללו.</w:t>
      </w:r>
    </w:p>
    <w:p w14:paraId="1BE7D712" w14:textId="77777777" w:rsidR="00817399" w:rsidRPr="002F2BC5" w:rsidRDefault="00817399" w:rsidP="00817399">
      <w:pPr>
        <w:spacing w:line="269" w:lineRule="auto"/>
        <w:rPr>
          <w:b/>
          <w:bCs/>
          <w:rtl/>
        </w:rPr>
      </w:pPr>
      <w:r w:rsidRPr="002F2BC5">
        <w:rPr>
          <w:rFonts w:hint="eastAsia"/>
          <w:b/>
          <w:bCs/>
          <w:rtl/>
        </w:rPr>
        <w:lastRenderedPageBreak/>
        <w:t>מנגד</w:t>
      </w:r>
      <w:r w:rsidRPr="002F2BC5">
        <w:rPr>
          <w:b/>
          <w:bCs/>
          <w:rtl/>
        </w:rPr>
        <w:t xml:space="preserve"> הועלה כי עיריית </w:t>
      </w:r>
      <w:r w:rsidRPr="002F2BC5">
        <w:rPr>
          <w:rFonts w:hint="eastAsia"/>
          <w:b/>
          <w:bCs/>
          <w:rtl/>
        </w:rPr>
        <w:t>עכו</w:t>
      </w:r>
      <w:r w:rsidRPr="002F2BC5">
        <w:rPr>
          <w:b/>
          <w:bCs/>
          <w:rtl/>
        </w:rPr>
        <w:t xml:space="preserve"> והמועצה האזורית </w:t>
      </w:r>
      <w:r w:rsidRPr="002F2BC5">
        <w:rPr>
          <w:rFonts w:hint="eastAsia"/>
          <w:b/>
          <w:bCs/>
          <w:rtl/>
        </w:rPr>
        <w:t>מטה</w:t>
      </w:r>
      <w:r w:rsidRPr="002F2BC5">
        <w:rPr>
          <w:b/>
          <w:bCs/>
          <w:rtl/>
        </w:rPr>
        <w:t xml:space="preserve"> </w:t>
      </w:r>
      <w:r w:rsidRPr="002F2BC5">
        <w:rPr>
          <w:rFonts w:hint="eastAsia"/>
          <w:b/>
          <w:bCs/>
          <w:rtl/>
        </w:rPr>
        <w:t>יהודה</w:t>
      </w:r>
      <w:r w:rsidRPr="002F2BC5">
        <w:rPr>
          <w:b/>
          <w:bCs/>
          <w:rtl/>
        </w:rPr>
        <w:t xml:space="preserve"> מפעילות ערוץ פנייה נוסף למרכז לטיפול ומניעת אלימות במשפחה באמצעות יישומון </w:t>
      </w:r>
      <w:r w:rsidRPr="002F2BC5">
        <w:rPr>
          <w:rFonts w:hint="cs"/>
          <w:b/>
          <w:bCs/>
          <w:rtl/>
        </w:rPr>
        <w:t>וטסאפ</w:t>
      </w:r>
      <w:r w:rsidRPr="002F2BC5">
        <w:rPr>
          <w:b/>
          <w:bCs/>
          <w:rtl/>
        </w:rPr>
        <w:t xml:space="preserve"> עסקי, ובכך מסייעות </w:t>
      </w:r>
      <w:r w:rsidRPr="002F2BC5">
        <w:rPr>
          <w:rFonts w:hint="cs"/>
          <w:b/>
          <w:bCs/>
          <w:rtl/>
        </w:rPr>
        <w:t>להנגיש את</w:t>
      </w:r>
      <w:r w:rsidRPr="002F2BC5">
        <w:rPr>
          <w:b/>
          <w:bCs/>
          <w:rtl/>
        </w:rPr>
        <w:t xml:space="preserve"> דרכי הפנייה אליהן בדומה לאפשרות "הפנייה השקטה" שמפעיל משרד הרווחה</w:t>
      </w:r>
      <w:r w:rsidRPr="002F2BC5">
        <w:rPr>
          <w:rStyle w:val="af9"/>
          <w:b/>
          <w:bCs/>
          <w:rtl/>
        </w:rPr>
        <w:footnoteReference w:id="279"/>
      </w:r>
      <w:r w:rsidRPr="002F2BC5">
        <w:rPr>
          <w:b/>
          <w:bCs/>
          <w:rtl/>
        </w:rPr>
        <w:t xml:space="preserve">. </w:t>
      </w:r>
    </w:p>
    <w:p w14:paraId="28328417" w14:textId="77777777" w:rsidR="00817399" w:rsidRPr="002F2BC5" w:rsidRDefault="00817399" w:rsidP="00817399">
      <w:pPr>
        <w:spacing w:line="269" w:lineRule="auto"/>
        <w:rPr>
          <w:rtl/>
        </w:rPr>
      </w:pPr>
    </w:p>
    <w:p w14:paraId="350222D3" w14:textId="77777777" w:rsidR="00817399" w:rsidRPr="002F2BC5" w:rsidRDefault="00817399" w:rsidP="00817399">
      <w:pPr>
        <w:spacing w:line="269" w:lineRule="auto"/>
        <w:rPr>
          <w:b/>
          <w:bCs/>
          <w:rtl/>
        </w:rPr>
      </w:pPr>
      <w:r w:rsidRPr="002F2BC5">
        <w:rPr>
          <w:rFonts w:hint="eastAsia"/>
          <w:b/>
          <w:bCs/>
          <w:rtl/>
        </w:rPr>
        <w:t>מתשובות</w:t>
      </w:r>
      <w:r w:rsidRPr="002F2BC5">
        <w:rPr>
          <w:b/>
          <w:bCs/>
          <w:rtl/>
        </w:rPr>
        <w:t xml:space="preserve"> הרשויות המקומיות שנבדקו לשאלונים הועלה עוד כי למעט העיריות </w:t>
      </w:r>
      <w:r w:rsidRPr="002F2BC5">
        <w:rPr>
          <w:rFonts w:hint="cs"/>
          <w:b/>
          <w:bCs/>
          <w:rtl/>
        </w:rPr>
        <w:t>בני ברק</w:t>
      </w:r>
      <w:r w:rsidRPr="002F2BC5">
        <w:rPr>
          <w:b/>
          <w:bCs/>
          <w:rtl/>
        </w:rPr>
        <w:t xml:space="preserve"> </w:t>
      </w:r>
      <w:r w:rsidRPr="002F2BC5">
        <w:rPr>
          <w:rFonts w:hint="eastAsia"/>
          <w:b/>
          <w:bCs/>
          <w:rtl/>
        </w:rPr>
        <w:t>ו</w:t>
      </w:r>
      <w:r w:rsidRPr="002F2BC5">
        <w:rPr>
          <w:rFonts w:hint="cs"/>
          <w:b/>
          <w:bCs/>
          <w:rtl/>
        </w:rPr>
        <w:t>סח'נין</w:t>
      </w:r>
      <w:r w:rsidRPr="002F2BC5">
        <w:rPr>
          <w:b/>
          <w:bCs/>
          <w:rtl/>
        </w:rPr>
        <w:t xml:space="preserve">, כלל הרשויות המקומיות שנבדקו עושות שימוש באמצעים טכנולוגיים להנגשת שירותים הניתנים במרכז לטיפול ומניעת אלימות במשפחה או במחלקה לשירותים חברתיים, בנסיבות המתאימות, ובכלל זה שימוש </w:t>
      </w:r>
      <w:r w:rsidRPr="002F2BC5">
        <w:rPr>
          <w:rFonts w:hint="eastAsia"/>
          <w:b/>
          <w:bCs/>
          <w:rtl/>
        </w:rPr>
        <w:t>בתוכנות</w:t>
      </w:r>
      <w:r w:rsidRPr="002F2BC5">
        <w:rPr>
          <w:b/>
          <w:bCs/>
          <w:rtl/>
        </w:rPr>
        <w:t xml:space="preserve"> </w:t>
      </w:r>
      <w:r w:rsidRPr="002F2BC5">
        <w:rPr>
          <w:rFonts w:hint="eastAsia"/>
          <w:b/>
          <w:bCs/>
          <w:rtl/>
        </w:rPr>
        <w:t>המאפשרות</w:t>
      </w:r>
      <w:r w:rsidRPr="002F2BC5">
        <w:rPr>
          <w:b/>
          <w:bCs/>
          <w:rtl/>
        </w:rPr>
        <w:t xml:space="preserve"> </w:t>
      </w:r>
      <w:r w:rsidRPr="002F2BC5">
        <w:rPr>
          <w:rFonts w:hint="eastAsia"/>
          <w:b/>
          <w:bCs/>
          <w:rtl/>
        </w:rPr>
        <w:t>לקיים</w:t>
      </w:r>
      <w:r w:rsidRPr="002F2BC5">
        <w:rPr>
          <w:b/>
          <w:bCs/>
          <w:rtl/>
        </w:rPr>
        <w:t xml:space="preserve"> </w:t>
      </w:r>
      <w:r w:rsidRPr="002F2BC5">
        <w:rPr>
          <w:rFonts w:hint="eastAsia"/>
          <w:b/>
          <w:bCs/>
          <w:rtl/>
        </w:rPr>
        <w:t>שיחות</w:t>
      </w:r>
      <w:r w:rsidRPr="002F2BC5">
        <w:rPr>
          <w:b/>
          <w:bCs/>
          <w:rtl/>
        </w:rPr>
        <w:t xml:space="preserve"> </w:t>
      </w:r>
      <w:r w:rsidRPr="002F2BC5">
        <w:rPr>
          <w:rFonts w:hint="eastAsia"/>
          <w:b/>
          <w:bCs/>
          <w:rtl/>
        </w:rPr>
        <w:t>וידאו</w:t>
      </w:r>
      <w:r w:rsidRPr="002F2BC5">
        <w:rPr>
          <w:rStyle w:val="af9"/>
          <w:b/>
          <w:bCs/>
          <w:rtl/>
        </w:rPr>
        <w:footnoteReference w:id="280"/>
      </w:r>
      <w:r w:rsidRPr="002F2BC5">
        <w:rPr>
          <w:b/>
          <w:bCs/>
          <w:rtl/>
        </w:rPr>
        <w:t xml:space="preserve">. עיריית </w:t>
      </w:r>
      <w:r w:rsidRPr="002F2BC5">
        <w:rPr>
          <w:rFonts w:hint="cs"/>
          <w:b/>
          <w:bCs/>
          <w:rtl/>
        </w:rPr>
        <w:t>בני ברק</w:t>
      </w:r>
      <w:r w:rsidRPr="002F2BC5">
        <w:rPr>
          <w:b/>
          <w:bCs/>
          <w:rtl/>
        </w:rPr>
        <w:t xml:space="preserve"> ציינה שאינה עושה שימוש בתוכנות אלו בשל חסמים תרבותיים, ואילו עיריית </w:t>
      </w:r>
      <w:r w:rsidRPr="002F2BC5">
        <w:rPr>
          <w:rFonts w:hint="cs"/>
          <w:b/>
          <w:bCs/>
          <w:rtl/>
        </w:rPr>
        <w:t>סח'נין</w:t>
      </w:r>
      <w:r w:rsidRPr="002F2BC5">
        <w:rPr>
          <w:b/>
          <w:bCs/>
          <w:rtl/>
        </w:rPr>
        <w:t xml:space="preserve"> ציינה שאינה עושה שימוש בתוכנות אלו בשל היעדר גישה לאמצעים טכנולוגיים במרכז.</w:t>
      </w:r>
    </w:p>
    <w:p w14:paraId="2DFEC288" w14:textId="77777777" w:rsidR="00817399" w:rsidRPr="002F2BC5" w:rsidRDefault="00817399" w:rsidP="00817399">
      <w:pPr>
        <w:spacing w:line="269" w:lineRule="auto"/>
        <w:rPr>
          <w:rtl/>
        </w:rPr>
      </w:pPr>
    </w:p>
    <w:p w14:paraId="2179B8FE" w14:textId="77777777" w:rsidR="00817399" w:rsidRPr="002F2BC5" w:rsidRDefault="00817399" w:rsidP="00817399">
      <w:pPr>
        <w:spacing w:line="269" w:lineRule="auto"/>
        <w:rPr>
          <w:rtl/>
        </w:rPr>
      </w:pPr>
      <w:r w:rsidRPr="002F2BC5">
        <w:rPr>
          <w:rFonts w:hint="cs"/>
          <w:rtl/>
        </w:rPr>
        <w:t xml:space="preserve">יש לציין כי בביקורת הקודמת משרד מבקר המדינה המליץ למשרד הרווחה להנחות את המרכזים לטיפול ומניעת אלימות במשפחה ואת המחלקות לשירותים חברתיים כיצד עליהם לקיים טיפולים בעיתות חירום ולתת בידיהם אמצעים מתאימים, לרבות אמצעים טכנולוגיים כדוגמת מצלמות, כדי לאפשר את המשך מתן הטיפול המיטבי תוך עמידה בכללים שיבטיחו את שלומם של המטפלים והמטופלים גם יחד. </w:t>
      </w:r>
    </w:p>
    <w:p w14:paraId="55BABD17" w14:textId="77777777" w:rsidR="00817399" w:rsidRPr="002F2BC5" w:rsidRDefault="00817399" w:rsidP="00817399">
      <w:pPr>
        <w:spacing w:line="269" w:lineRule="auto"/>
        <w:rPr>
          <w:rtl/>
        </w:rPr>
      </w:pPr>
    </w:p>
    <w:p w14:paraId="77F50CDE" w14:textId="77777777" w:rsidR="00817399" w:rsidRPr="002F2BC5" w:rsidRDefault="00817399" w:rsidP="00817399">
      <w:pPr>
        <w:pStyle w:val="afffffff9"/>
        <w:spacing w:line="269" w:lineRule="auto"/>
        <w:rPr>
          <w:rtl/>
        </w:rPr>
      </w:pPr>
      <w:bookmarkStart w:id="1375" w:name="_Toc191987058"/>
      <w:bookmarkStart w:id="1376" w:name="_Toc192093127"/>
      <w:bookmarkStart w:id="1377" w:name="_Toc192612835"/>
      <w:bookmarkStart w:id="1378" w:name="_Toc198312270"/>
      <w:bookmarkStart w:id="1379" w:name="_Toc198312748"/>
      <w:bookmarkStart w:id="1380" w:name="_Toc200636924"/>
      <w:bookmarkStart w:id="1381" w:name="_Toc200439922"/>
      <w:bookmarkStart w:id="1382" w:name="_Toc201241027"/>
      <w:r w:rsidRPr="002F2BC5">
        <w:rPr>
          <w:rFonts w:hint="cs"/>
          <w:rtl/>
        </w:rPr>
        <w:t>יוצא מן האמור כי ישנן רשויות מקומיות המאפשרות פנייה למרכזים לטיפול ומניעת אלימות במשפחה שהן מפעילות במגוון ערוצים,</w:t>
      </w:r>
      <w:r w:rsidRPr="002F2BC5">
        <w:rPr>
          <w:rtl/>
        </w:rPr>
        <w:t xml:space="preserve"> ובכך מסייעות </w:t>
      </w:r>
      <w:r w:rsidRPr="002F2BC5">
        <w:rPr>
          <w:rFonts w:hint="cs"/>
          <w:rtl/>
        </w:rPr>
        <w:t>להנגיש את</w:t>
      </w:r>
      <w:r w:rsidRPr="002F2BC5">
        <w:rPr>
          <w:rtl/>
        </w:rPr>
        <w:t xml:space="preserve"> דרכי הפנייה אליהן</w:t>
      </w:r>
      <w:r w:rsidRPr="002F2BC5">
        <w:rPr>
          <w:rFonts w:hint="cs"/>
          <w:rtl/>
        </w:rPr>
        <w:t xml:space="preserve">, ולדוגמה </w:t>
      </w:r>
      <w:r w:rsidRPr="002F2BC5">
        <w:rPr>
          <w:rtl/>
        </w:rPr>
        <w:t xml:space="preserve">באמצעות יישומון </w:t>
      </w:r>
      <w:r w:rsidRPr="002F2BC5">
        <w:rPr>
          <w:rFonts w:hint="cs"/>
          <w:rtl/>
        </w:rPr>
        <w:t>וטסאפ</w:t>
      </w:r>
      <w:r w:rsidRPr="002F2BC5">
        <w:rPr>
          <w:rtl/>
        </w:rPr>
        <w:t xml:space="preserve"> עסקי</w:t>
      </w:r>
      <w:r w:rsidRPr="002F2BC5">
        <w:rPr>
          <w:rFonts w:hint="cs"/>
          <w:rtl/>
        </w:rPr>
        <w:t xml:space="preserve"> כפי שעושות </w:t>
      </w:r>
      <w:r w:rsidRPr="002F2BC5">
        <w:rPr>
          <w:rtl/>
        </w:rPr>
        <w:t xml:space="preserve">עיריית </w:t>
      </w:r>
      <w:r w:rsidRPr="002F2BC5">
        <w:rPr>
          <w:rFonts w:hint="eastAsia"/>
          <w:rtl/>
        </w:rPr>
        <w:t>עכו</w:t>
      </w:r>
      <w:r w:rsidRPr="002F2BC5">
        <w:rPr>
          <w:rtl/>
        </w:rPr>
        <w:t xml:space="preserve"> והמועצה האזורית </w:t>
      </w:r>
      <w:r w:rsidRPr="002F2BC5">
        <w:rPr>
          <w:rFonts w:hint="eastAsia"/>
          <w:rtl/>
        </w:rPr>
        <w:t>מטה</w:t>
      </w:r>
      <w:r w:rsidRPr="002F2BC5">
        <w:rPr>
          <w:rtl/>
        </w:rPr>
        <w:t xml:space="preserve"> </w:t>
      </w:r>
      <w:r w:rsidRPr="002F2BC5">
        <w:rPr>
          <w:rFonts w:hint="eastAsia"/>
          <w:rtl/>
        </w:rPr>
        <w:t>יהודה</w:t>
      </w:r>
      <w:r w:rsidRPr="002F2BC5">
        <w:rPr>
          <w:rFonts w:hint="cs"/>
          <w:rtl/>
        </w:rPr>
        <w:t xml:space="preserve">. לצד זאת ישנה גם רשות מקומית שהפנייה למרכז שהיא מפעילה </w:t>
      </w:r>
      <w:r w:rsidRPr="002F2BC5">
        <w:rPr>
          <w:rtl/>
        </w:rPr>
        <w:t xml:space="preserve">מתאפשרת רק באמצעות פנייה טלפונית למרכז </w:t>
      </w:r>
      <w:r w:rsidRPr="002F2BC5">
        <w:rPr>
          <w:rFonts w:hint="cs"/>
          <w:rtl/>
        </w:rPr>
        <w:t xml:space="preserve">או למוקד העירוני </w:t>
      </w:r>
      <w:r w:rsidRPr="002F2BC5">
        <w:rPr>
          <w:rtl/>
        </w:rPr>
        <w:t xml:space="preserve">באופן שעלול לפגוע בנגישותן של דרכי הפנייה </w:t>
      </w:r>
      <w:r w:rsidRPr="002F2BC5">
        <w:rPr>
          <w:rFonts w:hint="cs"/>
          <w:rtl/>
        </w:rPr>
        <w:t xml:space="preserve">אליו (עיריית </w:t>
      </w:r>
      <w:r w:rsidRPr="002F2BC5">
        <w:rPr>
          <w:rFonts w:hint="eastAsia"/>
          <w:rtl/>
        </w:rPr>
        <w:t>רהט</w:t>
      </w:r>
      <w:r w:rsidRPr="002F2BC5">
        <w:rPr>
          <w:rFonts w:hint="cs"/>
          <w:rtl/>
        </w:rPr>
        <w:t>)</w:t>
      </w:r>
      <w:r w:rsidRPr="002F2BC5">
        <w:rPr>
          <w:rtl/>
        </w:rPr>
        <w:t>.</w:t>
      </w:r>
      <w:bookmarkEnd w:id="1375"/>
      <w:bookmarkEnd w:id="1376"/>
      <w:bookmarkEnd w:id="1377"/>
      <w:bookmarkEnd w:id="1378"/>
      <w:bookmarkEnd w:id="1379"/>
      <w:bookmarkEnd w:id="1380"/>
      <w:bookmarkEnd w:id="1381"/>
      <w:bookmarkEnd w:id="1382"/>
    </w:p>
    <w:p w14:paraId="0EFBA7F9" w14:textId="77777777" w:rsidR="00817399" w:rsidRPr="002F2BC5" w:rsidRDefault="00817399" w:rsidP="00817399">
      <w:pPr>
        <w:spacing w:line="269" w:lineRule="auto"/>
        <w:rPr>
          <w:rtl/>
        </w:rPr>
      </w:pPr>
    </w:p>
    <w:p w14:paraId="6767B0BB"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בני</w:t>
      </w:r>
      <w:r w:rsidRPr="002F2BC5">
        <w:rPr>
          <w:b/>
          <w:bCs/>
          <w:rtl/>
        </w:rPr>
        <w:t xml:space="preserve"> </w:t>
      </w:r>
      <w:r w:rsidRPr="002F2BC5">
        <w:rPr>
          <w:rFonts w:hint="eastAsia"/>
          <w:b/>
          <w:bCs/>
          <w:rtl/>
        </w:rPr>
        <w:t>ברק</w:t>
      </w:r>
      <w:r w:rsidRPr="002F2BC5">
        <w:rPr>
          <w:rFonts w:hint="cs"/>
          <w:rtl/>
        </w:rPr>
        <w:t xml:space="preserve"> ציינה בתשובתה כי בחברה החרדית השימוש באמצעים טכנולוגיים הוא מוגבל ומצומצם. עם זאת היא ציינה כי המידע על אודות פעילותה בתחום האלימות במשפחה מונגש באמצעים אחרים, ובין השאר באמצעות פרסום עלוני מידע ובסיוע גורמים בקהילה.</w:t>
      </w:r>
    </w:p>
    <w:p w14:paraId="0FF3D565" w14:textId="77777777" w:rsidR="00817399" w:rsidRPr="002F2BC5" w:rsidRDefault="00817399" w:rsidP="00817399">
      <w:pPr>
        <w:spacing w:line="269" w:lineRule="auto"/>
        <w:rPr>
          <w:rtl/>
        </w:rPr>
      </w:pPr>
    </w:p>
    <w:p w14:paraId="184E46E8" w14:textId="77777777" w:rsidR="00817399" w:rsidRPr="002F2BC5" w:rsidRDefault="00817399" w:rsidP="00817399">
      <w:pPr>
        <w:pStyle w:val="afffffffa"/>
        <w:spacing w:line="269" w:lineRule="auto"/>
        <w:rPr>
          <w:rtl/>
        </w:rPr>
      </w:pPr>
      <w:bookmarkStart w:id="1383" w:name="_Toc191987059"/>
      <w:bookmarkStart w:id="1384" w:name="_Toc192093128"/>
      <w:bookmarkStart w:id="1385" w:name="_Toc192612836"/>
      <w:bookmarkStart w:id="1386" w:name="_Toc198312271"/>
      <w:bookmarkStart w:id="1387" w:name="_Toc198312749"/>
      <w:bookmarkStart w:id="1388" w:name="_Toc200636925"/>
      <w:bookmarkStart w:id="1389" w:name="_Toc200439923"/>
      <w:bookmarkStart w:id="1390" w:name="_Toc201241028"/>
      <w:r w:rsidRPr="002F2BC5">
        <w:rPr>
          <w:rFonts w:hint="cs"/>
          <w:rtl/>
        </w:rPr>
        <w:t>משרד מבקר המדינה מציין את יוזמתן של עיריית עכו והמועצה האזורית מטה יהודה לאפשר פנייה למרכז לטיפול ומניעת אלימות במשפחה בערוץ פנייה נוסף, באמצעות יישומון וטסאפ עסקי.</w:t>
      </w:r>
      <w:bookmarkEnd w:id="1383"/>
      <w:bookmarkEnd w:id="1384"/>
      <w:bookmarkEnd w:id="1385"/>
      <w:bookmarkEnd w:id="1386"/>
      <w:bookmarkEnd w:id="1387"/>
      <w:bookmarkEnd w:id="1388"/>
      <w:bookmarkEnd w:id="1389"/>
      <w:bookmarkEnd w:id="1390"/>
    </w:p>
    <w:p w14:paraId="0E02E323" w14:textId="77777777" w:rsidR="00817399" w:rsidRPr="002F2BC5" w:rsidRDefault="00817399" w:rsidP="00817399">
      <w:pPr>
        <w:spacing w:line="269" w:lineRule="auto"/>
        <w:rPr>
          <w:rtl/>
        </w:rPr>
      </w:pPr>
    </w:p>
    <w:p w14:paraId="1FD079AD" w14:textId="77777777" w:rsidR="00817399" w:rsidRPr="002F2BC5" w:rsidRDefault="00817399" w:rsidP="00817399">
      <w:pPr>
        <w:pStyle w:val="afffffffa"/>
        <w:spacing w:line="269" w:lineRule="auto"/>
        <w:rPr>
          <w:rtl/>
        </w:rPr>
      </w:pPr>
      <w:bookmarkStart w:id="1391" w:name="_Toc191987060"/>
      <w:bookmarkStart w:id="1392" w:name="_Toc192093129"/>
      <w:bookmarkStart w:id="1393" w:name="_Toc192612837"/>
      <w:bookmarkStart w:id="1394" w:name="_Toc198312272"/>
      <w:bookmarkStart w:id="1395" w:name="_Toc198312750"/>
      <w:bookmarkStart w:id="1396" w:name="_Toc200636926"/>
      <w:bookmarkStart w:id="1397" w:name="_Toc200439924"/>
      <w:bookmarkStart w:id="1398" w:name="_Toc201241029"/>
      <w:r w:rsidRPr="002F2BC5">
        <w:rPr>
          <w:rFonts w:hint="cs"/>
          <w:rtl/>
        </w:rPr>
        <w:t>מומלץ לעיריית רהט להנגיש באמצעים טכנולוגיים את דרכי הפנייה למרכז לטיפול ומניעת אלימות במשפחה, ובכלל זה באמצעות פנייה באמצעות דואר אלקטרוני או וטסאפ עסקי. לעיריית סח'נין מומלץ גם להנגיש את מתן המענה הטיפולי, במקרים המתאימים, באמצעות שיחות וידאו.</w:t>
      </w:r>
      <w:bookmarkEnd w:id="1391"/>
      <w:bookmarkEnd w:id="1392"/>
      <w:bookmarkEnd w:id="1393"/>
      <w:bookmarkEnd w:id="1394"/>
      <w:bookmarkEnd w:id="1395"/>
      <w:bookmarkEnd w:id="1396"/>
      <w:bookmarkEnd w:id="1397"/>
      <w:bookmarkEnd w:id="1398"/>
      <w:r w:rsidRPr="002F2BC5">
        <w:rPr>
          <w:rFonts w:hint="cs"/>
          <w:rtl/>
        </w:rPr>
        <w:t xml:space="preserve"> </w:t>
      </w:r>
    </w:p>
    <w:p w14:paraId="1BD8B206" w14:textId="77777777" w:rsidR="00817399" w:rsidRPr="002F2BC5" w:rsidRDefault="00817399" w:rsidP="00817399">
      <w:pPr>
        <w:spacing w:line="269" w:lineRule="auto"/>
        <w:rPr>
          <w:rtl/>
        </w:rPr>
      </w:pPr>
    </w:p>
    <w:p w14:paraId="6332514A" w14:textId="77777777" w:rsidR="00817399" w:rsidRPr="002F2BC5" w:rsidRDefault="00817399" w:rsidP="00817399">
      <w:pPr>
        <w:pStyle w:val="afffffffa"/>
        <w:spacing w:line="269" w:lineRule="auto"/>
        <w:rPr>
          <w:rtl/>
        </w:rPr>
      </w:pPr>
      <w:bookmarkStart w:id="1399" w:name="_Toc191987061"/>
      <w:bookmarkStart w:id="1400" w:name="_Toc192093130"/>
      <w:bookmarkStart w:id="1401" w:name="_Toc192612838"/>
      <w:bookmarkStart w:id="1402" w:name="_Toc198312273"/>
      <w:bookmarkStart w:id="1403" w:name="_Toc198312751"/>
      <w:bookmarkStart w:id="1404" w:name="_Toc200636927"/>
      <w:bookmarkStart w:id="1405" w:name="_Toc200439925"/>
      <w:bookmarkStart w:id="1406" w:name="_Toc201241030"/>
      <w:r w:rsidRPr="002F2BC5">
        <w:rPr>
          <w:rFonts w:hint="cs"/>
          <w:rtl/>
        </w:rPr>
        <w:t>משרד מבקר המדינה שב וממליץ למשרד הרווחה לוודא את זמינותם הטכנולוגית של השירותים הניתנים באמצעות המחלקות לשירותים חברתיים והמרכזים לטיפול ומניעת אלימות במשפחה כדי להבטיח את אספקתם ונגישותם בשגרה ובעיתות משבר וחירום גם יחד.</w:t>
      </w:r>
      <w:bookmarkEnd w:id="1399"/>
      <w:bookmarkEnd w:id="1400"/>
      <w:bookmarkEnd w:id="1401"/>
      <w:bookmarkEnd w:id="1402"/>
      <w:bookmarkEnd w:id="1403"/>
      <w:bookmarkEnd w:id="1404"/>
      <w:bookmarkEnd w:id="1405"/>
      <w:bookmarkEnd w:id="1406"/>
    </w:p>
    <w:p w14:paraId="1C657E2B" w14:textId="77777777" w:rsidR="00817399" w:rsidRPr="002F2BC5" w:rsidRDefault="00817399" w:rsidP="00817399">
      <w:pPr>
        <w:spacing w:line="269" w:lineRule="auto"/>
        <w:rPr>
          <w:rtl/>
        </w:rPr>
      </w:pPr>
    </w:p>
    <w:p w14:paraId="7CA5FBE1" w14:textId="77777777" w:rsidR="00817399" w:rsidRPr="002F2BC5" w:rsidRDefault="00817399" w:rsidP="00817399">
      <w:pPr>
        <w:spacing w:line="269" w:lineRule="auto"/>
        <w:rPr>
          <w:rtl/>
        </w:rPr>
      </w:pPr>
      <w:r w:rsidRPr="002F2BC5">
        <w:rPr>
          <w:rFonts w:hint="cs"/>
          <w:rtl/>
        </w:rPr>
        <w:t>משרד הרווחה מסר בתשובתו כי עם הקמתו לראשונה של מרכז לטיפול ומניעת אלימות במשפחה הוא נדרש לעדכן את מספר הטלפון שלו ואת כתובת הדואר האלקטרוני, ופרטי ההתקשרות הללו מתעדכנים באתר המרשתת של משרד הרווחה. הוא הוסיף כי לגבי מרכזים שהוקמו קודם לדרישה זו, הוא יפעל לעדכן באתר המרשתת שלו את מספרי הטלפון וכתובות הדואר האלקטרוני שלהם, כדי לסייע בהנגשת המידע על דרכי הפנייה אליהם.</w:t>
      </w:r>
    </w:p>
    <w:p w14:paraId="06BCD2CA" w14:textId="77777777" w:rsidR="00817399" w:rsidRPr="002F2BC5" w:rsidRDefault="00817399" w:rsidP="00817399">
      <w:pPr>
        <w:spacing w:line="269" w:lineRule="auto"/>
        <w:rPr>
          <w:rtl/>
        </w:rPr>
      </w:pPr>
      <w:r w:rsidRPr="002F2BC5">
        <w:rPr>
          <w:rFonts w:hint="cs"/>
          <w:rtl/>
        </w:rPr>
        <w:lastRenderedPageBreak/>
        <w:t xml:space="preserve">עיריית </w:t>
      </w:r>
      <w:r w:rsidRPr="002F2BC5">
        <w:rPr>
          <w:rFonts w:hint="eastAsia"/>
          <w:b/>
          <w:bCs/>
          <w:rtl/>
        </w:rPr>
        <w:t>רהט</w:t>
      </w:r>
      <w:r w:rsidRPr="002F2BC5">
        <w:rPr>
          <w:rFonts w:hint="cs"/>
          <w:rtl/>
        </w:rPr>
        <w:t xml:space="preserve"> מסרה בתשובתה מאפריל 2025 כי תוסיף אפשרות לפנות למרכז לטיפול ומניעת אלימות במשפחה גם באמצעות דואר אלקטרוני. עיריית </w:t>
      </w:r>
      <w:r w:rsidRPr="002F2BC5">
        <w:rPr>
          <w:rFonts w:hint="eastAsia"/>
          <w:b/>
          <w:bCs/>
          <w:rtl/>
        </w:rPr>
        <w:t>סח</w:t>
      </w:r>
      <w:r w:rsidRPr="002F2BC5">
        <w:rPr>
          <w:b/>
          <w:bCs/>
          <w:rtl/>
        </w:rPr>
        <w:t>'נין</w:t>
      </w:r>
      <w:r w:rsidRPr="002F2BC5">
        <w:rPr>
          <w:rFonts w:hint="cs"/>
          <w:rtl/>
        </w:rPr>
        <w:t xml:space="preserve"> מסרה בתשובתה כי קיים עובד סוציאלי כונן הנותן מענה במקרי חירום בימי חג ובשעות אחר הצהריים.</w:t>
      </w:r>
    </w:p>
    <w:p w14:paraId="14EF402A" w14:textId="77777777" w:rsidR="00817399" w:rsidRPr="002F2BC5" w:rsidRDefault="00817399" w:rsidP="00817399">
      <w:pPr>
        <w:spacing w:line="269" w:lineRule="auto"/>
      </w:pPr>
    </w:p>
    <w:p w14:paraId="397D4840" w14:textId="77777777" w:rsidR="00817399" w:rsidRPr="002F2BC5" w:rsidRDefault="00817399" w:rsidP="00817399">
      <w:pPr>
        <w:spacing w:line="269" w:lineRule="auto"/>
        <w:rPr>
          <w:rtl/>
        </w:rPr>
      </w:pPr>
      <w:r w:rsidRPr="002F2BC5">
        <w:rPr>
          <w:rFonts w:hint="eastAsia"/>
          <w:rtl/>
        </w:rPr>
        <w:t>מרכז</w:t>
      </w:r>
      <w:r w:rsidRPr="002F2BC5">
        <w:rPr>
          <w:rtl/>
        </w:rPr>
        <w:t xml:space="preserve"> </w:t>
      </w:r>
      <w:r w:rsidRPr="002F2BC5">
        <w:rPr>
          <w:rFonts w:hint="eastAsia"/>
          <w:rtl/>
        </w:rPr>
        <w:t>השלטון</w:t>
      </w:r>
      <w:r w:rsidRPr="002F2BC5">
        <w:rPr>
          <w:rtl/>
        </w:rPr>
        <w:t xml:space="preserve"> </w:t>
      </w:r>
      <w:r w:rsidRPr="002F2BC5">
        <w:rPr>
          <w:rFonts w:hint="eastAsia"/>
          <w:rtl/>
        </w:rPr>
        <w:t>המקומי</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eastAsia"/>
          <w:rtl/>
        </w:rPr>
        <w:t>כי</w:t>
      </w:r>
      <w:r w:rsidRPr="002F2BC5">
        <w:rPr>
          <w:rtl/>
        </w:rPr>
        <w:t xml:space="preserve"> </w:t>
      </w:r>
      <w:r w:rsidRPr="002F2BC5">
        <w:rPr>
          <w:rFonts w:hint="eastAsia"/>
          <w:rtl/>
        </w:rPr>
        <w:t>דרכי</w:t>
      </w:r>
      <w:r w:rsidRPr="002F2BC5">
        <w:rPr>
          <w:rtl/>
        </w:rPr>
        <w:t xml:space="preserve"> </w:t>
      </w:r>
      <w:r w:rsidRPr="002F2BC5">
        <w:rPr>
          <w:rFonts w:hint="eastAsia"/>
          <w:rtl/>
        </w:rPr>
        <w:t>הפנייה</w:t>
      </w:r>
      <w:r w:rsidRPr="002F2BC5">
        <w:rPr>
          <w:rtl/>
        </w:rPr>
        <w:t xml:space="preserve"> </w:t>
      </w:r>
      <w:r w:rsidRPr="002F2BC5">
        <w:rPr>
          <w:rFonts w:hint="eastAsia"/>
          <w:rtl/>
        </w:rPr>
        <w:t>לקבלת</w:t>
      </w:r>
      <w:r w:rsidRPr="002F2BC5">
        <w:rPr>
          <w:rtl/>
        </w:rPr>
        <w:t xml:space="preserve"> </w:t>
      </w:r>
      <w:r w:rsidRPr="002F2BC5">
        <w:rPr>
          <w:rFonts w:hint="eastAsia"/>
          <w:rtl/>
        </w:rPr>
        <w:t>סיוע</w:t>
      </w:r>
      <w:r w:rsidRPr="002F2BC5">
        <w:rPr>
          <w:rtl/>
        </w:rPr>
        <w:t xml:space="preserve"> </w:t>
      </w:r>
      <w:r w:rsidRPr="002F2BC5">
        <w:rPr>
          <w:rFonts w:hint="eastAsia"/>
          <w:rtl/>
        </w:rPr>
        <w:t>מהמרכזים</w:t>
      </w:r>
      <w:r w:rsidRPr="002F2BC5">
        <w:rPr>
          <w:rtl/>
        </w:rPr>
        <w:t xml:space="preserve"> </w:t>
      </w:r>
      <w:r w:rsidRPr="002F2BC5">
        <w:rPr>
          <w:rFonts w:hint="eastAsia"/>
          <w:rtl/>
        </w:rPr>
        <w:t>לטיפול</w:t>
      </w:r>
      <w:r w:rsidRPr="002F2BC5">
        <w:rPr>
          <w:rtl/>
        </w:rPr>
        <w:t xml:space="preserve"> </w:t>
      </w:r>
      <w:r w:rsidRPr="002F2BC5">
        <w:rPr>
          <w:rFonts w:hint="eastAsia"/>
          <w:rtl/>
        </w:rPr>
        <w:t>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מונגשים</w:t>
      </w:r>
      <w:r w:rsidRPr="002F2BC5">
        <w:rPr>
          <w:rtl/>
        </w:rPr>
        <w:t xml:space="preserve"> </w:t>
      </w:r>
      <w:r w:rsidRPr="002F2BC5">
        <w:rPr>
          <w:rFonts w:hint="eastAsia"/>
          <w:rtl/>
        </w:rPr>
        <w:t>באמצעים</w:t>
      </w:r>
      <w:r w:rsidRPr="002F2BC5">
        <w:rPr>
          <w:rtl/>
        </w:rPr>
        <w:t xml:space="preserve"> </w:t>
      </w:r>
      <w:r w:rsidRPr="002F2BC5">
        <w:rPr>
          <w:rFonts w:hint="eastAsia"/>
          <w:rtl/>
        </w:rPr>
        <w:t>טכנולוגיים</w:t>
      </w:r>
      <w:r w:rsidRPr="002F2BC5">
        <w:rPr>
          <w:rtl/>
        </w:rPr>
        <w:t xml:space="preserve"> </w:t>
      </w:r>
      <w:r w:rsidRPr="002F2BC5">
        <w:rPr>
          <w:rFonts w:hint="eastAsia"/>
          <w:rtl/>
        </w:rPr>
        <w:t>מסוימים</w:t>
      </w:r>
      <w:r w:rsidRPr="002F2BC5">
        <w:rPr>
          <w:rtl/>
        </w:rPr>
        <w:t xml:space="preserve"> בכלל שירותי הרווחה המקומיים, אך </w:t>
      </w:r>
      <w:r w:rsidRPr="002F2BC5">
        <w:rPr>
          <w:rFonts w:hint="eastAsia"/>
          <w:rtl/>
        </w:rPr>
        <w:t>מצבן</w:t>
      </w:r>
      <w:r w:rsidRPr="002F2BC5">
        <w:rPr>
          <w:rtl/>
        </w:rPr>
        <w:t xml:space="preserve"> </w:t>
      </w:r>
      <w:r w:rsidRPr="002F2BC5">
        <w:rPr>
          <w:rFonts w:hint="eastAsia"/>
          <w:rtl/>
        </w:rPr>
        <w:t>הפיננסי</w:t>
      </w:r>
      <w:r w:rsidRPr="002F2BC5">
        <w:rPr>
          <w:rtl/>
        </w:rPr>
        <w:t xml:space="preserve"> </w:t>
      </w:r>
      <w:r w:rsidRPr="002F2BC5">
        <w:rPr>
          <w:rFonts w:hint="eastAsia"/>
          <w:rtl/>
        </w:rPr>
        <w:t>של</w:t>
      </w:r>
      <w:r w:rsidRPr="002F2BC5">
        <w:rPr>
          <w:rtl/>
        </w:rPr>
        <w:t xml:space="preserve"> </w:t>
      </w:r>
      <w:r w:rsidRPr="002F2BC5">
        <w:rPr>
          <w:rFonts w:hint="eastAsia"/>
          <w:rtl/>
        </w:rPr>
        <w:t>חלק</w:t>
      </w:r>
      <w:r w:rsidRPr="002F2BC5">
        <w:rPr>
          <w:rtl/>
        </w:rPr>
        <w:t xml:space="preserve"> מהרשויות המקומיות </w:t>
      </w:r>
      <w:r w:rsidRPr="002F2BC5">
        <w:rPr>
          <w:rFonts w:hint="eastAsia"/>
          <w:rtl/>
        </w:rPr>
        <w:t>אינו</w:t>
      </w:r>
      <w:r w:rsidRPr="002F2BC5">
        <w:rPr>
          <w:rtl/>
        </w:rPr>
        <w:t xml:space="preserve"> מאפשר להן </w:t>
      </w:r>
      <w:r w:rsidRPr="002F2BC5">
        <w:rPr>
          <w:rFonts w:hint="eastAsia"/>
          <w:rtl/>
        </w:rPr>
        <w:t>להרחיב</w:t>
      </w:r>
      <w:r w:rsidRPr="002F2BC5">
        <w:rPr>
          <w:rtl/>
        </w:rPr>
        <w:t xml:space="preserve"> את דרכי הפנייה באמצעים טכנולוגיים </w:t>
      </w:r>
      <w:r w:rsidRPr="002F2BC5">
        <w:rPr>
          <w:rFonts w:hint="eastAsia"/>
          <w:rtl/>
        </w:rPr>
        <w:t>מתקדמים</w:t>
      </w:r>
      <w:r w:rsidRPr="002F2BC5">
        <w:rPr>
          <w:rtl/>
        </w:rPr>
        <w:t xml:space="preserve"> </w:t>
      </w:r>
      <w:r w:rsidRPr="002F2BC5">
        <w:rPr>
          <w:rFonts w:hint="eastAsia"/>
          <w:rtl/>
        </w:rPr>
        <w:t>נוספים</w:t>
      </w:r>
      <w:r w:rsidRPr="002F2BC5">
        <w:rPr>
          <w:rFonts w:hint="cs"/>
          <w:rtl/>
        </w:rPr>
        <w:t>,</w:t>
      </w:r>
      <w:r w:rsidRPr="002F2BC5">
        <w:rPr>
          <w:rtl/>
        </w:rPr>
        <w:t xml:space="preserve"> ו</w:t>
      </w:r>
      <w:r w:rsidRPr="002F2BC5">
        <w:rPr>
          <w:rFonts w:hint="eastAsia"/>
          <w:rtl/>
        </w:rPr>
        <w:t>יש</w:t>
      </w:r>
      <w:r w:rsidRPr="002F2BC5">
        <w:rPr>
          <w:rtl/>
        </w:rPr>
        <w:t xml:space="preserve"> להבטיח כי </w:t>
      </w:r>
      <w:r w:rsidRPr="002F2BC5">
        <w:rPr>
          <w:rFonts w:hint="eastAsia"/>
          <w:rtl/>
        </w:rPr>
        <w:t>לכולן</w:t>
      </w:r>
      <w:r w:rsidRPr="002F2BC5">
        <w:rPr>
          <w:rtl/>
        </w:rPr>
        <w:t xml:space="preserve"> יי</w:t>
      </w:r>
      <w:r w:rsidRPr="002F2BC5">
        <w:rPr>
          <w:rFonts w:hint="cs"/>
          <w:rtl/>
        </w:rPr>
        <w:t>נ</w:t>
      </w:r>
      <w:r w:rsidRPr="002F2BC5">
        <w:rPr>
          <w:rtl/>
        </w:rPr>
        <w:t xml:space="preserve">תן סיוע ומימון </w:t>
      </w:r>
      <w:r w:rsidRPr="002F2BC5">
        <w:rPr>
          <w:rFonts w:hint="eastAsia"/>
          <w:rtl/>
        </w:rPr>
        <w:t>לצורך</w:t>
      </w:r>
      <w:r w:rsidRPr="002F2BC5">
        <w:rPr>
          <w:rtl/>
        </w:rPr>
        <w:t xml:space="preserve"> </w:t>
      </w:r>
      <w:r w:rsidRPr="002F2BC5">
        <w:rPr>
          <w:rFonts w:hint="eastAsia"/>
          <w:rtl/>
        </w:rPr>
        <w:t>כך</w:t>
      </w:r>
      <w:r w:rsidRPr="002F2BC5">
        <w:rPr>
          <w:rtl/>
        </w:rPr>
        <w:t>.</w:t>
      </w:r>
      <w:r w:rsidRPr="002F2BC5">
        <w:rPr>
          <w:rFonts w:hint="cs"/>
          <w:rtl/>
        </w:rPr>
        <w:t xml:space="preserve"> </w:t>
      </w:r>
    </w:p>
    <w:p w14:paraId="1649938C" w14:textId="77777777" w:rsidR="00817399" w:rsidRPr="002F2BC5" w:rsidRDefault="00817399" w:rsidP="00817399">
      <w:pPr>
        <w:spacing w:line="269" w:lineRule="auto"/>
        <w:rPr>
          <w:rtl/>
        </w:rPr>
      </w:pPr>
    </w:p>
    <w:p w14:paraId="1FAE229A" w14:textId="77777777" w:rsidR="00817399" w:rsidRPr="002F2BC5" w:rsidRDefault="00817399" w:rsidP="00817399">
      <w:pPr>
        <w:pStyle w:val="50"/>
        <w:spacing w:line="269" w:lineRule="auto"/>
        <w:rPr>
          <w:rtl/>
        </w:rPr>
      </w:pPr>
      <w:bookmarkStart w:id="1407" w:name="_Toc189072252"/>
      <w:bookmarkStart w:id="1408" w:name="_Toc191987062"/>
      <w:bookmarkStart w:id="1409" w:name="_Toc192093131"/>
      <w:bookmarkStart w:id="1410" w:name="_Toc193110625"/>
      <w:bookmarkStart w:id="1411" w:name="_Toc192612839"/>
      <w:bookmarkStart w:id="1412" w:name="_Toc198312752"/>
      <w:bookmarkStart w:id="1413" w:name="_Toc200636928"/>
      <w:bookmarkStart w:id="1414" w:name="_Toc200439926"/>
      <w:bookmarkStart w:id="1415" w:name="_Toc201241031"/>
      <w:r w:rsidRPr="002F2BC5">
        <w:rPr>
          <w:rFonts w:hint="cs"/>
          <w:rtl/>
        </w:rPr>
        <w:t>הטיפול בנפגעי האלימות במשפחה במחלקות ובמרכזים</w:t>
      </w:r>
      <w:bookmarkEnd w:id="1407"/>
      <w:bookmarkEnd w:id="1408"/>
      <w:bookmarkEnd w:id="1409"/>
      <w:bookmarkEnd w:id="1410"/>
      <w:bookmarkEnd w:id="1411"/>
      <w:bookmarkEnd w:id="1412"/>
      <w:bookmarkEnd w:id="1413"/>
      <w:bookmarkEnd w:id="1414"/>
      <w:bookmarkEnd w:id="1415"/>
    </w:p>
    <w:p w14:paraId="76721F05" w14:textId="77777777" w:rsidR="00817399" w:rsidRPr="002F2BC5" w:rsidRDefault="00817399" w:rsidP="00817399">
      <w:pPr>
        <w:spacing w:line="269" w:lineRule="auto"/>
        <w:rPr>
          <w:rtl/>
        </w:rPr>
      </w:pPr>
    </w:p>
    <w:p w14:paraId="131D020C" w14:textId="77777777" w:rsidR="00817399" w:rsidRPr="002F2BC5" w:rsidRDefault="00817399" w:rsidP="00817399">
      <w:pPr>
        <w:pStyle w:val="6"/>
        <w:spacing w:line="269" w:lineRule="auto"/>
        <w:rPr>
          <w:rtl/>
        </w:rPr>
      </w:pPr>
      <w:bookmarkStart w:id="1416" w:name="_Toc189072253"/>
      <w:bookmarkStart w:id="1417" w:name="_Toc191987063"/>
      <w:bookmarkStart w:id="1418" w:name="_Toc193110626"/>
      <w:r w:rsidRPr="002F2BC5">
        <w:rPr>
          <w:rFonts w:hint="cs"/>
          <w:rtl/>
        </w:rPr>
        <w:t>מודל המימון ומנגנון הבקרה הפנימי על פעילות המרכזים</w:t>
      </w:r>
      <w:bookmarkEnd w:id="1416"/>
      <w:bookmarkEnd w:id="1417"/>
      <w:bookmarkEnd w:id="1418"/>
    </w:p>
    <w:p w14:paraId="5AE44A51" w14:textId="77777777" w:rsidR="00817399" w:rsidRPr="002F2BC5" w:rsidRDefault="00817399" w:rsidP="00817399">
      <w:pPr>
        <w:spacing w:line="269" w:lineRule="auto"/>
        <w:rPr>
          <w:rtl/>
        </w:rPr>
      </w:pPr>
    </w:p>
    <w:p w14:paraId="0303FBF7" w14:textId="77777777" w:rsidR="00817399" w:rsidRPr="002F2BC5" w:rsidRDefault="00817399" w:rsidP="00817399">
      <w:pPr>
        <w:pStyle w:val="1ff"/>
        <w:bidi/>
        <w:rPr>
          <w:rtl/>
        </w:rPr>
      </w:pPr>
      <w:bookmarkStart w:id="1419" w:name="_Toc61359485"/>
      <w:bookmarkStart w:id="1420" w:name="_Ref186400530"/>
      <w:bookmarkStart w:id="1421" w:name="_Toc191987064"/>
      <w:r w:rsidRPr="002F2BC5">
        <w:rPr>
          <w:rFonts w:hint="cs"/>
          <w:rtl/>
        </w:rPr>
        <w:t>מודל המימון של המרכזים</w:t>
      </w:r>
      <w:bookmarkEnd w:id="1419"/>
      <w:r w:rsidRPr="002F2BC5">
        <w:rPr>
          <w:vertAlign w:val="superscript"/>
          <w:rtl/>
        </w:rPr>
        <w:footnoteReference w:id="281"/>
      </w:r>
      <w:bookmarkEnd w:id="1420"/>
      <w:bookmarkEnd w:id="1421"/>
    </w:p>
    <w:p w14:paraId="4AE5F3D8" w14:textId="77777777" w:rsidR="00817399" w:rsidRPr="002F2BC5" w:rsidRDefault="00817399" w:rsidP="00817399">
      <w:pPr>
        <w:spacing w:line="269" w:lineRule="auto"/>
        <w:rPr>
          <w:rtl/>
        </w:rPr>
      </w:pPr>
    </w:p>
    <w:p w14:paraId="72C87963" w14:textId="77777777" w:rsidR="00817399" w:rsidRPr="002F2BC5" w:rsidRDefault="00817399" w:rsidP="00817399">
      <w:pPr>
        <w:spacing w:line="269" w:lineRule="auto"/>
        <w:rPr>
          <w:rtl/>
        </w:rPr>
      </w:pPr>
      <w:r w:rsidRPr="002F2BC5">
        <w:rPr>
          <w:rFonts w:hint="cs"/>
          <w:rtl/>
        </w:rPr>
        <w:t>על פי תפיסת ההפעלה שלהם, כפי שנקבעה בהוראות התע"ס, המרכזים לטיפול ומניעת אלימות במשפחה אחראים למתן מענה טיפולי ייעודי לכל בני המשפחה על פני הרצף הטיפולי - תוך מתן קדימות לאבחון, הערכת מסוכנות ובניית תוכנית הגנה לנפגעי האלימות</w:t>
      </w:r>
      <w:r w:rsidRPr="002F2BC5">
        <w:rPr>
          <w:rStyle w:val="af9"/>
          <w:rtl/>
        </w:rPr>
        <w:footnoteReference w:id="282"/>
      </w:r>
      <w:r w:rsidRPr="002F2BC5">
        <w:rPr>
          <w:rFonts w:hint="cs"/>
          <w:rtl/>
        </w:rPr>
        <w:t>. הבטחת הפעלתם של המרכזים ביעילות ובמועילות, ככל שירות אחר, מותנית בין השאר בהקצאת תקציב ומשאבים בהלימה עם היקף השירותים הניתנים בהם - בכלל זה מספר המטופלים וצורכיהם הייחודיים, אנשי המקצוע שנדרש להעסיק והמיומנויות וההכשרות הייחודיות שיש להקנות להם - וזאת כדי להעניק למטופלים את המענה המקצועי, המותאם והמיטבי.</w:t>
      </w:r>
    </w:p>
    <w:p w14:paraId="0FE5CC98" w14:textId="77777777" w:rsidR="00817399" w:rsidRPr="002F2BC5" w:rsidRDefault="00817399" w:rsidP="00817399">
      <w:pPr>
        <w:spacing w:line="269" w:lineRule="auto"/>
        <w:rPr>
          <w:rtl/>
        </w:rPr>
      </w:pPr>
    </w:p>
    <w:p w14:paraId="7DE69FFB" w14:textId="77777777" w:rsidR="00817399" w:rsidRPr="002F2BC5" w:rsidRDefault="00817399" w:rsidP="00817399">
      <w:pPr>
        <w:spacing w:line="269" w:lineRule="auto"/>
        <w:rPr>
          <w:rtl/>
        </w:rPr>
      </w:pPr>
      <w:r w:rsidRPr="002F2BC5">
        <w:rPr>
          <w:rFonts w:hint="cs"/>
          <w:rtl/>
        </w:rPr>
        <w:t>לפי מודל המימון של המרכזים שהיה נהוג בביקורת הקודמת, עבור כל משפחה שטופלה במרכז שילם משרד הרווחה למרכז סכום אחיד וקבוע (להלן - תעריף הטיפול), ללא תלות במספר בני המשפחה המטופלים בפועל, בתדירות הטיפול בהם בחודש נתון או בתקינת כוח האדם הנדרשת לצורך מתן מענה מיטבי ומותאם לכל אחד מבני המשפחה - נשים, גברים וילדים (להלן - מודל המימון הקודם או מודל התעריף המשפחתי)</w:t>
      </w:r>
      <w:r w:rsidRPr="002F2BC5">
        <w:rPr>
          <w:rStyle w:val="af9"/>
          <w:rtl/>
        </w:rPr>
        <w:footnoteReference w:id="283"/>
      </w:r>
      <w:r w:rsidRPr="002F2BC5">
        <w:rPr>
          <w:rFonts w:hint="cs"/>
          <w:rtl/>
        </w:rPr>
        <w:t>.</w:t>
      </w:r>
      <w:r w:rsidRPr="002F2BC5">
        <w:rPr>
          <w:rtl/>
        </w:rPr>
        <w:t xml:space="preserve"> </w:t>
      </w:r>
      <w:r w:rsidRPr="002F2BC5">
        <w:rPr>
          <w:rFonts w:hint="cs"/>
          <w:rtl/>
        </w:rPr>
        <w:t xml:space="preserve">לפי מודל זה </w:t>
      </w:r>
      <w:r w:rsidRPr="002F2BC5">
        <w:rPr>
          <w:rFonts w:hint="eastAsia"/>
          <w:rtl/>
        </w:rPr>
        <w:t>עלות</w:t>
      </w:r>
      <w:r w:rsidRPr="002F2BC5">
        <w:rPr>
          <w:rtl/>
        </w:rPr>
        <w:t xml:space="preserve"> </w:t>
      </w:r>
      <w:r w:rsidRPr="002F2BC5">
        <w:rPr>
          <w:rFonts w:hint="eastAsia"/>
          <w:rtl/>
        </w:rPr>
        <w:t>העסקתם</w:t>
      </w:r>
      <w:r w:rsidRPr="002F2BC5">
        <w:rPr>
          <w:rFonts w:hint="cs"/>
          <w:rtl/>
        </w:rPr>
        <w:t xml:space="preserve"> של העובדים בחלק מהמרכזים הייתה מגולמת בתעריף הטיפול, ומשום כך רובם לא הועסקו בהעסקה ישירה על ידי הרשויות המקומיות (להלן - העסקה באמצעות תקציב השמות)</w:t>
      </w:r>
      <w:r w:rsidRPr="002F2BC5">
        <w:rPr>
          <w:rStyle w:val="af9"/>
          <w:rtl/>
        </w:rPr>
        <w:footnoteReference w:id="284"/>
      </w:r>
      <w:r w:rsidRPr="002F2BC5">
        <w:rPr>
          <w:rFonts w:hint="cs"/>
          <w:rtl/>
        </w:rPr>
        <w:t xml:space="preserve">. </w:t>
      </w:r>
    </w:p>
    <w:p w14:paraId="13946C4D" w14:textId="77777777" w:rsidR="00817399" w:rsidRPr="002F2BC5" w:rsidRDefault="00817399" w:rsidP="00817399">
      <w:pPr>
        <w:spacing w:line="269" w:lineRule="auto"/>
        <w:rPr>
          <w:rtl/>
        </w:rPr>
      </w:pPr>
    </w:p>
    <w:p w14:paraId="400B9339" w14:textId="77777777" w:rsidR="00817399" w:rsidRPr="002F2BC5" w:rsidRDefault="00817399" w:rsidP="00817399">
      <w:pPr>
        <w:spacing w:line="269" w:lineRule="auto"/>
        <w:rPr>
          <w:rtl/>
        </w:rPr>
      </w:pPr>
      <w:bookmarkStart w:id="1422" w:name="_Toc191987065"/>
      <w:r w:rsidRPr="002F2BC5">
        <w:rPr>
          <w:rStyle w:val="70"/>
          <w:rFonts w:hint="cs"/>
          <w:rtl/>
        </w:rPr>
        <w:t>הביקורת הקודמת:</w:t>
      </w:r>
      <w:bookmarkEnd w:id="1422"/>
      <w:r w:rsidRPr="002F2BC5">
        <w:rPr>
          <w:rStyle w:val="70"/>
          <w:rFonts w:hint="cs"/>
          <w:rtl/>
        </w:rPr>
        <w:t xml:space="preserve"> </w:t>
      </w:r>
      <w:r w:rsidRPr="002F2BC5">
        <w:rPr>
          <w:rFonts w:hint="cs"/>
          <w:rtl/>
        </w:rPr>
        <w:t>נמצא</w:t>
      </w:r>
      <w:r w:rsidRPr="002F2BC5">
        <w:rPr>
          <w:rtl/>
        </w:rPr>
        <w:t xml:space="preserve"> </w:t>
      </w:r>
      <w:r w:rsidRPr="002F2BC5">
        <w:rPr>
          <w:rFonts w:hint="eastAsia"/>
          <w:rtl/>
        </w:rPr>
        <w:t>כי</w:t>
      </w:r>
      <w:r w:rsidRPr="002F2BC5">
        <w:rPr>
          <w:rtl/>
        </w:rPr>
        <w:t xml:space="preserve"> </w:t>
      </w:r>
      <w:r w:rsidRPr="002F2BC5">
        <w:rPr>
          <w:rFonts w:hint="eastAsia"/>
          <w:rtl/>
        </w:rPr>
        <w:t>מודל</w:t>
      </w:r>
      <w:r w:rsidRPr="002F2BC5">
        <w:rPr>
          <w:rtl/>
        </w:rPr>
        <w:t xml:space="preserve"> </w:t>
      </w:r>
      <w:r w:rsidRPr="002F2BC5">
        <w:rPr>
          <w:rFonts w:hint="eastAsia"/>
          <w:rtl/>
        </w:rPr>
        <w:t>המימון</w:t>
      </w:r>
      <w:r w:rsidRPr="002F2BC5">
        <w:rPr>
          <w:rtl/>
        </w:rPr>
        <w:t xml:space="preserve"> </w:t>
      </w:r>
      <w:r w:rsidRPr="002F2BC5">
        <w:rPr>
          <w:rFonts w:hint="eastAsia"/>
          <w:rtl/>
        </w:rPr>
        <w:t>הקודם</w:t>
      </w:r>
      <w:r w:rsidRPr="002F2BC5">
        <w:rPr>
          <w:rtl/>
        </w:rPr>
        <w:t xml:space="preserve"> - שלא </w:t>
      </w:r>
      <w:r w:rsidRPr="002F2BC5">
        <w:rPr>
          <w:rFonts w:hint="eastAsia"/>
          <w:rtl/>
        </w:rPr>
        <w:t>הלם</w:t>
      </w:r>
      <w:r w:rsidRPr="002F2BC5">
        <w:rPr>
          <w:rtl/>
        </w:rPr>
        <w:t xml:space="preserve"> את </w:t>
      </w:r>
      <w:r w:rsidRPr="002F2BC5">
        <w:rPr>
          <w:rFonts w:hint="eastAsia"/>
          <w:rtl/>
        </w:rPr>
        <w:t>היקף</w:t>
      </w:r>
      <w:r w:rsidRPr="002F2BC5">
        <w:rPr>
          <w:rtl/>
        </w:rPr>
        <w:t xml:space="preserve"> </w:t>
      </w:r>
      <w:r w:rsidRPr="002F2BC5">
        <w:rPr>
          <w:rFonts w:hint="eastAsia"/>
          <w:rtl/>
        </w:rPr>
        <w:t>השירותים</w:t>
      </w:r>
      <w:r w:rsidRPr="002F2BC5">
        <w:rPr>
          <w:rtl/>
        </w:rPr>
        <w:t xml:space="preserve"> </w:t>
      </w:r>
      <w:r w:rsidRPr="002F2BC5">
        <w:rPr>
          <w:rFonts w:hint="eastAsia"/>
          <w:rtl/>
        </w:rPr>
        <w:t>שניתנו</w:t>
      </w:r>
      <w:r w:rsidRPr="002F2BC5">
        <w:rPr>
          <w:rtl/>
        </w:rPr>
        <w:t xml:space="preserve"> </w:t>
      </w:r>
      <w:r w:rsidRPr="002F2BC5">
        <w:rPr>
          <w:rFonts w:hint="eastAsia"/>
          <w:rtl/>
        </w:rPr>
        <w:t>במרכזים</w:t>
      </w:r>
      <w:r w:rsidRPr="002F2BC5">
        <w:rPr>
          <w:rtl/>
        </w:rPr>
        <w:t xml:space="preserve"> </w:t>
      </w:r>
      <w:r w:rsidRPr="002F2BC5">
        <w:rPr>
          <w:rFonts w:hint="eastAsia"/>
          <w:rtl/>
        </w:rPr>
        <w:t>בפועל</w:t>
      </w:r>
      <w:r w:rsidRPr="002F2BC5">
        <w:rPr>
          <w:rtl/>
        </w:rPr>
        <w:t xml:space="preserve"> - הביא</w:t>
      </w:r>
      <w:r w:rsidRPr="002F2BC5">
        <w:rPr>
          <w:rFonts w:hint="cs"/>
          <w:rtl/>
        </w:rPr>
        <w:t xml:space="preserve"> לתקצוב בחסר של פעילות המרכזים</w:t>
      </w:r>
      <w:r w:rsidRPr="002F2BC5">
        <w:rPr>
          <w:rStyle w:val="af9"/>
          <w:rtl/>
        </w:rPr>
        <w:footnoteReference w:id="285"/>
      </w:r>
      <w:r w:rsidRPr="002F2BC5">
        <w:rPr>
          <w:rFonts w:hint="cs"/>
          <w:rtl/>
        </w:rPr>
        <w:t>. התקצוב בחסר נבע גם מדיווח של המרכזים רק על חלק מהמשפחות שטיפלו בהן בפועל במהלך השנה, כדי לא לחרוג מהתקציב שנקבע להם על פי מספר המשפחות שטיפלו בהן בשנה הקודמת</w:t>
      </w:r>
      <w:r w:rsidRPr="002F2BC5">
        <w:rPr>
          <w:rStyle w:val="af9"/>
          <w:rtl/>
        </w:rPr>
        <w:footnoteReference w:id="286"/>
      </w:r>
      <w:r w:rsidRPr="002F2BC5">
        <w:rPr>
          <w:rFonts w:hint="cs"/>
          <w:rtl/>
        </w:rPr>
        <w:t xml:space="preserve">. מצב דברים זה הביא בין היתר להגברת עומס העבודה על העובדים הסוציאליים שהועסקו במרכזים. במקרים ההפוכים - כאשר מספר המשפחות שטופלו בפועל במרכז היה נמוך ממספר המשפחות ששימש לקביעת המימון למרכז, גם אם תקינת כוח האדם במרכז לא השתנתה בשל כך, המימון בפועל שהקצה משרד הרווחה להפעלת המרכז היה נמוך יותר, והרשות המקומית הייתה נדרשת לכסות את הפער. </w:t>
      </w:r>
    </w:p>
    <w:p w14:paraId="171BD5F7" w14:textId="77777777" w:rsidR="00817399" w:rsidRPr="002F2BC5" w:rsidRDefault="00817399" w:rsidP="00817399">
      <w:pPr>
        <w:spacing w:line="269" w:lineRule="auto"/>
        <w:rPr>
          <w:rtl/>
        </w:rPr>
      </w:pPr>
    </w:p>
    <w:p w14:paraId="21EC198F" w14:textId="77777777" w:rsidR="00817399" w:rsidRPr="002F2BC5" w:rsidRDefault="00817399" w:rsidP="00817399">
      <w:pPr>
        <w:spacing w:line="269" w:lineRule="auto"/>
        <w:rPr>
          <w:rtl/>
        </w:rPr>
      </w:pPr>
      <w:r w:rsidRPr="002F2BC5">
        <w:rPr>
          <w:rFonts w:hint="cs"/>
          <w:rtl/>
        </w:rPr>
        <w:lastRenderedPageBreak/>
        <w:t>עוד הועלה כי ביולי 2015 נחתם הסכם בין הסתדרות העובדים החדשה לבין משרד האוצר, שעל פיו אמור שר האוצר לפעול לאישור קליטתם של מאות עובדים סוציאליים בהעסקה ישירה ברשויות המקומיות (הסכם "כתף אל כתף"). עם זאת, במועד סיום הביקורת הקודמת, בנובמבר 2020, טרם יושם ההסכם בשל מחלוקות בין הצדדים.</w:t>
      </w:r>
    </w:p>
    <w:p w14:paraId="799D3898" w14:textId="77777777" w:rsidR="00817399" w:rsidRPr="002F2BC5" w:rsidRDefault="00817399" w:rsidP="00817399">
      <w:pPr>
        <w:spacing w:line="269" w:lineRule="auto"/>
        <w:rPr>
          <w:rtl/>
        </w:rPr>
      </w:pPr>
    </w:p>
    <w:p w14:paraId="1F912185" w14:textId="77777777" w:rsidR="00817399" w:rsidRPr="002F2BC5" w:rsidRDefault="00817399" w:rsidP="00817399">
      <w:pPr>
        <w:spacing w:line="269" w:lineRule="auto"/>
        <w:rPr>
          <w:rtl/>
        </w:rPr>
      </w:pPr>
      <w:r w:rsidRPr="002F2BC5">
        <w:rPr>
          <w:rFonts w:hint="cs"/>
          <w:rtl/>
        </w:rPr>
        <w:t>לצד זאת הועלה כי שיטת המימון התואם (</w:t>
      </w:r>
      <w:r w:rsidRPr="002F2BC5">
        <w:t>Matching</w:t>
      </w:r>
      <w:r w:rsidRPr="002F2BC5">
        <w:rPr>
          <w:rFonts w:hint="cs"/>
          <w:rtl/>
        </w:rPr>
        <w:t>), המשמשת את משרד הרווחה למימון אספקת שירותי הרווחה בקהילה על ידי הרשויות המקומיות, עלולה להביא לכך שהיקף שירותי הרווחה שתספק רשות מקומית, ובכלל זה בתחום האלימות במשפחה, ואף עצם אספקת השירותים על ידה - יהיו תלויים בנכונותה להקצות את חלקה במימון התואם</w:t>
      </w:r>
      <w:r w:rsidRPr="002F2BC5">
        <w:rPr>
          <w:rStyle w:val="af9"/>
          <w:rtl/>
        </w:rPr>
        <w:footnoteReference w:id="287"/>
      </w:r>
      <w:r w:rsidRPr="002F2BC5">
        <w:rPr>
          <w:rFonts w:hint="cs"/>
          <w:rtl/>
        </w:rPr>
        <w:t>. כך, מקום המגורים של אדם הזקוק לשירותי רווחה עלול להשפיע על עצם הגישה לשירותים שלהם הוא זקוק וכן על רמתם של השירותים הללו - כתלות במשאבים הכספיים ובסדרי העדיפויות של הרשות המקומית שבה הוא מתגורר. מסיבה זו, הוועדה לניסוח הצעה לרפורמה בשירותי הרווחה המקומיים המליצה לבחון את האפשרות להקצאה מדורגת (דיפרנציאלית) של התקציב בנסיבות מסוימות, וכך גם המליץ משרד מבקר המדינה פעמים מספר בעבר</w:t>
      </w:r>
      <w:r w:rsidRPr="002F2BC5">
        <w:rPr>
          <w:rStyle w:val="af9"/>
          <w:rtl/>
        </w:rPr>
        <w:footnoteReference w:id="288"/>
      </w:r>
      <w:r w:rsidRPr="002F2BC5">
        <w:rPr>
          <w:rFonts w:hint="cs"/>
          <w:rtl/>
        </w:rPr>
        <w:t>, אך במועד סיום הביקורת הקודמת, בנובמבר 2020, משרד</w:t>
      </w:r>
      <w:r w:rsidRPr="002F2BC5">
        <w:rPr>
          <w:rtl/>
        </w:rPr>
        <w:t xml:space="preserve"> </w:t>
      </w:r>
      <w:r w:rsidRPr="002F2BC5">
        <w:rPr>
          <w:rFonts w:hint="cs"/>
          <w:rtl/>
        </w:rPr>
        <w:t>הרווחה</w:t>
      </w:r>
      <w:r w:rsidRPr="002F2BC5">
        <w:rPr>
          <w:rtl/>
        </w:rPr>
        <w:t xml:space="preserve"> </w:t>
      </w:r>
      <w:r w:rsidRPr="002F2BC5">
        <w:rPr>
          <w:rFonts w:hint="cs"/>
          <w:rtl/>
        </w:rPr>
        <w:t>טרם</w:t>
      </w:r>
      <w:r w:rsidRPr="002F2BC5">
        <w:rPr>
          <w:rtl/>
        </w:rPr>
        <w:t xml:space="preserve"> </w:t>
      </w:r>
      <w:r w:rsidRPr="002F2BC5">
        <w:rPr>
          <w:rFonts w:hint="cs"/>
          <w:rtl/>
        </w:rPr>
        <w:t>יישם המלצות אלו</w:t>
      </w:r>
      <w:r w:rsidRPr="002F2BC5">
        <w:rPr>
          <w:rtl/>
        </w:rPr>
        <w:t>.</w:t>
      </w:r>
    </w:p>
    <w:p w14:paraId="1DBFC05D" w14:textId="77777777" w:rsidR="00817399" w:rsidRPr="002F2BC5" w:rsidRDefault="00817399" w:rsidP="00817399">
      <w:pPr>
        <w:spacing w:line="269" w:lineRule="auto"/>
        <w:rPr>
          <w:rtl/>
        </w:rPr>
      </w:pPr>
    </w:p>
    <w:p w14:paraId="6043697A" w14:textId="77777777" w:rsidR="00817399" w:rsidRPr="002F2BC5" w:rsidRDefault="00817399" w:rsidP="00817399">
      <w:pPr>
        <w:spacing w:line="269" w:lineRule="auto"/>
      </w:pPr>
      <w:r w:rsidRPr="002F2BC5">
        <w:rPr>
          <w:rFonts w:hint="cs"/>
          <w:rtl/>
        </w:rPr>
        <w:t>בביקורת הקודמת המליץ משרד מבקר המדינה למשרד הרווחה לבחון את שינוי שיטת התקצוב באופן שתקציב הרשויות המקומיות להפעלת המרכזים יתבסס על היקף הפעילות בפועל בשנת העבודה הקודמת, וכי התקציב יקבע לפי מספר היחידים המטופלים ולא לפי מספר המשפחות המטופלות. בתוך כך הומלץ למשרד הרווחה לבחון כיצד מודל המימון של המרכזים יוכל להבטיח טיפול מיטבי לכלל הזקוקים לטיפול בתחום האלימות במשפחה, ללא קשר למקום מגוריהם. עוד הומלץ ל</w:t>
      </w:r>
      <w:r w:rsidRPr="002F2BC5">
        <w:rPr>
          <w:rFonts w:hint="eastAsia"/>
          <w:rtl/>
        </w:rPr>
        <w:t>משרד</w:t>
      </w:r>
      <w:r w:rsidRPr="002F2BC5">
        <w:rPr>
          <w:rtl/>
        </w:rPr>
        <w:t xml:space="preserve"> </w:t>
      </w:r>
      <w:r w:rsidRPr="002F2BC5">
        <w:rPr>
          <w:rFonts w:hint="eastAsia"/>
          <w:rtl/>
        </w:rPr>
        <w:t>האוצר</w:t>
      </w:r>
      <w:r w:rsidRPr="002F2BC5">
        <w:rPr>
          <w:rtl/>
        </w:rPr>
        <w:t xml:space="preserve"> </w:t>
      </w:r>
      <w:r w:rsidRPr="002F2BC5">
        <w:rPr>
          <w:rFonts w:hint="eastAsia"/>
          <w:rtl/>
        </w:rPr>
        <w:t>ו</w:t>
      </w:r>
      <w:r w:rsidRPr="002F2BC5">
        <w:rPr>
          <w:rFonts w:hint="cs"/>
          <w:rtl/>
        </w:rPr>
        <w:t>ל</w:t>
      </w:r>
      <w:r w:rsidRPr="002F2BC5">
        <w:rPr>
          <w:rFonts w:hint="eastAsia"/>
          <w:rtl/>
        </w:rPr>
        <w:t>הסתדרות</w:t>
      </w:r>
      <w:r w:rsidRPr="002F2BC5">
        <w:rPr>
          <w:rtl/>
        </w:rPr>
        <w:t xml:space="preserve"> </w:t>
      </w:r>
      <w:r w:rsidRPr="002F2BC5">
        <w:rPr>
          <w:rFonts w:hint="eastAsia"/>
          <w:rtl/>
        </w:rPr>
        <w:t>העובדים</w:t>
      </w:r>
      <w:r w:rsidRPr="002F2BC5">
        <w:rPr>
          <w:rtl/>
        </w:rPr>
        <w:t xml:space="preserve"> </w:t>
      </w:r>
      <w:r w:rsidRPr="002F2BC5">
        <w:rPr>
          <w:rFonts w:hint="eastAsia"/>
          <w:rtl/>
        </w:rPr>
        <w:t>החדשה</w:t>
      </w:r>
      <w:r w:rsidRPr="002F2BC5">
        <w:rPr>
          <w:rtl/>
        </w:rPr>
        <w:t xml:space="preserve"> </w:t>
      </w:r>
      <w:r w:rsidRPr="002F2BC5">
        <w:rPr>
          <w:rFonts w:hint="cs"/>
          <w:rtl/>
        </w:rPr>
        <w:t>לפעול להסדרת המחלוקות ביניהם וליישום מלא של הסכם "כתף אל כתף".</w:t>
      </w:r>
    </w:p>
    <w:p w14:paraId="15326848" w14:textId="77777777" w:rsidR="00817399" w:rsidRPr="002F2BC5" w:rsidRDefault="00817399" w:rsidP="00817399">
      <w:pPr>
        <w:spacing w:line="269" w:lineRule="auto"/>
        <w:rPr>
          <w:rtl/>
        </w:rPr>
      </w:pPr>
    </w:p>
    <w:p w14:paraId="49D74867"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בשנת 2021 יושלם גיבוש מודל תעריף חדש למרכזים באופן שדיווחיהם לצורך קבלת התקצוב ישקפו את מספר המטופלים בפועל. עוד מסר כי יקצה את התוספת התקציבית לרשויות המקומיות שבהן לא פועלים מרכזים וכי בשנת 2021 הוא יפעל להשלמת גיבוש הקריטריונים להקצאת התקציב, כך שיוקצה באופן שוויוני ומיטבי. אשר ליישום הסכם "כתף אל כתף" השיב משרד הרווחה כי עד להסדרת המחלוקת בנוגע לאופן קליטתם של העובדים הסוציאליים בהעסקה ישירה, לא יהיה אפשר ליישם את ההסכם. מרכז השלטון המקומי מסר בתשובתו מינואר 2021 כי הוא מתנגד להעסקתם של העובדים הסוציאליים באמצעות תקציב השמות, אך הסיבה לכך שההסכם לא יושם אינה נוגעת אליו.</w:t>
      </w:r>
    </w:p>
    <w:p w14:paraId="630184BD" w14:textId="77777777" w:rsidR="00817399" w:rsidRPr="002F2BC5" w:rsidRDefault="00817399" w:rsidP="00817399">
      <w:pPr>
        <w:spacing w:line="269" w:lineRule="auto"/>
        <w:rPr>
          <w:rtl/>
        </w:rPr>
      </w:pPr>
    </w:p>
    <w:p w14:paraId="4C4E2106" w14:textId="77777777" w:rsidR="00817399" w:rsidRPr="002F2BC5" w:rsidRDefault="00817399" w:rsidP="00817399">
      <w:pPr>
        <w:spacing w:line="269" w:lineRule="auto"/>
        <w:rPr>
          <w:rtl/>
        </w:rPr>
      </w:pPr>
      <w:bookmarkStart w:id="1423" w:name="_Toc191987066"/>
      <w:r w:rsidRPr="002F2BC5">
        <w:rPr>
          <w:rStyle w:val="70"/>
          <w:rFonts w:hint="cs"/>
          <w:rtl/>
        </w:rPr>
        <w:t>ביקורת המעקב:</w:t>
      </w:r>
      <w:bookmarkEnd w:id="1423"/>
      <w:r w:rsidRPr="002F2BC5">
        <w:rPr>
          <w:rStyle w:val="70"/>
          <w:rFonts w:hint="cs"/>
          <w:rtl/>
        </w:rPr>
        <w:t xml:space="preserve"> </w:t>
      </w:r>
      <w:r w:rsidRPr="002F2BC5">
        <w:rPr>
          <w:rFonts w:hint="cs"/>
          <w:rtl/>
        </w:rPr>
        <w:t>נמצא כי משרד הרווחה פעל לקליטתם בהעסקה ישירה של כל העובדים הסוציאליים במרכזים במסגרת יישום הסכם "כתף אל כתף". כמו כן משרד הרווחה פעל לעדכון מודל התעריף ולמעבר ממודל תעריף משפחתי למודל תעריף המתייחס למספר היחידים המטופלים במרכז (להלן - מודל המימון החדש). על פי מודל המימון החדש, משרד הרווחה מממן את תקני כוח האדם המקצועי במרכז וכן מקצה תקציב ייעודי, באופן שוויוני ולפי קריטריונים קבועים</w:t>
      </w:r>
      <w:r w:rsidRPr="002F2BC5">
        <w:rPr>
          <w:rStyle w:val="af9"/>
          <w:rtl/>
        </w:rPr>
        <w:footnoteReference w:id="289"/>
      </w:r>
      <w:r w:rsidRPr="002F2BC5">
        <w:rPr>
          <w:rFonts w:hint="cs"/>
          <w:rtl/>
        </w:rPr>
        <w:t xml:space="preserve">, למימון שירותים נוספים כדוגמת הוצאות אחזקה, הדרכות ופעילויות קהילתיות בתחום המניעה. לפי משרד הרווחה, מודל המימון החדש נועד לסייע ברתימת כל בני המשפחה </w:t>
      </w:r>
      <w:r w:rsidRPr="002F2BC5">
        <w:rPr>
          <w:rFonts w:hint="cs"/>
          <w:rtl/>
        </w:rPr>
        <w:lastRenderedPageBreak/>
        <w:t>לטיפול וכן הוא יאפשר מתן מענה מיידי בשגרה ובחירום, לרבות עבור מטופלים המתגוררים ברשויות מקומיות שאינן מפעילות בתחומן מרכז. יצוין כי במסגרת יישום הסכם "כתף אל כתף" התווספו 278 תקני כוח אדם חדשים במרכזים.</w:t>
      </w:r>
    </w:p>
    <w:p w14:paraId="6C55BF44" w14:textId="77777777" w:rsidR="00817399" w:rsidRPr="002F2BC5" w:rsidRDefault="00817399" w:rsidP="00817399">
      <w:pPr>
        <w:spacing w:line="269" w:lineRule="auto"/>
        <w:rPr>
          <w:rtl/>
        </w:rPr>
      </w:pPr>
    </w:p>
    <w:p w14:paraId="3097769C" w14:textId="77777777" w:rsidR="00817399" w:rsidRPr="002F2BC5" w:rsidRDefault="00817399" w:rsidP="00817399">
      <w:pPr>
        <w:spacing w:line="269" w:lineRule="auto"/>
        <w:rPr>
          <w:rtl/>
        </w:rPr>
      </w:pPr>
      <w:r w:rsidRPr="002F2BC5">
        <w:rPr>
          <w:rFonts w:hint="cs"/>
          <w:rtl/>
        </w:rPr>
        <w:t>על פי הנחיות משרד הרווחה, במסגרת המעבר למודל המימון החדש המרכזים נדרשים לדווח באופן מלא על כלל המטופלים היחידים במרכז כדי לאפשר למשרד הרווחה לקבל תמונה מהימנה של הצרכים בפועל בתחום האלימות במשפחה. כמו כן הוגדרו כלל המרכזים כמרכזים אזוריים, כך שמרכזים המספקים שירותים אזוריים ישופו בגין תוספת תקני כוח האדם המקצועיים שיידרשו לאייש.</w:t>
      </w:r>
    </w:p>
    <w:p w14:paraId="3DAE0F85" w14:textId="77777777" w:rsidR="00817399" w:rsidRPr="002F2BC5" w:rsidRDefault="00817399" w:rsidP="00817399">
      <w:pPr>
        <w:spacing w:line="269" w:lineRule="auto"/>
        <w:rPr>
          <w:rtl/>
        </w:rPr>
      </w:pPr>
    </w:p>
    <w:p w14:paraId="59963AC8" w14:textId="77777777" w:rsidR="00817399" w:rsidRPr="002F2BC5" w:rsidRDefault="00817399" w:rsidP="00817399">
      <w:pPr>
        <w:pStyle w:val="afffffff9"/>
        <w:spacing w:line="269" w:lineRule="auto"/>
        <w:rPr>
          <w:rtl/>
        </w:rPr>
      </w:pPr>
      <w:bookmarkStart w:id="1424" w:name="_Toc198312274"/>
      <w:bookmarkStart w:id="1425" w:name="_Toc198312753"/>
      <w:bookmarkStart w:id="1426" w:name="_Toc200636929"/>
      <w:bookmarkStart w:id="1427" w:name="_Toc200439927"/>
      <w:bookmarkStart w:id="1428" w:name="_Toc201241032"/>
      <w:bookmarkStart w:id="1429" w:name="_Toc191987067"/>
      <w:bookmarkStart w:id="1430" w:name="_Toc192093132"/>
      <w:bookmarkStart w:id="1431" w:name="_Toc192612840"/>
      <w:r w:rsidRPr="002F2BC5">
        <w:rPr>
          <w:rtl/>
        </w:rPr>
        <w:t>הביקורת הקודמת העלתה כי מודל המימון הקודם - שלא הלם את היקף השירותים שניתנו במרכזים בפועל - הביא לתקצוב בחסר של פעילות המרכזים</w:t>
      </w:r>
      <w:r w:rsidRPr="002F2BC5">
        <w:rPr>
          <w:rFonts w:hint="cs"/>
          <w:rtl/>
        </w:rPr>
        <w:t>. בביקורת המעקב הועלה כי הליקוי תוקן באופן מלא וכי משרד הרווחה פעל לקביעת מודל מימון המתיישב עם היקף השירותים הניתנים ועם כוח האדם המקצועי המועסק בפועל במרכזים. כמו כן הוא פעל להסדרת השיפוי למרכזים המספקים שירותים אזוריים למטופלים המתגוררים ברשויות מקומיות שאינן מפעילות מרכזים.</w:t>
      </w:r>
      <w:bookmarkEnd w:id="1424"/>
      <w:bookmarkEnd w:id="1425"/>
      <w:bookmarkEnd w:id="1426"/>
      <w:bookmarkEnd w:id="1427"/>
      <w:bookmarkEnd w:id="1428"/>
      <w:r w:rsidRPr="002F2BC5">
        <w:rPr>
          <w:rFonts w:hint="cs"/>
          <w:rtl/>
        </w:rPr>
        <w:t xml:space="preserve"> </w:t>
      </w:r>
      <w:bookmarkEnd w:id="1429"/>
      <w:bookmarkEnd w:id="1430"/>
      <w:bookmarkEnd w:id="1431"/>
    </w:p>
    <w:p w14:paraId="7359DFD9" w14:textId="77777777" w:rsidR="00817399" w:rsidRPr="002F2BC5" w:rsidRDefault="00817399" w:rsidP="00817399">
      <w:pPr>
        <w:spacing w:line="269" w:lineRule="auto"/>
        <w:rPr>
          <w:rtl/>
        </w:rPr>
      </w:pPr>
    </w:p>
    <w:p w14:paraId="59ED75D3" w14:textId="77777777" w:rsidR="00817399" w:rsidRPr="002F2BC5" w:rsidRDefault="00817399" w:rsidP="00817399">
      <w:pPr>
        <w:pStyle w:val="afffffffa"/>
        <w:spacing w:line="269" w:lineRule="auto"/>
        <w:rPr>
          <w:rtl/>
        </w:rPr>
      </w:pPr>
      <w:bookmarkStart w:id="1432" w:name="_Toc191987068"/>
      <w:bookmarkStart w:id="1433" w:name="_Toc192093133"/>
      <w:bookmarkStart w:id="1434" w:name="_Toc192612841"/>
      <w:bookmarkStart w:id="1435" w:name="_Toc198312275"/>
      <w:bookmarkStart w:id="1436" w:name="_Toc198312754"/>
      <w:bookmarkStart w:id="1437" w:name="_Toc200636930"/>
      <w:bookmarkStart w:id="1438" w:name="_Toc200439928"/>
      <w:bookmarkStart w:id="1439" w:name="_Toc201241033"/>
      <w:r w:rsidRPr="002F2BC5">
        <w:rPr>
          <w:rFonts w:hint="cs"/>
          <w:rtl/>
        </w:rPr>
        <w:t>משרד מבקר המדינה מציין את משרד הרווחה על קביעת מודל המימון החדש והסדרת השיפוי למרכזים לטיפול ומניעת אלימות במשפחה המספקים שירותים אזוריים, תוך תיקון באופן מלא של הליקוי בעניין זה שהועלה בביקורת הקודמת.</w:t>
      </w:r>
      <w:bookmarkEnd w:id="1432"/>
      <w:bookmarkEnd w:id="1433"/>
      <w:bookmarkEnd w:id="1434"/>
      <w:bookmarkEnd w:id="1435"/>
      <w:bookmarkEnd w:id="1436"/>
      <w:bookmarkEnd w:id="1437"/>
      <w:bookmarkEnd w:id="1438"/>
      <w:bookmarkEnd w:id="1439"/>
    </w:p>
    <w:p w14:paraId="05CE125F" w14:textId="77777777" w:rsidR="00817399" w:rsidRPr="002F2BC5" w:rsidRDefault="00817399" w:rsidP="00817399">
      <w:pPr>
        <w:spacing w:line="269" w:lineRule="auto"/>
        <w:rPr>
          <w:rtl/>
        </w:rPr>
      </w:pPr>
    </w:p>
    <w:p w14:paraId="4DA37D82" w14:textId="77777777" w:rsidR="00817399" w:rsidRPr="002F2BC5" w:rsidRDefault="00817399" w:rsidP="00817399">
      <w:pPr>
        <w:pStyle w:val="afffffffa"/>
        <w:spacing w:line="269" w:lineRule="auto"/>
        <w:rPr>
          <w:rtl/>
        </w:rPr>
      </w:pPr>
      <w:bookmarkStart w:id="1440" w:name="_Toc191987069"/>
      <w:bookmarkStart w:id="1441" w:name="_Toc192093134"/>
      <w:bookmarkStart w:id="1442" w:name="_Toc192612842"/>
      <w:bookmarkStart w:id="1443" w:name="_Toc198312276"/>
      <w:bookmarkStart w:id="1444" w:name="_Toc198312755"/>
      <w:bookmarkStart w:id="1445" w:name="_Toc200636931"/>
      <w:bookmarkStart w:id="1446" w:name="_Toc200439929"/>
      <w:bookmarkStart w:id="1447" w:name="_Toc201241034"/>
      <w:r w:rsidRPr="002F2BC5">
        <w:rPr>
          <w:rFonts w:hint="cs"/>
          <w:rtl/>
        </w:rPr>
        <w:t>מומלץ למשרד הרווחה לקבוע תוכנית עבודה לבחינת השפעותיו של מודל המימון החדש על איכות השירותים הניתנים לנזקקים בתחום האלימות במשפחה והיקפם. בפרט מומלץ להבטיח כי בתוך כך תיבחן מידת תרומתו של מודל המימון החדש להבטחת מתן מענה לנזקקים המתגוררים ברשויות מקומיות שאינן מפעילות בתחומן מרכז לטיפול ומניעת אלימות במשפחה - או לנזקקים המתגוררים ברשויות מקומיות המתמודדות עם קשיים כספיים.</w:t>
      </w:r>
      <w:bookmarkEnd w:id="1440"/>
      <w:bookmarkEnd w:id="1441"/>
      <w:bookmarkEnd w:id="1442"/>
      <w:bookmarkEnd w:id="1443"/>
      <w:bookmarkEnd w:id="1444"/>
      <w:bookmarkEnd w:id="1445"/>
      <w:bookmarkEnd w:id="1446"/>
      <w:bookmarkEnd w:id="1447"/>
    </w:p>
    <w:p w14:paraId="1412CA82" w14:textId="77777777" w:rsidR="00817399" w:rsidRPr="002F2BC5" w:rsidRDefault="00817399" w:rsidP="00817399">
      <w:pPr>
        <w:spacing w:line="269" w:lineRule="auto"/>
        <w:rPr>
          <w:rtl/>
        </w:rPr>
      </w:pPr>
    </w:p>
    <w:p w14:paraId="2FEF8E61"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435FF13" w14:textId="77777777" w:rsidR="00817399" w:rsidRPr="002F2BC5" w:rsidRDefault="00817399" w:rsidP="00817399">
      <w:pPr>
        <w:pStyle w:val="afffffff7"/>
        <w:spacing w:before="0" w:line="269" w:lineRule="auto"/>
        <w:rPr>
          <w:noProof/>
          <w:rtl/>
        </w:rPr>
      </w:pPr>
      <w:bookmarkStart w:id="1448" w:name="_Toc198312277"/>
      <w:bookmarkStart w:id="1449" w:name="_Toc198312756"/>
      <w:bookmarkStart w:id="1450" w:name="_Toc189072254"/>
      <w:r w:rsidRPr="002F2BC5">
        <w:rPr>
          <w:noProof/>
        </w:rPr>
        <w:drawing>
          <wp:inline distT="0" distB="0" distL="0" distR="0" wp14:anchorId="6130F072" wp14:editId="2D85282C">
            <wp:extent cx="4324350" cy="933450"/>
            <wp:effectExtent l="0" t="0" r="0" b="0"/>
            <wp:docPr id="31" name="תמונה 6" descr="תוכן התרשים מופיע בטקסט.">
              <a:extLst xmlns:a="http://schemas.openxmlformats.org/drawingml/2006/main">
                <a:ext uri="{FF2B5EF4-FFF2-40B4-BE49-F238E27FC236}">
                  <a16:creationId xmlns:a16="http://schemas.microsoft.com/office/drawing/2014/main" id="{5A019D9F-ADAC-46CE-89C3-C55D4041CCE7}"/>
                </a:ext>
              </a:extLst>
            </wp:docPr>
            <wp:cNvGraphicFramePr/>
            <a:graphic xmlns:a="http://schemas.openxmlformats.org/drawingml/2006/main">
              <a:graphicData uri="http://schemas.openxmlformats.org/drawingml/2006/picture">
                <pic:pic xmlns:pic="http://schemas.openxmlformats.org/drawingml/2006/picture">
                  <pic:nvPicPr>
                    <pic:cNvPr id="7" name="תמונה 6">
                      <a:extLst>
                        <a:ext uri="{FF2B5EF4-FFF2-40B4-BE49-F238E27FC236}">
                          <a16:creationId xmlns:a16="http://schemas.microsoft.com/office/drawing/2014/main" id="{5A019D9F-ADAC-46CE-89C3-C55D4041CCE7}"/>
                        </a:ext>
                      </a:extLst>
                    </pic:cNvPr>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448"/>
      <w:bookmarkEnd w:id="1449"/>
    </w:p>
    <w:bookmarkEnd w:id="1450"/>
    <w:p w14:paraId="76873B97" w14:textId="77777777" w:rsidR="00817399" w:rsidRPr="002F2BC5" w:rsidRDefault="00817399" w:rsidP="00817399">
      <w:pPr>
        <w:spacing w:line="269" w:lineRule="auto"/>
        <w:rPr>
          <w:rtl/>
        </w:rPr>
      </w:pPr>
    </w:p>
    <w:p w14:paraId="3D05F8D5" w14:textId="77777777" w:rsidR="00817399" w:rsidRPr="002F2BC5" w:rsidRDefault="00817399" w:rsidP="00817399">
      <w:pPr>
        <w:pStyle w:val="1ff"/>
        <w:bidi/>
        <w:rPr>
          <w:rtl/>
        </w:rPr>
      </w:pPr>
      <w:bookmarkStart w:id="1451" w:name="_Toc191987070"/>
      <w:bookmarkStart w:id="1452" w:name="_Toc61359486"/>
      <w:r w:rsidRPr="002F2BC5">
        <w:rPr>
          <w:rFonts w:hint="cs"/>
          <w:rtl/>
        </w:rPr>
        <w:t>מנגנון הבקרה הפנימי על פעילות המרכזים והקשר בין המרכזים ובין המחלקות לשירותים חברתיים</w:t>
      </w:r>
      <w:r w:rsidRPr="002F2BC5">
        <w:rPr>
          <w:vertAlign w:val="superscript"/>
          <w:rtl/>
        </w:rPr>
        <w:footnoteReference w:id="290"/>
      </w:r>
      <w:bookmarkEnd w:id="1451"/>
    </w:p>
    <w:p w14:paraId="2927C94A" w14:textId="77777777" w:rsidR="00817399" w:rsidRPr="002F2BC5" w:rsidRDefault="00817399" w:rsidP="00817399">
      <w:pPr>
        <w:spacing w:line="269" w:lineRule="auto"/>
        <w:rPr>
          <w:rtl/>
        </w:rPr>
      </w:pPr>
    </w:p>
    <w:p w14:paraId="7661E16A" w14:textId="77777777" w:rsidR="00817399" w:rsidRPr="002F2BC5" w:rsidRDefault="00817399" w:rsidP="00817399">
      <w:pPr>
        <w:spacing w:line="269" w:lineRule="auto"/>
        <w:rPr>
          <w:rtl/>
        </w:rPr>
      </w:pPr>
      <w:r w:rsidRPr="002F2BC5">
        <w:rPr>
          <w:rFonts w:hint="cs"/>
          <w:rtl/>
        </w:rPr>
        <w:t>על פי הוראות התע"ס, ועדת היגוי אמורה ללוות את פעילות המ</w:t>
      </w:r>
      <w:r w:rsidRPr="002F2BC5">
        <w:rPr>
          <w:rFonts w:hint="eastAsia"/>
          <w:rtl/>
        </w:rPr>
        <w:t>רכז</w:t>
      </w:r>
      <w:r w:rsidRPr="002F2BC5">
        <w:rPr>
          <w:rFonts w:hint="cs"/>
          <w:rtl/>
        </w:rPr>
        <w:t xml:space="preserve"> לטיפול ומניעת אלימות</w:t>
      </w:r>
      <w:r w:rsidRPr="002F2BC5">
        <w:rPr>
          <w:rtl/>
        </w:rPr>
        <w:t xml:space="preserve"> </w:t>
      </w:r>
      <w:r w:rsidRPr="002F2BC5">
        <w:rPr>
          <w:rFonts w:hint="eastAsia"/>
          <w:rtl/>
        </w:rPr>
        <w:t>במשפחה</w:t>
      </w:r>
      <w:r w:rsidRPr="002F2BC5">
        <w:rPr>
          <w:rFonts w:hint="cs"/>
          <w:rtl/>
        </w:rPr>
        <w:t>, ולזימונה אחראי מנהל המחלקה לשירותים חברתיים באמצעות מנהל המרכז</w:t>
      </w:r>
      <w:r w:rsidRPr="002F2BC5">
        <w:rPr>
          <w:rStyle w:val="af9"/>
          <w:rtl/>
        </w:rPr>
        <w:footnoteReference w:id="291"/>
      </w:r>
      <w:r w:rsidRPr="002F2BC5">
        <w:rPr>
          <w:rFonts w:hint="cs"/>
          <w:rtl/>
        </w:rPr>
        <w:t xml:space="preserve">. הוועדה אמונה על </w:t>
      </w:r>
      <w:r w:rsidRPr="002F2BC5">
        <w:rPr>
          <w:rFonts w:hint="eastAsia"/>
          <w:rtl/>
        </w:rPr>
        <w:t>יישום</w:t>
      </w:r>
      <w:r w:rsidRPr="002F2BC5">
        <w:rPr>
          <w:rtl/>
        </w:rPr>
        <w:t xml:space="preserve"> </w:t>
      </w:r>
      <w:r w:rsidRPr="002F2BC5">
        <w:rPr>
          <w:rFonts w:hint="eastAsia"/>
          <w:rtl/>
        </w:rPr>
        <w:t>מדיניות</w:t>
      </w:r>
      <w:r w:rsidRPr="002F2BC5">
        <w:rPr>
          <w:rtl/>
        </w:rPr>
        <w:t xml:space="preserve"> </w:t>
      </w:r>
      <w:r w:rsidRPr="002F2BC5">
        <w:rPr>
          <w:rFonts w:hint="cs"/>
          <w:rtl/>
        </w:rPr>
        <w:t xml:space="preserve">משרד הרווחה וכן על </w:t>
      </w:r>
      <w:r w:rsidRPr="002F2BC5">
        <w:rPr>
          <w:rFonts w:hint="eastAsia"/>
          <w:rtl/>
        </w:rPr>
        <w:t>אישור</w:t>
      </w:r>
      <w:r w:rsidRPr="002F2BC5">
        <w:rPr>
          <w:rtl/>
        </w:rPr>
        <w:t xml:space="preserve"> </w:t>
      </w:r>
      <w:r w:rsidRPr="002F2BC5">
        <w:rPr>
          <w:rFonts w:hint="eastAsia"/>
          <w:rtl/>
        </w:rPr>
        <w:t>תוכנית</w:t>
      </w:r>
      <w:r w:rsidRPr="002F2BC5">
        <w:rPr>
          <w:rtl/>
        </w:rPr>
        <w:t xml:space="preserve"> </w:t>
      </w:r>
      <w:r w:rsidRPr="002F2BC5">
        <w:rPr>
          <w:rFonts w:hint="cs"/>
          <w:rtl/>
        </w:rPr>
        <w:t>ה</w:t>
      </w:r>
      <w:r w:rsidRPr="002F2BC5">
        <w:rPr>
          <w:rFonts w:hint="eastAsia"/>
          <w:rtl/>
        </w:rPr>
        <w:t>עבודה</w:t>
      </w:r>
      <w:r w:rsidRPr="002F2BC5">
        <w:rPr>
          <w:rtl/>
        </w:rPr>
        <w:t xml:space="preserve"> </w:t>
      </w:r>
      <w:r w:rsidRPr="002F2BC5">
        <w:rPr>
          <w:rFonts w:hint="cs"/>
          <w:rtl/>
        </w:rPr>
        <w:t xml:space="preserve">השנתית של המרכז </w:t>
      </w:r>
      <w:r w:rsidRPr="002F2BC5">
        <w:rPr>
          <w:rFonts w:hint="eastAsia"/>
          <w:rtl/>
        </w:rPr>
        <w:t>ומעקב</w:t>
      </w:r>
      <w:r w:rsidRPr="002F2BC5">
        <w:rPr>
          <w:rtl/>
        </w:rPr>
        <w:t xml:space="preserve"> </w:t>
      </w:r>
      <w:r w:rsidRPr="002F2BC5">
        <w:rPr>
          <w:rFonts w:hint="eastAsia"/>
          <w:rtl/>
        </w:rPr>
        <w:t>אחר</w:t>
      </w:r>
      <w:r w:rsidRPr="002F2BC5">
        <w:rPr>
          <w:rtl/>
        </w:rPr>
        <w:t xml:space="preserve"> </w:t>
      </w:r>
      <w:r w:rsidRPr="002F2BC5">
        <w:rPr>
          <w:rFonts w:hint="eastAsia"/>
          <w:rtl/>
        </w:rPr>
        <w:t>ביצועה</w:t>
      </w:r>
      <w:r w:rsidRPr="002F2BC5">
        <w:rPr>
          <w:rtl/>
        </w:rPr>
        <w:t xml:space="preserve">. </w:t>
      </w:r>
      <w:r w:rsidRPr="002F2BC5">
        <w:rPr>
          <w:rFonts w:hint="cs"/>
          <w:rtl/>
        </w:rPr>
        <w:t>על ועדת ההיגוי להתכנס לפחות פעמיים בשנה, ולדיוניה אמורים להיות מוזמנים המפקחים המחוזיים</w:t>
      </w:r>
      <w:r w:rsidRPr="002F2BC5">
        <w:rPr>
          <w:rtl/>
        </w:rPr>
        <w:t xml:space="preserve"> </w:t>
      </w:r>
      <w:r w:rsidRPr="002F2BC5">
        <w:rPr>
          <w:rFonts w:hint="cs"/>
          <w:rtl/>
        </w:rPr>
        <w:t xml:space="preserve">וכן, </w:t>
      </w:r>
      <w:r w:rsidRPr="002F2BC5">
        <w:rPr>
          <w:rFonts w:hint="eastAsia"/>
          <w:rtl/>
        </w:rPr>
        <w:t>לפי</w:t>
      </w:r>
      <w:r w:rsidRPr="002F2BC5">
        <w:rPr>
          <w:rtl/>
        </w:rPr>
        <w:t xml:space="preserve"> </w:t>
      </w:r>
      <w:r w:rsidRPr="002F2BC5">
        <w:rPr>
          <w:rFonts w:hint="eastAsia"/>
          <w:rtl/>
        </w:rPr>
        <w:t>הצורך</w:t>
      </w:r>
      <w:r w:rsidRPr="002F2BC5">
        <w:rPr>
          <w:rFonts w:hint="cs"/>
          <w:rtl/>
        </w:rPr>
        <w:t>,</w:t>
      </w:r>
      <w:r w:rsidRPr="002F2BC5">
        <w:rPr>
          <w:rtl/>
        </w:rPr>
        <w:t xml:space="preserve"> </w:t>
      </w:r>
      <w:r w:rsidRPr="002F2BC5">
        <w:rPr>
          <w:rFonts w:hint="cs"/>
          <w:rtl/>
        </w:rPr>
        <w:t>המפקח הארצי ו</w:t>
      </w:r>
      <w:r w:rsidRPr="002F2BC5">
        <w:rPr>
          <w:rFonts w:hint="eastAsia"/>
          <w:rtl/>
        </w:rPr>
        <w:t>נציגים</w:t>
      </w:r>
      <w:r w:rsidRPr="002F2BC5">
        <w:rPr>
          <w:rtl/>
        </w:rPr>
        <w:t xml:space="preserve"> </w:t>
      </w:r>
      <w:r w:rsidRPr="002F2BC5">
        <w:rPr>
          <w:rFonts w:hint="cs"/>
          <w:rtl/>
        </w:rPr>
        <w:t>מ</w:t>
      </w:r>
      <w:r w:rsidRPr="002F2BC5">
        <w:rPr>
          <w:rFonts w:hint="eastAsia"/>
          <w:rtl/>
        </w:rPr>
        <w:t>המשטרה</w:t>
      </w:r>
      <w:r w:rsidRPr="002F2BC5">
        <w:rPr>
          <w:rtl/>
        </w:rPr>
        <w:t xml:space="preserve"> </w:t>
      </w:r>
      <w:r w:rsidRPr="002F2BC5">
        <w:rPr>
          <w:rFonts w:hint="cs"/>
          <w:rtl/>
        </w:rPr>
        <w:t>ומ</w:t>
      </w:r>
      <w:r w:rsidRPr="002F2BC5">
        <w:rPr>
          <w:rFonts w:hint="eastAsia"/>
          <w:rtl/>
        </w:rPr>
        <w:t>משרדי</w:t>
      </w:r>
      <w:r w:rsidRPr="002F2BC5">
        <w:rPr>
          <w:rtl/>
        </w:rPr>
        <w:t xml:space="preserve"> </w:t>
      </w:r>
      <w:r w:rsidRPr="002F2BC5">
        <w:rPr>
          <w:rFonts w:hint="eastAsia"/>
          <w:rtl/>
        </w:rPr>
        <w:t>הבריאות</w:t>
      </w:r>
      <w:r w:rsidRPr="002F2BC5">
        <w:rPr>
          <w:rtl/>
        </w:rPr>
        <w:t xml:space="preserve">, </w:t>
      </w:r>
      <w:r w:rsidRPr="002F2BC5">
        <w:rPr>
          <w:rFonts w:hint="cs"/>
          <w:rtl/>
        </w:rPr>
        <w:t>הבינוי ו</w:t>
      </w:r>
      <w:r w:rsidRPr="002F2BC5">
        <w:rPr>
          <w:rFonts w:hint="eastAsia"/>
          <w:rtl/>
        </w:rPr>
        <w:t>השיכון</w:t>
      </w:r>
      <w:r w:rsidRPr="002F2BC5">
        <w:rPr>
          <w:rtl/>
        </w:rPr>
        <w:t xml:space="preserve"> </w:t>
      </w:r>
      <w:r w:rsidRPr="002F2BC5">
        <w:rPr>
          <w:rFonts w:hint="eastAsia"/>
          <w:rtl/>
        </w:rPr>
        <w:t>והחינוך</w:t>
      </w:r>
      <w:r w:rsidRPr="002F2BC5">
        <w:rPr>
          <w:rtl/>
        </w:rPr>
        <w:t>.</w:t>
      </w:r>
      <w:r w:rsidRPr="002F2BC5">
        <w:rPr>
          <w:rFonts w:hint="cs"/>
          <w:rtl/>
        </w:rPr>
        <w:t xml:space="preserve"> כמו כן אמורים להשתתף בדיוניה של ועדת ההיגוי גם נציגיהן של רשויות מקומיות סמוכות שתושביהן מקבלים שירותים במרכז. השתתפותם של נציגים אלו בישיבותיהן של ועדות ההיגוי חשובה כדי שיוכלו להעלות את הבעיות הייחודיות של הרשויות </w:t>
      </w:r>
      <w:r w:rsidRPr="002F2BC5">
        <w:rPr>
          <w:rFonts w:hint="cs"/>
          <w:rtl/>
        </w:rPr>
        <w:lastRenderedPageBreak/>
        <w:t>המפנות וכדי לאפשר להם להשפיע על מהלכיו של המרכז והתאמת תפקודו לצורכיהם</w:t>
      </w:r>
      <w:r w:rsidRPr="002F2BC5">
        <w:rPr>
          <w:rStyle w:val="af9"/>
          <w:rtl/>
        </w:rPr>
        <w:footnoteReference w:id="292"/>
      </w:r>
      <w:r w:rsidRPr="002F2BC5">
        <w:rPr>
          <w:rFonts w:hint="cs"/>
          <w:rtl/>
        </w:rPr>
        <w:t>. עוד נקבע בהוראות התע"ס כי ישיבות ועדת ההיגוי יתועדו, ועותק מסיכומיהן יישלח למשתתפי הישיבה ולפיקוח הארצי במשרד הרווחה.</w:t>
      </w:r>
    </w:p>
    <w:p w14:paraId="24118EEE" w14:textId="77777777" w:rsidR="00817399" w:rsidRPr="002F2BC5" w:rsidRDefault="00817399" w:rsidP="00817399">
      <w:pPr>
        <w:spacing w:line="269" w:lineRule="auto"/>
        <w:rPr>
          <w:rtl/>
        </w:rPr>
      </w:pPr>
    </w:p>
    <w:p w14:paraId="50A4F7D5" w14:textId="77777777" w:rsidR="00817399" w:rsidRPr="002F2BC5" w:rsidRDefault="00817399" w:rsidP="00817399">
      <w:pPr>
        <w:spacing w:line="269" w:lineRule="auto"/>
        <w:rPr>
          <w:rtl/>
        </w:rPr>
      </w:pPr>
      <w:r w:rsidRPr="002F2BC5">
        <w:rPr>
          <w:rFonts w:hint="cs"/>
          <w:rtl/>
        </w:rPr>
        <w:t>יש לציין כי</w:t>
      </w:r>
      <w:r w:rsidRPr="002F2BC5">
        <w:rPr>
          <w:rtl/>
        </w:rPr>
        <w:t xml:space="preserve"> </w:t>
      </w:r>
      <w:r w:rsidRPr="002F2BC5">
        <w:rPr>
          <w:rFonts w:hint="cs"/>
          <w:rtl/>
        </w:rPr>
        <w:t xml:space="preserve">קביעת </w:t>
      </w:r>
      <w:r w:rsidRPr="002F2BC5">
        <w:rPr>
          <w:rtl/>
        </w:rPr>
        <w:t xml:space="preserve">תוכנית עבודה שנתית </w:t>
      </w:r>
      <w:r w:rsidRPr="002F2BC5">
        <w:rPr>
          <w:rFonts w:hint="cs"/>
          <w:rtl/>
        </w:rPr>
        <w:t>לפעילות המרכז לטיפול ומניעת אלימות במשפחה</w:t>
      </w:r>
      <w:r w:rsidRPr="002F2BC5">
        <w:rPr>
          <w:rtl/>
        </w:rPr>
        <w:t xml:space="preserve">, </w:t>
      </w:r>
      <w:r w:rsidRPr="002F2BC5">
        <w:rPr>
          <w:rFonts w:hint="cs"/>
          <w:rtl/>
        </w:rPr>
        <w:t>של</w:t>
      </w:r>
      <w:r w:rsidRPr="002F2BC5">
        <w:rPr>
          <w:rFonts w:hint="eastAsia"/>
          <w:rtl/>
        </w:rPr>
        <w:t>אישורה</w:t>
      </w:r>
      <w:r w:rsidRPr="002F2BC5">
        <w:rPr>
          <w:rtl/>
        </w:rPr>
        <w:t xml:space="preserve"> </w:t>
      </w:r>
      <w:r w:rsidRPr="002F2BC5">
        <w:rPr>
          <w:rFonts w:hint="eastAsia"/>
          <w:rtl/>
        </w:rPr>
        <w:t>ו</w:t>
      </w:r>
      <w:r w:rsidRPr="002F2BC5">
        <w:rPr>
          <w:rFonts w:hint="cs"/>
          <w:rtl/>
        </w:rPr>
        <w:t>ל</w:t>
      </w:r>
      <w:r w:rsidRPr="002F2BC5">
        <w:rPr>
          <w:rFonts w:hint="eastAsia"/>
          <w:rtl/>
        </w:rPr>
        <w:t>מעקב</w:t>
      </w:r>
      <w:r w:rsidRPr="002F2BC5">
        <w:rPr>
          <w:rtl/>
        </w:rPr>
        <w:t xml:space="preserve"> </w:t>
      </w:r>
      <w:r w:rsidRPr="002F2BC5">
        <w:rPr>
          <w:rFonts w:hint="eastAsia"/>
          <w:rtl/>
        </w:rPr>
        <w:t>אחר</w:t>
      </w:r>
      <w:r w:rsidRPr="002F2BC5">
        <w:rPr>
          <w:rtl/>
        </w:rPr>
        <w:t xml:space="preserve"> </w:t>
      </w:r>
      <w:r w:rsidRPr="002F2BC5">
        <w:rPr>
          <w:rFonts w:hint="eastAsia"/>
          <w:rtl/>
        </w:rPr>
        <w:t>ביצועה</w:t>
      </w:r>
      <w:r w:rsidRPr="002F2BC5">
        <w:rPr>
          <w:rtl/>
        </w:rPr>
        <w:t xml:space="preserve"> </w:t>
      </w:r>
      <w:r w:rsidRPr="002F2BC5">
        <w:rPr>
          <w:rFonts w:hint="eastAsia"/>
          <w:rtl/>
        </w:rPr>
        <w:t>אחראית</w:t>
      </w:r>
      <w:r w:rsidRPr="002F2BC5">
        <w:rPr>
          <w:rtl/>
        </w:rPr>
        <w:t xml:space="preserve"> </w:t>
      </w:r>
      <w:r w:rsidRPr="002F2BC5">
        <w:rPr>
          <w:rFonts w:hint="eastAsia"/>
          <w:rtl/>
        </w:rPr>
        <w:t>ועדת</w:t>
      </w:r>
      <w:r w:rsidRPr="002F2BC5">
        <w:rPr>
          <w:rtl/>
        </w:rPr>
        <w:t xml:space="preserve"> </w:t>
      </w:r>
      <w:r w:rsidRPr="002F2BC5">
        <w:rPr>
          <w:rFonts w:hint="eastAsia"/>
          <w:rtl/>
        </w:rPr>
        <w:t>ההיגוי</w:t>
      </w:r>
      <w:r w:rsidRPr="002F2BC5">
        <w:rPr>
          <w:rtl/>
        </w:rPr>
        <w:t>,</w:t>
      </w:r>
      <w:r w:rsidRPr="002F2BC5">
        <w:rPr>
          <w:rFonts w:hint="cs"/>
          <w:rtl/>
        </w:rPr>
        <w:t xml:space="preserve"> חשובה לשם תכנון סדור, מיקוד ותעדוף של היעדים העיקריים שבהם המרכז נדרש לעמוד ושל הפעולות העיקריות שעליו לבצע לשם הגשמת יעדים אלו, וכן לשם הקצאה יעילה ומיטבית של המשאבים העומדים לרשותו</w:t>
      </w:r>
      <w:r w:rsidRPr="002F2BC5">
        <w:rPr>
          <w:rtl/>
        </w:rPr>
        <w:t>. כדי שתוכל להשיג את תכליתה, יש חשיבות</w:t>
      </w:r>
      <w:r w:rsidRPr="002F2BC5">
        <w:rPr>
          <w:rFonts w:hint="cs"/>
          <w:rtl/>
        </w:rPr>
        <w:t xml:space="preserve"> </w:t>
      </w:r>
      <w:r w:rsidRPr="002F2BC5">
        <w:rPr>
          <w:rtl/>
        </w:rPr>
        <w:t xml:space="preserve">רבה לכך </w:t>
      </w:r>
      <w:r w:rsidRPr="002F2BC5">
        <w:rPr>
          <w:rFonts w:hint="cs"/>
          <w:rtl/>
        </w:rPr>
        <w:t>שתוכנית העבודה השנתית</w:t>
      </w:r>
      <w:r w:rsidRPr="002F2BC5">
        <w:rPr>
          <w:rtl/>
        </w:rPr>
        <w:t xml:space="preserve"> תכלול את הפעולות המתוכננות ואת התשומות שיש להקצות לשם כך וכן</w:t>
      </w:r>
      <w:r w:rsidRPr="002F2BC5">
        <w:rPr>
          <w:rFonts w:hint="cs"/>
          <w:rtl/>
        </w:rPr>
        <w:t xml:space="preserve"> </w:t>
      </w:r>
      <w:r w:rsidRPr="002F2BC5">
        <w:rPr>
          <w:rtl/>
        </w:rPr>
        <w:t xml:space="preserve">את השותפים המרכזיים להוצאת הפעולות המתוכננות לפועל. </w:t>
      </w:r>
      <w:r w:rsidRPr="002F2BC5">
        <w:rPr>
          <w:rFonts w:hint="cs"/>
          <w:rtl/>
        </w:rPr>
        <w:t>יתרה מזו</w:t>
      </w:r>
      <w:r w:rsidRPr="002F2BC5">
        <w:rPr>
          <w:rtl/>
        </w:rPr>
        <w:t>, רצוי לכלול מדדי ביצוע</w:t>
      </w:r>
      <w:r w:rsidRPr="002F2BC5">
        <w:rPr>
          <w:rFonts w:hint="cs"/>
          <w:rtl/>
        </w:rPr>
        <w:t xml:space="preserve"> </w:t>
      </w:r>
      <w:r w:rsidRPr="002F2BC5">
        <w:rPr>
          <w:rtl/>
        </w:rPr>
        <w:t>ומדדי תוצאה בני מדידה, לרבות את מקור הנתונים שישמשו לצורך כך, כדי להבטיח שהנושא</w:t>
      </w:r>
      <w:r w:rsidRPr="002F2BC5">
        <w:rPr>
          <w:rFonts w:hint="cs"/>
          <w:rtl/>
        </w:rPr>
        <w:t xml:space="preserve"> </w:t>
      </w:r>
      <w:r w:rsidRPr="002F2BC5">
        <w:rPr>
          <w:rtl/>
        </w:rPr>
        <w:t>יקודם באופן מיטבי ו</w:t>
      </w:r>
      <w:r w:rsidRPr="002F2BC5">
        <w:rPr>
          <w:rFonts w:hint="cs"/>
          <w:rtl/>
        </w:rPr>
        <w:t>יושג</w:t>
      </w:r>
      <w:r w:rsidRPr="002F2BC5">
        <w:rPr>
          <w:rtl/>
        </w:rPr>
        <w:t xml:space="preserve"> שיפור מתמיד בעמידה ביעדים שהוגדרו. </w:t>
      </w:r>
      <w:r w:rsidRPr="002F2BC5">
        <w:rPr>
          <w:rFonts w:hint="cs"/>
          <w:rtl/>
        </w:rPr>
        <w:t>כדי</w:t>
      </w:r>
      <w:r w:rsidRPr="002F2BC5">
        <w:rPr>
          <w:rtl/>
        </w:rPr>
        <w:t xml:space="preserve"> שמדדי הביצוע</w:t>
      </w:r>
      <w:r w:rsidRPr="002F2BC5">
        <w:rPr>
          <w:rFonts w:hint="cs"/>
          <w:rtl/>
        </w:rPr>
        <w:t xml:space="preserve"> </w:t>
      </w:r>
      <w:r w:rsidRPr="002F2BC5">
        <w:rPr>
          <w:rtl/>
        </w:rPr>
        <w:t>ומדדי התוצאה שנקבעו יוכלו לשמש לבחינה תהליכית, כדאי להגדיר מראש ובאופן ברור גם את</w:t>
      </w:r>
      <w:r w:rsidRPr="002F2BC5">
        <w:rPr>
          <w:rFonts w:hint="cs"/>
          <w:rtl/>
        </w:rPr>
        <w:t xml:space="preserve"> </w:t>
      </w:r>
      <w:r w:rsidRPr="002F2BC5">
        <w:rPr>
          <w:rtl/>
        </w:rPr>
        <w:t>לוחות הזמנים להשגתם</w:t>
      </w:r>
      <w:r w:rsidRPr="002F2BC5">
        <w:rPr>
          <w:rStyle w:val="af9"/>
          <w:rtl/>
        </w:rPr>
        <w:footnoteReference w:id="293"/>
      </w:r>
      <w:r w:rsidRPr="002F2BC5">
        <w:rPr>
          <w:rFonts w:hint="cs"/>
          <w:rtl/>
        </w:rPr>
        <w:t>.</w:t>
      </w:r>
    </w:p>
    <w:p w14:paraId="63C48922" w14:textId="77777777" w:rsidR="00817399" w:rsidRPr="002F2BC5" w:rsidRDefault="00817399" w:rsidP="00817399">
      <w:pPr>
        <w:spacing w:line="269" w:lineRule="auto"/>
        <w:rPr>
          <w:rtl/>
        </w:rPr>
      </w:pPr>
    </w:p>
    <w:p w14:paraId="05CDC6A1" w14:textId="77777777" w:rsidR="00817399" w:rsidRPr="002F2BC5" w:rsidRDefault="00817399" w:rsidP="00817399">
      <w:pPr>
        <w:pStyle w:val="2f2"/>
        <w:spacing w:after="0" w:line="269" w:lineRule="auto"/>
        <w:rPr>
          <w:rtl/>
        </w:rPr>
      </w:pPr>
      <w:r w:rsidRPr="002F2BC5">
        <w:rPr>
          <w:rFonts w:hint="cs"/>
          <w:rtl/>
        </w:rPr>
        <w:t xml:space="preserve">התכנסות </w:t>
      </w:r>
      <w:r w:rsidRPr="002F2BC5">
        <w:rPr>
          <w:rFonts w:hint="eastAsia"/>
          <w:rtl/>
        </w:rPr>
        <w:t>ועדת</w:t>
      </w:r>
      <w:r w:rsidRPr="002F2BC5">
        <w:rPr>
          <w:rtl/>
        </w:rPr>
        <w:t xml:space="preserve"> ההיגוי </w:t>
      </w:r>
      <w:r w:rsidRPr="002F2BC5">
        <w:rPr>
          <w:rFonts w:hint="eastAsia"/>
          <w:rtl/>
        </w:rPr>
        <w:t>וקביעת</w:t>
      </w:r>
      <w:r w:rsidRPr="002F2BC5">
        <w:rPr>
          <w:rtl/>
        </w:rPr>
        <w:t xml:space="preserve"> </w:t>
      </w:r>
      <w:r w:rsidRPr="002F2BC5">
        <w:rPr>
          <w:rFonts w:hint="eastAsia"/>
          <w:rtl/>
        </w:rPr>
        <w:t>תוכנית</w:t>
      </w:r>
      <w:r w:rsidRPr="002F2BC5">
        <w:rPr>
          <w:rtl/>
        </w:rPr>
        <w:t xml:space="preserve"> </w:t>
      </w:r>
      <w:r w:rsidRPr="002F2BC5">
        <w:rPr>
          <w:rFonts w:hint="eastAsia"/>
          <w:rtl/>
        </w:rPr>
        <w:t>העבודה</w:t>
      </w:r>
      <w:r w:rsidRPr="002F2BC5">
        <w:rPr>
          <w:rtl/>
        </w:rPr>
        <w:t xml:space="preserve"> </w:t>
      </w:r>
      <w:r w:rsidRPr="002F2BC5">
        <w:rPr>
          <w:rFonts w:hint="eastAsia"/>
          <w:rtl/>
        </w:rPr>
        <w:t>השנתית</w:t>
      </w:r>
    </w:p>
    <w:p w14:paraId="4249C9D5" w14:textId="77777777" w:rsidR="00817399" w:rsidRPr="002F2BC5" w:rsidRDefault="00817399" w:rsidP="00817399">
      <w:pPr>
        <w:spacing w:line="269" w:lineRule="auto"/>
        <w:rPr>
          <w:rtl/>
        </w:rPr>
      </w:pPr>
      <w:bookmarkStart w:id="1453" w:name="_Toc191987071"/>
    </w:p>
    <w:p w14:paraId="23D0C4D3" w14:textId="77777777" w:rsidR="00817399" w:rsidRPr="002F2BC5" w:rsidRDefault="00817399" w:rsidP="00817399">
      <w:pPr>
        <w:spacing w:line="269" w:lineRule="auto"/>
        <w:rPr>
          <w:rtl/>
        </w:rPr>
      </w:pPr>
      <w:r w:rsidRPr="002F2BC5">
        <w:rPr>
          <w:rStyle w:val="70"/>
          <w:rFonts w:hint="cs"/>
          <w:rtl/>
        </w:rPr>
        <w:t>הביקורת הקודמת:</w:t>
      </w:r>
      <w:bookmarkEnd w:id="1453"/>
      <w:r w:rsidRPr="002F2BC5">
        <w:rPr>
          <w:rStyle w:val="70"/>
          <w:rFonts w:hint="cs"/>
          <w:rtl/>
        </w:rPr>
        <w:t xml:space="preserve"> </w:t>
      </w:r>
      <w:r w:rsidRPr="002F2BC5">
        <w:rPr>
          <w:rFonts w:hint="cs"/>
          <w:rtl/>
        </w:rPr>
        <w:t xml:space="preserve">נמצא כי </w:t>
      </w:r>
      <w:r w:rsidRPr="002F2BC5">
        <w:rPr>
          <w:rtl/>
        </w:rPr>
        <w:t>במרכז</w:t>
      </w:r>
      <w:r w:rsidRPr="002F2BC5">
        <w:rPr>
          <w:rFonts w:hint="cs"/>
          <w:rtl/>
        </w:rPr>
        <w:t xml:space="preserve">ים </w:t>
      </w:r>
      <w:r w:rsidRPr="002F2BC5">
        <w:rPr>
          <w:rtl/>
        </w:rPr>
        <w:t xml:space="preserve">לטיפול </w:t>
      </w:r>
      <w:r w:rsidRPr="002F2BC5">
        <w:rPr>
          <w:rFonts w:hint="cs"/>
          <w:rtl/>
        </w:rPr>
        <w:t xml:space="preserve">ומניעת </w:t>
      </w:r>
      <w:r w:rsidRPr="002F2BC5">
        <w:rPr>
          <w:rtl/>
        </w:rPr>
        <w:t>אלימות במשפחה ב</w:t>
      </w:r>
      <w:r w:rsidRPr="002F2BC5">
        <w:rPr>
          <w:rFonts w:hint="cs"/>
          <w:rtl/>
        </w:rPr>
        <w:t xml:space="preserve">עיריות </w:t>
      </w:r>
      <w:r w:rsidRPr="002F2BC5">
        <w:rPr>
          <w:rFonts w:hint="cs"/>
          <w:b/>
          <w:bCs/>
          <w:rtl/>
        </w:rPr>
        <w:t>בית שמש</w:t>
      </w:r>
      <w:r w:rsidRPr="002F2BC5">
        <w:rPr>
          <w:rFonts w:hint="cs"/>
          <w:rtl/>
        </w:rPr>
        <w:t xml:space="preserve">, </w:t>
      </w:r>
      <w:r w:rsidRPr="002F2BC5">
        <w:rPr>
          <w:b/>
          <w:bCs/>
          <w:rtl/>
        </w:rPr>
        <w:t>דימונה</w:t>
      </w:r>
      <w:r w:rsidRPr="002F2BC5">
        <w:rPr>
          <w:rtl/>
        </w:rPr>
        <w:t xml:space="preserve">, </w:t>
      </w:r>
      <w:r w:rsidRPr="002F2BC5">
        <w:rPr>
          <w:b/>
          <w:bCs/>
          <w:rtl/>
        </w:rPr>
        <w:t>חדרה</w:t>
      </w:r>
      <w:r w:rsidRPr="002F2BC5">
        <w:rPr>
          <w:rtl/>
        </w:rPr>
        <w:t xml:space="preserve">, </w:t>
      </w:r>
      <w:r w:rsidRPr="002F2BC5">
        <w:rPr>
          <w:b/>
          <w:bCs/>
          <w:rtl/>
        </w:rPr>
        <w:t>ס</w:t>
      </w:r>
      <w:r w:rsidRPr="002F2BC5">
        <w:rPr>
          <w:rFonts w:hint="cs"/>
          <w:b/>
          <w:bCs/>
          <w:rtl/>
        </w:rPr>
        <w:t>ח'</w:t>
      </w:r>
      <w:r w:rsidRPr="002F2BC5">
        <w:rPr>
          <w:b/>
          <w:bCs/>
          <w:rtl/>
        </w:rPr>
        <w:t>נין</w:t>
      </w:r>
      <w:r w:rsidRPr="002F2BC5">
        <w:rPr>
          <w:rtl/>
        </w:rPr>
        <w:t xml:space="preserve"> ו</w:t>
      </w:r>
      <w:r w:rsidRPr="002F2BC5">
        <w:rPr>
          <w:b/>
          <w:bCs/>
          <w:rtl/>
        </w:rPr>
        <w:t>ראש העין</w:t>
      </w:r>
      <w:r w:rsidRPr="002F2BC5">
        <w:rPr>
          <w:rtl/>
        </w:rPr>
        <w:t xml:space="preserve"> </w:t>
      </w:r>
      <w:r w:rsidRPr="002F2BC5">
        <w:rPr>
          <w:rFonts w:hint="cs"/>
          <w:rtl/>
        </w:rPr>
        <w:t>ועדת ההיגוי</w:t>
      </w:r>
      <w:r w:rsidRPr="002F2BC5">
        <w:rPr>
          <w:rtl/>
        </w:rPr>
        <w:t xml:space="preserve"> לא התכנס</w:t>
      </w:r>
      <w:r w:rsidRPr="002F2BC5">
        <w:rPr>
          <w:rFonts w:hint="cs"/>
          <w:rtl/>
        </w:rPr>
        <w:t>ה כלל מינואר</w:t>
      </w:r>
      <w:r w:rsidRPr="002F2BC5">
        <w:rPr>
          <w:rtl/>
        </w:rPr>
        <w:t xml:space="preserve"> 2019 ועד אוקטובר 2020. במרכז</w:t>
      </w:r>
      <w:r w:rsidRPr="002F2BC5">
        <w:rPr>
          <w:rFonts w:hint="cs"/>
          <w:rtl/>
        </w:rPr>
        <w:t xml:space="preserve">ים </w:t>
      </w:r>
      <w:r w:rsidRPr="002F2BC5">
        <w:rPr>
          <w:rtl/>
        </w:rPr>
        <w:t>ב</w:t>
      </w:r>
      <w:r w:rsidRPr="002F2BC5">
        <w:rPr>
          <w:rFonts w:hint="cs"/>
          <w:rtl/>
        </w:rPr>
        <w:t xml:space="preserve">עיריות </w:t>
      </w:r>
      <w:r w:rsidRPr="002F2BC5">
        <w:rPr>
          <w:b/>
          <w:bCs/>
          <w:rtl/>
        </w:rPr>
        <w:t xml:space="preserve">בני ברק </w:t>
      </w:r>
      <w:r w:rsidRPr="002F2BC5">
        <w:rPr>
          <w:rtl/>
        </w:rPr>
        <w:t>ו</w:t>
      </w:r>
      <w:r w:rsidRPr="002F2BC5">
        <w:rPr>
          <w:b/>
          <w:bCs/>
          <w:rtl/>
        </w:rPr>
        <w:t>רהט</w:t>
      </w:r>
      <w:r w:rsidRPr="002F2BC5">
        <w:rPr>
          <w:rtl/>
        </w:rPr>
        <w:t xml:space="preserve"> ועדת ההיגוי התכנסה</w:t>
      </w:r>
      <w:r w:rsidRPr="002F2BC5">
        <w:rPr>
          <w:rFonts w:hint="cs"/>
          <w:rtl/>
        </w:rPr>
        <w:t>,</w:t>
      </w:r>
      <w:r w:rsidRPr="002F2BC5">
        <w:rPr>
          <w:rtl/>
        </w:rPr>
        <w:t xml:space="preserve"> אולם מפרוטוקולי </w:t>
      </w:r>
      <w:r w:rsidRPr="002F2BC5">
        <w:rPr>
          <w:rFonts w:hint="cs"/>
          <w:rtl/>
        </w:rPr>
        <w:t xml:space="preserve">ישיבות </w:t>
      </w:r>
      <w:r w:rsidRPr="002F2BC5">
        <w:rPr>
          <w:rtl/>
        </w:rPr>
        <w:t xml:space="preserve">הוועדה עלה כי הוועדה לא </w:t>
      </w:r>
      <w:r w:rsidRPr="002F2BC5">
        <w:rPr>
          <w:rFonts w:hint="cs"/>
          <w:rtl/>
        </w:rPr>
        <w:t>דנה</w:t>
      </w:r>
      <w:r w:rsidRPr="002F2BC5">
        <w:rPr>
          <w:rtl/>
        </w:rPr>
        <w:t xml:space="preserve"> </w:t>
      </w:r>
      <w:r w:rsidRPr="002F2BC5">
        <w:rPr>
          <w:rFonts w:hint="cs"/>
          <w:rtl/>
        </w:rPr>
        <w:t>ב</w:t>
      </w:r>
      <w:r w:rsidRPr="002F2BC5">
        <w:rPr>
          <w:rtl/>
        </w:rPr>
        <w:t xml:space="preserve">תוכנית </w:t>
      </w:r>
      <w:r w:rsidRPr="002F2BC5">
        <w:rPr>
          <w:rFonts w:hint="cs"/>
          <w:rtl/>
        </w:rPr>
        <w:t>ה</w:t>
      </w:r>
      <w:r w:rsidRPr="002F2BC5">
        <w:rPr>
          <w:rtl/>
        </w:rPr>
        <w:t>עבודה</w:t>
      </w:r>
      <w:r w:rsidRPr="002F2BC5">
        <w:rPr>
          <w:rFonts w:hint="cs"/>
          <w:rtl/>
        </w:rPr>
        <w:t xml:space="preserve"> השנתית</w:t>
      </w:r>
      <w:r w:rsidRPr="002F2BC5">
        <w:rPr>
          <w:rtl/>
        </w:rPr>
        <w:t xml:space="preserve">. </w:t>
      </w:r>
    </w:p>
    <w:p w14:paraId="1B1BA154" w14:textId="77777777" w:rsidR="00817399" w:rsidRPr="002F2BC5" w:rsidRDefault="00817399" w:rsidP="00817399">
      <w:pPr>
        <w:spacing w:line="269" w:lineRule="auto"/>
        <w:rPr>
          <w:rtl/>
        </w:rPr>
      </w:pPr>
    </w:p>
    <w:p w14:paraId="0E08E2B8"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w:t>
      </w:r>
      <w:r w:rsidRPr="002F2BC5">
        <w:rPr>
          <w:rtl/>
        </w:rPr>
        <w:t xml:space="preserve">כי כלל המרכזים </w:t>
      </w:r>
      <w:r w:rsidRPr="002F2BC5">
        <w:rPr>
          <w:rFonts w:hint="eastAsia"/>
          <w:rtl/>
        </w:rPr>
        <w:t>לטיפול</w:t>
      </w:r>
      <w:r w:rsidRPr="002F2BC5">
        <w:rPr>
          <w:rtl/>
        </w:rPr>
        <w:t xml:space="preserve"> </w:t>
      </w:r>
      <w:r w:rsidRPr="002F2BC5">
        <w:rPr>
          <w:rFonts w:hint="eastAsia"/>
          <w:rtl/>
        </w:rPr>
        <w:t>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Fonts w:hint="cs"/>
          <w:rtl/>
        </w:rPr>
        <w:t xml:space="preserve"> </w:t>
      </w:r>
      <w:r w:rsidRPr="002F2BC5">
        <w:rPr>
          <w:rFonts w:hint="eastAsia"/>
          <w:rtl/>
        </w:rPr>
        <w:t>יפעלו</w:t>
      </w:r>
      <w:r w:rsidRPr="002F2BC5">
        <w:rPr>
          <w:rtl/>
        </w:rPr>
        <w:t xml:space="preserve"> </w:t>
      </w:r>
      <w:r w:rsidRPr="002F2BC5">
        <w:rPr>
          <w:rFonts w:hint="eastAsia"/>
          <w:rtl/>
        </w:rPr>
        <w:t>לכנס</w:t>
      </w:r>
      <w:r w:rsidRPr="002F2BC5">
        <w:rPr>
          <w:rtl/>
        </w:rPr>
        <w:t xml:space="preserve"> </w:t>
      </w:r>
      <w:r w:rsidRPr="002F2BC5">
        <w:rPr>
          <w:rFonts w:hint="eastAsia"/>
          <w:rtl/>
        </w:rPr>
        <w:t>את</w:t>
      </w:r>
      <w:r w:rsidRPr="002F2BC5">
        <w:rPr>
          <w:rtl/>
        </w:rPr>
        <w:t xml:space="preserve"> </w:t>
      </w:r>
      <w:r w:rsidRPr="002F2BC5">
        <w:rPr>
          <w:rFonts w:hint="eastAsia"/>
          <w:rtl/>
        </w:rPr>
        <w:t>ועדות</w:t>
      </w:r>
      <w:r w:rsidRPr="002F2BC5">
        <w:rPr>
          <w:rtl/>
        </w:rPr>
        <w:t xml:space="preserve"> </w:t>
      </w:r>
      <w:r w:rsidRPr="002F2BC5">
        <w:rPr>
          <w:rFonts w:hint="eastAsia"/>
          <w:rtl/>
        </w:rPr>
        <w:t>ההיגוי</w:t>
      </w:r>
      <w:r w:rsidRPr="002F2BC5">
        <w:rPr>
          <w:rtl/>
        </w:rPr>
        <w:t xml:space="preserve"> פעמיים בשנה כנדרש</w:t>
      </w:r>
      <w:r w:rsidRPr="002F2BC5">
        <w:rPr>
          <w:rFonts w:hint="cs"/>
          <w:rtl/>
        </w:rPr>
        <w:t>,</w:t>
      </w:r>
      <w:r w:rsidRPr="002F2BC5">
        <w:rPr>
          <w:rtl/>
        </w:rPr>
        <w:t xml:space="preserve"> וכי ועדות ההיגוי </w:t>
      </w:r>
      <w:r w:rsidRPr="002F2BC5">
        <w:rPr>
          <w:rFonts w:hint="cs"/>
          <w:rtl/>
        </w:rPr>
        <w:t>ידונו</w:t>
      </w:r>
      <w:r w:rsidRPr="002F2BC5">
        <w:rPr>
          <w:rtl/>
        </w:rPr>
        <w:t xml:space="preserve"> </w:t>
      </w:r>
      <w:r w:rsidRPr="002F2BC5">
        <w:rPr>
          <w:rFonts w:hint="cs"/>
          <w:rtl/>
        </w:rPr>
        <w:t>ב</w:t>
      </w:r>
      <w:r w:rsidRPr="002F2BC5">
        <w:rPr>
          <w:rFonts w:hint="eastAsia"/>
          <w:rtl/>
        </w:rPr>
        <w:t>ת</w:t>
      </w:r>
      <w:r w:rsidRPr="002F2BC5">
        <w:rPr>
          <w:rFonts w:hint="cs"/>
          <w:rtl/>
        </w:rPr>
        <w:t>ו</w:t>
      </w:r>
      <w:r w:rsidRPr="002F2BC5">
        <w:rPr>
          <w:rFonts w:hint="eastAsia"/>
          <w:rtl/>
        </w:rPr>
        <w:t>כניות</w:t>
      </w:r>
      <w:r w:rsidRPr="002F2BC5">
        <w:rPr>
          <w:rtl/>
        </w:rPr>
        <w:t xml:space="preserve"> </w:t>
      </w:r>
      <w:r w:rsidRPr="002F2BC5">
        <w:rPr>
          <w:rFonts w:hint="cs"/>
          <w:rtl/>
        </w:rPr>
        <w:t>ה</w:t>
      </w:r>
      <w:r w:rsidRPr="002F2BC5">
        <w:rPr>
          <w:rFonts w:hint="eastAsia"/>
          <w:rtl/>
        </w:rPr>
        <w:t>עבודה</w:t>
      </w:r>
      <w:r w:rsidRPr="002F2BC5">
        <w:rPr>
          <w:rtl/>
        </w:rPr>
        <w:t xml:space="preserve"> </w:t>
      </w:r>
      <w:r w:rsidRPr="002F2BC5">
        <w:rPr>
          <w:rFonts w:hint="cs"/>
          <w:rtl/>
        </w:rPr>
        <w:t>ה</w:t>
      </w:r>
      <w:r w:rsidRPr="002F2BC5">
        <w:rPr>
          <w:rtl/>
        </w:rPr>
        <w:t xml:space="preserve">שנתיות </w:t>
      </w:r>
      <w:r w:rsidRPr="002F2BC5">
        <w:rPr>
          <w:rFonts w:hint="cs"/>
          <w:rtl/>
        </w:rPr>
        <w:t>וינהלו מעקב</w:t>
      </w:r>
      <w:r w:rsidRPr="002F2BC5">
        <w:rPr>
          <w:rtl/>
        </w:rPr>
        <w:t xml:space="preserve"> אחר י</w:t>
      </w:r>
      <w:r w:rsidRPr="002F2BC5">
        <w:rPr>
          <w:rFonts w:hint="cs"/>
          <w:rtl/>
        </w:rPr>
        <w:t>י</w:t>
      </w:r>
      <w:r w:rsidRPr="002F2BC5">
        <w:rPr>
          <w:rtl/>
        </w:rPr>
        <w:t xml:space="preserve">שומן. </w:t>
      </w:r>
    </w:p>
    <w:p w14:paraId="05EE6019" w14:textId="77777777" w:rsidR="00817399" w:rsidRPr="002F2BC5" w:rsidRDefault="00817399" w:rsidP="00817399">
      <w:pPr>
        <w:spacing w:line="269" w:lineRule="auto"/>
        <w:rPr>
          <w:rtl/>
        </w:rPr>
      </w:pPr>
    </w:p>
    <w:p w14:paraId="24E95BDA"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יפעל להדגשת ההנחיות בהוראות התע"ס בקרב המפקחים המחוזיים ובקרב המרכזים בכל הנוגע לקיום ועדות ההיגוי כסדרן.</w:t>
      </w:r>
    </w:p>
    <w:p w14:paraId="27757996" w14:textId="77777777" w:rsidR="00817399" w:rsidRPr="002F2BC5" w:rsidRDefault="00817399" w:rsidP="00817399">
      <w:pPr>
        <w:spacing w:line="269" w:lineRule="auto"/>
        <w:rPr>
          <w:rtl/>
        </w:rPr>
      </w:pPr>
    </w:p>
    <w:p w14:paraId="60C63C97"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בני</w:t>
      </w:r>
      <w:r w:rsidRPr="002F2BC5">
        <w:rPr>
          <w:b/>
          <w:bCs/>
          <w:rtl/>
        </w:rPr>
        <w:t xml:space="preserve"> ברק</w:t>
      </w:r>
      <w:r w:rsidRPr="002F2BC5">
        <w:rPr>
          <w:rtl/>
        </w:rPr>
        <w:t xml:space="preserve"> </w:t>
      </w:r>
      <w:r w:rsidRPr="002F2BC5">
        <w:rPr>
          <w:rFonts w:hint="cs"/>
          <w:rtl/>
        </w:rPr>
        <w:t xml:space="preserve">מסרה בתשובתה מפברואר 2021 כי המלצות משרד מבקר המדינה בעניין תדירות התכנסות הוועדה וקביעת תוכנית עבודה ומעקב אחריה יופנמו לקראת כינוסה בפעם הבאה. עיריית </w:t>
      </w:r>
      <w:r w:rsidRPr="002F2BC5">
        <w:rPr>
          <w:rFonts w:hint="eastAsia"/>
          <w:b/>
          <w:bCs/>
          <w:rtl/>
        </w:rPr>
        <w:t>דימונה</w:t>
      </w:r>
      <w:r w:rsidRPr="002F2BC5">
        <w:rPr>
          <w:b/>
          <w:bCs/>
          <w:rtl/>
        </w:rPr>
        <w:t xml:space="preserve"> </w:t>
      </w:r>
      <w:r w:rsidRPr="002F2BC5">
        <w:rPr>
          <w:rFonts w:hint="cs"/>
          <w:rtl/>
        </w:rPr>
        <w:t xml:space="preserve">מסרה בתשובתה מפברואר 2021 כי ועדת ההיגוי התכנסה בסוף שנת 2020 </w:t>
      </w:r>
      <w:r w:rsidRPr="002F2BC5">
        <w:rPr>
          <w:rtl/>
        </w:rPr>
        <w:t>והיא תפעל לכינוס הוועדה בשנת 2021</w:t>
      </w:r>
      <w:r w:rsidRPr="002F2BC5">
        <w:rPr>
          <w:rFonts w:hint="cs"/>
          <w:rtl/>
        </w:rPr>
        <w:t>, וכמותה גם</w:t>
      </w:r>
      <w:r w:rsidRPr="002F2BC5">
        <w:rPr>
          <w:rtl/>
        </w:rPr>
        <w:t xml:space="preserve"> עיריית </w:t>
      </w:r>
      <w:r w:rsidRPr="002F2BC5">
        <w:rPr>
          <w:b/>
          <w:bCs/>
          <w:rtl/>
        </w:rPr>
        <w:t>חדרה</w:t>
      </w:r>
      <w:r w:rsidRPr="002F2BC5">
        <w:rPr>
          <w:rtl/>
        </w:rPr>
        <w:t>,</w:t>
      </w:r>
      <w:r w:rsidRPr="002F2BC5">
        <w:rPr>
          <w:rFonts w:hint="cs"/>
          <w:b/>
          <w:bCs/>
          <w:rtl/>
        </w:rPr>
        <w:t xml:space="preserve"> </w:t>
      </w:r>
      <w:r w:rsidRPr="002F2BC5">
        <w:rPr>
          <w:rFonts w:hint="cs"/>
          <w:rtl/>
        </w:rPr>
        <w:t>כפי שמסרה בתשובתה מינואר 2021.</w:t>
      </w:r>
      <w:r w:rsidRPr="002F2BC5">
        <w:rPr>
          <w:rtl/>
        </w:rPr>
        <w:t xml:space="preserve"> </w:t>
      </w:r>
      <w:r w:rsidRPr="002F2BC5">
        <w:rPr>
          <w:rFonts w:hint="cs"/>
          <w:rtl/>
        </w:rPr>
        <w:t xml:space="preserve">עיריית </w:t>
      </w:r>
      <w:r w:rsidRPr="002F2BC5">
        <w:rPr>
          <w:rFonts w:hint="eastAsia"/>
          <w:b/>
          <w:bCs/>
          <w:rtl/>
        </w:rPr>
        <w:t>רהט</w:t>
      </w:r>
      <w:r w:rsidRPr="002F2BC5">
        <w:rPr>
          <w:rFonts w:hint="cs"/>
          <w:rtl/>
        </w:rPr>
        <w:t xml:space="preserve"> מסרה בתשובתה מפברואר 2021 כי הוכנה תוכנית עבודה שנתית מפורטת לפעילות המרכז לשנת 2021. עיריית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מסרה בתשובתה מפברואר 2021 כי בשל עומס עבודה נוכח מגפת הקורונה, לא התכנסה ועדת ההיגוי בשנת 2020.</w:t>
      </w:r>
    </w:p>
    <w:p w14:paraId="300F698A" w14:textId="77777777" w:rsidR="00817399" w:rsidRPr="002F2BC5" w:rsidRDefault="00817399" w:rsidP="00817399">
      <w:pPr>
        <w:spacing w:line="269" w:lineRule="auto"/>
        <w:rPr>
          <w:rtl/>
        </w:rPr>
      </w:pPr>
    </w:p>
    <w:p w14:paraId="5A509033" w14:textId="77777777" w:rsidR="00817399" w:rsidRPr="002F2BC5" w:rsidRDefault="00817399" w:rsidP="00817399">
      <w:pPr>
        <w:spacing w:line="269" w:lineRule="auto"/>
        <w:rPr>
          <w:rtl/>
        </w:rPr>
      </w:pPr>
      <w:bookmarkStart w:id="1454" w:name="_Toc191987072"/>
      <w:r w:rsidRPr="002F2BC5">
        <w:rPr>
          <w:rStyle w:val="70"/>
          <w:rFonts w:hint="cs"/>
          <w:rtl/>
        </w:rPr>
        <w:t>ביקורת המעקב:</w:t>
      </w:r>
      <w:bookmarkEnd w:id="1454"/>
      <w:r w:rsidRPr="002F2BC5">
        <w:rPr>
          <w:rStyle w:val="70"/>
          <w:rFonts w:hint="cs"/>
          <w:rtl/>
        </w:rPr>
        <w:t xml:space="preserve"> </w:t>
      </w:r>
      <w:r w:rsidRPr="002F2BC5">
        <w:rPr>
          <w:rFonts w:hint="cs"/>
          <w:rtl/>
        </w:rPr>
        <w:t xml:space="preserve">נמצא כי בשנת 2023 התכנסה ועדת ההיגוי פעם אחת בלבד במרכזים לטיפול ומניעת אלימות במשפחה בעיריות </w:t>
      </w:r>
      <w:r w:rsidRPr="002F2BC5">
        <w:rPr>
          <w:rFonts w:hint="eastAsia"/>
          <w:b/>
          <w:bCs/>
          <w:rtl/>
        </w:rPr>
        <w:t>בני</w:t>
      </w:r>
      <w:r w:rsidRPr="002F2BC5">
        <w:rPr>
          <w:b/>
          <w:bCs/>
          <w:rtl/>
        </w:rPr>
        <w:t xml:space="preserve"> </w:t>
      </w:r>
      <w:r w:rsidRPr="002F2BC5">
        <w:rPr>
          <w:rFonts w:hint="eastAsia"/>
          <w:b/>
          <w:bCs/>
          <w:rtl/>
        </w:rPr>
        <w:t>ברק</w:t>
      </w:r>
      <w:r w:rsidRPr="002F2BC5">
        <w:rPr>
          <w:rFonts w:hint="cs"/>
          <w:rtl/>
        </w:rPr>
        <w:t xml:space="preserve">, </w:t>
      </w:r>
      <w:r w:rsidRPr="002F2BC5">
        <w:rPr>
          <w:rFonts w:hint="cs"/>
          <w:b/>
          <w:bCs/>
          <w:rtl/>
        </w:rPr>
        <w:t>דימונה</w:t>
      </w:r>
      <w:r w:rsidRPr="002F2BC5">
        <w:rPr>
          <w:rtl/>
        </w:rPr>
        <w:t>,</w:t>
      </w:r>
      <w:r w:rsidRPr="002F2BC5">
        <w:rPr>
          <w:rFonts w:hint="cs"/>
          <w:b/>
          <w:bCs/>
          <w:rtl/>
        </w:rPr>
        <w:t xml:space="preserve"> יבנה, סח'נין</w:t>
      </w:r>
      <w:r w:rsidRPr="002F2BC5">
        <w:rPr>
          <w:rFonts w:hint="cs"/>
          <w:rtl/>
        </w:rPr>
        <w:t xml:space="preserve"> ו</w:t>
      </w:r>
      <w:r w:rsidRPr="002F2BC5">
        <w:rPr>
          <w:rFonts w:hint="cs"/>
          <w:b/>
          <w:bCs/>
          <w:rtl/>
        </w:rPr>
        <w:t>רהט</w:t>
      </w:r>
      <w:r w:rsidRPr="002F2BC5">
        <w:rPr>
          <w:rFonts w:hint="cs"/>
          <w:rtl/>
        </w:rPr>
        <w:t xml:space="preserve"> ובמועצה האזורית </w:t>
      </w:r>
      <w:r w:rsidRPr="002F2BC5">
        <w:rPr>
          <w:rFonts w:hint="cs"/>
          <w:b/>
          <w:bCs/>
          <w:rtl/>
        </w:rPr>
        <w:t>דרום השרון</w:t>
      </w:r>
      <w:r w:rsidRPr="002F2BC5">
        <w:rPr>
          <w:rFonts w:hint="cs"/>
          <w:rtl/>
        </w:rPr>
        <w:t xml:space="preserve">. במרכזים ביתר הרשויות המקומיות שנבדקו ועדת ההיגוי לא התכנסה כלל בשנה זו. בשנת </w:t>
      </w:r>
      <w:r w:rsidRPr="002F2BC5">
        <w:rPr>
          <w:rtl/>
        </w:rPr>
        <w:t xml:space="preserve">2024 </w:t>
      </w:r>
      <w:r w:rsidRPr="002F2BC5">
        <w:rPr>
          <w:rFonts w:hint="eastAsia"/>
          <w:rtl/>
        </w:rPr>
        <w:t>ועדת</w:t>
      </w:r>
      <w:r w:rsidRPr="002F2BC5">
        <w:rPr>
          <w:rtl/>
        </w:rPr>
        <w:t xml:space="preserve"> </w:t>
      </w:r>
      <w:r w:rsidRPr="002F2BC5">
        <w:rPr>
          <w:rFonts w:hint="eastAsia"/>
          <w:rtl/>
        </w:rPr>
        <w:t>ההיגוי</w:t>
      </w:r>
      <w:r w:rsidRPr="002F2BC5">
        <w:rPr>
          <w:rtl/>
        </w:rPr>
        <w:t xml:space="preserve"> </w:t>
      </w:r>
      <w:r w:rsidRPr="002F2BC5">
        <w:rPr>
          <w:rFonts w:hint="eastAsia"/>
          <w:rtl/>
        </w:rPr>
        <w:t>התכנסה</w:t>
      </w:r>
      <w:r w:rsidRPr="002F2BC5">
        <w:rPr>
          <w:rtl/>
        </w:rPr>
        <w:t xml:space="preserve"> </w:t>
      </w:r>
      <w:r w:rsidRPr="002F2BC5">
        <w:rPr>
          <w:rFonts w:hint="eastAsia"/>
          <w:rtl/>
        </w:rPr>
        <w:t>פעם</w:t>
      </w:r>
      <w:r w:rsidRPr="002F2BC5">
        <w:rPr>
          <w:rtl/>
        </w:rPr>
        <w:t xml:space="preserve"> </w:t>
      </w:r>
      <w:r w:rsidRPr="002F2BC5">
        <w:rPr>
          <w:rFonts w:hint="eastAsia"/>
          <w:rtl/>
        </w:rPr>
        <w:t>אחת</w:t>
      </w:r>
      <w:r w:rsidRPr="002F2BC5">
        <w:rPr>
          <w:rtl/>
        </w:rPr>
        <w:t xml:space="preserve"> </w:t>
      </w:r>
      <w:r w:rsidRPr="002F2BC5">
        <w:rPr>
          <w:rFonts w:hint="eastAsia"/>
          <w:rtl/>
        </w:rPr>
        <w:t>במרכזים</w:t>
      </w:r>
      <w:r w:rsidRPr="002F2BC5">
        <w:rPr>
          <w:rtl/>
        </w:rPr>
        <w:t xml:space="preserve"> לטיפול ומניעת אלימות במשפחה </w:t>
      </w:r>
      <w:r w:rsidRPr="002F2BC5">
        <w:rPr>
          <w:rFonts w:hint="eastAsia"/>
          <w:rtl/>
        </w:rPr>
        <w:t>בעיריות</w:t>
      </w:r>
      <w:r w:rsidRPr="002F2BC5">
        <w:rPr>
          <w:rtl/>
        </w:rPr>
        <w:t xml:space="preserve"> </w:t>
      </w:r>
      <w:r w:rsidRPr="002F2BC5">
        <w:rPr>
          <w:rFonts w:hint="eastAsia"/>
          <w:b/>
          <w:bCs/>
          <w:rtl/>
        </w:rPr>
        <w:t>בית</w:t>
      </w:r>
      <w:r w:rsidRPr="002F2BC5">
        <w:rPr>
          <w:b/>
          <w:bCs/>
          <w:rtl/>
        </w:rPr>
        <w:t xml:space="preserve"> </w:t>
      </w:r>
      <w:r w:rsidRPr="002F2BC5">
        <w:rPr>
          <w:rFonts w:hint="eastAsia"/>
          <w:b/>
          <w:bCs/>
          <w:rtl/>
        </w:rPr>
        <w:t>שמש</w:t>
      </w:r>
      <w:r w:rsidRPr="002F2BC5">
        <w:rPr>
          <w:rtl/>
        </w:rPr>
        <w:t>,</w:t>
      </w:r>
      <w:r w:rsidRPr="002F2BC5">
        <w:rPr>
          <w:rFonts w:hint="cs"/>
          <w:rtl/>
        </w:rPr>
        <w:t xml:space="preserve"> </w:t>
      </w:r>
      <w:r w:rsidRPr="002F2BC5">
        <w:rPr>
          <w:rFonts w:hint="eastAsia"/>
          <w:b/>
          <w:bCs/>
          <w:rtl/>
        </w:rPr>
        <w:t>דימונה</w:t>
      </w:r>
      <w:r w:rsidRPr="002F2BC5">
        <w:rPr>
          <w:rFonts w:hint="cs"/>
          <w:rtl/>
        </w:rPr>
        <w:t>,</w:t>
      </w:r>
      <w:r w:rsidRPr="002F2BC5">
        <w:rPr>
          <w:rFonts w:hint="cs"/>
          <w:b/>
          <w:bCs/>
          <w:rtl/>
        </w:rPr>
        <w:t xml:space="preserve"> </w:t>
      </w:r>
      <w:r w:rsidRPr="002F2BC5">
        <w:rPr>
          <w:rFonts w:hint="eastAsia"/>
          <w:b/>
          <w:bCs/>
          <w:rtl/>
        </w:rPr>
        <w:t>חדרה</w:t>
      </w:r>
      <w:r w:rsidRPr="002F2BC5">
        <w:rPr>
          <w:rFonts w:hint="cs"/>
          <w:rtl/>
        </w:rPr>
        <w:t xml:space="preserve">, </w:t>
      </w:r>
      <w:r w:rsidRPr="002F2BC5">
        <w:rPr>
          <w:rFonts w:hint="eastAsia"/>
          <w:b/>
          <w:bCs/>
          <w:rtl/>
        </w:rPr>
        <w:t>יבנה</w:t>
      </w:r>
      <w:r w:rsidRPr="002F2BC5">
        <w:rPr>
          <w:rtl/>
        </w:rPr>
        <w:t xml:space="preserve"> </w:t>
      </w:r>
      <w:r w:rsidRPr="002F2BC5">
        <w:rPr>
          <w:rFonts w:hint="cs"/>
          <w:rtl/>
        </w:rPr>
        <w:t>ו</w:t>
      </w:r>
      <w:r w:rsidRPr="002F2BC5">
        <w:rPr>
          <w:rFonts w:hint="eastAsia"/>
          <w:b/>
          <w:bCs/>
          <w:rtl/>
        </w:rPr>
        <w:t>רהט</w:t>
      </w:r>
      <w:r w:rsidRPr="002F2BC5">
        <w:rPr>
          <w:rFonts w:hint="cs"/>
          <w:rtl/>
        </w:rPr>
        <w:t xml:space="preserve"> </w:t>
      </w:r>
      <w:r w:rsidRPr="002F2BC5">
        <w:rPr>
          <w:rtl/>
        </w:rPr>
        <w:t xml:space="preserve">ובמועצה האזורית </w:t>
      </w:r>
      <w:r w:rsidRPr="002F2BC5">
        <w:rPr>
          <w:rFonts w:hint="eastAsia"/>
          <w:b/>
          <w:bCs/>
          <w:rtl/>
        </w:rPr>
        <w:t>דרום</w:t>
      </w:r>
      <w:r w:rsidRPr="002F2BC5">
        <w:rPr>
          <w:b/>
          <w:bCs/>
          <w:rtl/>
        </w:rPr>
        <w:t xml:space="preserve"> </w:t>
      </w:r>
      <w:r w:rsidRPr="002F2BC5">
        <w:rPr>
          <w:rFonts w:hint="eastAsia"/>
          <w:b/>
          <w:bCs/>
          <w:rtl/>
        </w:rPr>
        <w:t>השרון</w:t>
      </w:r>
      <w:r w:rsidRPr="002F2BC5">
        <w:rPr>
          <w:rtl/>
        </w:rPr>
        <w:t xml:space="preserve">, ואילו ביתר המרכזים ברשויות המקומיות שנבדקו לא התכנסה ועדת ההיגוי </w:t>
      </w:r>
      <w:r w:rsidRPr="002F2BC5">
        <w:rPr>
          <w:rFonts w:hint="cs"/>
          <w:rtl/>
        </w:rPr>
        <w:t>אפילו</w:t>
      </w:r>
      <w:r w:rsidRPr="002F2BC5">
        <w:rPr>
          <w:rtl/>
        </w:rPr>
        <w:t xml:space="preserve"> </w:t>
      </w:r>
      <w:r w:rsidRPr="002F2BC5">
        <w:rPr>
          <w:rFonts w:hint="eastAsia"/>
          <w:rtl/>
        </w:rPr>
        <w:t>פעם</w:t>
      </w:r>
      <w:r w:rsidRPr="002F2BC5">
        <w:rPr>
          <w:rtl/>
        </w:rPr>
        <w:t xml:space="preserve"> </w:t>
      </w:r>
      <w:r w:rsidRPr="002F2BC5">
        <w:rPr>
          <w:rFonts w:hint="eastAsia"/>
          <w:rtl/>
        </w:rPr>
        <w:t>אחת</w:t>
      </w:r>
      <w:r w:rsidRPr="002F2BC5">
        <w:rPr>
          <w:rtl/>
        </w:rPr>
        <w:t>.</w:t>
      </w:r>
      <w:r w:rsidRPr="002F2BC5">
        <w:rPr>
          <w:rFonts w:hint="cs"/>
          <w:rtl/>
        </w:rPr>
        <w:t xml:space="preserve"> בעיריית </w:t>
      </w:r>
      <w:r w:rsidRPr="002F2BC5">
        <w:rPr>
          <w:rFonts w:hint="eastAsia"/>
          <w:b/>
          <w:bCs/>
          <w:rtl/>
        </w:rPr>
        <w:t>ראש</w:t>
      </w:r>
      <w:r w:rsidRPr="002F2BC5">
        <w:rPr>
          <w:b/>
          <w:bCs/>
          <w:rtl/>
        </w:rPr>
        <w:t xml:space="preserve"> </w:t>
      </w:r>
      <w:r w:rsidRPr="002F2BC5">
        <w:rPr>
          <w:rFonts w:hint="eastAsia"/>
          <w:b/>
          <w:bCs/>
          <w:rtl/>
        </w:rPr>
        <w:t>העין</w:t>
      </w:r>
      <w:r w:rsidRPr="002F2BC5">
        <w:rPr>
          <w:rFonts w:hint="cs"/>
          <w:rtl/>
        </w:rPr>
        <w:t xml:space="preserve"> הדיונים אינם מתקיימים במסגרת ועדת ההיגוי כפי שנדרש לפי הוראות התע"ס אלא </w:t>
      </w:r>
      <w:r w:rsidRPr="002F2BC5">
        <w:rPr>
          <w:rFonts w:hint="cs"/>
          <w:rtl/>
        </w:rPr>
        <w:lastRenderedPageBreak/>
        <w:t xml:space="preserve">במסגרת הוועדה הרשותית למיגור אלימות, בה חברים נבחרי ציבור לצד הדרג המקצועי ברשות המקומית. עוד הועלה כי בעיריית </w:t>
      </w:r>
      <w:r w:rsidRPr="002F2BC5">
        <w:rPr>
          <w:rFonts w:hint="cs"/>
          <w:b/>
          <w:bCs/>
          <w:rtl/>
        </w:rPr>
        <w:t>קריית</w:t>
      </w:r>
      <w:r w:rsidRPr="002F2BC5">
        <w:rPr>
          <w:rFonts w:hint="cs"/>
          <w:rtl/>
        </w:rPr>
        <w:t xml:space="preserve"> </w:t>
      </w:r>
      <w:r w:rsidRPr="002F2BC5">
        <w:rPr>
          <w:rFonts w:hint="cs"/>
          <w:b/>
          <w:bCs/>
          <w:rtl/>
        </w:rPr>
        <w:t>מלאכי</w:t>
      </w:r>
      <w:r w:rsidRPr="002F2BC5">
        <w:rPr>
          <w:rFonts w:hint="cs"/>
          <w:rtl/>
        </w:rPr>
        <w:t xml:space="preserve">, במועצה המקומית </w:t>
      </w:r>
      <w:r w:rsidRPr="002F2BC5">
        <w:rPr>
          <w:rFonts w:hint="cs"/>
          <w:b/>
          <w:bCs/>
          <w:rtl/>
        </w:rPr>
        <w:t>קדימה-צורן</w:t>
      </w:r>
      <w:r w:rsidRPr="002F2BC5">
        <w:rPr>
          <w:rFonts w:hint="cs"/>
          <w:rtl/>
        </w:rPr>
        <w:t xml:space="preserve"> ובמועצה האזורית </w:t>
      </w:r>
      <w:r w:rsidRPr="002F2BC5">
        <w:rPr>
          <w:rFonts w:hint="cs"/>
          <w:b/>
          <w:bCs/>
          <w:rtl/>
        </w:rPr>
        <w:t>מטה יהודה</w:t>
      </w:r>
      <w:r w:rsidRPr="002F2BC5">
        <w:rPr>
          <w:rFonts w:hint="cs"/>
          <w:rtl/>
        </w:rPr>
        <w:t xml:space="preserve"> לא הוקמה כלל, ומכאן שלא פעלה ועדת היגוי בשנים 2023 - 2024.</w:t>
      </w:r>
    </w:p>
    <w:p w14:paraId="5FB8CFCA" w14:textId="77777777" w:rsidR="00817399" w:rsidRPr="002F2BC5" w:rsidRDefault="00817399" w:rsidP="00817399">
      <w:pPr>
        <w:spacing w:line="269" w:lineRule="auto"/>
        <w:rPr>
          <w:rtl/>
        </w:rPr>
      </w:pPr>
    </w:p>
    <w:p w14:paraId="50085B5D" w14:textId="7D2FCADF" w:rsidR="00817399" w:rsidRPr="002F2BC5" w:rsidRDefault="00817399" w:rsidP="00817399">
      <w:pPr>
        <w:spacing w:line="269" w:lineRule="auto"/>
        <w:rPr>
          <w:rtl/>
        </w:rPr>
      </w:pPr>
      <w:r w:rsidRPr="002F2BC5">
        <w:rPr>
          <w:rFonts w:hint="cs"/>
          <w:rtl/>
        </w:rPr>
        <w:t>ריכוז המידע שנאסף בנוגע להקמתה של ועדת ההיגוי, תדירות התכנסותה ואישור תוכנית עבודה שנתית על ידי ועדת ההיגוי ברשויות המקומיות שנבדקו מובא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Ref185850326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13</w:t>
      </w:r>
      <w:r w:rsidRPr="002F2BC5">
        <w:rPr>
          <w:rtl/>
        </w:rPr>
        <w:fldChar w:fldCharType="end"/>
      </w:r>
      <w:r w:rsidRPr="002F2BC5">
        <w:rPr>
          <w:rFonts w:hint="cs"/>
          <w:rtl/>
        </w:rPr>
        <w:t xml:space="preserve"> שלהלן.</w:t>
      </w:r>
    </w:p>
    <w:p w14:paraId="6BA5D699" w14:textId="77777777" w:rsidR="00817399" w:rsidRPr="002F2BC5" w:rsidRDefault="00817399" w:rsidP="00817399">
      <w:pPr>
        <w:spacing w:line="269" w:lineRule="auto"/>
        <w:rPr>
          <w:rtl/>
        </w:rPr>
      </w:pPr>
    </w:p>
    <w:p w14:paraId="5426A74A" w14:textId="77777777" w:rsidR="00817399" w:rsidRPr="002F2BC5" w:rsidRDefault="00817399" w:rsidP="00817399">
      <w:pPr>
        <w:pStyle w:val="a0"/>
        <w:spacing w:line="269" w:lineRule="auto"/>
        <w:rPr>
          <w:rtl/>
        </w:rPr>
      </w:pPr>
      <w:bookmarkStart w:id="1455" w:name="_Ref185850326"/>
      <w:bookmarkStart w:id="1456" w:name="_Toc192674058"/>
      <w:r w:rsidRPr="002F2BC5">
        <w:rPr>
          <w:rFonts w:hint="cs"/>
          <w:b w:val="0"/>
          <w:bCs w:val="0"/>
          <w:rtl/>
        </w:rPr>
        <w:t>:</w:t>
      </w:r>
      <w:r w:rsidRPr="002F2BC5">
        <w:rPr>
          <w:rFonts w:hint="cs"/>
          <w:rtl/>
        </w:rPr>
        <w:t xml:space="preserve"> הקמתה של ועדת ההיגוי, תדירות התכנסותה וקיומה של תוכנית עבודה שנתית ברשויות שנבדקו, ממצאי הביקורת הקודמת וביקורת המעקב</w:t>
      </w:r>
      <w:bookmarkEnd w:id="1455"/>
      <w:bookmarkEnd w:id="1456"/>
    </w:p>
    <w:p w14:paraId="69EC9786" w14:textId="77777777" w:rsidR="00817399" w:rsidRPr="002F2BC5" w:rsidRDefault="00817399" w:rsidP="00817399">
      <w:pPr>
        <w:pStyle w:val="afffffff4"/>
        <w:bidi/>
        <w:spacing w:before="0" w:after="0" w:line="269" w:lineRule="auto"/>
      </w:pPr>
      <w:r w:rsidRPr="002F2BC5">
        <w:rPr>
          <w:noProof/>
        </w:rPr>
        <w:t xml:space="preserve"> </w:t>
      </w:r>
      <w:r w:rsidRPr="002F2BC5">
        <w:rPr>
          <w:noProof/>
        </w:rPr>
        <w:drawing>
          <wp:inline distT="0" distB="0" distL="0" distR="0" wp14:anchorId="6862E2E5" wp14:editId="34A74CE6">
            <wp:extent cx="4320000" cy="2938504"/>
            <wp:effectExtent l="0" t="0" r="4445" b="0"/>
            <wp:docPr id="2052770988" name="תמונה 205277098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20000" cy="2938504"/>
                    </a:xfrm>
                    <a:prstGeom prst="rect">
                      <a:avLst/>
                    </a:prstGeom>
                  </pic:spPr>
                </pic:pic>
              </a:graphicData>
            </a:graphic>
          </wp:inline>
        </w:drawing>
      </w:r>
      <w:r w:rsidRPr="002F2BC5">
        <w:rPr>
          <w:noProof/>
        </w:rPr>
        <w:t xml:space="preserve"> </w:t>
      </w:r>
    </w:p>
    <w:p w14:paraId="347DE11F" w14:textId="77777777" w:rsidR="00817399" w:rsidRPr="002F2BC5" w:rsidRDefault="00817399" w:rsidP="00817399">
      <w:pPr>
        <w:pStyle w:val="afffffff1"/>
        <w:bidi/>
        <w:spacing w:line="269" w:lineRule="auto"/>
        <w:rPr>
          <w:rtl/>
        </w:rPr>
      </w:pPr>
      <w:r w:rsidRPr="002F2BC5">
        <w:rPr>
          <w:rFonts w:hint="cs"/>
          <w:rtl/>
        </w:rPr>
        <w:t>לפי דיווחי הרשויות המקומיות במהלך הביקורת הקודמת ובמהלך ביקורת המעקב ולפי הדיווחים שהרשויות המקומיות העבירו למשרד הרווחה על פעילות המרכזים לשנת 2023, בעיבוד משרד מבקר המדינה.</w:t>
      </w:r>
    </w:p>
    <w:p w14:paraId="5C323C40" w14:textId="77777777" w:rsidR="00817399" w:rsidRPr="002F2BC5" w:rsidRDefault="00817399" w:rsidP="00817399">
      <w:pPr>
        <w:pStyle w:val="afffffff1"/>
        <w:bidi/>
        <w:spacing w:line="269" w:lineRule="auto"/>
      </w:pPr>
      <w:r w:rsidRPr="002F2BC5">
        <w:rPr>
          <w:rFonts w:hint="cs"/>
          <w:rtl/>
        </w:rPr>
        <w:t>* התכנסות הוועדה בביקורת הקודמת מתייחסת לתקופה שמינואר 2019 ועד אוקטובר 2020, והיא אינה מתייחסת לתדירות ההתכנסות אלא רק לעצם ההתכנסות.</w:t>
      </w:r>
    </w:p>
    <w:p w14:paraId="0E3E42DD" w14:textId="77777777" w:rsidR="00817399" w:rsidRPr="002F2BC5" w:rsidRDefault="00817399" w:rsidP="00817399">
      <w:pPr>
        <w:pStyle w:val="afffffff1"/>
        <w:bidi/>
        <w:spacing w:line="269" w:lineRule="auto"/>
        <w:rPr>
          <w:rtl/>
        </w:rPr>
      </w:pPr>
      <w:r w:rsidRPr="002F2BC5">
        <w:rPr>
          <w:rFonts w:hint="cs"/>
          <w:rtl/>
        </w:rPr>
        <w:t>** הדיונים מתקיימים במסגרת הוועדה הרשותית למיגור אלימות.</w:t>
      </w:r>
    </w:p>
    <w:p w14:paraId="0597C313" w14:textId="77777777" w:rsidR="00817399" w:rsidRPr="002F2BC5" w:rsidRDefault="00817399" w:rsidP="00817399">
      <w:pPr>
        <w:spacing w:line="269" w:lineRule="auto"/>
        <w:rPr>
          <w:rtl/>
        </w:rPr>
      </w:pPr>
    </w:p>
    <w:p w14:paraId="2A235884" w14:textId="24E66679" w:rsidR="00817399" w:rsidRPr="002F2BC5" w:rsidRDefault="00817399" w:rsidP="00817399">
      <w:pPr>
        <w:spacing w:line="269" w:lineRule="auto"/>
        <w:rPr>
          <w:b/>
          <w:bCs/>
          <w:rtl/>
        </w:rPr>
      </w:pPr>
      <w:r w:rsidRPr="002F2BC5">
        <w:rPr>
          <w:rFonts w:hint="cs"/>
          <w:b/>
          <w:bCs/>
          <w:rtl/>
        </w:rPr>
        <w:t>מהמידע המובא 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Ref185850326 \r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13</w:t>
      </w:r>
      <w:r w:rsidRPr="002F2BC5">
        <w:rPr>
          <w:b/>
          <w:bCs/>
          <w:rtl/>
        </w:rPr>
        <w:fldChar w:fldCharType="end"/>
      </w:r>
      <w:r w:rsidRPr="002F2BC5">
        <w:rPr>
          <w:rFonts w:hint="cs"/>
          <w:b/>
          <w:bCs/>
          <w:rtl/>
        </w:rPr>
        <w:t xml:space="preserve"> עולה כי בשנים 2023 - 2024 באף אחד מהמרכזים לטיפול ומניעת אלימות במשפחה ברשויות המקומיות שנבדקו לא התכנסה ועדת היגוי בתדירות המחויבת בהוראות התע"ס או שהוועדה לא התכנסה כלל. במרכזים שבהן ועדת ההיגוי לא התכנסה כלל היא ממילא לא אישרה את תוכנית העבודה השנתית לפעילות המרכזים ולא ניהלה מעקב אחר יישום תוכניות עבודה, גם אם אישרה כאלו בשנים קודמות. במרכזים בעיריית קריית מלאכי, במועצה המקומית קדימה-צורן ובמועצה האזורית מטה יהודה כלל לא הוקמה ועדת היגוי כנדרש בהוראות התע"ס.</w:t>
      </w:r>
    </w:p>
    <w:p w14:paraId="290784AA" w14:textId="77777777" w:rsidR="00817399" w:rsidRPr="002F2BC5" w:rsidRDefault="00817399" w:rsidP="00817399">
      <w:pPr>
        <w:spacing w:line="269" w:lineRule="auto"/>
        <w:rPr>
          <w:rtl/>
        </w:rPr>
      </w:pPr>
    </w:p>
    <w:p w14:paraId="207936E4" w14:textId="77777777" w:rsidR="00817399" w:rsidRPr="002F2BC5" w:rsidRDefault="00817399" w:rsidP="00817399">
      <w:pPr>
        <w:spacing w:line="269" w:lineRule="auto"/>
        <w:rPr>
          <w:b/>
          <w:bCs/>
          <w:rtl/>
        </w:rPr>
      </w:pPr>
      <w:r w:rsidRPr="002F2BC5">
        <w:rPr>
          <w:rFonts w:hint="eastAsia"/>
          <w:b/>
          <w:bCs/>
          <w:rtl/>
        </w:rPr>
        <w:t>במסגרת</w:t>
      </w:r>
      <w:r w:rsidRPr="002F2BC5">
        <w:rPr>
          <w:b/>
          <w:bCs/>
          <w:rtl/>
        </w:rPr>
        <w:t xml:space="preserve"> </w:t>
      </w:r>
      <w:r w:rsidRPr="002F2BC5">
        <w:rPr>
          <w:rFonts w:hint="eastAsia"/>
          <w:b/>
          <w:bCs/>
          <w:rtl/>
        </w:rPr>
        <w:t>הביקורת</w:t>
      </w:r>
      <w:r w:rsidRPr="002F2BC5">
        <w:rPr>
          <w:b/>
          <w:bCs/>
          <w:rtl/>
        </w:rPr>
        <w:t xml:space="preserve"> </w:t>
      </w:r>
      <w:r w:rsidRPr="002F2BC5">
        <w:rPr>
          <w:rFonts w:hint="eastAsia"/>
          <w:b/>
          <w:bCs/>
          <w:rtl/>
        </w:rPr>
        <w:t>הנוכחית</w:t>
      </w:r>
      <w:r w:rsidRPr="002F2BC5">
        <w:rPr>
          <w:b/>
          <w:bCs/>
          <w:rtl/>
        </w:rPr>
        <w:t xml:space="preserve"> </w:t>
      </w:r>
      <w:r w:rsidRPr="002F2BC5">
        <w:rPr>
          <w:rFonts w:hint="eastAsia"/>
          <w:b/>
          <w:bCs/>
          <w:rtl/>
        </w:rPr>
        <w:t>נבדקה</w:t>
      </w:r>
      <w:r w:rsidRPr="002F2BC5">
        <w:rPr>
          <w:b/>
          <w:bCs/>
          <w:rtl/>
        </w:rPr>
        <w:t xml:space="preserve"> </w:t>
      </w:r>
      <w:r w:rsidRPr="002F2BC5">
        <w:rPr>
          <w:rFonts w:hint="eastAsia"/>
          <w:b/>
          <w:bCs/>
          <w:rtl/>
        </w:rPr>
        <w:t>תדירות</w:t>
      </w:r>
      <w:r w:rsidRPr="002F2BC5">
        <w:rPr>
          <w:b/>
          <w:bCs/>
          <w:rtl/>
        </w:rPr>
        <w:t xml:space="preserve"> </w:t>
      </w:r>
      <w:r w:rsidRPr="002F2BC5">
        <w:rPr>
          <w:rFonts w:hint="eastAsia"/>
          <w:b/>
          <w:bCs/>
          <w:rtl/>
        </w:rPr>
        <w:t>התכנסותה</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ועדת</w:t>
      </w:r>
      <w:r w:rsidRPr="002F2BC5">
        <w:rPr>
          <w:b/>
          <w:bCs/>
          <w:rtl/>
        </w:rPr>
        <w:t xml:space="preserve"> </w:t>
      </w:r>
      <w:r w:rsidRPr="002F2BC5">
        <w:rPr>
          <w:rFonts w:hint="eastAsia"/>
          <w:b/>
          <w:bCs/>
          <w:rtl/>
        </w:rPr>
        <w:t>ההיגוי</w:t>
      </w:r>
      <w:r w:rsidRPr="002F2BC5">
        <w:rPr>
          <w:b/>
          <w:bCs/>
          <w:rtl/>
        </w:rPr>
        <w:t xml:space="preserve"> </w:t>
      </w:r>
      <w:r w:rsidRPr="002F2BC5">
        <w:rPr>
          <w:rFonts w:hint="eastAsia"/>
          <w:b/>
          <w:bCs/>
          <w:rtl/>
        </w:rPr>
        <w:t>בשנת</w:t>
      </w:r>
      <w:r w:rsidRPr="002F2BC5">
        <w:rPr>
          <w:b/>
          <w:bCs/>
          <w:rtl/>
        </w:rPr>
        <w:t xml:space="preserve"> 2023 </w:t>
      </w:r>
      <w:r w:rsidRPr="002F2BC5">
        <w:rPr>
          <w:rFonts w:hint="eastAsia"/>
          <w:b/>
          <w:bCs/>
          <w:rtl/>
        </w:rPr>
        <w:t>לפי</w:t>
      </w:r>
      <w:r w:rsidRPr="002F2BC5">
        <w:rPr>
          <w:b/>
          <w:bCs/>
          <w:rtl/>
        </w:rPr>
        <w:t xml:space="preserve"> </w:t>
      </w:r>
      <w:r w:rsidRPr="002F2BC5">
        <w:rPr>
          <w:rFonts w:hint="eastAsia"/>
          <w:b/>
          <w:bCs/>
          <w:rtl/>
        </w:rPr>
        <w:t>הדיווחים</w:t>
      </w:r>
      <w:r w:rsidRPr="002F2BC5">
        <w:rPr>
          <w:b/>
          <w:bCs/>
          <w:rtl/>
        </w:rPr>
        <w:t xml:space="preserve"> </w:t>
      </w:r>
      <w:r w:rsidRPr="002F2BC5">
        <w:rPr>
          <w:rFonts w:hint="eastAsia"/>
          <w:b/>
          <w:bCs/>
          <w:rtl/>
        </w:rPr>
        <w:t>לשנה</w:t>
      </w:r>
      <w:r w:rsidRPr="002F2BC5">
        <w:rPr>
          <w:b/>
          <w:bCs/>
          <w:rtl/>
        </w:rPr>
        <w:t xml:space="preserve"> </w:t>
      </w:r>
      <w:r w:rsidRPr="002F2BC5">
        <w:rPr>
          <w:rFonts w:hint="eastAsia"/>
          <w:b/>
          <w:bCs/>
          <w:rtl/>
        </w:rPr>
        <w:t>זו</w:t>
      </w:r>
      <w:r w:rsidRPr="002F2BC5">
        <w:rPr>
          <w:b/>
          <w:bCs/>
          <w:rtl/>
        </w:rPr>
        <w:t xml:space="preserve"> </w:t>
      </w:r>
      <w:r w:rsidRPr="002F2BC5">
        <w:rPr>
          <w:rFonts w:hint="eastAsia"/>
          <w:b/>
          <w:bCs/>
          <w:rtl/>
        </w:rPr>
        <w:t>שהעבירו</w:t>
      </w:r>
      <w:r w:rsidRPr="002F2BC5">
        <w:rPr>
          <w:b/>
          <w:bCs/>
          <w:rtl/>
        </w:rPr>
        <w:t xml:space="preserve"> </w:t>
      </w:r>
      <w:r w:rsidRPr="002F2BC5">
        <w:rPr>
          <w:rFonts w:hint="eastAsia"/>
          <w:b/>
          <w:bCs/>
          <w:rtl/>
        </w:rPr>
        <w:t>למשרד</w:t>
      </w:r>
      <w:r w:rsidRPr="002F2BC5">
        <w:rPr>
          <w:b/>
          <w:bCs/>
          <w:rtl/>
        </w:rPr>
        <w:t xml:space="preserve"> </w:t>
      </w:r>
      <w:r w:rsidRPr="002F2BC5">
        <w:rPr>
          <w:rFonts w:hint="eastAsia"/>
          <w:b/>
          <w:bCs/>
          <w:rtl/>
        </w:rPr>
        <w:t>הרווחה</w:t>
      </w:r>
      <w:r w:rsidRPr="002F2BC5">
        <w:rPr>
          <w:b/>
          <w:bCs/>
          <w:rtl/>
        </w:rPr>
        <w:t xml:space="preserve"> </w:t>
      </w:r>
      <w:r w:rsidRPr="002F2BC5">
        <w:rPr>
          <w:rFonts w:hint="eastAsia"/>
          <w:b/>
          <w:bCs/>
          <w:rtl/>
        </w:rPr>
        <w:t>המרכזים</w:t>
      </w:r>
      <w:r w:rsidRPr="002F2BC5">
        <w:rPr>
          <w:b/>
          <w:bCs/>
          <w:rtl/>
        </w:rPr>
        <w:t xml:space="preserve"> </w:t>
      </w:r>
      <w:r w:rsidRPr="002F2BC5">
        <w:rPr>
          <w:rFonts w:hint="eastAsia"/>
          <w:b/>
          <w:bCs/>
          <w:rtl/>
        </w:rPr>
        <w:t>לטיפול</w:t>
      </w:r>
      <w:r w:rsidRPr="002F2BC5">
        <w:rPr>
          <w:b/>
          <w:bCs/>
          <w:rtl/>
        </w:rPr>
        <w:t xml:space="preserve"> </w:t>
      </w:r>
      <w:r w:rsidRPr="002F2BC5">
        <w:rPr>
          <w:rFonts w:hint="eastAsia"/>
          <w:b/>
          <w:bCs/>
          <w:rtl/>
        </w:rPr>
        <w:t>ומניעת</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במשפחה</w:t>
      </w:r>
      <w:r w:rsidRPr="002F2BC5">
        <w:rPr>
          <w:b/>
          <w:bCs/>
          <w:rtl/>
        </w:rPr>
        <w:t>.</w:t>
      </w:r>
      <w:r w:rsidRPr="002F2BC5">
        <w:rPr>
          <w:rFonts w:hint="cs"/>
          <w:b/>
          <w:bCs/>
          <w:rtl/>
        </w:rPr>
        <w:t xml:space="preserve"> נמצא כי בכ-71% מהמרכזים שהיו פעילים ושהעבירו למשרד הרווחה דיווח על פעילותם לשנת 2023, כלל לא התכנסה ועדת ההיגוי בשנה זו (104 מתוך 146 מרכזים)</w:t>
      </w:r>
      <w:r w:rsidRPr="002F2BC5">
        <w:rPr>
          <w:rStyle w:val="af9"/>
          <w:b/>
          <w:bCs/>
          <w:rtl/>
        </w:rPr>
        <w:footnoteReference w:id="294"/>
      </w:r>
      <w:r w:rsidRPr="002F2BC5">
        <w:rPr>
          <w:rFonts w:hint="cs"/>
          <w:b/>
          <w:bCs/>
          <w:rtl/>
        </w:rPr>
        <w:t>. כמו כן שישה מרכזים בלבד דיווחו כי ועדת ההיגוי התכנסה לפחות בתדירות הנדרשת לפי הוראות התע"ס.</w:t>
      </w:r>
    </w:p>
    <w:p w14:paraId="653B8717" w14:textId="77777777" w:rsidR="00817399" w:rsidRPr="002F2BC5" w:rsidRDefault="00817399" w:rsidP="00817399">
      <w:pPr>
        <w:spacing w:line="269" w:lineRule="auto"/>
        <w:rPr>
          <w:rtl/>
        </w:rPr>
      </w:pPr>
      <w:r w:rsidRPr="002F2BC5">
        <w:rPr>
          <w:rFonts w:hint="cs"/>
          <w:rtl/>
        </w:rPr>
        <w:lastRenderedPageBreak/>
        <w:t xml:space="preserve">על החשיבות שבהקפדה על התכנסותה הסדירה של ועדת ההיגוי אפשר ללמוד מעיון בפרוטוקול של ישיבת ועדת ההיגוי במרכז שמפעילה המועצה האזורית </w:t>
      </w:r>
      <w:r w:rsidRPr="002F2BC5">
        <w:rPr>
          <w:rFonts w:hint="eastAsia"/>
          <w:b/>
          <w:bCs/>
          <w:rtl/>
        </w:rPr>
        <w:t>דרום</w:t>
      </w:r>
      <w:r w:rsidRPr="002F2BC5">
        <w:rPr>
          <w:b/>
          <w:bCs/>
          <w:rtl/>
        </w:rPr>
        <w:t xml:space="preserve"> </w:t>
      </w:r>
      <w:r w:rsidRPr="002F2BC5">
        <w:rPr>
          <w:rFonts w:hint="eastAsia"/>
          <w:b/>
          <w:bCs/>
          <w:rtl/>
        </w:rPr>
        <w:t>השרון</w:t>
      </w:r>
      <w:r w:rsidRPr="002F2BC5">
        <w:rPr>
          <w:rStyle w:val="af9"/>
          <w:rtl/>
        </w:rPr>
        <w:footnoteReference w:id="295"/>
      </w:r>
      <w:r w:rsidRPr="002F2BC5">
        <w:rPr>
          <w:rFonts w:hint="cs"/>
          <w:rtl/>
        </w:rPr>
        <w:t xml:space="preserve">. כך הועלו במהלך הדיון סיפורי הצלחה ולצידם אתגרים בכל הנוגע לאיתור מעורבים במקרי אלימות במשפחה במחלקה לשירותים חברתיים, בממשקי העבודה מול תחנת המשטרה הסמוכה וכן בהשפעותיה של המלחמה. </w:t>
      </w:r>
    </w:p>
    <w:p w14:paraId="37BA7B63" w14:textId="77777777" w:rsidR="00817399" w:rsidRPr="002F2BC5" w:rsidRDefault="00817399" w:rsidP="00817399">
      <w:pPr>
        <w:spacing w:line="269" w:lineRule="auto"/>
        <w:rPr>
          <w:rtl/>
        </w:rPr>
      </w:pPr>
    </w:p>
    <w:p w14:paraId="081C4C60" w14:textId="77777777" w:rsidR="00817399" w:rsidRPr="002F2BC5" w:rsidRDefault="00817399" w:rsidP="00817399">
      <w:pPr>
        <w:spacing w:line="269" w:lineRule="auto"/>
        <w:rPr>
          <w:rtl/>
        </w:rPr>
      </w:pPr>
      <w:r w:rsidRPr="002F2BC5">
        <w:rPr>
          <w:rFonts w:hint="cs"/>
          <w:rtl/>
        </w:rPr>
        <w:t>יש לציין כי בשל החובה לזמן לדיוני ועדת ההיגוי את המפקחים המחוזיים, מידע על התכנסות ועדות ההיגוי במרכזים אמור להיות מצוי בידי המפקחים הללו, ואפשר לעשות שימוש במידע זה ולבחון אותו מול דיווחיהם הידניים של המרכזים לצורך בקרה על הנתונים וטיובם.</w:t>
      </w:r>
    </w:p>
    <w:p w14:paraId="40AAB652" w14:textId="77777777" w:rsidR="00817399" w:rsidRPr="002F2BC5" w:rsidRDefault="00817399" w:rsidP="00817399">
      <w:pPr>
        <w:spacing w:line="269" w:lineRule="auto"/>
        <w:rPr>
          <w:rtl/>
        </w:rPr>
      </w:pPr>
    </w:p>
    <w:p w14:paraId="70215183" w14:textId="77777777" w:rsidR="00817399" w:rsidRPr="002F2BC5" w:rsidRDefault="00817399" w:rsidP="00817399">
      <w:pPr>
        <w:spacing w:line="269" w:lineRule="auto"/>
        <w:rPr>
          <w:rtl/>
        </w:rPr>
      </w:pPr>
      <w:r w:rsidRPr="002F2BC5">
        <w:rPr>
          <w:rFonts w:hint="eastAsia"/>
          <w:rtl/>
        </w:rPr>
        <w:t>לצד</w:t>
      </w:r>
      <w:r w:rsidRPr="002F2BC5">
        <w:rPr>
          <w:rtl/>
        </w:rPr>
        <w:t xml:space="preserve"> עצם הקמתה ותדירות התכנסותה של ועדת ההיגוי, בין השאר לצורך אישור תוכנית העבודה השנתית, כללה הביקורת הנוכחית </w:t>
      </w:r>
      <w:r w:rsidRPr="002F2BC5">
        <w:rPr>
          <w:rFonts w:hint="cs"/>
          <w:rtl/>
        </w:rPr>
        <w:t xml:space="preserve">גם </w:t>
      </w:r>
      <w:r w:rsidRPr="002F2BC5">
        <w:rPr>
          <w:rtl/>
        </w:rPr>
        <w:t xml:space="preserve">בדיקה של תוכניות העבודה שנקבעו במרכזים ברשויות המקומיות שנבדקו. </w:t>
      </w:r>
    </w:p>
    <w:p w14:paraId="4940F3BE" w14:textId="77777777" w:rsidR="00817399" w:rsidRPr="002F2BC5" w:rsidRDefault="00817399" w:rsidP="00817399">
      <w:pPr>
        <w:spacing w:line="269" w:lineRule="auto"/>
        <w:rPr>
          <w:rtl/>
        </w:rPr>
      </w:pPr>
    </w:p>
    <w:p w14:paraId="5BD3A241" w14:textId="77777777" w:rsidR="00817399" w:rsidRPr="002F2BC5" w:rsidRDefault="00817399" w:rsidP="00817399">
      <w:pPr>
        <w:spacing w:line="269" w:lineRule="auto"/>
        <w:rPr>
          <w:b/>
          <w:bCs/>
          <w:rtl/>
        </w:rPr>
      </w:pPr>
      <w:r w:rsidRPr="002F2BC5">
        <w:rPr>
          <w:b/>
          <w:bCs/>
          <w:rtl/>
        </w:rPr>
        <w:t xml:space="preserve">הועלה כי בהיעדר הנחיות בנושא, תוכניות </w:t>
      </w:r>
      <w:r w:rsidRPr="002F2BC5">
        <w:rPr>
          <w:rFonts w:hint="cs"/>
          <w:b/>
          <w:bCs/>
          <w:rtl/>
        </w:rPr>
        <w:t xml:space="preserve">העבודה </w:t>
      </w:r>
      <w:r w:rsidRPr="002F2BC5">
        <w:rPr>
          <w:b/>
          <w:bCs/>
          <w:rtl/>
        </w:rPr>
        <w:t xml:space="preserve">אינן כוללות את הרכיבים החיוניים הנדרשים </w:t>
      </w:r>
      <w:r w:rsidRPr="002F2BC5">
        <w:rPr>
          <w:rFonts w:hint="eastAsia"/>
          <w:b/>
          <w:bCs/>
          <w:rtl/>
        </w:rPr>
        <w:t>כדי</w:t>
      </w:r>
      <w:r w:rsidRPr="002F2BC5">
        <w:rPr>
          <w:b/>
          <w:bCs/>
          <w:rtl/>
        </w:rPr>
        <w:t xml:space="preserve"> להבטיח את תרומתן המיטבית לעבודת </w:t>
      </w:r>
      <w:r w:rsidRPr="002F2BC5">
        <w:rPr>
          <w:rFonts w:hint="eastAsia"/>
          <w:b/>
          <w:bCs/>
          <w:rtl/>
        </w:rPr>
        <w:t>המרכז</w:t>
      </w:r>
      <w:r w:rsidRPr="002F2BC5">
        <w:rPr>
          <w:b/>
          <w:bCs/>
          <w:rtl/>
        </w:rPr>
        <w:t xml:space="preserve">, </w:t>
      </w:r>
      <w:r w:rsidRPr="002F2BC5">
        <w:rPr>
          <w:rFonts w:hint="eastAsia"/>
          <w:b/>
          <w:bCs/>
          <w:rtl/>
        </w:rPr>
        <w:t>ובפרט</w:t>
      </w:r>
      <w:r w:rsidRPr="002F2BC5">
        <w:rPr>
          <w:b/>
          <w:bCs/>
          <w:rtl/>
        </w:rPr>
        <w:t xml:space="preserve"> אינן כוללות מדדי ביצוע</w:t>
      </w:r>
      <w:r w:rsidRPr="002F2BC5">
        <w:rPr>
          <w:rFonts w:hint="cs"/>
          <w:b/>
          <w:bCs/>
          <w:rtl/>
        </w:rPr>
        <w:t xml:space="preserve"> </w:t>
      </w:r>
      <w:r w:rsidRPr="002F2BC5">
        <w:rPr>
          <w:b/>
          <w:bCs/>
          <w:rtl/>
        </w:rPr>
        <w:t xml:space="preserve">(לדוגמה, </w:t>
      </w:r>
      <w:r w:rsidRPr="002F2BC5">
        <w:rPr>
          <w:rFonts w:hint="eastAsia"/>
          <w:b/>
          <w:bCs/>
          <w:rtl/>
        </w:rPr>
        <w:t>משך</w:t>
      </w:r>
      <w:r w:rsidRPr="002F2BC5">
        <w:rPr>
          <w:b/>
          <w:bCs/>
          <w:rtl/>
        </w:rPr>
        <w:t xml:space="preserve"> ההמתנה לטיפול או </w:t>
      </w:r>
      <w:r w:rsidRPr="002F2BC5">
        <w:rPr>
          <w:rFonts w:hint="eastAsia"/>
          <w:b/>
          <w:bCs/>
          <w:rtl/>
        </w:rPr>
        <w:t>מספר</w:t>
      </w:r>
      <w:r w:rsidRPr="002F2BC5">
        <w:rPr>
          <w:b/>
          <w:bCs/>
          <w:rtl/>
        </w:rPr>
        <w:t xml:space="preserve"> </w:t>
      </w:r>
      <w:r w:rsidRPr="002F2BC5">
        <w:rPr>
          <w:rFonts w:hint="eastAsia"/>
          <w:b/>
          <w:bCs/>
          <w:rtl/>
        </w:rPr>
        <w:t>המטופלים</w:t>
      </w:r>
      <w:r w:rsidRPr="002F2BC5">
        <w:rPr>
          <w:b/>
          <w:bCs/>
          <w:rtl/>
        </w:rPr>
        <w:t xml:space="preserve"> </w:t>
      </w:r>
      <w:r w:rsidRPr="002F2BC5">
        <w:rPr>
          <w:rFonts w:hint="eastAsia"/>
          <w:b/>
          <w:bCs/>
          <w:rtl/>
        </w:rPr>
        <w:t>והתפלגותם</w:t>
      </w:r>
      <w:r w:rsidRPr="002F2BC5">
        <w:rPr>
          <w:b/>
          <w:bCs/>
          <w:rtl/>
        </w:rPr>
        <w:t xml:space="preserve"> </w:t>
      </w:r>
      <w:r w:rsidRPr="002F2BC5">
        <w:rPr>
          <w:rFonts w:hint="eastAsia"/>
          <w:b/>
          <w:bCs/>
          <w:rtl/>
        </w:rPr>
        <w:t>המגדרית</w:t>
      </w:r>
      <w:r w:rsidRPr="002F2BC5">
        <w:rPr>
          <w:b/>
          <w:bCs/>
          <w:rtl/>
        </w:rPr>
        <w:t>) או יעדים תוצאתיים בני מדידה</w:t>
      </w:r>
      <w:r w:rsidRPr="002F2BC5">
        <w:rPr>
          <w:rFonts w:hint="cs"/>
          <w:b/>
          <w:bCs/>
          <w:rtl/>
        </w:rPr>
        <w:t xml:space="preserve"> </w:t>
      </w:r>
      <w:r w:rsidRPr="002F2BC5">
        <w:rPr>
          <w:b/>
          <w:bCs/>
          <w:rtl/>
        </w:rPr>
        <w:t xml:space="preserve">(לדוגמה, </w:t>
      </w:r>
      <w:r w:rsidRPr="002F2BC5">
        <w:rPr>
          <w:rFonts w:hint="eastAsia"/>
          <w:b/>
          <w:bCs/>
          <w:rtl/>
        </w:rPr>
        <w:t>שיעור</w:t>
      </w:r>
      <w:r w:rsidRPr="002F2BC5">
        <w:rPr>
          <w:b/>
          <w:bCs/>
          <w:rtl/>
        </w:rPr>
        <w:t xml:space="preserve"> </w:t>
      </w:r>
      <w:r w:rsidRPr="002F2BC5">
        <w:rPr>
          <w:rFonts w:hint="eastAsia"/>
          <w:b/>
          <w:bCs/>
          <w:rtl/>
        </w:rPr>
        <w:t>הנשירה</w:t>
      </w:r>
      <w:r w:rsidRPr="002F2BC5">
        <w:rPr>
          <w:b/>
          <w:bCs/>
          <w:rtl/>
        </w:rPr>
        <w:t xml:space="preserve"> </w:t>
      </w:r>
      <w:r w:rsidRPr="002F2BC5">
        <w:rPr>
          <w:rFonts w:hint="eastAsia"/>
          <w:b/>
          <w:bCs/>
          <w:rtl/>
        </w:rPr>
        <w:t>מטיפול</w:t>
      </w:r>
      <w:r w:rsidRPr="002F2BC5">
        <w:rPr>
          <w:b/>
          <w:bCs/>
          <w:rtl/>
        </w:rPr>
        <w:t>)</w:t>
      </w:r>
      <w:r w:rsidRPr="002F2BC5">
        <w:rPr>
          <w:rFonts w:hint="cs"/>
          <w:b/>
          <w:bCs/>
          <w:rtl/>
        </w:rPr>
        <w:t>. כן הועלה כי תוכניות העבודה אינן מקושרות תקציב</w:t>
      </w:r>
      <w:r w:rsidRPr="002F2BC5">
        <w:rPr>
          <w:b/>
          <w:bCs/>
          <w:rtl/>
        </w:rPr>
        <w:t>.</w:t>
      </w:r>
    </w:p>
    <w:p w14:paraId="61047679" w14:textId="77777777" w:rsidR="00817399" w:rsidRPr="002F2BC5" w:rsidRDefault="00817399" w:rsidP="00817399">
      <w:pPr>
        <w:spacing w:line="269" w:lineRule="auto"/>
        <w:rPr>
          <w:rtl/>
        </w:rPr>
      </w:pPr>
    </w:p>
    <w:p w14:paraId="0341D827" w14:textId="77777777" w:rsidR="00817399" w:rsidRPr="002F2BC5" w:rsidRDefault="00817399" w:rsidP="00817399">
      <w:pPr>
        <w:spacing w:line="269" w:lineRule="auto"/>
        <w:rPr>
          <w:rtl/>
        </w:rPr>
      </w:pP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מסר</w:t>
      </w:r>
      <w:r w:rsidRPr="002F2BC5">
        <w:rPr>
          <w:rtl/>
        </w:rPr>
        <w:t xml:space="preserve"> </w:t>
      </w:r>
      <w:r w:rsidRPr="002F2BC5">
        <w:rPr>
          <w:rFonts w:hint="eastAsia"/>
          <w:rtl/>
        </w:rPr>
        <w:t>במהלך</w:t>
      </w:r>
      <w:r w:rsidRPr="002F2BC5">
        <w:rPr>
          <w:rtl/>
        </w:rPr>
        <w:t xml:space="preserve"> </w:t>
      </w:r>
      <w:r w:rsidRPr="002F2BC5">
        <w:rPr>
          <w:rFonts w:hint="eastAsia"/>
          <w:rtl/>
        </w:rPr>
        <w:t>ביקורת</w:t>
      </w:r>
      <w:r w:rsidRPr="002F2BC5">
        <w:rPr>
          <w:rtl/>
        </w:rPr>
        <w:t xml:space="preserve"> </w:t>
      </w:r>
      <w:r w:rsidRPr="002F2BC5">
        <w:rPr>
          <w:rFonts w:hint="cs"/>
          <w:rtl/>
        </w:rPr>
        <w:t>המעקב, בינואר 2025,</w:t>
      </w:r>
      <w:r w:rsidRPr="002F2BC5">
        <w:rPr>
          <w:rtl/>
        </w:rPr>
        <w:t xml:space="preserve"> </w:t>
      </w:r>
      <w:r w:rsidRPr="002F2BC5">
        <w:rPr>
          <w:rFonts w:hint="eastAsia"/>
          <w:rtl/>
        </w:rPr>
        <w:t>כי</w:t>
      </w:r>
      <w:r w:rsidRPr="002F2BC5">
        <w:rPr>
          <w:rtl/>
        </w:rPr>
        <w:t xml:space="preserve"> במסגרת המהלך לעדכון הוראות התע"ס</w:t>
      </w:r>
      <w:r w:rsidRPr="002F2BC5">
        <w:rPr>
          <w:rFonts w:hint="cs"/>
          <w:rtl/>
        </w:rPr>
        <w:t>,</w:t>
      </w:r>
      <w:r w:rsidRPr="002F2BC5">
        <w:rPr>
          <w:rtl/>
        </w:rPr>
        <w:t xml:space="preserve"> המסדירות את הפעלתם של המרכזים לטיפול ומניעת אלימות במשפחה</w:t>
      </w:r>
      <w:r w:rsidRPr="002F2BC5">
        <w:rPr>
          <w:rFonts w:hint="cs"/>
          <w:rtl/>
        </w:rPr>
        <w:t>,</w:t>
      </w:r>
      <w:r w:rsidRPr="002F2BC5">
        <w:rPr>
          <w:rtl/>
        </w:rPr>
        <w:t xml:space="preserve"> תיכלל תבנית </w:t>
      </w:r>
      <w:r w:rsidRPr="002F2BC5">
        <w:rPr>
          <w:rFonts w:hint="cs"/>
          <w:rtl/>
        </w:rPr>
        <w:t>ל</w:t>
      </w:r>
      <w:r w:rsidRPr="002F2BC5">
        <w:rPr>
          <w:rtl/>
        </w:rPr>
        <w:t xml:space="preserve">תוכנית העבודה השנתית של המרכזים. </w:t>
      </w:r>
      <w:r w:rsidRPr="002F2BC5">
        <w:rPr>
          <w:rFonts w:hint="eastAsia"/>
          <w:rtl/>
        </w:rPr>
        <w:t>על</w:t>
      </w:r>
      <w:r w:rsidRPr="002F2BC5">
        <w:rPr>
          <w:rtl/>
        </w:rPr>
        <w:t xml:space="preserve"> </w:t>
      </w:r>
      <w:r w:rsidRPr="002F2BC5">
        <w:rPr>
          <w:rFonts w:hint="eastAsia"/>
          <w:rtl/>
        </w:rPr>
        <w:t>פי</w:t>
      </w:r>
      <w:r w:rsidRPr="002F2BC5">
        <w:rPr>
          <w:rtl/>
        </w:rPr>
        <w:t xml:space="preserve"> </w:t>
      </w:r>
      <w:r w:rsidRPr="002F2BC5">
        <w:rPr>
          <w:rFonts w:hint="eastAsia"/>
          <w:rtl/>
        </w:rPr>
        <w:t>ההנחיות</w:t>
      </w:r>
      <w:r w:rsidRPr="002F2BC5">
        <w:rPr>
          <w:rtl/>
        </w:rPr>
        <w:t xml:space="preserve"> </w:t>
      </w:r>
      <w:r w:rsidRPr="002F2BC5">
        <w:rPr>
          <w:rFonts w:hint="eastAsia"/>
          <w:rtl/>
        </w:rPr>
        <w:t>המתגבשות</w:t>
      </w:r>
      <w:r w:rsidRPr="002F2BC5">
        <w:rPr>
          <w:rtl/>
        </w:rPr>
        <w:t xml:space="preserve">, </w:t>
      </w:r>
      <w:r w:rsidRPr="002F2BC5">
        <w:rPr>
          <w:rFonts w:hint="eastAsia"/>
          <w:rtl/>
        </w:rPr>
        <w:t>תוכנית</w:t>
      </w:r>
      <w:r w:rsidRPr="002F2BC5">
        <w:rPr>
          <w:rtl/>
        </w:rPr>
        <w:t xml:space="preserve"> העבודה </w:t>
      </w:r>
      <w:r w:rsidRPr="002F2BC5">
        <w:rPr>
          <w:rFonts w:hint="eastAsia"/>
          <w:rtl/>
        </w:rPr>
        <w:t>תכלול</w:t>
      </w:r>
      <w:r w:rsidRPr="002F2BC5">
        <w:rPr>
          <w:rtl/>
        </w:rPr>
        <w:t xml:space="preserve"> תכנון תקציבי ויעדים לשנת העבודה</w:t>
      </w:r>
      <w:r w:rsidRPr="002F2BC5">
        <w:rPr>
          <w:rFonts w:hint="cs"/>
          <w:rtl/>
        </w:rPr>
        <w:t>,</w:t>
      </w:r>
      <w:r w:rsidRPr="002F2BC5">
        <w:rPr>
          <w:rtl/>
        </w:rPr>
        <w:t xml:space="preserve"> והיא </w:t>
      </w:r>
      <w:r w:rsidRPr="002F2BC5">
        <w:rPr>
          <w:rFonts w:hint="eastAsia"/>
          <w:rtl/>
        </w:rPr>
        <w:t>תובא</w:t>
      </w:r>
      <w:r w:rsidRPr="002F2BC5">
        <w:rPr>
          <w:rtl/>
        </w:rPr>
        <w:t xml:space="preserve"> </w:t>
      </w:r>
      <w:r w:rsidRPr="002F2BC5">
        <w:rPr>
          <w:rFonts w:hint="eastAsia"/>
          <w:rtl/>
        </w:rPr>
        <w:t>בתחילת</w:t>
      </w:r>
      <w:r w:rsidRPr="002F2BC5">
        <w:rPr>
          <w:rtl/>
        </w:rPr>
        <w:t xml:space="preserve"> </w:t>
      </w:r>
      <w:r w:rsidRPr="002F2BC5">
        <w:rPr>
          <w:rFonts w:hint="eastAsia"/>
          <w:rtl/>
        </w:rPr>
        <w:t>כל</w:t>
      </w:r>
      <w:r w:rsidRPr="002F2BC5">
        <w:rPr>
          <w:rtl/>
        </w:rPr>
        <w:t xml:space="preserve"> </w:t>
      </w:r>
      <w:r w:rsidRPr="002F2BC5">
        <w:rPr>
          <w:rFonts w:hint="eastAsia"/>
          <w:rtl/>
        </w:rPr>
        <w:t>שנה</w:t>
      </w:r>
      <w:r w:rsidRPr="002F2BC5">
        <w:rPr>
          <w:rtl/>
        </w:rPr>
        <w:t xml:space="preserve"> </w:t>
      </w:r>
      <w:r w:rsidRPr="002F2BC5">
        <w:rPr>
          <w:rFonts w:hint="eastAsia"/>
          <w:rtl/>
        </w:rPr>
        <w:t>לאישורו</w:t>
      </w:r>
      <w:r w:rsidRPr="002F2BC5">
        <w:rPr>
          <w:rtl/>
        </w:rPr>
        <w:t xml:space="preserve"> </w:t>
      </w:r>
      <w:r w:rsidRPr="002F2BC5">
        <w:rPr>
          <w:rFonts w:hint="eastAsia"/>
          <w:rtl/>
        </w:rPr>
        <w:t>של</w:t>
      </w:r>
      <w:r w:rsidRPr="002F2BC5">
        <w:rPr>
          <w:rtl/>
        </w:rPr>
        <w:t xml:space="preserve"> </w:t>
      </w:r>
      <w:r w:rsidRPr="002F2BC5">
        <w:rPr>
          <w:rFonts w:hint="eastAsia"/>
          <w:rtl/>
        </w:rPr>
        <w:t>המפקח</w:t>
      </w:r>
      <w:r w:rsidRPr="002F2BC5">
        <w:rPr>
          <w:rtl/>
        </w:rPr>
        <w:t xml:space="preserve"> </w:t>
      </w:r>
      <w:r w:rsidRPr="002F2BC5">
        <w:rPr>
          <w:rFonts w:hint="eastAsia"/>
          <w:rtl/>
        </w:rPr>
        <w:t>המחוזי</w:t>
      </w:r>
      <w:r w:rsidRPr="002F2BC5">
        <w:rPr>
          <w:rtl/>
        </w:rPr>
        <w:t>.</w:t>
      </w:r>
    </w:p>
    <w:p w14:paraId="100DFBA1" w14:textId="77777777" w:rsidR="00817399" w:rsidRPr="002F2BC5" w:rsidRDefault="00817399" w:rsidP="00817399">
      <w:pPr>
        <w:spacing w:line="269" w:lineRule="auto"/>
        <w:rPr>
          <w:rtl/>
        </w:rPr>
      </w:pPr>
    </w:p>
    <w:p w14:paraId="037B1075" w14:textId="77777777" w:rsidR="00817399" w:rsidRPr="002F2BC5" w:rsidRDefault="00817399" w:rsidP="00817399">
      <w:pPr>
        <w:pStyle w:val="afffffff9"/>
        <w:spacing w:line="269" w:lineRule="auto"/>
        <w:rPr>
          <w:rtl/>
        </w:rPr>
      </w:pPr>
      <w:bookmarkStart w:id="1457" w:name="_Toc191987073"/>
      <w:bookmarkStart w:id="1458" w:name="_Toc192093135"/>
      <w:bookmarkStart w:id="1459" w:name="_Toc192612843"/>
      <w:bookmarkStart w:id="1460" w:name="_Toc198312278"/>
      <w:bookmarkStart w:id="1461" w:name="_Toc198312757"/>
      <w:bookmarkStart w:id="1462" w:name="_Toc200636932"/>
      <w:bookmarkStart w:id="1463" w:name="_Toc200439930"/>
      <w:bookmarkStart w:id="1464" w:name="_Toc201241035"/>
      <w:r w:rsidRPr="002F2BC5">
        <w:rPr>
          <w:rFonts w:hint="eastAsia"/>
          <w:rtl/>
        </w:rPr>
        <w:t>בביקורת</w:t>
      </w:r>
      <w:r w:rsidRPr="002F2BC5">
        <w:rPr>
          <w:rtl/>
        </w:rPr>
        <w:t xml:space="preserve"> הקודמת הועלה כי ב</w:t>
      </w:r>
      <w:r w:rsidRPr="002F2BC5">
        <w:rPr>
          <w:rFonts w:hint="cs"/>
          <w:rtl/>
        </w:rPr>
        <w:t xml:space="preserve">חמישה מתוך תשעה </w:t>
      </w:r>
      <w:r w:rsidRPr="002F2BC5">
        <w:rPr>
          <w:rtl/>
        </w:rPr>
        <w:t>מרכזים לטיפול ומניעת אלימות במשפחה</w:t>
      </w:r>
      <w:r w:rsidRPr="002F2BC5">
        <w:rPr>
          <w:rFonts w:hint="cs"/>
          <w:rtl/>
        </w:rPr>
        <w:t xml:space="preserve"> שמפעילות הרשויות המקומיות שנבדקו</w:t>
      </w:r>
      <w:r w:rsidRPr="002F2BC5">
        <w:rPr>
          <w:rtl/>
        </w:rPr>
        <w:t xml:space="preserve"> </w:t>
      </w:r>
      <w:r w:rsidRPr="002F2BC5">
        <w:rPr>
          <w:rFonts w:hint="cs"/>
          <w:rtl/>
        </w:rPr>
        <w:t>(</w:t>
      </w:r>
      <w:r w:rsidRPr="002F2BC5">
        <w:rPr>
          <w:rtl/>
        </w:rPr>
        <w:t>ב</w:t>
      </w:r>
      <w:r w:rsidRPr="002F2BC5">
        <w:rPr>
          <w:rFonts w:hint="cs"/>
          <w:rtl/>
        </w:rPr>
        <w:t xml:space="preserve">עיריות בית שמש, </w:t>
      </w:r>
      <w:r w:rsidRPr="002F2BC5">
        <w:rPr>
          <w:rtl/>
        </w:rPr>
        <w:t>דימונה, חדרה, ס</w:t>
      </w:r>
      <w:r w:rsidRPr="002F2BC5">
        <w:rPr>
          <w:rFonts w:hint="cs"/>
          <w:rtl/>
        </w:rPr>
        <w:t>ח'</w:t>
      </w:r>
      <w:r w:rsidRPr="002F2BC5">
        <w:rPr>
          <w:rtl/>
        </w:rPr>
        <w:t>נין וראש העין</w:t>
      </w:r>
      <w:r w:rsidRPr="002F2BC5">
        <w:rPr>
          <w:rFonts w:hint="cs"/>
          <w:rtl/>
        </w:rPr>
        <w:t xml:space="preserve">) </w:t>
      </w:r>
      <w:r w:rsidRPr="002F2BC5">
        <w:rPr>
          <w:rtl/>
        </w:rPr>
        <w:t xml:space="preserve">ועדת ההיגוי לא התכנסה </w:t>
      </w:r>
      <w:r w:rsidRPr="002F2BC5">
        <w:rPr>
          <w:rFonts w:hint="cs"/>
          <w:rtl/>
        </w:rPr>
        <w:t xml:space="preserve">כלל </w:t>
      </w:r>
      <w:r w:rsidRPr="002F2BC5">
        <w:rPr>
          <w:rtl/>
        </w:rPr>
        <w:t xml:space="preserve">מינואר 2019 ועד אוקטובר 2020. </w:t>
      </w:r>
      <w:r w:rsidRPr="002F2BC5">
        <w:rPr>
          <w:rFonts w:hint="cs"/>
          <w:rtl/>
        </w:rPr>
        <w:t>עוד הועלה כי בשניים מהמרכזים (</w:t>
      </w:r>
      <w:r w:rsidRPr="002F2BC5">
        <w:rPr>
          <w:rtl/>
        </w:rPr>
        <w:t>בעיריות בני ברק ורהט</w:t>
      </w:r>
      <w:r w:rsidRPr="002F2BC5">
        <w:rPr>
          <w:rFonts w:hint="cs"/>
          <w:rtl/>
        </w:rPr>
        <w:t>)</w:t>
      </w:r>
      <w:r w:rsidRPr="002F2BC5">
        <w:rPr>
          <w:rtl/>
        </w:rPr>
        <w:t xml:space="preserve"> ועדת ההיגוי התכנסה</w:t>
      </w:r>
      <w:r w:rsidRPr="002F2BC5">
        <w:rPr>
          <w:rFonts w:hint="cs"/>
          <w:rtl/>
        </w:rPr>
        <w:t xml:space="preserve"> אך היא</w:t>
      </w:r>
      <w:r w:rsidRPr="002F2BC5">
        <w:rPr>
          <w:rtl/>
        </w:rPr>
        <w:t xml:space="preserve"> לא דנה בתוכנית העבודה השנתית</w:t>
      </w:r>
      <w:r w:rsidRPr="002F2BC5">
        <w:rPr>
          <w:rFonts w:hint="cs"/>
          <w:rtl/>
        </w:rPr>
        <w:t xml:space="preserve"> לפעילות המרכז</w:t>
      </w:r>
      <w:r w:rsidRPr="002F2BC5">
        <w:rPr>
          <w:rtl/>
        </w:rPr>
        <w:t xml:space="preserve">. </w:t>
      </w:r>
      <w:r w:rsidRPr="002F2BC5">
        <w:rPr>
          <w:rFonts w:hint="eastAsia"/>
          <w:rtl/>
        </w:rPr>
        <w:t>בביקורת</w:t>
      </w:r>
      <w:r w:rsidRPr="002F2BC5">
        <w:rPr>
          <w:rtl/>
        </w:rPr>
        <w:t xml:space="preserve"> המעקב הועלה כי הליקוי תוקן במידה מועטה </w:t>
      </w:r>
      <w:r w:rsidRPr="002F2BC5">
        <w:rPr>
          <w:rFonts w:hint="eastAsia"/>
          <w:rtl/>
        </w:rPr>
        <w:t>וכי</w:t>
      </w:r>
      <w:r w:rsidRPr="002F2BC5">
        <w:rPr>
          <w:rtl/>
        </w:rPr>
        <w:t xml:space="preserve"> בשנים 2023 - 2024 באף אחד מהמרכזים לטיפול ומניעת אלימות במשפחה ברשויות המקומיות שנבדקו לא התכנסה ועדת היגוי בתדירות המחויבת בהוראות התע"ס</w:t>
      </w:r>
      <w:r w:rsidRPr="002F2BC5">
        <w:rPr>
          <w:rFonts w:hint="cs"/>
          <w:rtl/>
        </w:rPr>
        <w:t>,</w:t>
      </w:r>
      <w:r w:rsidRPr="002F2BC5">
        <w:rPr>
          <w:rtl/>
        </w:rPr>
        <w:t xml:space="preserve"> או שהוועדה לא התכנסה כלל.</w:t>
      </w:r>
      <w:bookmarkEnd w:id="1457"/>
      <w:bookmarkEnd w:id="1458"/>
      <w:bookmarkEnd w:id="1459"/>
      <w:bookmarkEnd w:id="1460"/>
      <w:bookmarkEnd w:id="1461"/>
      <w:r w:rsidRPr="002F2BC5">
        <w:rPr>
          <w:rtl/>
        </w:rPr>
        <w:t xml:space="preserve"> </w:t>
      </w:r>
      <w:r w:rsidRPr="002F2BC5">
        <w:rPr>
          <w:rFonts w:hint="cs"/>
          <w:rtl/>
        </w:rPr>
        <w:t>שעה שהוועדה לא התכנסה, ממילא לא זומנו ולא השתתפו בישיבותיה נציגיהם של משרדי הממשלה ושל רשויות מקומיות סמוכות שתושביהן מקבלים שירותים במרכז.</w:t>
      </w:r>
      <w:bookmarkEnd w:id="1462"/>
      <w:bookmarkEnd w:id="1463"/>
      <w:bookmarkEnd w:id="1464"/>
    </w:p>
    <w:p w14:paraId="23330F21" w14:textId="77777777" w:rsidR="00817399" w:rsidRPr="002F2BC5" w:rsidRDefault="00817399" w:rsidP="00817399">
      <w:pPr>
        <w:spacing w:line="269" w:lineRule="auto"/>
        <w:rPr>
          <w:rtl/>
        </w:rPr>
      </w:pPr>
    </w:p>
    <w:p w14:paraId="78D8286C" w14:textId="77777777" w:rsidR="00817399" w:rsidRPr="002F2BC5" w:rsidRDefault="00817399" w:rsidP="00817399">
      <w:pPr>
        <w:pStyle w:val="afffffffa"/>
        <w:spacing w:line="269" w:lineRule="auto"/>
        <w:rPr>
          <w:rtl/>
        </w:rPr>
      </w:pPr>
      <w:bookmarkStart w:id="1465" w:name="_Toc192093136"/>
      <w:bookmarkStart w:id="1466" w:name="_Toc192612844"/>
      <w:bookmarkStart w:id="1467" w:name="_Toc198312279"/>
      <w:bookmarkStart w:id="1468" w:name="_Toc198312758"/>
      <w:bookmarkStart w:id="1469" w:name="_Toc200636933"/>
      <w:bookmarkStart w:id="1470" w:name="_Toc200439931"/>
      <w:bookmarkStart w:id="1471" w:name="_Toc201241036"/>
      <w:r w:rsidRPr="002F2BC5">
        <w:rPr>
          <w:rFonts w:hint="cs"/>
          <w:rtl/>
        </w:rPr>
        <w:t xml:space="preserve">על המרכזים לטיפול ומניעת אלימות במשפחה בעיריית קריית מלאכי, במועצה המקומית קדימה-צורן ובמועצה האזורית מטה יהודה להקים ועדת היגוי ולכנס אותה כנדרש בהוראות התע"ס. על המרכזים לטיפול ומניעת אלימות במשפחה בעיריות בית שמש, בני ברק, דימונה, חדרה, יבנה, סח'נין, עכו, ראש העין ורהט ובמועצה האזורית דרום השרון להקפיד על התכנסותה של ועדת ההיגוי בתדירות המחויבת בהוראות התע"ס כדי שזו תוכל לקיים את התפקידים המוטלים עליה בכל הקשור לליווי פעילות המרכזים. </w:t>
      </w:r>
      <w:r w:rsidRPr="002F2BC5">
        <w:rPr>
          <w:rFonts w:hint="eastAsia"/>
          <w:rtl/>
        </w:rPr>
        <w:t>על</w:t>
      </w:r>
      <w:r w:rsidRPr="002F2BC5">
        <w:rPr>
          <w:rtl/>
        </w:rPr>
        <w:t xml:space="preserve"> המרכזים לטיפול ומניעת אלימות במשפחה בעיריות בית שמש, בני ברק, דימונה, חדרה, </w:t>
      </w:r>
      <w:r w:rsidRPr="002F2BC5">
        <w:rPr>
          <w:rFonts w:hint="cs"/>
          <w:rtl/>
        </w:rPr>
        <w:t xml:space="preserve">יבנה, </w:t>
      </w:r>
      <w:r w:rsidRPr="002F2BC5">
        <w:rPr>
          <w:rFonts w:hint="eastAsia"/>
          <w:rtl/>
        </w:rPr>
        <w:t>ס</w:t>
      </w:r>
      <w:r w:rsidRPr="002F2BC5">
        <w:rPr>
          <w:rtl/>
        </w:rPr>
        <w:t>ח</w:t>
      </w:r>
      <w:r w:rsidRPr="002F2BC5">
        <w:rPr>
          <w:rFonts w:hint="cs"/>
          <w:rtl/>
        </w:rPr>
        <w:t>'</w:t>
      </w:r>
      <w:r w:rsidRPr="002F2BC5">
        <w:rPr>
          <w:rtl/>
        </w:rPr>
        <w:t xml:space="preserve">נין, עכו, </w:t>
      </w:r>
      <w:r w:rsidRPr="002F2BC5">
        <w:rPr>
          <w:rFonts w:hint="eastAsia"/>
          <w:rtl/>
        </w:rPr>
        <w:t>קריית</w:t>
      </w:r>
      <w:r w:rsidRPr="002F2BC5">
        <w:rPr>
          <w:rtl/>
        </w:rPr>
        <w:t xml:space="preserve"> מלאכי, </w:t>
      </w:r>
      <w:r w:rsidRPr="002F2BC5">
        <w:rPr>
          <w:rFonts w:hint="eastAsia"/>
          <w:rtl/>
        </w:rPr>
        <w:t>ראש</w:t>
      </w:r>
      <w:r w:rsidRPr="002F2BC5">
        <w:rPr>
          <w:rtl/>
        </w:rPr>
        <w:t xml:space="preserve"> </w:t>
      </w:r>
      <w:r w:rsidRPr="002F2BC5">
        <w:rPr>
          <w:rFonts w:hint="eastAsia"/>
          <w:rtl/>
        </w:rPr>
        <w:t>העין</w:t>
      </w:r>
      <w:r w:rsidRPr="002F2BC5">
        <w:rPr>
          <w:rtl/>
        </w:rPr>
        <w:t xml:space="preserve"> </w:t>
      </w:r>
      <w:r w:rsidRPr="002F2BC5">
        <w:rPr>
          <w:rFonts w:hint="eastAsia"/>
          <w:rtl/>
        </w:rPr>
        <w:t>ורהט</w:t>
      </w:r>
      <w:r w:rsidRPr="002F2BC5">
        <w:rPr>
          <w:rtl/>
        </w:rPr>
        <w:t xml:space="preserve">, </w:t>
      </w:r>
      <w:r w:rsidRPr="002F2BC5">
        <w:rPr>
          <w:rFonts w:hint="eastAsia"/>
          <w:rtl/>
        </w:rPr>
        <w:t>במועצה</w:t>
      </w:r>
      <w:r w:rsidRPr="002F2BC5">
        <w:rPr>
          <w:rtl/>
        </w:rPr>
        <w:t xml:space="preserve"> </w:t>
      </w:r>
      <w:r w:rsidRPr="002F2BC5">
        <w:rPr>
          <w:rFonts w:hint="eastAsia"/>
          <w:rtl/>
        </w:rPr>
        <w:t>המקומית</w:t>
      </w:r>
      <w:r w:rsidRPr="002F2BC5">
        <w:rPr>
          <w:rtl/>
        </w:rPr>
        <w:t xml:space="preserve"> </w:t>
      </w:r>
      <w:r w:rsidRPr="002F2BC5">
        <w:rPr>
          <w:rFonts w:hint="eastAsia"/>
          <w:rtl/>
        </w:rPr>
        <w:t>קדימה</w:t>
      </w:r>
      <w:r w:rsidRPr="002F2BC5">
        <w:rPr>
          <w:rtl/>
        </w:rPr>
        <w:t>-צורן ובמועצ</w:t>
      </w:r>
      <w:r w:rsidRPr="002F2BC5">
        <w:rPr>
          <w:rFonts w:hint="eastAsia"/>
          <w:rtl/>
        </w:rPr>
        <w:t>ות</w:t>
      </w:r>
      <w:r w:rsidRPr="002F2BC5">
        <w:rPr>
          <w:rtl/>
        </w:rPr>
        <w:t xml:space="preserve"> האזורי</w:t>
      </w:r>
      <w:r w:rsidRPr="002F2BC5">
        <w:rPr>
          <w:rFonts w:hint="eastAsia"/>
          <w:rtl/>
        </w:rPr>
        <w:t>ות</w:t>
      </w:r>
      <w:r w:rsidRPr="002F2BC5">
        <w:rPr>
          <w:rtl/>
        </w:rPr>
        <w:t xml:space="preserve"> </w:t>
      </w:r>
      <w:r w:rsidRPr="002F2BC5">
        <w:rPr>
          <w:rFonts w:hint="eastAsia"/>
          <w:rtl/>
        </w:rPr>
        <w:t>דרום</w:t>
      </w:r>
      <w:r w:rsidRPr="002F2BC5">
        <w:rPr>
          <w:rtl/>
        </w:rPr>
        <w:t xml:space="preserve"> </w:t>
      </w:r>
      <w:r w:rsidRPr="002F2BC5">
        <w:rPr>
          <w:rFonts w:hint="eastAsia"/>
          <w:rtl/>
        </w:rPr>
        <w:t>השרון</w:t>
      </w:r>
      <w:r w:rsidRPr="002F2BC5">
        <w:rPr>
          <w:rtl/>
        </w:rPr>
        <w:t xml:space="preserve"> ומטה יהודה להקפיד על </w:t>
      </w:r>
      <w:r w:rsidRPr="002F2BC5">
        <w:rPr>
          <w:rFonts w:hint="cs"/>
          <w:rtl/>
        </w:rPr>
        <w:t xml:space="preserve">עצם </w:t>
      </w:r>
      <w:r w:rsidRPr="002F2BC5">
        <w:rPr>
          <w:rtl/>
        </w:rPr>
        <w:t xml:space="preserve">קביעת תוכנית עבודה שנתית </w:t>
      </w:r>
      <w:r w:rsidRPr="002F2BC5">
        <w:rPr>
          <w:rFonts w:hint="cs"/>
          <w:rtl/>
        </w:rPr>
        <w:t xml:space="preserve">וכן על כך שזו תכלול </w:t>
      </w:r>
      <w:r w:rsidRPr="002F2BC5">
        <w:rPr>
          <w:rFonts w:hint="eastAsia"/>
          <w:rtl/>
        </w:rPr>
        <w:t>תכנון</w:t>
      </w:r>
      <w:r w:rsidRPr="002F2BC5">
        <w:rPr>
          <w:rtl/>
        </w:rPr>
        <w:t xml:space="preserve"> תקציבי, יעדים לשנת העבודה וכן מדדי ביצוע ומדדי תוצאה בני מדידה.</w:t>
      </w:r>
      <w:bookmarkEnd w:id="1465"/>
      <w:bookmarkEnd w:id="1466"/>
      <w:bookmarkEnd w:id="1467"/>
      <w:bookmarkEnd w:id="1468"/>
      <w:bookmarkEnd w:id="1469"/>
      <w:bookmarkEnd w:id="1470"/>
      <w:bookmarkEnd w:id="1471"/>
    </w:p>
    <w:p w14:paraId="1793A35C" w14:textId="77777777" w:rsidR="00817399" w:rsidRPr="002F2BC5" w:rsidRDefault="00817399" w:rsidP="00817399">
      <w:pPr>
        <w:spacing w:line="269" w:lineRule="auto"/>
        <w:rPr>
          <w:rtl/>
        </w:rPr>
      </w:pPr>
    </w:p>
    <w:p w14:paraId="15EEB819" w14:textId="77777777" w:rsidR="00817399" w:rsidRPr="002F2BC5" w:rsidRDefault="00817399" w:rsidP="00817399">
      <w:pPr>
        <w:pStyle w:val="afffffffa"/>
        <w:spacing w:line="269" w:lineRule="auto"/>
        <w:rPr>
          <w:rtl/>
        </w:rPr>
      </w:pPr>
      <w:r w:rsidRPr="002F2BC5">
        <w:rPr>
          <w:rFonts w:hint="cs"/>
          <w:rtl/>
        </w:rPr>
        <w:t xml:space="preserve">על משרד הרווחה לקיים מעקב שיטתי וסדור אחר התכנסות ועדות ההיגוי במרכזים לטיפול ומניעת אלימות במשפחה וכן על השתתפות מפקחיו המחוזיים בדיוניהן כנדרש בהוראות </w:t>
      </w:r>
      <w:r w:rsidRPr="002F2BC5">
        <w:rPr>
          <w:rFonts w:hint="cs"/>
          <w:rtl/>
        </w:rPr>
        <w:lastRenderedPageBreak/>
        <w:t xml:space="preserve">התע"ס. מומלץ עוד כי מסד הנתונים שמנהל משרד הרווחה על אודות התכנסות ועדות ההיגוי ותדירות התכנסותן יתבסס על מידע שייאסף באמצעות כלי הבקרה הממוחשב ולא על דיווחיהם העצמיים של המרכזים המועברים אליו באופן ידני. </w:t>
      </w:r>
    </w:p>
    <w:p w14:paraId="021948FD" w14:textId="77777777" w:rsidR="00817399" w:rsidRPr="002F2BC5" w:rsidRDefault="00817399" w:rsidP="00817399">
      <w:pPr>
        <w:spacing w:line="269" w:lineRule="auto"/>
        <w:rPr>
          <w:rtl/>
        </w:rPr>
      </w:pPr>
    </w:p>
    <w:p w14:paraId="1F11C457" w14:textId="77777777" w:rsidR="00817399" w:rsidRPr="002F2BC5" w:rsidRDefault="00817399" w:rsidP="00817399">
      <w:pPr>
        <w:spacing w:line="269" w:lineRule="auto"/>
        <w:rPr>
          <w:rtl/>
        </w:rPr>
      </w:pPr>
      <w:r w:rsidRPr="002F2BC5">
        <w:rPr>
          <w:rFonts w:hint="eastAsia"/>
          <w:rtl/>
        </w:rPr>
        <w:t>מרכז</w:t>
      </w:r>
      <w:r w:rsidRPr="002F2BC5">
        <w:rPr>
          <w:rtl/>
        </w:rPr>
        <w:t xml:space="preserve"> השלטון המקומי מסר בתשובתו כי </w:t>
      </w:r>
      <w:r w:rsidRPr="002F2BC5">
        <w:rPr>
          <w:rFonts w:hint="eastAsia"/>
          <w:rtl/>
        </w:rPr>
        <w:t>ממצאי</w:t>
      </w:r>
      <w:r w:rsidRPr="002F2BC5">
        <w:rPr>
          <w:rtl/>
        </w:rPr>
        <w:t xml:space="preserve"> הביקורת המתייחסים להתכנסותן המועטה של ועדות ההיגוי </w:t>
      </w:r>
      <w:r w:rsidRPr="002F2BC5">
        <w:rPr>
          <w:rFonts w:hint="eastAsia"/>
          <w:rtl/>
        </w:rPr>
        <w:t>מלמדים</w:t>
      </w:r>
      <w:r w:rsidRPr="002F2BC5">
        <w:rPr>
          <w:rtl/>
        </w:rPr>
        <w:t xml:space="preserve"> </w:t>
      </w:r>
      <w:r w:rsidRPr="002F2BC5">
        <w:rPr>
          <w:rFonts w:hint="eastAsia"/>
          <w:rtl/>
        </w:rPr>
        <w:t>על</w:t>
      </w:r>
      <w:r w:rsidRPr="002F2BC5">
        <w:rPr>
          <w:rtl/>
        </w:rPr>
        <w:t xml:space="preserve"> </w:t>
      </w:r>
      <w:r w:rsidRPr="002F2BC5">
        <w:rPr>
          <w:rFonts w:hint="eastAsia"/>
          <w:rtl/>
        </w:rPr>
        <w:t>צורך</w:t>
      </w:r>
      <w:r w:rsidRPr="002F2BC5">
        <w:rPr>
          <w:rtl/>
        </w:rPr>
        <w:t xml:space="preserve"> </w:t>
      </w:r>
      <w:r w:rsidRPr="002F2BC5">
        <w:rPr>
          <w:rFonts w:hint="eastAsia"/>
          <w:rtl/>
        </w:rPr>
        <w:t>בבחינה</w:t>
      </w:r>
      <w:r w:rsidRPr="002F2BC5">
        <w:rPr>
          <w:rtl/>
        </w:rPr>
        <w:t xml:space="preserve"> </w:t>
      </w:r>
      <w:r w:rsidRPr="002F2BC5">
        <w:rPr>
          <w:rFonts w:hint="eastAsia"/>
          <w:rtl/>
        </w:rPr>
        <w:t>מחודשת</w:t>
      </w:r>
      <w:r w:rsidRPr="002F2BC5">
        <w:rPr>
          <w:rtl/>
        </w:rPr>
        <w:t xml:space="preserve">, בשיתוף </w:t>
      </w:r>
      <w:r w:rsidRPr="002F2BC5">
        <w:rPr>
          <w:rFonts w:hint="eastAsia"/>
          <w:rtl/>
        </w:rPr>
        <w:t>עימו</w:t>
      </w:r>
      <w:r w:rsidRPr="002F2BC5">
        <w:rPr>
          <w:rtl/>
        </w:rPr>
        <w:t xml:space="preserve">, של מטרת התכנסות הוועדות והרכבן </w:t>
      </w:r>
      <w:r w:rsidRPr="002F2BC5">
        <w:rPr>
          <w:rFonts w:hint="cs"/>
          <w:rtl/>
        </w:rPr>
        <w:t>כדי</w:t>
      </w:r>
      <w:r w:rsidRPr="002F2BC5">
        <w:rPr>
          <w:rtl/>
        </w:rPr>
        <w:t xml:space="preserve"> להבטיח את תרומתן לפעילות המרכזים והמחלקות לשירותים חברתיים.</w:t>
      </w:r>
    </w:p>
    <w:p w14:paraId="07A5FA74" w14:textId="77777777" w:rsidR="00817399" w:rsidRPr="002F2BC5" w:rsidRDefault="00817399" w:rsidP="00817399">
      <w:pPr>
        <w:spacing w:line="269" w:lineRule="auto"/>
        <w:rPr>
          <w:rtl/>
        </w:rPr>
      </w:pPr>
    </w:p>
    <w:p w14:paraId="0585EB24" w14:textId="77777777" w:rsidR="00817399" w:rsidRPr="002F2BC5" w:rsidRDefault="00817399" w:rsidP="00817399">
      <w:pPr>
        <w:pStyle w:val="afffffffa"/>
        <w:spacing w:line="269" w:lineRule="auto"/>
        <w:rPr>
          <w:rtl/>
        </w:rPr>
      </w:pPr>
      <w:r w:rsidRPr="002F2BC5">
        <w:rPr>
          <w:rFonts w:hint="eastAsia"/>
          <w:rtl/>
        </w:rPr>
        <w:t>עוד</w:t>
      </w:r>
      <w:r w:rsidRPr="002F2BC5">
        <w:rPr>
          <w:rtl/>
        </w:rPr>
        <w:t xml:space="preserve"> </w:t>
      </w:r>
      <w:r w:rsidRPr="002F2BC5">
        <w:rPr>
          <w:rFonts w:hint="eastAsia"/>
          <w:rtl/>
        </w:rPr>
        <w:t>מומלץ</w:t>
      </w:r>
      <w:r w:rsidRPr="002F2BC5">
        <w:rPr>
          <w:rtl/>
        </w:rPr>
        <w:t xml:space="preserve"> </w:t>
      </w:r>
      <w:r w:rsidRPr="002F2BC5">
        <w:rPr>
          <w:rFonts w:hint="eastAsia"/>
          <w:rtl/>
        </w:rPr>
        <w:t>כי</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ישלים</w:t>
      </w:r>
      <w:r w:rsidRPr="002F2BC5">
        <w:rPr>
          <w:rtl/>
        </w:rPr>
        <w:t xml:space="preserve"> </w:t>
      </w:r>
      <w:r w:rsidRPr="002F2BC5">
        <w:rPr>
          <w:rFonts w:hint="eastAsia"/>
          <w:rtl/>
        </w:rPr>
        <w:t>את</w:t>
      </w:r>
      <w:r w:rsidRPr="002F2BC5">
        <w:rPr>
          <w:rtl/>
        </w:rPr>
        <w:t xml:space="preserve"> </w:t>
      </w:r>
      <w:r w:rsidRPr="002F2BC5">
        <w:rPr>
          <w:rFonts w:hint="eastAsia"/>
          <w:rtl/>
        </w:rPr>
        <w:t>עדכון</w:t>
      </w:r>
      <w:r w:rsidRPr="002F2BC5">
        <w:rPr>
          <w:rtl/>
        </w:rPr>
        <w:t xml:space="preserve"> </w:t>
      </w:r>
      <w:r w:rsidRPr="002F2BC5">
        <w:rPr>
          <w:rFonts w:hint="eastAsia"/>
          <w:rtl/>
        </w:rPr>
        <w:t>הוראות</w:t>
      </w:r>
      <w:r w:rsidRPr="002F2BC5">
        <w:rPr>
          <w:rtl/>
        </w:rPr>
        <w:t xml:space="preserve"> התע"ס</w:t>
      </w:r>
      <w:r w:rsidRPr="002F2BC5">
        <w:rPr>
          <w:rFonts w:hint="cs"/>
          <w:rtl/>
        </w:rPr>
        <w:t>, ו</w:t>
      </w:r>
      <w:r w:rsidRPr="002F2BC5">
        <w:rPr>
          <w:rtl/>
        </w:rPr>
        <w:t xml:space="preserve">במסגרתן יונחו המרכזים בנוגע </w:t>
      </w:r>
      <w:r w:rsidRPr="002F2BC5">
        <w:rPr>
          <w:rFonts w:hint="cs"/>
          <w:rtl/>
        </w:rPr>
        <w:t>לגיבוש</w:t>
      </w:r>
      <w:r w:rsidRPr="002F2BC5">
        <w:rPr>
          <w:rtl/>
        </w:rPr>
        <w:t xml:space="preserve"> תוכנית </w:t>
      </w:r>
      <w:r w:rsidRPr="002F2BC5">
        <w:rPr>
          <w:rFonts w:hint="eastAsia"/>
          <w:rtl/>
        </w:rPr>
        <w:t>העבודה</w:t>
      </w:r>
      <w:r w:rsidRPr="002F2BC5">
        <w:rPr>
          <w:rtl/>
        </w:rPr>
        <w:t xml:space="preserve"> השנתית</w:t>
      </w:r>
      <w:r w:rsidRPr="002F2BC5">
        <w:rPr>
          <w:rFonts w:hint="cs"/>
          <w:rtl/>
        </w:rPr>
        <w:t xml:space="preserve">, </w:t>
      </w:r>
      <w:r w:rsidRPr="002F2BC5">
        <w:rPr>
          <w:rtl/>
        </w:rPr>
        <w:t xml:space="preserve">לרכיבים שמומלץ לכלול בה </w:t>
      </w:r>
      <w:r w:rsidRPr="002F2BC5">
        <w:rPr>
          <w:rFonts w:hint="eastAsia"/>
          <w:rtl/>
        </w:rPr>
        <w:t>ולהליך</w:t>
      </w:r>
      <w:r w:rsidRPr="002F2BC5">
        <w:rPr>
          <w:rtl/>
        </w:rPr>
        <w:t xml:space="preserve"> </w:t>
      </w:r>
      <w:r w:rsidRPr="002F2BC5">
        <w:rPr>
          <w:rFonts w:hint="eastAsia"/>
          <w:rtl/>
        </w:rPr>
        <w:t>אישור</w:t>
      </w:r>
      <w:r w:rsidRPr="002F2BC5">
        <w:rPr>
          <w:rtl/>
        </w:rPr>
        <w:t xml:space="preserve"> </w:t>
      </w:r>
      <w:r w:rsidRPr="002F2BC5">
        <w:rPr>
          <w:rFonts w:hint="eastAsia"/>
          <w:rtl/>
        </w:rPr>
        <w:t>התוכנית</w:t>
      </w:r>
      <w:r w:rsidRPr="002F2BC5">
        <w:rPr>
          <w:rFonts w:hint="cs"/>
          <w:rtl/>
        </w:rPr>
        <w:t>, מהלך שי</w:t>
      </w:r>
      <w:r w:rsidRPr="002F2BC5">
        <w:rPr>
          <w:rtl/>
        </w:rPr>
        <w:t xml:space="preserve">חזק את המחויבות לעמידה ביעדים שנקבעו בה. נוסף על כך, מומלץ למשרד הרווחה כי במסגרת הדיווח השנתי שמעבירים המרכזים תיכלל התייחסות גם לקביעת תוכנית העבודה השנתית, לאישורה </w:t>
      </w:r>
      <w:r w:rsidRPr="002F2BC5">
        <w:rPr>
          <w:rFonts w:hint="eastAsia"/>
          <w:rtl/>
        </w:rPr>
        <w:t>כנדרש</w:t>
      </w:r>
      <w:r w:rsidRPr="002F2BC5">
        <w:rPr>
          <w:rtl/>
        </w:rPr>
        <w:t xml:space="preserve"> </w:t>
      </w:r>
      <w:r w:rsidRPr="002F2BC5">
        <w:rPr>
          <w:rFonts w:hint="eastAsia"/>
          <w:rtl/>
        </w:rPr>
        <w:t>ולעמידה</w:t>
      </w:r>
      <w:r w:rsidRPr="002F2BC5">
        <w:rPr>
          <w:rtl/>
        </w:rPr>
        <w:t xml:space="preserve"> </w:t>
      </w:r>
      <w:r w:rsidRPr="002F2BC5">
        <w:rPr>
          <w:rFonts w:hint="eastAsia"/>
          <w:rtl/>
        </w:rPr>
        <w:t>ביעדים</w:t>
      </w:r>
      <w:r w:rsidRPr="002F2BC5">
        <w:rPr>
          <w:rtl/>
        </w:rPr>
        <w:t xml:space="preserve"> </w:t>
      </w:r>
      <w:r w:rsidRPr="002F2BC5">
        <w:rPr>
          <w:rFonts w:hint="eastAsia"/>
          <w:rtl/>
        </w:rPr>
        <w:t>שנקבעו</w:t>
      </w:r>
      <w:r w:rsidRPr="002F2BC5">
        <w:rPr>
          <w:rtl/>
        </w:rPr>
        <w:t xml:space="preserve"> </w:t>
      </w:r>
      <w:r w:rsidRPr="002F2BC5">
        <w:rPr>
          <w:rFonts w:hint="eastAsia"/>
          <w:rtl/>
        </w:rPr>
        <w:t>בה</w:t>
      </w:r>
      <w:r w:rsidRPr="002F2BC5">
        <w:rPr>
          <w:rtl/>
        </w:rPr>
        <w:t>.</w:t>
      </w:r>
      <w:r w:rsidRPr="002F2BC5">
        <w:rPr>
          <w:rFonts w:hint="cs"/>
          <w:rtl/>
        </w:rPr>
        <w:t xml:space="preserve"> בתוך כך מומלץ למשרד הרווחה לבחון גם את מתכונת עבודתה של ועדת ההיגוי ואת הרכבה, בשיתוף עם מרכז השלטון המקומי, כדי להבטיח את תפקודה המיטבי ואת תרומתה לפעילות המרכזים לטיפול ומניעת אלימות במשפחה והמחלקות לשירותים חברתיים.</w:t>
      </w:r>
    </w:p>
    <w:p w14:paraId="7D9A83FD" w14:textId="77777777" w:rsidR="00817399" w:rsidRPr="002F2BC5" w:rsidRDefault="00817399" w:rsidP="00817399">
      <w:pPr>
        <w:spacing w:line="269" w:lineRule="auto"/>
        <w:rPr>
          <w:rtl/>
        </w:rPr>
      </w:pPr>
    </w:p>
    <w:p w14:paraId="2BC67ECB" w14:textId="77777777" w:rsidR="00817399" w:rsidRPr="002F2BC5" w:rsidRDefault="00817399" w:rsidP="00817399">
      <w:pPr>
        <w:spacing w:line="269" w:lineRule="auto"/>
        <w:rPr>
          <w:rtl/>
        </w:rPr>
      </w:pPr>
      <w:r w:rsidRPr="002F2BC5">
        <w:rPr>
          <w:rFonts w:hint="cs"/>
          <w:rtl/>
        </w:rPr>
        <w:t>משרד הרווחה מסר בתשובתו כי תהליך העדכון של הוראות התע"ס מצוי בעיצומו.</w:t>
      </w:r>
    </w:p>
    <w:p w14:paraId="78FAEB37" w14:textId="77777777" w:rsidR="00817399" w:rsidRPr="002F2BC5" w:rsidRDefault="00817399" w:rsidP="00817399">
      <w:pPr>
        <w:spacing w:line="269" w:lineRule="auto"/>
        <w:rPr>
          <w:rtl/>
        </w:rPr>
      </w:pPr>
    </w:p>
    <w:p w14:paraId="4D1E8308" w14:textId="77777777" w:rsidR="00817399" w:rsidRPr="002F2BC5" w:rsidRDefault="00817399" w:rsidP="00817399">
      <w:pPr>
        <w:spacing w:line="269" w:lineRule="auto"/>
        <w:rPr>
          <w:rtl/>
        </w:rPr>
      </w:pPr>
      <w:r w:rsidRPr="002F2BC5">
        <w:rPr>
          <w:rFonts w:hint="cs"/>
          <w:rtl/>
        </w:rPr>
        <w:t xml:space="preserve">עיריות </w:t>
      </w:r>
      <w:r w:rsidRPr="002F2BC5">
        <w:rPr>
          <w:rFonts w:hint="eastAsia"/>
          <w:b/>
          <w:bCs/>
          <w:rtl/>
        </w:rPr>
        <w:t>בני</w:t>
      </w:r>
      <w:r w:rsidRPr="002F2BC5">
        <w:rPr>
          <w:b/>
          <w:bCs/>
          <w:rtl/>
        </w:rPr>
        <w:t xml:space="preserve"> </w:t>
      </w:r>
      <w:r w:rsidRPr="002F2BC5">
        <w:rPr>
          <w:rFonts w:hint="eastAsia"/>
          <w:b/>
          <w:bCs/>
          <w:rtl/>
        </w:rPr>
        <w:t>ברק</w:t>
      </w:r>
      <w:r w:rsidRPr="002F2BC5">
        <w:rPr>
          <w:rFonts w:hint="cs"/>
          <w:rtl/>
        </w:rPr>
        <w:t xml:space="preserve"> ו</w:t>
      </w:r>
      <w:r w:rsidRPr="002F2BC5">
        <w:rPr>
          <w:rFonts w:hint="eastAsia"/>
          <w:b/>
          <w:bCs/>
          <w:rtl/>
        </w:rPr>
        <w:t>קריית</w:t>
      </w:r>
      <w:r w:rsidRPr="002F2BC5">
        <w:rPr>
          <w:b/>
          <w:bCs/>
          <w:rtl/>
        </w:rPr>
        <w:t xml:space="preserve"> </w:t>
      </w:r>
      <w:r w:rsidRPr="002F2BC5">
        <w:rPr>
          <w:rFonts w:hint="eastAsia"/>
          <w:b/>
          <w:bCs/>
          <w:rtl/>
        </w:rPr>
        <w:t>מלאכי</w:t>
      </w:r>
      <w:r w:rsidRPr="002F2BC5">
        <w:rPr>
          <w:rFonts w:hint="cs"/>
          <w:rtl/>
        </w:rPr>
        <w:t xml:space="preserve"> מסרו בתשובותיהן כי יפעלו לכינוס ועדת ההיגוי בהתאם לנדרש. המועצה האזורית </w:t>
      </w:r>
      <w:r w:rsidRPr="002F2BC5">
        <w:rPr>
          <w:rFonts w:hint="cs"/>
          <w:b/>
          <w:bCs/>
          <w:rtl/>
        </w:rPr>
        <w:t>מטה יהודה</w:t>
      </w:r>
      <w:r w:rsidRPr="002F2BC5">
        <w:rPr>
          <w:rFonts w:hint="cs"/>
          <w:rtl/>
        </w:rPr>
        <w:t xml:space="preserve"> מסרה בתשובתה מאפריל 2025 כי ועדת ההיגוי לא התכנסה בתקופה הנדונה על רקע תחלופה של מנהלות המרכז בעקבות מחלתה של מנהלת המרכז הקודמת ופטירתה ובהמשך על רקע מלחמת חרבות ברזל, והוסיפה כי בכוונתה לכנס את ועדת ההיגוי בשנת 2025. גם העיריות </w:t>
      </w:r>
      <w:r w:rsidRPr="002F2BC5">
        <w:rPr>
          <w:rFonts w:hint="eastAsia"/>
          <w:b/>
          <w:bCs/>
          <w:rtl/>
        </w:rPr>
        <w:t>חדרה</w:t>
      </w:r>
      <w:r w:rsidRPr="002F2BC5">
        <w:rPr>
          <w:rFonts w:hint="cs"/>
          <w:rtl/>
        </w:rPr>
        <w:t xml:space="preserve"> ו</w:t>
      </w:r>
      <w:r w:rsidRPr="002F2BC5">
        <w:rPr>
          <w:rFonts w:hint="cs"/>
          <w:b/>
          <w:bCs/>
          <w:rtl/>
        </w:rPr>
        <w:t>עכו</w:t>
      </w:r>
      <w:r w:rsidRPr="002F2BC5">
        <w:rPr>
          <w:rFonts w:hint="cs"/>
          <w:rtl/>
        </w:rPr>
        <w:t xml:space="preserve"> מסרו בתשובותיהן כי ועדת ההיגוי לא התכנסה בתקופה הנידונה, בין השאר על רקע מלחמת חרבות ברזל. עיריית עכו הוסיפה כי ועדת ההיגוי לא התכנסה גם על רקע תחלופה של מנהלות המרכז וכי ככלל היא מקפידה על כינוסה של הוועדה מדי שנה. עיריית חדרה הוסיפה כי במהלך התכנסותה של ועדת ההיגוי בשנת 2024 נידונו סוגיות חשובות, ובכללן תוכנית העבודה של המרכז. המועצה המקומית </w:t>
      </w:r>
      <w:r w:rsidRPr="002F2BC5">
        <w:rPr>
          <w:rFonts w:hint="cs"/>
          <w:b/>
          <w:bCs/>
          <w:rtl/>
        </w:rPr>
        <w:t>קדימה-צורן</w:t>
      </w:r>
      <w:r w:rsidRPr="002F2BC5">
        <w:rPr>
          <w:rFonts w:hint="cs"/>
          <w:rtl/>
        </w:rPr>
        <w:t xml:space="preserve"> מסרה בתשובתה כי עד לרבעון האחרון של שנת 2024 המרכז לטיפול ומניעת אלימות במשפחה בהפעלתה היה מצוי בהליך הקמה ופעילותו לא הייתה רציפה, בין השאר על רקע תחלופה בכוח האדם וקושי באיוש המשרות, ועל כן לא חויבה בהקמתה של ועדת היגוי. היא הוסיפה כי אם המרכז ימשיך לפעול באופן עצמאי וברציפות תכונס ועדת ההיגוי, כנדרש בהוראות התע"ס, לקראת דצמבר 2025. עיריית </w:t>
      </w:r>
      <w:r w:rsidRPr="002F2BC5">
        <w:rPr>
          <w:rFonts w:hint="eastAsia"/>
          <w:b/>
          <w:bCs/>
          <w:rtl/>
        </w:rPr>
        <w:t>רהט</w:t>
      </w:r>
      <w:r w:rsidRPr="002F2BC5">
        <w:rPr>
          <w:rFonts w:hint="cs"/>
          <w:rtl/>
        </w:rPr>
        <w:t xml:space="preserve"> מסרה בתשובותיה כי בכל אחת מהשנים 2023 ו-2024 התכנסה ועדת ההיגוי פעם אחת בלבד על רקע יציאתה של מנהלת המרכז לחופשת לידה, והוסיפה כי הוועדה מתכנסת מדי שנה לבקשת המפקחת על המרכז ובהשתתפותה. </w:t>
      </w:r>
    </w:p>
    <w:p w14:paraId="2695B308" w14:textId="77777777" w:rsidR="00817399" w:rsidRPr="002F2BC5" w:rsidRDefault="00817399" w:rsidP="00817399">
      <w:pPr>
        <w:spacing w:line="269" w:lineRule="auto"/>
        <w:rPr>
          <w:rtl/>
        </w:rPr>
      </w:pPr>
    </w:p>
    <w:p w14:paraId="58020DAD"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ראש</w:t>
      </w:r>
      <w:r w:rsidRPr="002F2BC5">
        <w:rPr>
          <w:b/>
          <w:bCs/>
          <w:rtl/>
        </w:rPr>
        <w:t xml:space="preserve"> </w:t>
      </w:r>
      <w:r w:rsidRPr="002F2BC5">
        <w:rPr>
          <w:rFonts w:hint="eastAsia"/>
          <w:b/>
          <w:bCs/>
          <w:rtl/>
        </w:rPr>
        <w:t>העין</w:t>
      </w:r>
      <w:r w:rsidRPr="002F2BC5">
        <w:rPr>
          <w:rFonts w:hint="cs"/>
          <w:rtl/>
        </w:rPr>
        <w:t xml:space="preserve"> מסרה בתשובתה כי נכון למועד התשובה היא פועלת על פי הוראות התע"ס לעניין התכנסות ועדת ההיגוי והוסיפה כי תפעל כהמלצת הביקורת לעניין </w:t>
      </w:r>
      <w:r w:rsidRPr="002F2BC5">
        <w:rPr>
          <w:rtl/>
        </w:rPr>
        <w:t xml:space="preserve">תדירות </w:t>
      </w:r>
      <w:r w:rsidRPr="002F2BC5">
        <w:rPr>
          <w:rFonts w:hint="cs"/>
          <w:rtl/>
        </w:rPr>
        <w:t>התכנסות הוועדה, קביעת תוכנית עבודה מקושרת תקציב וקביעת</w:t>
      </w:r>
      <w:r w:rsidRPr="002F2BC5">
        <w:rPr>
          <w:rtl/>
        </w:rPr>
        <w:t xml:space="preserve"> מדדי תוצאה</w:t>
      </w:r>
      <w:r w:rsidRPr="002F2BC5">
        <w:rPr>
          <w:rFonts w:hint="cs"/>
          <w:rtl/>
        </w:rPr>
        <w:t xml:space="preserve">. עוד ציינה כי במהלך השנים הנזכרות ועדת ההיגוי לא פעלה והדיונים התקיימו </w:t>
      </w:r>
      <w:r w:rsidRPr="002F2BC5">
        <w:rPr>
          <w:rtl/>
        </w:rPr>
        <w:t>במסגרת הוועדה הרשותית למיגור אלימות</w:t>
      </w:r>
      <w:r w:rsidRPr="002F2BC5">
        <w:rPr>
          <w:rFonts w:hint="cs"/>
          <w:rtl/>
        </w:rPr>
        <w:t xml:space="preserve"> על רקע שינויים במצבת כוח האדם, ובכלל זה פרישתה לגמלאות של מנהלת המרכז ומינוי מחליפתה בתקן זמני. גם עיריית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מסרה בתשובתה כי תפעל לכינוס ועדת ההיגוי כנדרש והוסיפה כי תוכנית העבודה שעל פיה פועל המרכז כוללת יעדים ברורים ומדידים, והעירייה תפעל לכך שהיא תכלול גם תכנון תקציבי. </w:t>
      </w:r>
    </w:p>
    <w:p w14:paraId="61D38288" w14:textId="77777777" w:rsidR="00817399" w:rsidRPr="002F2BC5" w:rsidRDefault="00817399" w:rsidP="00817399">
      <w:pPr>
        <w:spacing w:line="269" w:lineRule="auto"/>
        <w:rPr>
          <w:rtl/>
        </w:rPr>
      </w:pPr>
      <w:r w:rsidRPr="002F2BC5">
        <w:rPr>
          <w:rFonts w:hint="eastAsia"/>
          <w:rtl/>
        </w:rPr>
        <w:t>עיריית</w:t>
      </w:r>
      <w:r w:rsidRPr="002F2BC5">
        <w:rPr>
          <w:rtl/>
        </w:rPr>
        <w:t xml:space="preserve"> </w:t>
      </w:r>
      <w:r w:rsidRPr="002F2BC5">
        <w:rPr>
          <w:rFonts w:hint="eastAsia"/>
          <w:b/>
          <w:bCs/>
          <w:rtl/>
        </w:rPr>
        <w:t>יבנה</w:t>
      </w:r>
      <w:r w:rsidRPr="002F2BC5">
        <w:rPr>
          <w:rtl/>
        </w:rPr>
        <w:t xml:space="preserve"> מסרה בתשובתה כי </w:t>
      </w:r>
      <w:r w:rsidRPr="002F2BC5">
        <w:rPr>
          <w:rFonts w:hint="eastAsia"/>
          <w:rtl/>
        </w:rPr>
        <w:t>בדיוניה</w:t>
      </w:r>
      <w:r w:rsidRPr="002F2BC5">
        <w:rPr>
          <w:rtl/>
        </w:rPr>
        <w:t xml:space="preserve"> של ועדת ההיגוי </w:t>
      </w:r>
      <w:r w:rsidRPr="002F2BC5">
        <w:rPr>
          <w:rFonts w:hint="eastAsia"/>
          <w:rtl/>
        </w:rPr>
        <w:t>בשנים</w:t>
      </w:r>
      <w:r w:rsidRPr="002F2BC5">
        <w:rPr>
          <w:rtl/>
        </w:rPr>
        <w:t xml:space="preserve"> 2023 ו-2024 </w:t>
      </w:r>
      <w:r w:rsidRPr="002F2BC5">
        <w:rPr>
          <w:rFonts w:hint="eastAsia"/>
          <w:rtl/>
        </w:rPr>
        <w:t>השתתפו</w:t>
      </w:r>
      <w:r w:rsidRPr="002F2BC5">
        <w:rPr>
          <w:rtl/>
        </w:rPr>
        <w:t xml:space="preserve"> </w:t>
      </w:r>
      <w:r w:rsidRPr="002F2BC5">
        <w:rPr>
          <w:rFonts w:hint="eastAsia"/>
          <w:rtl/>
        </w:rPr>
        <w:t>מנהלת</w:t>
      </w:r>
      <w:r w:rsidRPr="002F2BC5">
        <w:rPr>
          <w:rtl/>
        </w:rPr>
        <w:t xml:space="preserve"> </w:t>
      </w:r>
      <w:r w:rsidRPr="002F2BC5">
        <w:rPr>
          <w:rFonts w:hint="eastAsia"/>
          <w:rtl/>
        </w:rPr>
        <w:t>האגף</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 xml:space="preserve">, </w:t>
      </w:r>
      <w:r w:rsidRPr="002F2BC5">
        <w:rPr>
          <w:rFonts w:hint="eastAsia"/>
          <w:rtl/>
        </w:rPr>
        <w:t>המפקחת</w:t>
      </w:r>
      <w:r w:rsidRPr="002F2BC5">
        <w:rPr>
          <w:rtl/>
        </w:rPr>
        <w:t xml:space="preserve"> </w:t>
      </w:r>
      <w:r w:rsidRPr="002F2BC5">
        <w:rPr>
          <w:rFonts w:hint="eastAsia"/>
          <w:rtl/>
        </w:rPr>
        <w:t>המחוזית</w:t>
      </w:r>
      <w:r w:rsidRPr="002F2BC5">
        <w:rPr>
          <w:rtl/>
        </w:rPr>
        <w:t xml:space="preserve"> </w:t>
      </w:r>
      <w:r w:rsidRPr="002F2BC5">
        <w:rPr>
          <w:rFonts w:hint="eastAsia"/>
          <w:rtl/>
        </w:rPr>
        <w:t>מטעם</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ומנהלת</w:t>
      </w:r>
      <w:r w:rsidRPr="002F2BC5">
        <w:rPr>
          <w:rtl/>
        </w:rPr>
        <w:t xml:space="preserve"> </w:t>
      </w:r>
      <w:r w:rsidRPr="002F2BC5">
        <w:rPr>
          <w:rFonts w:hint="eastAsia"/>
          <w:rtl/>
        </w:rPr>
        <w:t>היחידה</w:t>
      </w:r>
      <w:r w:rsidRPr="002F2BC5">
        <w:rPr>
          <w:rtl/>
        </w:rPr>
        <w:t xml:space="preserve"> </w:t>
      </w:r>
      <w:r w:rsidRPr="002F2BC5">
        <w:rPr>
          <w:rFonts w:hint="eastAsia"/>
          <w:rtl/>
        </w:rPr>
        <w:t>לטיפול</w:t>
      </w:r>
      <w:r w:rsidRPr="002F2BC5">
        <w:rPr>
          <w:rtl/>
        </w:rPr>
        <w:t xml:space="preserve"> </w:t>
      </w:r>
      <w:r w:rsidRPr="002F2BC5">
        <w:rPr>
          <w:rFonts w:hint="eastAsia"/>
          <w:rtl/>
        </w:rPr>
        <w:t>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והוצגו</w:t>
      </w:r>
      <w:r w:rsidRPr="002F2BC5">
        <w:rPr>
          <w:rtl/>
        </w:rPr>
        <w:t xml:space="preserve"> </w:t>
      </w:r>
      <w:r w:rsidRPr="002F2BC5">
        <w:rPr>
          <w:rFonts w:hint="eastAsia"/>
          <w:rtl/>
        </w:rPr>
        <w:t>במהלכם</w:t>
      </w:r>
      <w:r w:rsidRPr="002F2BC5">
        <w:rPr>
          <w:rtl/>
        </w:rPr>
        <w:t xml:space="preserve"> </w:t>
      </w:r>
      <w:r w:rsidRPr="002F2BC5">
        <w:rPr>
          <w:rFonts w:hint="eastAsia"/>
          <w:rtl/>
        </w:rPr>
        <w:t>נתונים</w:t>
      </w:r>
      <w:r w:rsidRPr="002F2BC5">
        <w:rPr>
          <w:rtl/>
        </w:rPr>
        <w:t xml:space="preserve"> </w:t>
      </w:r>
      <w:r w:rsidRPr="002F2BC5">
        <w:rPr>
          <w:rFonts w:hint="cs"/>
          <w:rtl/>
        </w:rPr>
        <w:t xml:space="preserve">על </w:t>
      </w:r>
      <w:r w:rsidRPr="002F2BC5">
        <w:rPr>
          <w:rFonts w:hint="eastAsia"/>
          <w:rtl/>
        </w:rPr>
        <w:t>אודות</w:t>
      </w:r>
      <w:r w:rsidRPr="002F2BC5">
        <w:rPr>
          <w:rtl/>
        </w:rPr>
        <w:t xml:space="preserve"> </w:t>
      </w:r>
      <w:r w:rsidRPr="002F2BC5">
        <w:rPr>
          <w:rFonts w:hint="eastAsia"/>
          <w:rtl/>
        </w:rPr>
        <w:t>פעילות</w:t>
      </w:r>
      <w:r w:rsidRPr="002F2BC5">
        <w:rPr>
          <w:rtl/>
        </w:rPr>
        <w:t xml:space="preserve"> </w:t>
      </w:r>
      <w:r w:rsidRPr="002F2BC5">
        <w:rPr>
          <w:rFonts w:hint="cs"/>
          <w:rtl/>
        </w:rPr>
        <w:t>היחידה</w:t>
      </w:r>
      <w:r w:rsidRPr="002F2BC5">
        <w:rPr>
          <w:rtl/>
        </w:rPr>
        <w:t xml:space="preserve"> ו</w:t>
      </w:r>
      <w:r w:rsidRPr="002F2BC5">
        <w:rPr>
          <w:rFonts w:hint="eastAsia"/>
          <w:rtl/>
        </w:rPr>
        <w:t>צרכי</w:t>
      </w:r>
      <w:r w:rsidRPr="002F2BC5">
        <w:rPr>
          <w:rFonts w:hint="cs"/>
          <w:rtl/>
        </w:rPr>
        <w:t>ה</w:t>
      </w:r>
      <w:r w:rsidRPr="002F2BC5">
        <w:rPr>
          <w:rtl/>
        </w:rPr>
        <w:t>. עוד ציינה כי לאור הביקורת היא תפעל לכ</w:t>
      </w:r>
      <w:r w:rsidRPr="002F2BC5">
        <w:rPr>
          <w:rFonts w:hint="cs"/>
          <w:rtl/>
        </w:rPr>
        <w:t>ך</w:t>
      </w:r>
      <w:r w:rsidRPr="002F2BC5">
        <w:rPr>
          <w:rtl/>
        </w:rPr>
        <w:t xml:space="preserve"> שיוזמנו לדיוניה של </w:t>
      </w:r>
      <w:r w:rsidRPr="002F2BC5">
        <w:rPr>
          <w:rFonts w:hint="eastAsia"/>
          <w:rtl/>
        </w:rPr>
        <w:t>ועדת</w:t>
      </w:r>
      <w:r w:rsidRPr="002F2BC5">
        <w:rPr>
          <w:rtl/>
        </w:rPr>
        <w:t xml:space="preserve"> ההיגוי בעלי עניין נוספים, ובכללם </w:t>
      </w:r>
      <w:r w:rsidRPr="002F2BC5">
        <w:rPr>
          <w:rFonts w:hint="eastAsia"/>
          <w:rtl/>
        </w:rPr>
        <w:t>נציגי</w:t>
      </w:r>
      <w:r w:rsidRPr="002F2BC5">
        <w:rPr>
          <w:rtl/>
        </w:rPr>
        <w:t xml:space="preserve"> </w:t>
      </w:r>
      <w:r w:rsidRPr="002F2BC5">
        <w:rPr>
          <w:rFonts w:hint="eastAsia"/>
          <w:rtl/>
        </w:rPr>
        <w:t>תחנת</w:t>
      </w:r>
      <w:r w:rsidRPr="002F2BC5">
        <w:rPr>
          <w:rtl/>
        </w:rPr>
        <w:t xml:space="preserve"> </w:t>
      </w:r>
      <w:r w:rsidRPr="002F2BC5">
        <w:rPr>
          <w:rFonts w:hint="eastAsia"/>
          <w:rtl/>
        </w:rPr>
        <w:t>משטרת</w:t>
      </w:r>
      <w:r w:rsidRPr="002F2BC5">
        <w:rPr>
          <w:rtl/>
        </w:rPr>
        <w:t xml:space="preserve"> </w:t>
      </w:r>
      <w:r w:rsidRPr="002F2BC5">
        <w:rPr>
          <w:rFonts w:hint="eastAsia"/>
          <w:rtl/>
        </w:rPr>
        <w:t>יבנה</w:t>
      </w:r>
      <w:r w:rsidRPr="002F2BC5">
        <w:rPr>
          <w:rtl/>
        </w:rPr>
        <w:t xml:space="preserve"> </w:t>
      </w:r>
      <w:r w:rsidRPr="002F2BC5">
        <w:rPr>
          <w:rFonts w:hint="eastAsia"/>
          <w:rtl/>
        </w:rPr>
        <w:t>וקופות</w:t>
      </w:r>
      <w:r w:rsidRPr="002F2BC5">
        <w:rPr>
          <w:rtl/>
        </w:rPr>
        <w:t xml:space="preserve"> </w:t>
      </w:r>
      <w:r w:rsidRPr="002F2BC5">
        <w:rPr>
          <w:rFonts w:hint="eastAsia"/>
          <w:rtl/>
        </w:rPr>
        <w:t>החולים</w:t>
      </w:r>
      <w:r w:rsidRPr="002F2BC5">
        <w:rPr>
          <w:rtl/>
        </w:rPr>
        <w:t>.</w:t>
      </w:r>
    </w:p>
    <w:p w14:paraId="0A438FB3" w14:textId="77777777" w:rsidR="00817399" w:rsidRPr="002F2BC5" w:rsidRDefault="00817399" w:rsidP="00817399">
      <w:pPr>
        <w:spacing w:line="269" w:lineRule="auto"/>
        <w:rPr>
          <w:rtl/>
        </w:rPr>
      </w:pPr>
    </w:p>
    <w:p w14:paraId="5CEC75E8" w14:textId="77777777" w:rsidR="00817399" w:rsidRPr="002F2BC5" w:rsidRDefault="00817399" w:rsidP="00817399">
      <w:pPr>
        <w:spacing w:line="269" w:lineRule="auto"/>
        <w:rPr>
          <w:rtl/>
        </w:rPr>
      </w:pPr>
      <w:r w:rsidRPr="002F2BC5">
        <w:rPr>
          <w:rFonts w:hint="cs"/>
          <w:rtl/>
        </w:rPr>
        <w:lastRenderedPageBreak/>
        <w:t xml:space="preserve">משטרת ישראל מסרה בתשובתה, לעניין זימונם של נציגיה לדיוני ועדות ההיגוי, כי קציני נפגעי עבירה ומשפחה מקיימים קשרי עבודה שוטפים עם מקביליהם במשרד הרווחה. בהקשר זה מסרה כי ממשקי עבודה שוטפים מתקיימים על בסיס חודשי, רבעוני ושנתי בין תחנות המשטרה, מרחבי המשטרה ומחוזותיה ובין נציגי הרווחה הרלוונטיים, וזאת גם במסגרת נוהל </w:t>
      </w:r>
      <w:r w:rsidRPr="002F2BC5">
        <w:rPr>
          <w:rtl/>
        </w:rPr>
        <w:t>משותף למשטרת ישראל ולמשרד הרווחה בנושא "טיוב התיאום בין משרד הרווחה והשירותים החברתיים ומשטרת ישראל בתחום אלימות במשפחה בדגש על נשים בסיכון גבוה"</w:t>
      </w:r>
      <w:r w:rsidRPr="002F2BC5">
        <w:rPr>
          <w:rFonts w:hint="cs"/>
          <w:rtl/>
        </w:rPr>
        <w:t>.</w:t>
      </w:r>
    </w:p>
    <w:p w14:paraId="767421BD" w14:textId="77777777" w:rsidR="00817399" w:rsidRPr="002F2BC5" w:rsidRDefault="00817399" w:rsidP="00817399">
      <w:pPr>
        <w:spacing w:line="269" w:lineRule="auto"/>
        <w:rPr>
          <w:rtl/>
        </w:rPr>
      </w:pPr>
    </w:p>
    <w:p w14:paraId="603F5568"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78BC5975" w14:textId="77777777" w:rsidR="00817399" w:rsidRPr="002F2BC5" w:rsidRDefault="00817399" w:rsidP="00817399">
      <w:pPr>
        <w:pStyle w:val="afffffff7"/>
        <w:spacing w:before="0" w:line="269" w:lineRule="auto"/>
        <w:rPr>
          <w:b/>
          <w:bCs/>
          <w:rtl/>
        </w:rPr>
      </w:pPr>
      <w:bookmarkStart w:id="1472" w:name="_Toc198312280"/>
      <w:bookmarkStart w:id="1473" w:name="_Toc198312759"/>
      <w:r w:rsidRPr="002F2BC5">
        <w:rPr>
          <w:b/>
          <w:bCs/>
          <w:noProof/>
        </w:rPr>
        <w:drawing>
          <wp:inline distT="0" distB="0" distL="0" distR="0" wp14:anchorId="113DE801" wp14:editId="0EFA16AE">
            <wp:extent cx="4324350" cy="933450"/>
            <wp:effectExtent l="0" t="0" r="0" b="0"/>
            <wp:docPr id="2052770945"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472"/>
      <w:bookmarkEnd w:id="1473"/>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1531"/>
        <w:gridCol w:w="1531"/>
        <w:gridCol w:w="1531"/>
        <w:gridCol w:w="1531"/>
      </w:tblGrid>
      <w:tr w:rsidR="00817399" w:rsidRPr="002F2BC5" w14:paraId="09DD8440" w14:textId="77777777" w:rsidTr="00B14D2A">
        <w:trPr>
          <w:trHeight w:val="814"/>
          <w:jc w:val="center"/>
        </w:trPr>
        <w:tc>
          <w:tcPr>
            <w:tcW w:w="1531" w:type="dxa"/>
          </w:tcPr>
          <w:p w14:paraId="6CC0E62C" w14:textId="77777777" w:rsidR="00817399" w:rsidRPr="002F2BC5" w:rsidRDefault="00817399" w:rsidP="00B14D2A">
            <w:pPr>
              <w:spacing w:line="269" w:lineRule="auto"/>
              <w:jc w:val="center"/>
              <w:rPr>
                <w:rFonts w:ascii="Assistant" w:hAnsi="Assistant" w:cs="Assistant"/>
                <w:sz w:val="18"/>
                <w:szCs w:val="18"/>
                <w:rtl/>
              </w:rPr>
            </w:pPr>
          </w:p>
          <w:p w14:paraId="3F4B0BD0"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עכו</w:t>
            </w:r>
          </w:p>
          <w:p w14:paraId="3D10FEB5"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קריית מלאכי</w:t>
            </w:r>
          </w:p>
          <w:p w14:paraId="50083EEB"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ראש העין</w:t>
            </w:r>
          </w:p>
          <w:p w14:paraId="67629D0D" w14:textId="77777777" w:rsidR="00817399" w:rsidRPr="002F2BC5" w:rsidRDefault="00817399" w:rsidP="00B14D2A">
            <w:pPr>
              <w:spacing w:line="269" w:lineRule="auto"/>
              <w:jc w:val="center"/>
              <w:rPr>
                <w:rFonts w:ascii="Assistant" w:hAnsi="Assistant" w:cs="Assistant"/>
                <w:sz w:val="18"/>
                <w:szCs w:val="18"/>
                <w:rtl/>
              </w:rPr>
            </w:pPr>
          </w:p>
        </w:tc>
        <w:tc>
          <w:tcPr>
            <w:tcW w:w="1531" w:type="dxa"/>
          </w:tcPr>
          <w:p w14:paraId="4D2FFA33"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בית שמש</w:t>
            </w:r>
          </w:p>
          <w:p w14:paraId="449E67BE"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בני ברק</w:t>
            </w:r>
          </w:p>
          <w:p w14:paraId="0BFECF79"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דימונה</w:t>
            </w:r>
          </w:p>
          <w:p w14:paraId="496A1A91"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חדרה</w:t>
            </w:r>
          </w:p>
          <w:p w14:paraId="0689FCB4"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סח'נין</w:t>
            </w:r>
          </w:p>
          <w:p w14:paraId="76B03890"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רהט</w:t>
            </w:r>
          </w:p>
        </w:tc>
        <w:tc>
          <w:tcPr>
            <w:tcW w:w="1531" w:type="dxa"/>
          </w:tcPr>
          <w:p w14:paraId="6176EED6" w14:textId="77777777" w:rsidR="00817399" w:rsidRPr="002F2BC5" w:rsidRDefault="00817399" w:rsidP="00B14D2A">
            <w:pPr>
              <w:spacing w:line="269" w:lineRule="auto"/>
              <w:rPr>
                <w:rFonts w:ascii="Assistant" w:hAnsi="Assistant" w:cs="Assistant"/>
                <w:sz w:val="18"/>
                <w:szCs w:val="18"/>
                <w:rtl/>
              </w:rPr>
            </w:pPr>
          </w:p>
        </w:tc>
        <w:tc>
          <w:tcPr>
            <w:tcW w:w="1531" w:type="dxa"/>
          </w:tcPr>
          <w:p w14:paraId="2AB571C4" w14:textId="77777777" w:rsidR="00817399" w:rsidRPr="002F2BC5" w:rsidRDefault="00817399" w:rsidP="00B14D2A">
            <w:pPr>
              <w:spacing w:line="269" w:lineRule="auto"/>
              <w:rPr>
                <w:rFonts w:ascii="Assistant" w:hAnsi="Assistant" w:cs="Assistant"/>
                <w:sz w:val="18"/>
                <w:szCs w:val="18"/>
                <w:rtl/>
              </w:rPr>
            </w:pPr>
          </w:p>
        </w:tc>
        <w:tc>
          <w:tcPr>
            <w:tcW w:w="1531" w:type="dxa"/>
          </w:tcPr>
          <w:p w14:paraId="0DDA46DF" w14:textId="77777777" w:rsidR="00817399" w:rsidRPr="002F2BC5" w:rsidRDefault="00817399" w:rsidP="00B14D2A">
            <w:pPr>
              <w:spacing w:line="269" w:lineRule="auto"/>
              <w:jc w:val="center"/>
              <w:rPr>
                <w:rFonts w:ascii="Assistant" w:hAnsi="Assistant" w:cs="Assistant"/>
                <w:sz w:val="18"/>
                <w:szCs w:val="18"/>
                <w:rtl/>
              </w:rPr>
            </w:pPr>
          </w:p>
        </w:tc>
      </w:tr>
    </w:tbl>
    <w:p w14:paraId="12273750" w14:textId="77777777" w:rsidR="00817399" w:rsidRPr="002F2BC5" w:rsidRDefault="00817399" w:rsidP="00817399">
      <w:pPr>
        <w:spacing w:line="269" w:lineRule="auto"/>
        <w:rPr>
          <w:rtl/>
        </w:rPr>
      </w:pPr>
    </w:p>
    <w:p w14:paraId="0581A40D" w14:textId="77777777" w:rsidR="00817399" w:rsidRPr="002F2BC5" w:rsidRDefault="00817399" w:rsidP="00817399">
      <w:pPr>
        <w:pStyle w:val="8"/>
        <w:spacing w:line="269" w:lineRule="auto"/>
        <w:rPr>
          <w:rtl/>
        </w:rPr>
      </w:pPr>
      <w:r w:rsidRPr="002F2BC5">
        <w:rPr>
          <w:rStyle w:val="2f3"/>
          <w:rFonts w:hint="cs"/>
          <w:rtl/>
        </w:rPr>
        <w:t>הקשר בין המרכזים ובין המחלקות לשירותים חברתיים</w:t>
      </w:r>
      <w:r w:rsidRPr="002F2BC5">
        <w:rPr>
          <w:rStyle w:val="af9"/>
          <w:rtl/>
        </w:rPr>
        <w:footnoteReference w:id="296"/>
      </w:r>
    </w:p>
    <w:p w14:paraId="597F2BBC" w14:textId="77777777" w:rsidR="00817399" w:rsidRPr="002F2BC5" w:rsidRDefault="00817399" w:rsidP="00817399">
      <w:pPr>
        <w:spacing w:line="269" w:lineRule="auto"/>
        <w:rPr>
          <w:rtl/>
        </w:rPr>
      </w:pPr>
    </w:p>
    <w:p w14:paraId="7EBDC128" w14:textId="77777777" w:rsidR="00817399" w:rsidRPr="002F2BC5" w:rsidRDefault="00817399" w:rsidP="00817399">
      <w:pPr>
        <w:spacing w:line="269" w:lineRule="auto"/>
        <w:rPr>
          <w:rtl/>
        </w:rPr>
      </w:pPr>
      <w:r w:rsidRPr="002F2BC5">
        <w:rPr>
          <w:rFonts w:hint="cs"/>
          <w:rtl/>
        </w:rPr>
        <w:t>לפי הוראות התע"ס, בין שבתחומי הרשות המקומית פועל מרכז לטיפול ומניעת אלימות במשפחה ובין שלא פועל מרכז כאמור, על המחלקות לשירותים חברתיים לשקול למנות את אחד מעובדי המחלקה לתפקיד מרָכז לנושא המניעה והטיפול באלימות במשפחה במחלקה (להלן - מרָכז תחום אלימות במשפחה או מרָכז התחום). במסגרת תפקידו אמור מרָכז התחום לסייע למנהל המחלקה לשירותים חברתיים בקביעת תוכניות עבודה בהלימה עם מדיניות משרד הרווחה ובמעקב אחר ביצוען; להנחות את עובדי המחלקה והמרכז בתחום האלימות במשפחה; לרכז מידע וידע לשם הגברת המודעות, למידה ושיפור מתמשך; וכן להשתתף בישיבות ועדת ההיגוי של המרכז ולעמוד בקשר שוטף עם עובדי המרכז, אם פועל מרכז כאמור בתחומי הרשות המקומית</w:t>
      </w:r>
      <w:r w:rsidRPr="002F2BC5">
        <w:rPr>
          <w:rStyle w:val="af9"/>
          <w:rtl/>
        </w:rPr>
        <w:footnoteReference w:id="297"/>
      </w:r>
      <w:r w:rsidRPr="002F2BC5">
        <w:rPr>
          <w:rFonts w:hint="cs"/>
          <w:rtl/>
        </w:rPr>
        <w:t>.</w:t>
      </w:r>
    </w:p>
    <w:p w14:paraId="50A81105" w14:textId="77777777" w:rsidR="00817399" w:rsidRPr="002F2BC5" w:rsidRDefault="00817399" w:rsidP="00817399">
      <w:pPr>
        <w:spacing w:line="269" w:lineRule="auto"/>
        <w:rPr>
          <w:rtl/>
        </w:rPr>
      </w:pPr>
    </w:p>
    <w:p w14:paraId="5AA1BF76" w14:textId="77777777" w:rsidR="00817399" w:rsidRPr="002F2BC5" w:rsidRDefault="00817399" w:rsidP="00817399">
      <w:pPr>
        <w:spacing w:line="269" w:lineRule="auto"/>
        <w:rPr>
          <w:rtl/>
        </w:rPr>
      </w:pPr>
      <w:bookmarkStart w:id="1475" w:name="_Toc191987074"/>
      <w:r w:rsidRPr="002F2BC5">
        <w:rPr>
          <w:rStyle w:val="70"/>
          <w:rFonts w:hint="cs"/>
          <w:rtl/>
        </w:rPr>
        <w:t>הביקורת הקודמת:</w:t>
      </w:r>
      <w:bookmarkEnd w:id="1475"/>
      <w:r w:rsidRPr="002F2BC5">
        <w:rPr>
          <w:rStyle w:val="70"/>
          <w:rFonts w:hint="cs"/>
          <w:rtl/>
        </w:rPr>
        <w:t xml:space="preserve"> </w:t>
      </w:r>
      <w:r w:rsidRPr="002F2BC5">
        <w:rPr>
          <w:rFonts w:hint="cs"/>
          <w:rtl/>
        </w:rPr>
        <w:t>הביקורת הקודמת העלתה פער בין מספר בעלי הנזקקות הרשומים במחלקות בתחום האלימות במשפחה ומספר המופנים לטיפול לבין מספר המטופלים בפועל במרכזים: בשנת 2019 כ-62% בלבד מבין בעלי הנזקקות הרשומים במחלקות לשירותים חברתיים בתחום האלימות במשפחה הופנו לטיפול במרכזים לטיפול ומניעת אלימות במשפחה (15,653 מתוך 25,327), וכ-60% בלבד מבין המופנים לטיפול אכן טופלו במרכזים בשנה זו (9,758 מתוך 15,653)</w:t>
      </w:r>
      <w:r w:rsidRPr="002F2BC5">
        <w:rPr>
          <w:rStyle w:val="af9"/>
          <w:rtl/>
        </w:rPr>
        <w:footnoteReference w:id="298"/>
      </w:r>
      <w:r w:rsidRPr="002F2BC5">
        <w:rPr>
          <w:rFonts w:hint="cs"/>
          <w:rtl/>
        </w:rPr>
        <w:t xml:space="preserve">. </w:t>
      </w:r>
    </w:p>
    <w:p w14:paraId="0A3AF91F" w14:textId="77777777" w:rsidR="00817399" w:rsidRPr="002F2BC5" w:rsidRDefault="00817399" w:rsidP="00817399">
      <w:pPr>
        <w:spacing w:line="269" w:lineRule="auto"/>
        <w:rPr>
          <w:rtl/>
        </w:rPr>
      </w:pPr>
      <w:r w:rsidRPr="002F2BC5">
        <w:rPr>
          <w:rFonts w:hint="cs"/>
          <w:rtl/>
        </w:rPr>
        <w:t>עוד הועלה כי בשליש מהרשויות המקומיות שנבדקו - ובהן עיריית</w:t>
      </w:r>
      <w:r w:rsidRPr="002F2BC5">
        <w:rPr>
          <w:rtl/>
        </w:rPr>
        <w:t xml:space="preserve"> </w:t>
      </w:r>
      <w:r w:rsidRPr="002F2BC5">
        <w:rPr>
          <w:rFonts w:hint="eastAsia"/>
          <w:b/>
          <w:bCs/>
          <w:rtl/>
        </w:rPr>
        <w:t>חדרה</w:t>
      </w:r>
      <w:r w:rsidRPr="002F2BC5">
        <w:rPr>
          <w:rtl/>
        </w:rPr>
        <w:t xml:space="preserve">, </w:t>
      </w:r>
      <w:r w:rsidRPr="002F2BC5">
        <w:rPr>
          <w:rFonts w:hint="cs"/>
          <w:rtl/>
        </w:rPr>
        <w:t>ה</w:t>
      </w:r>
      <w:r w:rsidRPr="002F2BC5">
        <w:rPr>
          <w:rtl/>
        </w:rPr>
        <w:t xml:space="preserve">מועצה האזורית </w:t>
      </w:r>
      <w:r w:rsidRPr="002F2BC5">
        <w:rPr>
          <w:rFonts w:hint="eastAsia"/>
          <w:b/>
          <w:bCs/>
          <w:rtl/>
        </w:rPr>
        <w:t>מטה</w:t>
      </w:r>
      <w:r w:rsidRPr="002F2BC5">
        <w:rPr>
          <w:b/>
          <w:bCs/>
          <w:rtl/>
        </w:rPr>
        <w:t xml:space="preserve"> </w:t>
      </w:r>
      <w:r w:rsidRPr="002F2BC5">
        <w:rPr>
          <w:rFonts w:hint="eastAsia"/>
          <w:b/>
          <w:bCs/>
          <w:rtl/>
        </w:rPr>
        <w:t>יהודה</w:t>
      </w:r>
      <w:r w:rsidRPr="002F2BC5">
        <w:rPr>
          <w:rtl/>
        </w:rPr>
        <w:t xml:space="preserve"> ו</w:t>
      </w:r>
      <w:r w:rsidRPr="002F2BC5">
        <w:rPr>
          <w:rFonts w:hint="cs"/>
          <w:rtl/>
        </w:rPr>
        <w:t>ה</w:t>
      </w:r>
      <w:r w:rsidRPr="002F2BC5">
        <w:rPr>
          <w:rtl/>
        </w:rPr>
        <w:t xml:space="preserve">מועצות המקומיות </w:t>
      </w:r>
      <w:r w:rsidRPr="002F2BC5">
        <w:rPr>
          <w:rFonts w:hint="eastAsia"/>
          <w:b/>
          <w:bCs/>
          <w:rtl/>
        </w:rPr>
        <w:t>קדימה</w:t>
      </w:r>
      <w:r w:rsidRPr="002F2BC5">
        <w:rPr>
          <w:rFonts w:hint="cs"/>
          <w:b/>
          <w:bCs/>
          <w:rtl/>
        </w:rPr>
        <w:t>-</w:t>
      </w:r>
      <w:r w:rsidRPr="002F2BC5">
        <w:rPr>
          <w:b/>
          <w:bCs/>
          <w:rtl/>
        </w:rPr>
        <w:t>צורן</w:t>
      </w:r>
      <w:r w:rsidRPr="002F2BC5">
        <w:rPr>
          <w:rtl/>
        </w:rPr>
        <w:t xml:space="preserve"> </w:t>
      </w:r>
      <w:r w:rsidRPr="002F2BC5">
        <w:rPr>
          <w:rFonts w:hint="eastAsia"/>
          <w:rtl/>
        </w:rPr>
        <w:t>ו</w:t>
      </w:r>
      <w:r w:rsidRPr="002F2BC5">
        <w:rPr>
          <w:rFonts w:hint="eastAsia"/>
          <w:b/>
          <w:bCs/>
          <w:rtl/>
        </w:rPr>
        <w:t>שיבלי</w:t>
      </w:r>
      <w:r w:rsidRPr="002F2BC5">
        <w:rPr>
          <w:b/>
          <w:bCs/>
          <w:rtl/>
        </w:rPr>
        <w:t xml:space="preserve"> </w:t>
      </w:r>
      <w:r w:rsidRPr="002F2BC5">
        <w:rPr>
          <w:rFonts w:hint="cs"/>
          <w:b/>
          <w:bCs/>
          <w:rtl/>
        </w:rPr>
        <w:t xml:space="preserve">- </w:t>
      </w:r>
      <w:r w:rsidRPr="002F2BC5">
        <w:rPr>
          <w:b/>
          <w:bCs/>
          <w:rtl/>
        </w:rPr>
        <w:t>אום אל-</w:t>
      </w:r>
      <w:r w:rsidRPr="002F2BC5">
        <w:rPr>
          <w:rFonts w:hint="cs"/>
          <w:b/>
          <w:bCs/>
          <w:rtl/>
        </w:rPr>
        <w:t>ר'</w:t>
      </w:r>
      <w:r w:rsidRPr="002F2BC5">
        <w:rPr>
          <w:b/>
          <w:bCs/>
          <w:rtl/>
        </w:rPr>
        <w:t>נם</w:t>
      </w:r>
      <w:r w:rsidRPr="002F2BC5">
        <w:rPr>
          <w:rtl/>
        </w:rPr>
        <w:t xml:space="preserve"> </w:t>
      </w:r>
      <w:r w:rsidRPr="002F2BC5">
        <w:rPr>
          <w:rFonts w:hint="cs"/>
          <w:rtl/>
        </w:rPr>
        <w:t>- לא מונה איש מעובדי המחלקה לשירותים חברתיים לתפקיד מרָכז תחום אלימות במשפחה</w:t>
      </w:r>
      <w:r w:rsidRPr="002F2BC5">
        <w:rPr>
          <w:rtl/>
        </w:rPr>
        <w:t xml:space="preserve">. </w:t>
      </w:r>
    </w:p>
    <w:p w14:paraId="1373D948" w14:textId="77777777" w:rsidR="00817399" w:rsidRPr="002F2BC5" w:rsidRDefault="00817399" w:rsidP="00817399">
      <w:pPr>
        <w:spacing w:line="269" w:lineRule="auto"/>
        <w:rPr>
          <w:rtl/>
        </w:rPr>
      </w:pPr>
    </w:p>
    <w:p w14:paraId="5E63496A" w14:textId="77777777" w:rsidR="00817399" w:rsidRPr="002F2BC5" w:rsidRDefault="00817399" w:rsidP="00817399">
      <w:pPr>
        <w:spacing w:line="269" w:lineRule="auto"/>
        <w:rPr>
          <w:rtl/>
        </w:rPr>
      </w:pPr>
      <w:r w:rsidRPr="002F2BC5">
        <w:rPr>
          <w:rFonts w:hint="cs"/>
          <w:rtl/>
        </w:rPr>
        <w:t>משרד מבקר המדינה המליץ בביקורת הקודמת ל</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cs"/>
          <w:rtl/>
        </w:rPr>
        <w:t>לקבוע</w:t>
      </w:r>
      <w:r w:rsidRPr="002F2BC5">
        <w:rPr>
          <w:rtl/>
        </w:rPr>
        <w:t xml:space="preserve"> </w:t>
      </w:r>
      <w:r w:rsidRPr="002F2BC5">
        <w:rPr>
          <w:rFonts w:hint="eastAsia"/>
          <w:rtl/>
        </w:rPr>
        <w:t>יעדים</w:t>
      </w:r>
      <w:r w:rsidRPr="002F2BC5">
        <w:rPr>
          <w:rtl/>
        </w:rPr>
        <w:t xml:space="preserve"> </w:t>
      </w:r>
      <w:r w:rsidRPr="002F2BC5">
        <w:rPr>
          <w:rFonts w:hint="eastAsia"/>
          <w:rtl/>
        </w:rPr>
        <w:t>ל</w:t>
      </w:r>
      <w:r w:rsidRPr="002F2BC5">
        <w:rPr>
          <w:rFonts w:hint="cs"/>
          <w:rtl/>
        </w:rPr>
        <w:t>הגדלת מספר המטופלים ב</w:t>
      </w:r>
      <w:r w:rsidRPr="002F2BC5">
        <w:rPr>
          <w:rFonts w:hint="eastAsia"/>
          <w:rtl/>
        </w:rPr>
        <w:t>מרכזים</w:t>
      </w:r>
      <w:r w:rsidRPr="002F2BC5">
        <w:rPr>
          <w:rFonts w:hint="cs"/>
          <w:rtl/>
        </w:rPr>
        <w:t xml:space="preserve"> </w:t>
      </w:r>
      <w:r w:rsidRPr="002F2BC5">
        <w:rPr>
          <w:rFonts w:hint="eastAsia"/>
          <w:rtl/>
        </w:rPr>
        <w:t xml:space="preserve">לטיפול ומניעת אלימות </w:t>
      </w:r>
      <w:r w:rsidRPr="002F2BC5">
        <w:rPr>
          <w:rFonts w:hint="cs"/>
          <w:rtl/>
        </w:rPr>
        <w:t>במשפחה</w:t>
      </w:r>
      <w:r w:rsidRPr="002F2BC5">
        <w:rPr>
          <w:rtl/>
        </w:rPr>
        <w:t xml:space="preserve"> </w:t>
      </w:r>
      <w:r w:rsidRPr="002F2BC5">
        <w:rPr>
          <w:rFonts w:hint="eastAsia"/>
          <w:rtl/>
        </w:rPr>
        <w:t>ו</w:t>
      </w:r>
      <w:r w:rsidRPr="002F2BC5">
        <w:rPr>
          <w:rFonts w:hint="cs"/>
          <w:rtl/>
        </w:rPr>
        <w:t>ל</w:t>
      </w:r>
      <w:r w:rsidRPr="002F2BC5">
        <w:rPr>
          <w:rFonts w:hint="eastAsia"/>
          <w:rtl/>
        </w:rPr>
        <w:t>עקוב</w:t>
      </w:r>
      <w:r w:rsidRPr="002F2BC5">
        <w:rPr>
          <w:rtl/>
        </w:rPr>
        <w:t xml:space="preserve"> </w:t>
      </w:r>
      <w:r w:rsidRPr="002F2BC5">
        <w:rPr>
          <w:rFonts w:hint="eastAsia"/>
          <w:rtl/>
        </w:rPr>
        <w:t>אחר</w:t>
      </w:r>
      <w:r w:rsidRPr="002F2BC5">
        <w:rPr>
          <w:rtl/>
        </w:rPr>
        <w:t xml:space="preserve"> </w:t>
      </w:r>
      <w:r w:rsidRPr="002F2BC5">
        <w:rPr>
          <w:rFonts w:hint="cs"/>
          <w:rtl/>
        </w:rPr>
        <w:t>העמידה בהם</w:t>
      </w:r>
      <w:r w:rsidRPr="002F2BC5">
        <w:rPr>
          <w:rtl/>
        </w:rPr>
        <w:t>.</w:t>
      </w:r>
    </w:p>
    <w:p w14:paraId="2204526F" w14:textId="77777777" w:rsidR="00817399" w:rsidRPr="002F2BC5" w:rsidRDefault="00817399" w:rsidP="00817399">
      <w:pPr>
        <w:spacing w:line="269" w:lineRule="auto"/>
        <w:rPr>
          <w:rtl/>
        </w:rPr>
      </w:pPr>
    </w:p>
    <w:p w14:paraId="1ADB2785" w14:textId="77777777" w:rsidR="00817399" w:rsidRPr="002F2BC5" w:rsidRDefault="00817399" w:rsidP="00817399">
      <w:pPr>
        <w:spacing w:line="269" w:lineRule="auto"/>
        <w:rPr>
          <w:rtl/>
        </w:rPr>
      </w:pPr>
      <w:r w:rsidRPr="002F2BC5">
        <w:rPr>
          <w:rFonts w:hint="cs"/>
          <w:rtl/>
        </w:rPr>
        <w:t xml:space="preserve">משרד הרווחה מסר בתשובתו לביקורת הקודמת מפברואר 2021 </w:t>
      </w:r>
      <w:r w:rsidRPr="002F2BC5">
        <w:rPr>
          <w:rtl/>
        </w:rPr>
        <w:t xml:space="preserve">כי </w:t>
      </w:r>
      <w:r w:rsidRPr="002F2BC5">
        <w:rPr>
          <w:rFonts w:hint="cs"/>
          <w:rtl/>
        </w:rPr>
        <w:t xml:space="preserve">לצד המרכזים לטיפול ומניעת אלימות במשפחה ישנם מענים טיפוליים נוספים בתחום זה. עוד הוא מסר כי בכוונתו להנחות את המרכזים לבחון מול המחלקות לשירותים חברתיים את הפער שבין מספר בעלי הנזקקות הרשומים במחלקות בתחום האלימות במשפחה לבין מספר המטופלים בפועל במרכזים. אשר לאיוש תפקיד מרָכז תחום האלימות במשפחה, משרד הרווחה מסר בתשובתו כי המרכזים הם חלק מהמחלקות לשירותים חברתיים, וכי ברשויות המקומיות שבהן פועל מרכז, האחריות לתחום חלה על המרכז עצמו, למעט במקרים שבהם המרכז מופעל באמצעות נותן שירותים חיצוניים. כמו כן ציין </w:t>
      </w:r>
      <w:r w:rsidRPr="002F2BC5">
        <w:rPr>
          <w:rtl/>
        </w:rPr>
        <w:t xml:space="preserve">כי </w:t>
      </w:r>
      <w:r w:rsidRPr="002F2BC5">
        <w:rPr>
          <w:rFonts w:hint="cs"/>
          <w:rtl/>
        </w:rPr>
        <w:t>הוא פועל ל</w:t>
      </w:r>
      <w:r w:rsidRPr="002F2BC5">
        <w:rPr>
          <w:rtl/>
        </w:rPr>
        <w:t xml:space="preserve">עדכון </w:t>
      </w:r>
      <w:r w:rsidRPr="002F2BC5">
        <w:rPr>
          <w:rFonts w:hint="cs"/>
          <w:rtl/>
        </w:rPr>
        <w:t xml:space="preserve">הוראות </w:t>
      </w:r>
      <w:r w:rsidRPr="002F2BC5">
        <w:rPr>
          <w:rtl/>
        </w:rPr>
        <w:t xml:space="preserve">התע"ס </w:t>
      </w:r>
      <w:r w:rsidRPr="002F2BC5">
        <w:rPr>
          <w:rFonts w:hint="cs"/>
          <w:rtl/>
        </w:rPr>
        <w:t xml:space="preserve">תוך שימת דגש על </w:t>
      </w:r>
      <w:r w:rsidRPr="002F2BC5">
        <w:rPr>
          <w:rtl/>
        </w:rPr>
        <w:t>אחריות</w:t>
      </w:r>
      <w:r w:rsidRPr="002F2BC5">
        <w:rPr>
          <w:rFonts w:hint="cs"/>
          <w:rtl/>
        </w:rPr>
        <w:t>ו של</w:t>
      </w:r>
      <w:r w:rsidRPr="002F2BC5">
        <w:rPr>
          <w:rtl/>
        </w:rPr>
        <w:t xml:space="preserve"> מנהל המחלקה</w:t>
      </w:r>
      <w:r w:rsidRPr="002F2BC5">
        <w:rPr>
          <w:rFonts w:hint="cs"/>
          <w:rtl/>
        </w:rPr>
        <w:t xml:space="preserve"> לשירותים חברתיים לפעילות המרכז לטיפול ומניעת אלימות במשפחה</w:t>
      </w:r>
      <w:r w:rsidRPr="002F2BC5">
        <w:rPr>
          <w:rtl/>
        </w:rPr>
        <w:t>.</w:t>
      </w:r>
    </w:p>
    <w:p w14:paraId="6487DFD2" w14:textId="77777777" w:rsidR="00817399" w:rsidRPr="002F2BC5" w:rsidRDefault="00817399" w:rsidP="00817399">
      <w:pPr>
        <w:spacing w:line="269" w:lineRule="auto"/>
        <w:rPr>
          <w:rtl/>
        </w:rPr>
      </w:pPr>
    </w:p>
    <w:p w14:paraId="4BA27892"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חדרה</w:t>
      </w:r>
      <w:r w:rsidRPr="002F2BC5">
        <w:rPr>
          <w:rtl/>
        </w:rPr>
        <w:t xml:space="preserve"> </w:t>
      </w:r>
      <w:r w:rsidRPr="002F2BC5">
        <w:rPr>
          <w:rFonts w:hint="cs"/>
          <w:rtl/>
        </w:rPr>
        <w:t xml:space="preserve">מסרה בתשובתה לביקורת הקודמת מינואר 2021 כי התיאום בין המרכז לטיפול ומניעת אלימות במשפחה למחלקה לשירותים חברתיים נעשה באופן שוטף באמצעות ראשי הצוותים במחלקה לשירותים חברתיים. המועצה האזורית </w:t>
      </w:r>
      <w:r w:rsidRPr="002F2BC5">
        <w:rPr>
          <w:rFonts w:hint="eastAsia"/>
          <w:b/>
          <w:bCs/>
          <w:rtl/>
        </w:rPr>
        <w:t>מטה</w:t>
      </w:r>
      <w:r w:rsidRPr="002F2BC5">
        <w:rPr>
          <w:b/>
          <w:bCs/>
          <w:rtl/>
        </w:rPr>
        <w:t xml:space="preserve"> </w:t>
      </w:r>
      <w:r w:rsidRPr="002F2BC5">
        <w:rPr>
          <w:rFonts w:hint="eastAsia"/>
          <w:b/>
          <w:bCs/>
          <w:rtl/>
        </w:rPr>
        <w:t>יהודה</w:t>
      </w:r>
      <w:r w:rsidRPr="002F2BC5">
        <w:rPr>
          <w:rFonts w:hint="cs"/>
          <w:rtl/>
        </w:rPr>
        <w:t xml:space="preserve"> מסרה בתשובתה מפברואר 2021 כי מנהלת המרכז אחראית לריכוז התחום. המועצה המקומית </w:t>
      </w:r>
      <w:r w:rsidRPr="002F2BC5">
        <w:rPr>
          <w:rFonts w:hint="cs"/>
          <w:b/>
          <w:bCs/>
          <w:rtl/>
        </w:rPr>
        <w:t>קדימה-צורן</w:t>
      </w:r>
      <w:r w:rsidRPr="002F2BC5">
        <w:rPr>
          <w:rFonts w:hint="cs"/>
          <w:rtl/>
        </w:rPr>
        <w:t xml:space="preserve"> מסרה בתשובתה מפברואר 2021 כי לא הוגדר מרָכז תחום בשל מחסור בכוח אדם במחלקה לשירותים חברתיים</w:t>
      </w:r>
      <w:r w:rsidRPr="002F2BC5">
        <w:rPr>
          <w:rtl/>
        </w:rPr>
        <w:t>.</w:t>
      </w:r>
    </w:p>
    <w:p w14:paraId="32F8477D" w14:textId="77777777" w:rsidR="00817399" w:rsidRPr="002F2BC5" w:rsidRDefault="00817399" w:rsidP="00817399">
      <w:pPr>
        <w:spacing w:line="269" w:lineRule="auto"/>
        <w:rPr>
          <w:rtl/>
        </w:rPr>
      </w:pPr>
    </w:p>
    <w:p w14:paraId="79DB6710" w14:textId="77777777" w:rsidR="00817399" w:rsidRPr="002F2BC5" w:rsidRDefault="00817399" w:rsidP="00817399">
      <w:pPr>
        <w:spacing w:line="269" w:lineRule="auto"/>
        <w:rPr>
          <w:rtl/>
        </w:rPr>
      </w:pPr>
      <w:bookmarkStart w:id="1476" w:name="_Toc191987075"/>
      <w:r w:rsidRPr="002F2BC5">
        <w:rPr>
          <w:rStyle w:val="70"/>
          <w:rFonts w:hint="cs"/>
          <w:rtl/>
        </w:rPr>
        <w:t>ביקורת המעקב:</w:t>
      </w:r>
      <w:bookmarkEnd w:id="1476"/>
      <w:r w:rsidRPr="002F2BC5">
        <w:rPr>
          <w:rStyle w:val="70"/>
          <w:rFonts w:hint="cs"/>
          <w:rtl/>
        </w:rPr>
        <w:t xml:space="preserve"> </w:t>
      </w:r>
      <w:r w:rsidRPr="002F2BC5">
        <w:rPr>
          <w:rFonts w:hint="cs"/>
          <w:rtl/>
        </w:rPr>
        <w:t>לפי נתוני משרד הרווחה במועד סיום ביקורת המעקב, בדצמבר 2024, בכ-6% בלבד מהרשויות המקומיות (16 מתוך 257) מונה עובד המחלקה לשירותים חברתיים לתפקיד מרָכז תחום אלימות במשפחה</w:t>
      </w:r>
      <w:r w:rsidRPr="002F2BC5">
        <w:rPr>
          <w:rStyle w:val="af9"/>
          <w:rtl/>
        </w:rPr>
        <w:footnoteReference w:id="299"/>
      </w:r>
      <w:r w:rsidRPr="002F2BC5">
        <w:rPr>
          <w:rFonts w:hint="cs"/>
          <w:rtl/>
        </w:rPr>
        <w:t xml:space="preserve">. מבין הרשויות המקומיות שנבדקו, רק בשתיים מהן מונה עובד לתפקיד מרָכז תחום (העיריות </w:t>
      </w:r>
      <w:r w:rsidRPr="002F2BC5">
        <w:rPr>
          <w:rFonts w:hint="cs"/>
          <w:b/>
          <w:bCs/>
          <w:rtl/>
        </w:rPr>
        <w:t>בני ברק</w:t>
      </w:r>
      <w:r w:rsidRPr="002F2BC5">
        <w:rPr>
          <w:rFonts w:hint="cs"/>
          <w:rtl/>
        </w:rPr>
        <w:t xml:space="preserve"> ו</w:t>
      </w:r>
      <w:r w:rsidRPr="002F2BC5">
        <w:rPr>
          <w:rFonts w:hint="cs"/>
          <w:b/>
          <w:bCs/>
          <w:rtl/>
        </w:rPr>
        <w:t>דימונה</w:t>
      </w:r>
      <w:r w:rsidRPr="002F2BC5">
        <w:rPr>
          <w:rFonts w:hint="cs"/>
          <w:rtl/>
        </w:rPr>
        <w:t>)</w:t>
      </w:r>
      <w:r w:rsidRPr="002F2BC5">
        <w:rPr>
          <w:rStyle w:val="af9"/>
          <w:rtl/>
        </w:rPr>
        <w:footnoteReference w:id="300"/>
      </w:r>
      <w:r w:rsidRPr="002F2BC5">
        <w:rPr>
          <w:rFonts w:hint="cs"/>
          <w:rtl/>
        </w:rPr>
        <w:t>.</w:t>
      </w:r>
    </w:p>
    <w:p w14:paraId="710DDD27" w14:textId="77777777" w:rsidR="00817399" w:rsidRPr="002F2BC5" w:rsidRDefault="00817399" w:rsidP="00817399">
      <w:pPr>
        <w:spacing w:line="269" w:lineRule="auto"/>
        <w:rPr>
          <w:rtl/>
        </w:rPr>
      </w:pPr>
    </w:p>
    <w:p w14:paraId="3BEA0340" w14:textId="77777777" w:rsidR="00817399" w:rsidRPr="002F2BC5" w:rsidRDefault="00817399" w:rsidP="00817399">
      <w:pPr>
        <w:spacing w:line="269" w:lineRule="auto"/>
        <w:rPr>
          <w:rtl/>
        </w:rPr>
      </w:pPr>
      <w:r w:rsidRPr="002F2BC5">
        <w:rPr>
          <w:rFonts w:hint="cs"/>
          <w:rtl/>
        </w:rPr>
        <w:t xml:space="preserve">במהלך ביקורת המעקב עלה כי הנתונים על הרשומים במחלקות לשירותים חברתיים כבעלי נזקקות בתחום האלימות במשפחה והנתונים על המטופלים במרכזים לטיפול ומניעת אלימות במשפחה אינם מאוגמים ואינם מנוהלים באופן אחוד. יתרה מזו, בחלק מהרשויות המקומיות מערכות המידע אינן מאפשרות להפיק נתונים אלא עבור שנת העבודה הנוכחית, או שהן אינן מאפשרות להפיק נתונים בפילוח חודשי; בפילוח לפי משפחות ויחידים; בפילוח לפי מגדר; או בפילוח לפי מאפיינים ייחודיים אחרים של בעלי הנזקקות או המטופלים. </w:t>
      </w:r>
    </w:p>
    <w:p w14:paraId="1B8B7F40" w14:textId="77777777" w:rsidR="00817399" w:rsidRPr="002F2BC5" w:rsidRDefault="00817399" w:rsidP="00817399">
      <w:pPr>
        <w:spacing w:line="269" w:lineRule="auto"/>
        <w:rPr>
          <w:rtl/>
        </w:rPr>
      </w:pPr>
    </w:p>
    <w:p w14:paraId="519D7B49" w14:textId="77777777" w:rsidR="00817399" w:rsidRPr="002F2BC5" w:rsidRDefault="00817399" w:rsidP="00817399">
      <w:pPr>
        <w:spacing w:line="269" w:lineRule="auto"/>
        <w:rPr>
          <w:b/>
          <w:bCs/>
          <w:rtl/>
        </w:rPr>
      </w:pPr>
      <w:r w:rsidRPr="002F2BC5">
        <w:rPr>
          <w:rFonts w:hint="cs"/>
          <w:b/>
          <w:bCs/>
          <w:rtl/>
        </w:rPr>
        <w:t>על אף חשיבותו של מרָכז תחום אלימות במשפחה ותרומתו האפשרית לאיגום ולניהול הנתונים, הידע והמידע בכל הנוגע לפעילות המחלקות לשירותים חברתיים והמרכזים לטיפול ומניעת אלימות במשפחה, כמו גם לחיזוק ממשקי העבודה בין המחלקות למרכזים - בכ-6% בלבד מהרשויות המקומיות (16 מתוך 257) מונה לתפקיד זה עובד המחלקה לשירותים חברתיים.</w:t>
      </w:r>
    </w:p>
    <w:p w14:paraId="218F92D6" w14:textId="77777777" w:rsidR="00817399" w:rsidRPr="002F2BC5" w:rsidRDefault="00817399" w:rsidP="00817399">
      <w:pPr>
        <w:spacing w:line="269" w:lineRule="auto"/>
        <w:rPr>
          <w:rtl/>
        </w:rPr>
      </w:pPr>
    </w:p>
    <w:p w14:paraId="1C00E420" w14:textId="77777777" w:rsidR="00817399" w:rsidRPr="002F2BC5" w:rsidRDefault="00817399" w:rsidP="00817399">
      <w:pPr>
        <w:pStyle w:val="afffffff9"/>
        <w:spacing w:line="269" w:lineRule="auto"/>
        <w:rPr>
          <w:rtl/>
        </w:rPr>
      </w:pPr>
      <w:bookmarkStart w:id="1477" w:name="_Toc192093137"/>
      <w:bookmarkStart w:id="1478" w:name="_Toc192612845"/>
      <w:bookmarkStart w:id="1479" w:name="_Toc198312281"/>
      <w:bookmarkStart w:id="1480" w:name="_Toc198312760"/>
      <w:bookmarkStart w:id="1481" w:name="_Toc200636934"/>
      <w:bookmarkStart w:id="1482" w:name="_Toc200439932"/>
      <w:bookmarkStart w:id="1483" w:name="_Toc201241037"/>
      <w:r w:rsidRPr="002F2BC5">
        <w:rPr>
          <w:rtl/>
        </w:rPr>
        <w:t xml:space="preserve">הביקורת הקודמת העלתה </w:t>
      </w:r>
      <w:r w:rsidRPr="002F2BC5">
        <w:rPr>
          <w:rFonts w:hint="cs"/>
          <w:rtl/>
        </w:rPr>
        <w:t xml:space="preserve">כי </w:t>
      </w:r>
      <w:r w:rsidRPr="002F2BC5">
        <w:rPr>
          <w:rtl/>
        </w:rPr>
        <w:t>כ-62% בלבד מבין בעלי הנזקקות הרשומים במחלקות לשירותים חברתיים בתחום האלימות במשפחה הופנו לטיפול במרכזים לטיפול ומניעת אלימות במשפחה, וכ-60% בלבד מבין המופנים לטיפול אכן טופלו במרכזים בשנה זו.</w:t>
      </w:r>
      <w:r w:rsidRPr="002F2BC5">
        <w:rPr>
          <w:rFonts w:hint="cs"/>
          <w:rtl/>
        </w:rPr>
        <w:t xml:space="preserve"> בביקורת המעקב </w:t>
      </w:r>
      <w:r w:rsidRPr="002F2BC5">
        <w:rPr>
          <w:rFonts w:hint="eastAsia"/>
          <w:rtl/>
        </w:rPr>
        <w:t>הועלה</w:t>
      </w:r>
      <w:r w:rsidRPr="002F2BC5">
        <w:rPr>
          <w:rtl/>
        </w:rPr>
        <w:t xml:space="preserve"> כי הליקוי לא תוקן וכי </w:t>
      </w:r>
      <w:r w:rsidRPr="002F2BC5">
        <w:rPr>
          <w:rFonts w:hint="cs"/>
          <w:rtl/>
        </w:rPr>
        <w:t xml:space="preserve">משרד הרווחה לא קבע </w:t>
      </w:r>
      <w:r w:rsidRPr="002F2BC5">
        <w:rPr>
          <w:rFonts w:hint="eastAsia"/>
          <w:rtl/>
        </w:rPr>
        <w:t>יעדים</w:t>
      </w:r>
      <w:r w:rsidRPr="002F2BC5">
        <w:rPr>
          <w:rtl/>
        </w:rPr>
        <w:t xml:space="preserve"> </w:t>
      </w:r>
      <w:r w:rsidRPr="002F2BC5">
        <w:rPr>
          <w:rFonts w:hint="eastAsia"/>
          <w:rtl/>
        </w:rPr>
        <w:t>ל</w:t>
      </w:r>
      <w:r w:rsidRPr="002F2BC5">
        <w:rPr>
          <w:rFonts w:hint="cs"/>
          <w:rtl/>
        </w:rPr>
        <w:t>הגדלת מספר המטופלים ב</w:t>
      </w:r>
      <w:r w:rsidRPr="002F2BC5">
        <w:rPr>
          <w:rFonts w:hint="eastAsia"/>
          <w:rtl/>
        </w:rPr>
        <w:t>מרכזים</w:t>
      </w:r>
      <w:r w:rsidRPr="002F2BC5">
        <w:rPr>
          <w:rFonts w:hint="cs"/>
          <w:rtl/>
        </w:rPr>
        <w:t xml:space="preserve"> </w:t>
      </w:r>
      <w:r w:rsidRPr="002F2BC5">
        <w:rPr>
          <w:rFonts w:hint="eastAsia"/>
          <w:rtl/>
        </w:rPr>
        <w:t xml:space="preserve">לטיפול ומניעת אלימות </w:t>
      </w:r>
      <w:r w:rsidRPr="002F2BC5">
        <w:rPr>
          <w:rFonts w:hint="cs"/>
          <w:rtl/>
        </w:rPr>
        <w:t>במשפחה,</w:t>
      </w:r>
      <w:r w:rsidRPr="002F2BC5">
        <w:rPr>
          <w:rtl/>
        </w:rPr>
        <w:t xml:space="preserve"> </w:t>
      </w:r>
      <w:r w:rsidRPr="002F2BC5">
        <w:rPr>
          <w:rFonts w:hint="cs"/>
          <w:rtl/>
        </w:rPr>
        <w:t>וממילא לא עקב</w:t>
      </w:r>
      <w:r w:rsidRPr="002F2BC5">
        <w:rPr>
          <w:rtl/>
        </w:rPr>
        <w:t xml:space="preserve"> </w:t>
      </w:r>
      <w:r w:rsidRPr="002F2BC5">
        <w:rPr>
          <w:rFonts w:hint="eastAsia"/>
          <w:rtl/>
        </w:rPr>
        <w:t>אחר</w:t>
      </w:r>
      <w:r w:rsidRPr="002F2BC5">
        <w:rPr>
          <w:rtl/>
        </w:rPr>
        <w:t xml:space="preserve"> </w:t>
      </w:r>
      <w:r w:rsidRPr="002F2BC5">
        <w:rPr>
          <w:rFonts w:hint="cs"/>
          <w:rtl/>
        </w:rPr>
        <w:t>העמידה בהם. עוד הועלה כי הוא לא הנחה את המרכזים לבחון מול עובדי המחלקות לשירותים חברתיים את הפער שבין מספר בעלי הנזקקות הרשומים במחלקות בתחום האלימות במשפחה לבין מספר המטופלים בפועל במרכזים, כפי שמסר שיעשה בתשובתו לביקורת הקודמת.</w:t>
      </w:r>
      <w:bookmarkEnd w:id="1477"/>
      <w:bookmarkEnd w:id="1478"/>
      <w:bookmarkEnd w:id="1479"/>
      <w:bookmarkEnd w:id="1480"/>
      <w:bookmarkEnd w:id="1481"/>
      <w:bookmarkEnd w:id="1482"/>
      <w:bookmarkEnd w:id="1483"/>
    </w:p>
    <w:p w14:paraId="693C64EE" w14:textId="77777777" w:rsidR="00817399" w:rsidRPr="002F2BC5" w:rsidRDefault="00817399" w:rsidP="00817399">
      <w:pPr>
        <w:spacing w:line="269" w:lineRule="auto"/>
        <w:rPr>
          <w:rtl/>
        </w:rPr>
      </w:pPr>
    </w:p>
    <w:p w14:paraId="4CF8FF56" w14:textId="77777777" w:rsidR="00817399" w:rsidRPr="002F2BC5" w:rsidRDefault="00817399" w:rsidP="00817399">
      <w:pPr>
        <w:spacing w:line="269" w:lineRule="auto"/>
        <w:rPr>
          <w:rtl/>
        </w:rPr>
      </w:pPr>
      <w:r w:rsidRPr="002F2BC5">
        <w:rPr>
          <w:rFonts w:hint="cs"/>
          <w:rtl/>
        </w:rPr>
        <w:t xml:space="preserve">יצוין כי המערכת הממוחשבת החדשה שפיתח משרד הרווחה תאפשר לרשויות המקומיות לבצע הצלבה של נתונים על בעלי הנזקקות הרשומים במחלקה לשירותים חברתיים בתחום האלימות </w:t>
      </w:r>
      <w:r w:rsidRPr="002F2BC5">
        <w:rPr>
          <w:rFonts w:hint="cs"/>
          <w:rtl/>
        </w:rPr>
        <w:lastRenderedPageBreak/>
        <w:t>במשפחה לבין נתונים על המטופלים בפועל במרכזים, בין שרשומים במחלקה ובין שאינם רשומים. באופן זה יוכלו המרכזים לנהל מעקב שיטתי וסדור, גם לצורך נקיטת פעולות לאיתור ויישוג של מי שהוגדר בעל נזקקות ואינו מקבל שירותים בתחום זה.</w:t>
      </w:r>
    </w:p>
    <w:p w14:paraId="07687045" w14:textId="77777777" w:rsidR="00817399" w:rsidRPr="002F2BC5" w:rsidRDefault="00817399" w:rsidP="00817399">
      <w:pPr>
        <w:spacing w:line="269" w:lineRule="auto"/>
        <w:rPr>
          <w:rtl/>
        </w:rPr>
      </w:pPr>
    </w:p>
    <w:p w14:paraId="4CA7BB5E"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ירושלים</w:t>
      </w:r>
      <w:r w:rsidRPr="002F2BC5">
        <w:rPr>
          <w:rFonts w:hint="cs"/>
          <w:rtl/>
        </w:rPr>
        <w:t xml:space="preserve"> מסרה בתשובתה מאפריל 2025 כי בין הרכזים האזוריים במרכזים לטיפול ומניעת אלימות במשפחה ובין עובדים סוציאליים ייעודיים במחלקות לשירותים חברתיים הפועלים בתחומה מתקיימים קשרי עבודה רציפים והדוקים, המאפשרים טיפול אינטגרטיבי ומקיף. עוד הוסיפה כי השינוי במודל התקצוב של המרכזים לטיפול ומניעת אלימות במשפחה מאפשר מענה מקצועי, נגיש ואיכותי יותר, וכי בעקבותיו היא החלה להפעיל במישרין את המרכזים בעיר ולא באמצעות נותני שירותים חיצוניים. </w:t>
      </w:r>
      <w:r w:rsidRPr="002F2BC5">
        <w:rPr>
          <w:rFonts w:hint="eastAsia"/>
          <w:rtl/>
        </w:rPr>
        <w:t>עיריית</w:t>
      </w:r>
      <w:r w:rsidRPr="002F2BC5">
        <w:rPr>
          <w:rtl/>
        </w:rPr>
        <w:t xml:space="preserve"> </w:t>
      </w:r>
      <w:r w:rsidRPr="002F2BC5">
        <w:rPr>
          <w:rFonts w:hint="eastAsia"/>
          <w:b/>
          <w:bCs/>
          <w:rtl/>
        </w:rPr>
        <w:t>בית</w:t>
      </w:r>
      <w:r w:rsidRPr="002F2BC5">
        <w:rPr>
          <w:b/>
          <w:bCs/>
          <w:rtl/>
        </w:rPr>
        <w:t xml:space="preserve"> </w:t>
      </w:r>
      <w:r w:rsidRPr="002F2BC5">
        <w:rPr>
          <w:rFonts w:hint="eastAsia"/>
          <w:b/>
          <w:bCs/>
          <w:rtl/>
        </w:rPr>
        <w:t>שאן</w:t>
      </w:r>
      <w:r w:rsidRPr="002F2BC5">
        <w:rPr>
          <w:rtl/>
        </w:rPr>
        <w:t xml:space="preserve"> מסרה בתשובתה כי מר</w:t>
      </w:r>
      <w:r w:rsidRPr="002F2BC5">
        <w:rPr>
          <w:rFonts w:hint="eastAsia"/>
          <w:rtl/>
        </w:rPr>
        <w:t>ָכזת</w:t>
      </w:r>
      <w:r w:rsidRPr="002F2BC5">
        <w:rPr>
          <w:rtl/>
        </w:rPr>
        <w:t xml:space="preserve"> תחום אלימות במשפחה </w:t>
      </w:r>
      <w:r w:rsidRPr="002F2BC5">
        <w:rPr>
          <w:rFonts w:hint="eastAsia"/>
          <w:rtl/>
        </w:rPr>
        <w:t>משמשת</w:t>
      </w:r>
      <w:r w:rsidRPr="002F2BC5">
        <w:rPr>
          <w:rtl/>
        </w:rPr>
        <w:t xml:space="preserve"> כאשת הקשר לכל פנייה בנושא אלימות במשפחה</w:t>
      </w:r>
      <w:r w:rsidRPr="002F2BC5">
        <w:rPr>
          <w:rFonts w:hint="cs"/>
          <w:rtl/>
        </w:rPr>
        <w:t>,</w:t>
      </w:r>
      <w:r w:rsidRPr="002F2BC5">
        <w:rPr>
          <w:rtl/>
        </w:rPr>
        <w:t xml:space="preserve"> וכי מתקיים קשר רציף ובזמינות גבוהה בין </w:t>
      </w:r>
      <w:r w:rsidRPr="002F2BC5">
        <w:rPr>
          <w:rFonts w:hint="eastAsia"/>
          <w:rtl/>
        </w:rPr>
        <w:t>עובדי</w:t>
      </w:r>
      <w:r w:rsidRPr="002F2BC5">
        <w:rPr>
          <w:rtl/>
        </w:rPr>
        <w:t xml:space="preserve"> </w:t>
      </w:r>
      <w:r w:rsidRPr="002F2BC5">
        <w:rPr>
          <w:rFonts w:hint="eastAsia"/>
          <w:rtl/>
        </w:rPr>
        <w:t>המחלקה</w:t>
      </w:r>
      <w:r w:rsidRPr="002F2BC5">
        <w:rPr>
          <w:rtl/>
        </w:rPr>
        <w:t xml:space="preserve"> לשירותים חברתיים ובין </w:t>
      </w:r>
      <w:r w:rsidRPr="002F2BC5">
        <w:rPr>
          <w:rFonts w:hint="eastAsia"/>
          <w:rtl/>
        </w:rPr>
        <w:t>עובדי</w:t>
      </w:r>
      <w:r w:rsidRPr="002F2BC5">
        <w:rPr>
          <w:rtl/>
        </w:rPr>
        <w:t xml:space="preserve"> </w:t>
      </w:r>
      <w:r w:rsidRPr="002F2BC5">
        <w:rPr>
          <w:rFonts w:hint="eastAsia"/>
          <w:rtl/>
        </w:rPr>
        <w:t>המרכז</w:t>
      </w:r>
      <w:r w:rsidRPr="002F2BC5">
        <w:rPr>
          <w:rtl/>
        </w:rPr>
        <w:t xml:space="preserve">. </w:t>
      </w:r>
      <w:r w:rsidRPr="002F2BC5">
        <w:rPr>
          <w:rFonts w:hint="eastAsia"/>
          <w:rtl/>
        </w:rPr>
        <w:t>המועצה</w:t>
      </w:r>
      <w:r w:rsidRPr="002F2BC5">
        <w:rPr>
          <w:rtl/>
        </w:rPr>
        <w:t xml:space="preserve"> המקומית </w:t>
      </w:r>
      <w:r w:rsidRPr="002F2BC5">
        <w:rPr>
          <w:rFonts w:hint="eastAsia"/>
          <w:b/>
          <w:bCs/>
          <w:rtl/>
        </w:rPr>
        <w:t>עילוט</w:t>
      </w:r>
      <w:r w:rsidRPr="002F2BC5">
        <w:rPr>
          <w:rtl/>
        </w:rPr>
        <w:t xml:space="preserve"> מסרה בתשובותיה מאפריל 2025 כי </w:t>
      </w:r>
      <w:r w:rsidRPr="002F2BC5">
        <w:rPr>
          <w:rFonts w:hint="eastAsia"/>
          <w:rtl/>
        </w:rPr>
        <w:t>משום</w:t>
      </w:r>
      <w:r w:rsidRPr="002F2BC5">
        <w:rPr>
          <w:rtl/>
        </w:rPr>
        <w:t xml:space="preserve"> </w:t>
      </w:r>
      <w:r w:rsidRPr="002F2BC5">
        <w:rPr>
          <w:rFonts w:hint="eastAsia"/>
          <w:rtl/>
        </w:rPr>
        <w:t>שהמחלקה</w:t>
      </w:r>
      <w:r w:rsidRPr="002F2BC5">
        <w:rPr>
          <w:rtl/>
        </w:rPr>
        <w:t xml:space="preserve"> לשירותים חברתיים </w:t>
      </w:r>
      <w:r w:rsidRPr="002F2BC5">
        <w:rPr>
          <w:rFonts w:hint="eastAsia"/>
          <w:rtl/>
        </w:rPr>
        <w:t>קטנה</w:t>
      </w:r>
      <w:r w:rsidRPr="002F2BC5">
        <w:rPr>
          <w:rFonts w:hint="cs"/>
          <w:rtl/>
        </w:rPr>
        <w:t>,</w:t>
      </w:r>
      <w:r w:rsidRPr="002F2BC5">
        <w:rPr>
          <w:rtl/>
        </w:rPr>
        <w:t xml:space="preserve"> </w:t>
      </w:r>
      <w:r w:rsidRPr="002F2BC5">
        <w:rPr>
          <w:rFonts w:hint="eastAsia"/>
          <w:rtl/>
        </w:rPr>
        <w:t>לא</w:t>
      </w:r>
      <w:r w:rsidRPr="002F2BC5">
        <w:rPr>
          <w:rtl/>
        </w:rPr>
        <w:t xml:space="preserve"> </w:t>
      </w:r>
      <w:r w:rsidRPr="002F2BC5">
        <w:rPr>
          <w:rFonts w:hint="eastAsia"/>
          <w:rtl/>
        </w:rPr>
        <w:t>הוקצה</w:t>
      </w:r>
      <w:r w:rsidRPr="002F2BC5">
        <w:rPr>
          <w:rtl/>
        </w:rPr>
        <w:t xml:space="preserve"> </w:t>
      </w:r>
      <w:r w:rsidRPr="002F2BC5">
        <w:rPr>
          <w:rFonts w:hint="eastAsia"/>
          <w:rtl/>
        </w:rPr>
        <w:t>לה</w:t>
      </w:r>
      <w:r w:rsidRPr="002F2BC5">
        <w:rPr>
          <w:rtl/>
        </w:rPr>
        <w:t xml:space="preserve"> </w:t>
      </w:r>
      <w:r w:rsidRPr="002F2BC5">
        <w:rPr>
          <w:rFonts w:hint="eastAsia"/>
          <w:rtl/>
        </w:rPr>
        <w:t>תקן</w:t>
      </w:r>
      <w:r w:rsidRPr="002F2BC5">
        <w:rPr>
          <w:rtl/>
        </w:rPr>
        <w:t xml:space="preserve"> </w:t>
      </w:r>
      <w:r w:rsidRPr="002F2BC5">
        <w:rPr>
          <w:rFonts w:hint="eastAsia"/>
          <w:rtl/>
        </w:rPr>
        <w:t>של</w:t>
      </w:r>
      <w:r w:rsidRPr="002F2BC5">
        <w:rPr>
          <w:rtl/>
        </w:rPr>
        <w:t xml:space="preserve"> </w:t>
      </w:r>
      <w:r w:rsidRPr="002F2BC5">
        <w:rPr>
          <w:rFonts w:hint="eastAsia"/>
          <w:rtl/>
        </w:rPr>
        <w:t>מנהל</w:t>
      </w:r>
      <w:r w:rsidRPr="002F2BC5">
        <w:rPr>
          <w:rtl/>
        </w:rPr>
        <w:t xml:space="preserve"> מרכז לטיפול ומניעת אלימות במשפחה</w:t>
      </w:r>
      <w:r w:rsidRPr="002F2BC5">
        <w:rPr>
          <w:rFonts w:hint="cs"/>
          <w:rtl/>
        </w:rPr>
        <w:t>,</w:t>
      </w:r>
      <w:r w:rsidRPr="002F2BC5">
        <w:rPr>
          <w:rtl/>
        </w:rPr>
        <w:t xml:space="preserve"> וכי </w:t>
      </w:r>
      <w:r w:rsidRPr="002F2BC5">
        <w:rPr>
          <w:rFonts w:hint="eastAsia"/>
          <w:rtl/>
        </w:rPr>
        <w:t>העובדת</w:t>
      </w:r>
      <w:r w:rsidRPr="002F2BC5">
        <w:rPr>
          <w:rtl/>
        </w:rPr>
        <w:t xml:space="preserve"> הסוציאלית המועסקת במרכז </w:t>
      </w:r>
      <w:r w:rsidRPr="002F2BC5">
        <w:rPr>
          <w:rFonts w:hint="eastAsia"/>
          <w:rtl/>
        </w:rPr>
        <w:t>מרכזת</w:t>
      </w:r>
      <w:r w:rsidRPr="002F2BC5">
        <w:rPr>
          <w:rtl/>
        </w:rPr>
        <w:t xml:space="preserve"> </w:t>
      </w:r>
      <w:r w:rsidRPr="002F2BC5">
        <w:rPr>
          <w:rFonts w:hint="eastAsia"/>
          <w:rtl/>
        </w:rPr>
        <w:t>את</w:t>
      </w:r>
      <w:r w:rsidRPr="002F2BC5">
        <w:rPr>
          <w:rtl/>
        </w:rPr>
        <w:t xml:space="preserve"> </w:t>
      </w:r>
      <w:r w:rsidRPr="002F2BC5">
        <w:rPr>
          <w:rFonts w:hint="eastAsia"/>
          <w:rtl/>
        </w:rPr>
        <w:t>פעילותו</w:t>
      </w:r>
      <w:r w:rsidRPr="002F2BC5">
        <w:rPr>
          <w:rtl/>
        </w:rPr>
        <w:t>. המועצה האזורית</w:t>
      </w:r>
      <w:r w:rsidRPr="002F2BC5">
        <w:rPr>
          <w:rFonts w:hint="cs"/>
          <w:rtl/>
        </w:rPr>
        <w:t xml:space="preserve"> </w:t>
      </w:r>
      <w:r w:rsidRPr="002F2BC5">
        <w:rPr>
          <w:rFonts w:hint="eastAsia"/>
          <w:b/>
          <w:bCs/>
          <w:rtl/>
        </w:rPr>
        <w:t>מטה</w:t>
      </w:r>
      <w:r w:rsidRPr="002F2BC5">
        <w:rPr>
          <w:b/>
          <w:bCs/>
          <w:rtl/>
        </w:rPr>
        <w:t xml:space="preserve"> </w:t>
      </w:r>
      <w:r w:rsidRPr="002F2BC5">
        <w:rPr>
          <w:rFonts w:hint="eastAsia"/>
          <w:b/>
          <w:bCs/>
          <w:rtl/>
        </w:rPr>
        <w:t>בנימין</w:t>
      </w:r>
      <w:r w:rsidRPr="002F2BC5">
        <w:rPr>
          <w:rFonts w:hint="cs"/>
          <w:rtl/>
        </w:rPr>
        <w:t xml:space="preserve"> מסרה בתשובותיה מאפריל 2025 כי מנהל המרכז לטיפול ומניעת אלימות במשפחה משמש בפועל גם </w:t>
      </w:r>
      <w:r w:rsidRPr="002F2BC5">
        <w:rPr>
          <w:rFonts w:hint="eastAsia"/>
          <w:rtl/>
        </w:rPr>
        <w:t>כמרָכז</w:t>
      </w:r>
      <w:r w:rsidRPr="002F2BC5">
        <w:rPr>
          <w:rtl/>
        </w:rPr>
        <w:t xml:space="preserve"> </w:t>
      </w:r>
      <w:r w:rsidRPr="002F2BC5">
        <w:rPr>
          <w:rFonts w:hint="eastAsia"/>
          <w:rtl/>
        </w:rPr>
        <w:t>תחום</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w:t>
      </w:r>
    </w:p>
    <w:p w14:paraId="59CBD6BE" w14:textId="77777777" w:rsidR="00817399" w:rsidRPr="002F2BC5" w:rsidRDefault="00817399" w:rsidP="00817399">
      <w:pPr>
        <w:spacing w:line="269" w:lineRule="auto"/>
        <w:rPr>
          <w:rtl/>
        </w:rPr>
      </w:pPr>
    </w:p>
    <w:p w14:paraId="7BFA2FCE" w14:textId="77777777" w:rsidR="00817399" w:rsidRPr="002F2BC5" w:rsidRDefault="00817399" w:rsidP="00817399">
      <w:pPr>
        <w:spacing w:line="269" w:lineRule="auto"/>
        <w:rPr>
          <w:rtl/>
        </w:rPr>
      </w:pPr>
      <w:r w:rsidRPr="002F2BC5">
        <w:rPr>
          <w:rFonts w:hint="cs"/>
          <w:rtl/>
        </w:rPr>
        <w:t xml:space="preserve">משרד הרווחה מסר בתשובתו כי הוא נוקט פעולות שונות לצמצום הפער בין מספר נפגעי האלימות במשפחה לבין מספר המטופלים בפועל במרכזים לטיפול ומניעת אלימות במשפחה או במסגרות רווחה אחרות. לצד זאת, לפי התשובה, </w:t>
      </w:r>
      <w:r w:rsidRPr="002F2BC5">
        <w:rPr>
          <w:rtl/>
        </w:rPr>
        <w:t xml:space="preserve">האחריות </w:t>
      </w:r>
      <w:r w:rsidRPr="002F2BC5">
        <w:rPr>
          <w:rFonts w:hint="cs"/>
          <w:rtl/>
        </w:rPr>
        <w:t xml:space="preserve">הכוללת לבחינת </w:t>
      </w:r>
      <w:r w:rsidRPr="002F2BC5">
        <w:rPr>
          <w:rtl/>
        </w:rPr>
        <w:t xml:space="preserve">תחום </w:t>
      </w:r>
      <w:r w:rsidRPr="002F2BC5">
        <w:rPr>
          <w:rFonts w:hint="cs"/>
          <w:rtl/>
        </w:rPr>
        <w:t>האלימות במשפחה במחלקות לשירותים חברתיים</w:t>
      </w:r>
      <w:r w:rsidRPr="002F2BC5">
        <w:rPr>
          <w:rtl/>
        </w:rPr>
        <w:t xml:space="preserve">, </w:t>
      </w:r>
      <w:r w:rsidRPr="002F2BC5">
        <w:rPr>
          <w:rFonts w:hint="cs"/>
          <w:rtl/>
        </w:rPr>
        <w:t>ובכלל זה זיהוי</w:t>
      </w:r>
      <w:r w:rsidRPr="002F2BC5">
        <w:rPr>
          <w:rtl/>
        </w:rPr>
        <w:t xml:space="preserve"> </w:t>
      </w:r>
      <w:r w:rsidRPr="002F2BC5">
        <w:rPr>
          <w:rFonts w:hint="cs"/>
          <w:rtl/>
        </w:rPr>
        <w:t>ה</w:t>
      </w:r>
      <w:r w:rsidRPr="002F2BC5">
        <w:rPr>
          <w:rtl/>
        </w:rPr>
        <w:t xml:space="preserve">פערים </w:t>
      </w:r>
      <w:r w:rsidRPr="002F2BC5">
        <w:rPr>
          <w:rFonts w:hint="cs"/>
          <w:rtl/>
        </w:rPr>
        <w:t>והתרעה עליהם</w:t>
      </w:r>
      <w:r w:rsidRPr="002F2BC5">
        <w:rPr>
          <w:rtl/>
        </w:rPr>
        <w:t xml:space="preserve"> </w:t>
      </w:r>
      <w:r w:rsidRPr="002F2BC5">
        <w:rPr>
          <w:rFonts w:hint="cs"/>
          <w:rtl/>
        </w:rPr>
        <w:t>ל</w:t>
      </w:r>
      <w:r w:rsidRPr="002F2BC5">
        <w:rPr>
          <w:rtl/>
        </w:rPr>
        <w:t>פיקוח</w:t>
      </w:r>
      <w:r w:rsidRPr="002F2BC5">
        <w:rPr>
          <w:rFonts w:hint="cs"/>
          <w:rtl/>
        </w:rPr>
        <w:t xml:space="preserve"> המחוזי, מוטלת על מנהל המחלקה או על ראשי הצוותים במחלקה ולא על מנהל המרכז לטיפול ומניעת אלימות במשפחה. אשר לאיוש ה</w:t>
      </w:r>
      <w:r w:rsidRPr="002F2BC5">
        <w:rPr>
          <w:rtl/>
        </w:rPr>
        <w:t>תפקיד</w:t>
      </w:r>
      <w:r w:rsidRPr="002F2BC5">
        <w:rPr>
          <w:rFonts w:hint="cs"/>
          <w:rtl/>
        </w:rPr>
        <w:t xml:space="preserve"> של</w:t>
      </w:r>
      <w:r w:rsidRPr="002F2BC5">
        <w:rPr>
          <w:rtl/>
        </w:rPr>
        <w:t xml:space="preserve"> מר</w:t>
      </w:r>
      <w:r w:rsidRPr="002F2BC5">
        <w:rPr>
          <w:rFonts w:hint="cs"/>
          <w:rtl/>
        </w:rPr>
        <w:t>ָ</w:t>
      </w:r>
      <w:r w:rsidRPr="002F2BC5">
        <w:rPr>
          <w:rtl/>
        </w:rPr>
        <w:t>כז תחום</w:t>
      </w:r>
      <w:r w:rsidRPr="002F2BC5">
        <w:rPr>
          <w:rFonts w:hint="cs"/>
          <w:rtl/>
        </w:rPr>
        <w:t xml:space="preserve"> אלימות במשפחה, נמסר כי הוא מצוי ב</w:t>
      </w:r>
      <w:r w:rsidRPr="002F2BC5">
        <w:rPr>
          <w:rtl/>
        </w:rPr>
        <w:t>אחריות</w:t>
      </w:r>
      <w:r w:rsidRPr="002F2BC5">
        <w:rPr>
          <w:rFonts w:hint="cs"/>
          <w:rtl/>
        </w:rPr>
        <w:t>ו של</w:t>
      </w:r>
      <w:r w:rsidRPr="002F2BC5">
        <w:rPr>
          <w:rtl/>
        </w:rPr>
        <w:t xml:space="preserve"> מנהל המחלקה לשירותים חברתיים </w:t>
      </w:r>
      <w:r w:rsidRPr="002F2BC5">
        <w:rPr>
          <w:rFonts w:hint="cs"/>
          <w:rtl/>
        </w:rPr>
        <w:t>ואינו כלול בתקינת כוח האדם של המרכז לטיפול ומניעת אלימות במשפחה, ומשום כך איוש התקן נתון לשיקול דעתו של מנהל המחלקה</w:t>
      </w:r>
      <w:r w:rsidRPr="002F2BC5">
        <w:rPr>
          <w:rtl/>
        </w:rPr>
        <w:t xml:space="preserve">. </w:t>
      </w:r>
    </w:p>
    <w:p w14:paraId="4808EA8C" w14:textId="77777777" w:rsidR="00817399" w:rsidRPr="002F2BC5" w:rsidRDefault="00817399" w:rsidP="00817399">
      <w:pPr>
        <w:spacing w:line="269" w:lineRule="auto"/>
        <w:rPr>
          <w:rtl/>
        </w:rPr>
      </w:pPr>
    </w:p>
    <w:p w14:paraId="191AC851" w14:textId="77777777" w:rsidR="00817399" w:rsidRPr="002F2BC5" w:rsidRDefault="00817399" w:rsidP="00817399">
      <w:pPr>
        <w:pStyle w:val="afffffffa"/>
        <w:spacing w:line="269" w:lineRule="auto"/>
        <w:rPr>
          <w:rtl/>
        </w:rPr>
      </w:pPr>
      <w:bookmarkStart w:id="1484" w:name="_Toc192093138"/>
      <w:bookmarkStart w:id="1485" w:name="_Toc192612846"/>
      <w:bookmarkStart w:id="1486" w:name="_Toc198312282"/>
      <w:bookmarkStart w:id="1487" w:name="_Toc198312761"/>
      <w:bookmarkStart w:id="1488" w:name="_Toc200636935"/>
      <w:bookmarkStart w:id="1489" w:name="_Toc200439933"/>
      <w:bookmarkStart w:id="1490" w:name="_Toc201241038"/>
      <w:r w:rsidRPr="002F2BC5">
        <w:rPr>
          <w:rFonts w:hint="cs"/>
          <w:rtl/>
        </w:rPr>
        <w:t>על משרד הרווחה להנחות את המרכזים לפעול מול המחלקות לשירותים חברתיים לצמצום הפער שבין מספר בעלי הנזקקות הרשומים במחלקות בתחום האלימות במשפחה לבין מספר המטופלים בפועל במרכזים</w:t>
      </w:r>
      <w:r w:rsidRPr="002F2BC5">
        <w:rPr>
          <w:rtl/>
        </w:rPr>
        <w:t xml:space="preserve"> לטיפול ומניעת אלימות במשפחה</w:t>
      </w:r>
      <w:r w:rsidRPr="002F2BC5">
        <w:rPr>
          <w:rFonts w:hint="cs"/>
          <w:rtl/>
        </w:rPr>
        <w:t>, כפי שמסר שיעשה בתשובתו לביקורת הקודמת. נוסף על כך, נוכח תרומתו האפשרית של מרָכז תחום אלימות במשפחה</w:t>
      </w:r>
      <w:r w:rsidRPr="002F2BC5">
        <w:rPr>
          <w:rtl/>
        </w:rPr>
        <w:t xml:space="preserve"> </w:t>
      </w:r>
      <w:r w:rsidRPr="002F2BC5">
        <w:rPr>
          <w:rFonts w:hint="cs"/>
          <w:rtl/>
        </w:rPr>
        <w:t>בכל הקשור ל</w:t>
      </w:r>
      <w:r w:rsidRPr="002F2BC5">
        <w:rPr>
          <w:rtl/>
        </w:rPr>
        <w:t xml:space="preserve">איגום ולניהול הנתונים, </w:t>
      </w:r>
      <w:r w:rsidRPr="002F2BC5">
        <w:rPr>
          <w:rFonts w:hint="cs"/>
          <w:rtl/>
        </w:rPr>
        <w:t>ל</w:t>
      </w:r>
      <w:r w:rsidRPr="002F2BC5">
        <w:rPr>
          <w:rtl/>
        </w:rPr>
        <w:t>ידע ו</w:t>
      </w:r>
      <w:r w:rsidRPr="002F2BC5">
        <w:rPr>
          <w:rFonts w:hint="cs"/>
          <w:rtl/>
        </w:rPr>
        <w:t>ל</w:t>
      </w:r>
      <w:r w:rsidRPr="002F2BC5">
        <w:rPr>
          <w:rtl/>
        </w:rPr>
        <w:t xml:space="preserve">מידע בכל הנוגע לפעילות המחלקות והמרכזים ולחיזוק ממשקי העבודה </w:t>
      </w:r>
      <w:r w:rsidRPr="002F2BC5">
        <w:rPr>
          <w:rFonts w:hint="cs"/>
          <w:rtl/>
        </w:rPr>
        <w:t>ביניהם, ומתוך הבנה שאין חובה לאייש תפקיד זה, והדבר נתון לשיקול דעתו של מנהל המחלקה - מומלץ למשרד הרווחה להעניק הכוונה מקצועית למנהלי המחלקות לשירותים חברתיים בנוגע להחלטתם אם יש מקום לאייש את התפקיד</w:t>
      </w:r>
      <w:r w:rsidRPr="002F2BC5">
        <w:rPr>
          <w:rStyle w:val="af9"/>
          <w:b w:val="0"/>
          <w:bCs w:val="0"/>
          <w:rtl/>
        </w:rPr>
        <w:footnoteReference w:id="301"/>
      </w:r>
      <w:r w:rsidRPr="002F2BC5">
        <w:rPr>
          <w:rFonts w:hint="cs"/>
          <w:rtl/>
        </w:rPr>
        <w:t>.</w:t>
      </w:r>
      <w:bookmarkEnd w:id="1484"/>
      <w:bookmarkEnd w:id="1485"/>
      <w:bookmarkEnd w:id="1486"/>
      <w:bookmarkEnd w:id="1487"/>
      <w:bookmarkEnd w:id="1488"/>
      <w:bookmarkEnd w:id="1489"/>
      <w:bookmarkEnd w:id="1490"/>
    </w:p>
    <w:p w14:paraId="33837B88" w14:textId="77777777" w:rsidR="00817399" w:rsidRPr="002F2BC5" w:rsidRDefault="00817399" w:rsidP="00817399">
      <w:pPr>
        <w:spacing w:line="269" w:lineRule="auto"/>
        <w:rPr>
          <w:rtl/>
        </w:rPr>
      </w:pPr>
    </w:p>
    <w:p w14:paraId="5626DB69" w14:textId="77777777" w:rsidR="00817399" w:rsidRPr="002F2BC5" w:rsidRDefault="00817399" w:rsidP="00817399">
      <w:pPr>
        <w:spacing w:line="269" w:lineRule="auto"/>
        <w:rPr>
          <w:rtl/>
        </w:rPr>
      </w:pPr>
      <w:r w:rsidRPr="002F2BC5">
        <w:rPr>
          <w:rFonts w:hint="cs"/>
          <w:b/>
          <w:bCs/>
          <w:rtl/>
        </w:rPr>
        <w:t xml:space="preserve">על משרד הרווחה לקבוע יעדים להגדלת מספר המטופלים במרכזים לטיפול ומניעת אלימות במשפחה ולעקוב אחר עמידה בהם, וזאת בזיקה לשיעור בעלי הנזקקות בתחום האלימות במשפחה הרשומים במחלקות לשירותים חברתיים. </w:t>
      </w:r>
    </w:p>
    <w:p w14:paraId="2BBC1E2B" w14:textId="77777777" w:rsidR="00817399" w:rsidRPr="002F2BC5" w:rsidRDefault="00817399" w:rsidP="00817399">
      <w:pPr>
        <w:spacing w:line="269" w:lineRule="auto"/>
        <w:rPr>
          <w:rtl/>
        </w:rPr>
      </w:pPr>
    </w:p>
    <w:p w14:paraId="6ADE14FC"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64D7FEAE" w14:textId="77777777" w:rsidR="00817399" w:rsidRPr="002F2BC5" w:rsidRDefault="00817399" w:rsidP="00817399">
      <w:pPr>
        <w:pStyle w:val="afffffff7"/>
        <w:spacing w:before="0" w:line="269" w:lineRule="auto"/>
      </w:pPr>
      <w:r w:rsidRPr="002F2BC5">
        <w:rPr>
          <w:rtl/>
        </w:rPr>
        <w:tab/>
      </w:r>
      <w:bookmarkStart w:id="1491" w:name="_Toc198312283"/>
      <w:bookmarkStart w:id="1492" w:name="_Toc198312762"/>
      <w:r w:rsidRPr="002F2BC5">
        <w:rPr>
          <w:noProof/>
        </w:rPr>
        <w:drawing>
          <wp:inline distT="0" distB="0" distL="0" distR="0" wp14:anchorId="2B44BA0C" wp14:editId="06A237FA">
            <wp:extent cx="4324350" cy="933450"/>
            <wp:effectExtent l="0" t="0" r="0" b="0"/>
            <wp:docPr id="2052770989"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491"/>
      <w:bookmarkEnd w:id="1492"/>
    </w:p>
    <w:p w14:paraId="4D525238" w14:textId="77777777" w:rsidR="00817399" w:rsidRPr="002F2BC5" w:rsidRDefault="00817399" w:rsidP="00817399">
      <w:pPr>
        <w:spacing w:line="269" w:lineRule="auto"/>
        <w:rPr>
          <w:rtl/>
        </w:rPr>
      </w:pPr>
    </w:p>
    <w:p w14:paraId="6A291598" w14:textId="77777777" w:rsidR="00817399" w:rsidRPr="002F2BC5" w:rsidRDefault="00817399" w:rsidP="00817399">
      <w:pPr>
        <w:pStyle w:val="6"/>
        <w:spacing w:line="269" w:lineRule="auto"/>
        <w:rPr>
          <w:rtl/>
        </w:rPr>
      </w:pPr>
      <w:bookmarkStart w:id="1493" w:name="_Toc189072257"/>
      <w:bookmarkStart w:id="1494" w:name="_Toc191987076"/>
      <w:bookmarkStart w:id="1495" w:name="_Toc193110627"/>
      <w:r w:rsidRPr="002F2BC5">
        <w:rPr>
          <w:rFonts w:hint="cs"/>
          <w:rtl/>
        </w:rPr>
        <w:lastRenderedPageBreak/>
        <w:t>זמינותם ורמתם המקצועית של השירותים הניתנים במרכזים</w:t>
      </w:r>
      <w:bookmarkEnd w:id="1493"/>
      <w:bookmarkEnd w:id="1494"/>
      <w:bookmarkEnd w:id="1495"/>
    </w:p>
    <w:p w14:paraId="452E4D99" w14:textId="77777777" w:rsidR="00817399" w:rsidRPr="002F2BC5" w:rsidRDefault="00817399" w:rsidP="00817399">
      <w:pPr>
        <w:spacing w:line="269" w:lineRule="auto"/>
        <w:rPr>
          <w:rtl/>
        </w:rPr>
      </w:pPr>
    </w:p>
    <w:p w14:paraId="1C63B735" w14:textId="77777777" w:rsidR="00817399" w:rsidRPr="002F2BC5" w:rsidRDefault="00817399" w:rsidP="00817399">
      <w:pPr>
        <w:pStyle w:val="7"/>
        <w:spacing w:line="269" w:lineRule="auto"/>
        <w:rPr>
          <w:rtl/>
        </w:rPr>
      </w:pPr>
      <w:bookmarkStart w:id="1496" w:name="_Toc191987077"/>
      <w:r w:rsidRPr="002F2BC5">
        <w:rPr>
          <w:rStyle w:val="1ff0"/>
          <w:rFonts w:hint="cs"/>
          <w:rtl/>
        </w:rPr>
        <w:t>תפיסת ההפעלה האזורית של המרכזים</w:t>
      </w:r>
      <w:r w:rsidRPr="002F2BC5">
        <w:rPr>
          <w:rStyle w:val="af9"/>
          <w:rtl/>
        </w:rPr>
        <w:footnoteReference w:id="302"/>
      </w:r>
      <w:bookmarkEnd w:id="1496"/>
    </w:p>
    <w:p w14:paraId="387830D0" w14:textId="77777777" w:rsidR="00817399" w:rsidRPr="002F2BC5" w:rsidRDefault="00817399" w:rsidP="00817399">
      <w:pPr>
        <w:spacing w:line="269" w:lineRule="auto"/>
        <w:rPr>
          <w:rtl/>
        </w:rPr>
      </w:pPr>
    </w:p>
    <w:p w14:paraId="75F57D1E" w14:textId="77777777" w:rsidR="00817399" w:rsidRPr="002F2BC5" w:rsidRDefault="00817399" w:rsidP="00817399">
      <w:pPr>
        <w:spacing w:line="269" w:lineRule="auto"/>
        <w:rPr>
          <w:rtl/>
        </w:rPr>
      </w:pPr>
      <w:r w:rsidRPr="002F2BC5">
        <w:rPr>
          <w:rFonts w:hint="cs"/>
          <w:rtl/>
        </w:rPr>
        <w:t>אחד מעקרונות ההפעלה שעליהם מושתתים שירותי הרווחה בקהילה הוא עקרון האזוריות, המבוסס על שיתופי פעולה בין מספר מצומצם של רשויות מקומיות. עיקרי תועלתו של עיקרון זה הם בהרחבת ההיקף והמגוון של המענים הזמינים ושל מקבלי השירותים; יצירת קהילה מקצועית והתרחבות הידע המקצועי; וכן בהיבט של איגום משאבים וניצול משאבים יעיל</w:t>
      </w:r>
      <w:r w:rsidRPr="002F2BC5">
        <w:rPr>
          <w:rStyle w:val="af9"/>
          <w:rtl/>
        </w:rPr>
        <w:footnoteReference w:id="303"/>
      </w:r>
      <w:r w:rsidRPr="002F2BC5">
        <w:rPr>
          <w:rFonts w:hint="cs"/>
          <w:rtl/>
        </w:rPr>
        <w:t>. כך גם מודל ההפעלה של המרכזים לטיפול ומניעת אלימות במשפחה מושתת על עיקרון זה, והם מונחים על פי הוראות התע"ס לפעול תוך הקפדה על שיתופי פעולה בין הרשות המקומית המפעילה את המרכז לבין רשויות מקומיות אחרות שתושביהן מקבלים בו שירותים</w:t>
      </w:r>
      <w:r w:rsidRPr="002F2BC5">
        <w:rPr>
          <w:rStyle w:val="af9"/>
          <w:rtl/>
        </w:rPr>
        <w:footnoteReference w:id="304"/>
      </w:r>
      <w:r w:rsidRPr="002F2BC5">
        <w:rPr>
          <w:rFonts w:hint="cs"/>
          <w:rtl/>
        </w:rPr>
        <w:t>.</w:t>
      </w:r>
    </w:p>
    <w:p w14:paraId="65CDD4C4" w14:textId="77777777" w:rsidR="00817399" w:rsidRPr="002F2BC5" w:rsidRDefault="00817399" w:rsidP="00817399">
      <w:pPr>
        <w:spacing w:line="269" w:lineRule="auto"/>
        <w:rPr>
          <w:rtl/>
        </w:rPr>
      </w:pPr>
    </w:p>
    <w:p w14:paraId="2468608F" w14:textId="77777777" w:rsidR="00817399" w:rsidRPr="002F2BC5" w:rsidRDefault="00817399" w:rsidP="00817399">
      <w:pPr>
        <w:spacing w:line="269" w:lineRule="auto"/>
        <w:rPr>
          <w:rtl/>
        </w:rPr>
      </w:pPr>
      <w:bookmarkStart w:id="1498" w:name="_Toc191987078"/>
      <w:r w:rsidRPr="002F2BC5">
        <w:rPr>
          <w:rStyle w:val="70"/>
          <w:rFonts w:hint="cs"/>
          <w:rtl/>
        </w:rPr>
        <w:t>הביקורת הקודמת:</w:t>
      </w:r>
      <w:bookmarkEnd w:id="1498"/>
      <w:r w:rsidRPr="002F2BC5">
        <w:rPr>
          <w:rStyle w:val="70"/>
          <w:rFonts w:hint="cs"/>
          <w:rtl/>
        </w:rPr>
        <w:t xml:space="preserve"> </w:t>
      </w:r>
      <w:r w:rsidRPr="002F2BC5">
        <w:rPr>
          <w:rFonts w:hint="cs"/>
          <w:rtl/>
        </w:rPr>
        <w:t xml:space="preserve">נמצא כי </w:t>
      </w:r>
      <w:r w:rsidRPr="002F2BC5">
        <w:rPr>
          <w:rtl/>
        </w:rPr>
        <w:t>נכון לשנת 2019</w:t>
      </w:r>
      <w:r w:rsidRPr="002F2BC5">
        <w:rPr>
          <w:rFonts w:hint="cs"/>
          <w:rtl/>
        </w:rPr>
        <w:t xml:space="preserve"> ב-110 רשויות מקומיות </w:t>
      </w:r>
      <w:r w:rsidRPr="002F2BC5">
        <w:rPr>
          <w:rtl/>
        </w:rPr>
        <w:t>פעל</w:t>
      </w:r>
      <w:r w:rsidRPr="002F2BC5">
        <w:rPr>
          <w:rFonts w:hint="cs"/>
          <w:rtl/>
        </w:rPr>
        <w:t xml:space="preserve"> מרכז לטיפול ומניעת אלימות במשפחה וכי ביותר ממחצית מהרשויות הללו (58 מתוך 110) שיעורם הממוצע של הנזקקים בתחום האלימות במשפחה ל-1,000 תושבים היה קטן מהממוצע הארצי (2.79). עוד הועלה בביקורת הקודמת כי אף שלפי משרד הרווחה הקריטריון המנחה להקמת המרכזים היה מספר התושבים ברשות המקומית, 30 מרכזים הוקמו ברשויות מקומיות קטנות שבתחומן התגוררו פחות מ-20,000 תושבים. </w:t>
      </w:r>
    </w:p>
    <w:p w14:paraId="534D235E" w14:textId="77777777" w:rsidR="00817399" w:rsidRPr="002F2BC5" w:rsidRDefault="00817399" w:rsidP="00817399">
      <w:pPr>
        <w:spacing w:line="269" w:lineRule="auto"/>
        <w:rPr>
          <w:rtl/>
        </w:rPr>
      </w:pPr>
    </w:p>
    <w:p w14:paraId="5152A9AF" w14:textId="77777777" w:rsidR="00817399" w:rsidRPr="002F2BC5" w:rsidRDefault="00817399" w:rsidP="00817399">
      <w:pPr>
        <w:spacing w:line="269" w:lineRule="auto"/>
        <w:rPr>
          <w:rtl/>
        </w:rPr>
      </w:pPr>
      <w:r w:rsidRPr="002F2BC5">
        <w:rPr>
          <w:rFonts w:hint="cs"/>
          <w:rtl/>
        </w:rPr>
        <w:t>הביקורת הקודמת העלתה עוד כי לא כל המרכזים שהוגדרו על ידי משרד הרווחה כמרכזים אזוריים (17 מתוך 110) אכן נתנו שירותים גם לתושביהן של רשויות מקומיות אחרות</w:t>
      </w:r>
      <w:r w:rsidRPr="002F2BC5">
        <w:rPr>
          <w:rStyle w:val="af9"/>
          <w:rtl/>
        </w:rPr>
        <w:footnoteReference w:id="305"/>
      </w:r>
      <w:r w:rsidRPr="002F2BC5">
        <w:rPr>
          <w:rFonts w:hint="cs"/>
          <w:rtl/>
        </w:rPr>
        <w:t xml:space="preserve">. עוד הועלה כי בשנת 2019 כ-28% מהרשויות המקומיות שלא הפעילו מרכז (41 מתוך 147), גם לא הפנו את תושביהן לקבלת טיפול במרכזים שהופעלו על ידי רשויות אחרות. </w:t>
      </w:r>
    </w:p>
    <w:p w14:paraId="6B4484ED" w14:textId="77777777" w:rsidR="00817399" w:rsidRPr="002F2BC5" w:rsidRDefault="00817399" w:rsidP="00817399">
      <w:pPr>
        <w:spacing w:line="269" w:lineRule="auto"/>
        <w:rPr>
          <w:rtl/>
        </w:rPr>
      </w:pPr>
    </w:p>
    <w:p w14:paraId="3EAC5695"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לבחון את ה</w:t>
      </w:r>
      <w:r w:rsidRPr="002F2BC5">
        <w:rPr>
          <w:rtl/>
        </w:rPr>
        <w:t>פיזור</w:t>
      </w:r>
      <w:r w:rsidRPr="002F2BC5">
        <w:rPr>
          <w:rFonts w:hint="cs"/>
          <w:rtl/>
        </w:rPr>
        <w:t xml:space="preserve"> הגיאוגרפי של המרכזים, תוך הבאה בחשבון של מספר הנזקקים בכל רשות מקומית, לצד מספר התושבים ברשות ורצון הרשות להקים מרכז בתחומה, וזאת כדי להעניק טיפול מיטבי לנזקקים.</w:t>
      </w:r>
      <w:r w:rsidRPr="002F2BC5">
        <w:rPr>
          <w:rFonts w:hint="eastAsia"/>
          <w:rtl/>
        </w:rPr>
        <w:t xml:space="preserve"> </w:t>
      </w:r>
      <w:r w:rsidRPr="002F2BC5">
        <w:rPr>
          <w:rFonts w:hint="cs"/>
          <w:rtl/>
        </w:rPr>
        <w:t xml:space="preserve">עוד הומלץ </w:t>
      </w:r>
      <w:r w:rsidRPr="002F2BC5">
        <w:rPr>
          <w:rFonts w:hint="eastAsia"/>
          <w:rtl/>
        </w:rPr>
        <w:t>למשרד</w:t>
      </w:r>
      <w:r w:rsidRPr="002F2BC5">
        <w:rPr>
          <w:rtl/>
        </w:rPr>
        <w:t xml:space="preserve"> </w:t>
      </w:r>
      <w:r w:rsidRPr="002F2BC5">
        <w:rPr>
          <w:rFonts w:hint="eastAsia"/>
          <w:rtl/>
        </w:rPr>
        <w:t>הרווחה</w:t>
      </w:r>
      <w:r w:rsidRPr="002F2BC5">
        <w:rPr>
          <w:rtl/>
        </w:rPr>
        <w:t xml:space="preserve"> </w:t>
      </w:r>
      <w:r w:rsidRPr="002F2BC5">
        <w:rPr>
          <w:rFonts w:hint="cs"/>
          <w:rtl/>
        </w:rPr>
        <w:t xml:space="preserve">לבחון מתן מענה גם לנזקקים שברשות המקומית שבה הם מתגוררים לא פועל מרכז, או למי שמעוניין לקבל טיפול ברשות מקומית אחרת מזו שהוא מתגורר בה. </w:t>
      </w:r>
    </w:p>
    <w:p w14:paraId="74826DEA" w14:textId="77777777" w:rsidR="00817399" w:rsidRPr="002F2BC5" w:rsidRDefault="00817399" w:rsidP="00817399">
      <w:pPr>
        <w:spacing w:line="269" w:lineRule="auto"/>
        <w:rPr>
          <w:rtl/>
        </w:rPr>
      </w:pPr>
    </w:p>
    <w:p w14:paraId="4ABF9767"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הוא פועל לגיבוש קריטריונים להקמה של מרכזים, ובהם מדד חברתי-כלכלי וסוג האוכלוסייה, וכי מהלך זה צפוי להסתיים עד מאי 2021.</w:t>
      </w:r>
      <w:r w:rsidRPr="002F2BC5">
        <w:rPr>
          <w:rtl/>
        </w:rPr>
        <w:t xml:space="preserve"> </w:t>
      </w:r>
      <w:r w:rsidRPr="002F2BC5">
        <w:rPr>
          <w:rFonts w:hint="cs"/>
          <w:rtl/>
        </w:rPr>
        <w:t>עוד הוסיף כי המענה האזורי במרכזים נדרש לנוכח מגבלות תקציביות וצרכים מקצועיים וכי במהלך שנת 2021 בכוונתו למפות ולהגדיר את השיוך האזורי של כל מרכז וכן לחדד את הגדרת תפקידם של המרכזים כנותני שירות אזורי. אשר לתוכניות הייחודיות המופעלות במרכזים השיב משרד הרווחה כי תוכניות אלו הן חלק בלתי נפרד מפעילות המרכזים ואינן יכולות להתקיים ללא המעטפת המקצועית וסל המענים והשירותים שמספק המרכז.</w:t>
      </w:r>
    </w:p>
    <w:p w14:paraId="33202BC0" w14:textId="77777777" w:rsidR="00817399" w:rsidRPr="002F2BC5" w:rsidRDefault="00817399" w:rsidP="00817399">
      <w:pPr>
        <w:spacing w:line="269" w:lineRule="auto"/>
        <w:rPr>
          <w:rtl/>
        </w:rPr>
      </w:pPr>
    </w:p>
    <w:p w14:paraId="743B3CB7" w14:textId="77777777" w:rsidR="00817399" w:rsidRPr="002F2BC5" w:rsidRDefault="00817399" w:rsidP="00817399">
      <w:pPr>
        <w:spacing w:line="269" w:lineRule="auto"/>
        <w:rPr>
          <w:b/>
          <w:bCs/>
          <w:rtl/>
        </w:rPr>
      </w:pPr>
      <w:bookmarkStart w:id="1499" w:name="_Toc191987079"/>
      <w:r w:rsidRPr="002F2BC5">
        <w:rPr>
          <w:rStyle w:val="70"/>
          <w:rFonts w:hint="cs"/>
          <w:rtl/>
        </w:rPr>
        <w:t>ביקורת המעקב:</w:t>
      </w:r>
      <w:bookmarkEnd w:id="1499"/>
      <w:r w:rsidRPr="002F2BC5">
        <w:rPr>
          <w:rStyle w:val="70"/>
          <w:rFonts w:hint="cs"/>
          <w:rtl/>
        </w:rPr>
        <w:t xml:space="preserve"> </w:t>
      </w:r>
      <w:r w:rsidRPr="002F2BC5">
        <w:rPr>
          <w:rFonts w:hint="cs"/>
          <w:rtl/>
        </w:rPr>
        <w:t xml:space="preserve">נמצא כי </w:t>
      </w:r>
      <w:r w:rsidRPr="002F2BC5">
        <w:rPr>
          <w:rFonts w:hint="eastAsia"/>
          <w:rtl/>
        </w:rPr>
        <w:t>מאז</w:t>
      </w:r>
      <w:r w:rsidRPr="002F2BC5">
        <w:rPr>
          <w:rtl/>
        </w:rPr>
        <w:t xml:space="preserve"> הביקורת הקודמת הקים משרד הרווחה מרכזים לטיפול ומניעת אלימות במשפחה ב-56 רשויות מקומיות נוספות, כך שבמועד סיום ביקורת המעקב, בדצמבר 2024, פעלו מרכזים ב-166 רשויות מקומיות בסך </w:t>
      </w:r>
      <w:r w:rsidRPr="002F2BC5">
        <w:rPr>
          <w:rFonts w:hint="eastAsia"/>
          <w:rtl/>
        </w:rPr>
        <w:t>הכול</w:t>
      </w:r>
      <w:r w:rsidRPr="002F2BC5">
        <w:rPr>
          <w:rtl/>
        </w:rPr>
        <w:t xml:space="preserve">. </w:t>
      </w:r>
      <w:r w:rsidRPr="002F2BC5">
        <w:rPr>
          <w:rFonts w:hint="eastAsia"/>
          <w:rtl/>
        </w:rPr>
        <w:t>בכל</w:t>
      </w:r>
      <w:r w:rsidRPr="002F2BC5">
        <w:rPr>
          <w:rtl/>
        </w:rPr>
        <w:t xml:space="preserve"> </w:t>
      </w:r>
      <w:r w:rsidRPr="002F2BC5">
        <w:rPr>
          <w:rFonts w:hint="eastAsia"/>
          <w:rtl/>
        </w:rPr>
        <w:t>הרשויות</w:t>
      </w:r>
      <w:r w:rsidRPr="002F2BC5">
        <w:rPr>
          <w:rtl/>
        </w:rPr>
        <w:t xml:space="preserve"> המקומיות שנבדקו, </w:t>
      </w:r>
      <w:r w:rsidRPr="002F2BC5">
        <w:rPr>
          <w:rFonts w:hint="eastAsia"/>
          <w:rtl/>
        </w:rPr>
        <w:t>למעט</w:t>
      </w:r>
      <w:r w:rsidRPr="002F2BC5">
        <w:rPr>
          <w:rtl/>
        </w:rPr>
        <w:t xml:space="preserve"> המועצה המקומית </w:t>
      </w:r>
      <w:r w:rsidRPr="002F2BC5">
        <w:rPr>
          <w:rFonts w:hint="eastAsia"/>
          <w:b/>
          <w:bCs/>
          <w:rtl/>
        </w:rPr>
        <w:t>שיבלי</w:t>
      </w:r>
      <w:r w:rsidRPr="002F2BC5">
        <w:rPr>
          <w:b/>
          <w:bCs/>
          <w:rtl/>
        </w:rPr>
        <w:t xml:space="preserve"> - אום אל-ר'נם</w:t>
      </w:r>
      <w:r w:rsidRPr="002F2BC5">
        <w:rPr>
          <w:rtl/>
        </w:rPr>
        <w:t>, פעל מרכז לטיפול ומניעת אלימות במשפחה במועד סיום הביקורת, בדצמבר 2024.</w:t>
      </w:r>
    </w:p>
    <w:p w14:paraId="1F951BC3" w14:textId="77777777" w:rsidR="00817399" w:rsidRPr="002F2BC5" w:rsidRDefault="00817399" w:rsidP="00817399">
      <w:pPr>
        <w:spacing w:line="269" w:lineRule="auto"/>
        <w:rPr>
          <w:rtl/>
        </w:rPr>
      </w:pPr>
    </w:p>
    <w:p w14:paraId="3656D53E" w14:textId="77777777" w:rsidR="00817399" w:rsidRPr="002F2BC5" w:rsidRDefault="00817399" w:rsidP="00817399">
      <w:pPr>
        <w:pStyle w:val="afffffff9"/>
        <w:spacing w:line="269" w:lineRule="auto"/>
        <w:rPr>
          <w:rtl/>
        </w:rPr>
      </w:pPr>
      <w:bookmarkStart w:id="1500" w:name="_Toc198312284"/>
      <w:bookmarkStart w:id="1501" w:name="_Toc198312763"/>
      <w:bookmarkStart w:id="1502" w:name="_Toc200636936"/>
      <w:bookmarkStart w:id="1503" w:name="_Toc200439934"/>
      <w:bookmarkStart w:id="1504" w:name="_Toc201241039"/>
      <w:bookmarkStart w:id="1505" w:name="_Toc192093139"/>
      <w:bookmarkStart w:id="1506" w:name="_Toc192612847"/>
      <w:r w:rsidRPr="002F2BC5">
        <w:rPr>
          <w:rtl/>
        </w:rPr>
        <w:lastRenderedPageBreak/>
        <w:t>הביקורת הקודמת העלתה כי נכון לשנת 2019 ב-110 רשויות מקומיות פעל מרכז לטיפול ומניעת אלימות במשפחה</w:t>
      </w:r>
      <w:r w:rsidRPr="002F2BC5">
        <w:rPr>
          <w:rFonts w:hint="cs"/>
          <w:rtl/>
        </w:rPr>
        <w:t xml:space="preserve"> ו</w:t>
      </w:r>
      <w:r w:rsidRPr="002F2BC5">
        <w:rPr>
          <w:rFonts w:hint="eastAsia"/>
          <w:rtl/>
        </w:rPr>
        <w:t>כי</w:t>
      </w:r>
      <w:r w:rsidRPr="002F2BC5">
        <w:rPr>
          <w:rtl/>
        </w:rPr>
        <w:t xml:space="preserve"> </w:t>
      </w:r>
      <w:r w:rsidRPr="002F2BC5">
        <w:rPr>
          <w:rFonts w:hint="eastAsia"/>
          <w:rtl/>
        </w:rPr>
        <w:t>לא</w:t>
      </w:r>
      <w:r w:rsidRPr="002F2BC5">
        <w:rPr>
          <w:rtl/>
        </w:rPr>
        <w:t xml:space="preserve"> </w:t>
      </w:r>
      <w:r w:rsidRPr="002F2BC5">
        <w:rPr>
          <w:rFonts w:hint="eastAsia"/>
          <w:rtl/>
        </w:rPr>
        <w:t>כל</w:t>
      </w:r>
      <w:r w:rsidRPr="002F2BC5">
        <w:rPr>
          <w:rtl/>
        </w:rPr>
        <w:t xml:space="preserve"> </w:t>
      </w:r>
      <w:r w:rsidRPr="002F2BC5">
        <w:rPr>
          <w:rFonts w:hint="eastAsia"/>
          <w:rtl/>
        </w:rPr>
        <w:t>המרכזים</w:t>
      </w:r>
      <w:r w:rsidRPr="002F2BC5">
        <w:rPr>
          <w:rtl/>
        </w:rPr>
        <w:t xml:space="preserve"> </w:t>
      </w:r>
      <w:r w:rsidRPr="002F2BC5">
        <w:rPr>
          <w:rFonts w:hint="eastAsia"/>
          <w:rtl/>
        </w:rPr>
        <w:t>שהוגדרו</w:t>
      </w:r>
      <w:r w:rsidRPr="002F2BC5">
        <w:rPr>
          <w:rtl/>
        </w:rPr>
        <w:t xml:space="preserve"> </w:t>
      </w:r>
      <w:r w:rsidRPr="002F2BC5">
        <w:rPr>
          <w:rFonts w:hint="eastAsia"/>
          <w:rtl/>
        </w:rPr>
        <w:t>על</w:t>
      </w:r>
      <w:r w:rsidRPr="002F2BC5">
        <w:rPr>
          <w:rtl/>
        </w:rPr>
        <w:t xml:space="preserve"> </w:t>
      </w:r>
      <w:r w:rsidRPr="002F2BC5">
        <w:rPr>
          <w:rFonts w:hint="eastAsia"/>
          <w:rtl/>
        </w:rPr>
        <w:t>ידי</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כמרכזים</w:t>
      </w:r>
      <w:r w:rsidRPr="002F2BC5">
        <w:rPr>
          <w:rtl/>
        </w:rPr>
        <w:t xml:space="preserve"> </w:t>
      </w:r>
      <w:r w:rsidRPr="002F2BC5">
        <w:rPr>
          <w:rFonts w:hint="eastAsia"/>
          <w:rtl/>
        </w:rPr>
        <w:t>אזוריים</w:t>
      </w:r>
      <w:r w:rsidRPr="002F2BC5">
        <w:rPr>
          <w:rtl/>
        </w:rPr>
        <w:t xml:space="preserve"> (17 </w:t>
      </w:r>
      <w:r w:rsidRPr="002F2BC5">
        <w:rPr>
          <w:rFonts w:hint="eastAsia"/>
          <w:rtl/>
        </w:rPr>
        <w:t>מתוך</w:t>
      </w:r>
      <w:r w:rsidRPr="002F2BC5">
        <w:rPr>
          <w:rtl/>
        </w:rPr>
        <w:t xml:space="preserve"> 110) </w:t>
      </w:r>
      <w:r w:rsidRPr="002F2BC5">
        <w:rPr>
          <w:rFonts w:hint="eastAsia"/>
          <w:rtl/>
        </w:rPr>
        <w:t>אכן</w:t>
      </w:r>
      <w:r w:rsidRPr="002F2BC5">
        <w:rPr>
          <w:rtl/>
        </w:rPr>
        <w:t xml:space="preserve"> </w:t>
      </w:r>
      <w:r w:rsidRPr="002F2BC5">
        <w:rPr>
          <w:rFonts w:hint="eastAsia"/>
          <w:rtl/>
        </w:rPr>
        <w:t>נתנו</w:t>
      </w:r>
      <w:r w:rsidRPr="002F2BC5">
        <w:rPr>
          <w:rtl/>
        </w:rPr>
        <w:t xml:space="preserve"> </w:t>
      </w:r>
      <w:r w:rsidRPr="002F2BC5">
        <w:rPr>
          <w:rFonts w:hint="eastAsia"/>
          <w:rtl/>
        </w:rPr>
        <w:t>שירותים</w:t>
      </w:r>
      <w:r w:rsidRPr="002F2BC5">
        <w:rPr>
          <w:rtl/>
        </w:rPr>
        <w:t xml:space="preserve"> </w:t>
      </w:r>
      <w:r w:rsidRPr="002F2BC5">
        <w:rPr>
          <w:rFonts w:hint="eastAsia"/>
          <w:rtl/>
        </w:rPr>
        <w:t>גם</w:t>
      </w:r>
      <w:r w:rsidRPr="002F2BC5">
        <w:rPr>
          <w:rtl/>
        </w:rPr>
        <w:t xml:space="preserve"> </w:t>
      </w:r>
      <w:r w:rsidRPr="002F2BC5">
        <w:rPr>
          <w:rFonts w:hint="eastAsia"/>
          <w:rtl/>
        </w:rPr>
        <w:t>לתושביהן</w:t>
      </w:r>
      <w:r w:rsidRPr="002F2BC5">
        <w:rPr>
          <w:rtl/>
        </w:rPr>
        <w:t xml:space="preserve"> </w:t>
      </w:r>
      <w:r w:rsidRPr="002F2BC5">
        <w:rPr>
          <w:rFonts w:hint="eastAsia"/>
          <w:rtl/>
        </w:rPr>
        <w:t>של</w:t>
      </w:r>
      <w:r w:rsidRPr="002F2BC5">
        <w:rPr>
          <w:rtl/>
        </w:rPr>
        <w:t xml:space="preserve"> </w:t>
      </w:r>
      <w:r w:rsidRPr="002F2BC5">
        <w:rPr>
          <w:rFonts w:hint="eastAsia"/>
          <w:rtl/>
        </w:rPr>
        <w:t>רשויות</w:t>
      </w:r>
      <w:r w:rsidRPr="002F2BC5">
        <w:rPr>
          <w:rtl/>
        </w:rPr>
        <w:t xml:space="preserve"> </w:t>
      </w:r>
      <w:r w:rsidRPr="002F2BC5">
        <w:rPr>
          <w:rFonts w:hint="eastAsia"/>
          <w:rtl/>
        </w:rPr>
        <w:t>מקומיות</w:t>
      </w:r>
      <w:r w:rsidRPr="002F2BC5">
        <w:rPr>
          <w:rtl/>
        </w:rPr>
        <w:t xml:space="preserve"> </w:t>
      </w:r>
      <w:r w:rsidRPr="002F2BC5">
        <w:rPr>
          <w:rFonts w:hint="eastAsia"/>
          <w:rtl/>
        </w:rPr>
        <w:t>אחרות</w:t>
      </w:r>
      <w:r w:rsidRPr="002F2BC5">
        <w:rPr>
          <w:rFonts w:hint="cs"/>
          <w:rtl/>
        </w:rPr>
        <w:t>.</w:t>
      </w:r>
      <w:r w:rsidRPr="002F2BC5">
        <w:rPr>
          <w:rtl/>
        </w:rPr>
        <w:t xml:space="preserve"> </w:t>
      </w:r>
      <w:r w:rsidRPr="002F2BC5">
        <w:rPr>
          <w:rFonts w:hint="cs"/>
          <w:rtl/>
        </w:rPr>
        <w:t xml:space="preserve">בביקורת המעקב </w:t>
      </w:r>
      <w:r w:rsidRPr="002F2BC5">
        <w:rPr>
          <w:rtl/>
        </w:rPr>
        <w:t>הועלה כי הליקוי תוקן במידה רבה</w:t>
      </w:r>
      <w:r w:rsidRPr="002F2BC5">
        <w:rPr>
          <w:rFonts w:hint="cs"/>
          <w:rtl/>
        </w:rPr>
        <w:t xml:space="preserve"> ובמועד סיומה </w:t>
      </w:r>
      <w:r w:rsidRPr="002F2BC5">
        <w:rPr>
          <w:rtl/>
        </w:rPr>
        <w:t xml:space="preserve">פעלו מרכזים ב-166 רשויות מקומיות בסך הכול. </w:t>
      </w:r>
      <w:r w:rsidRPr="002F2BC5">
        <w:rPr>
          <w:rFonts w:hint="cs"/>
          <w:rtl/>
        </w:rPr>
        <w:t>עם זאת הועלה כי אף שעל פי מודל ההפעלה החדש אמורים כלל המרכזים לספק שירותים אזוריים גם לתושביהן של רשויות מקומיות אחרות, שש מהרשויות המקומיות שנבדקו ומפעילות בתחומן מרכז ציינו בשאלונים כי המרכז בהפעלתן אינו מספק שירותים לתושביהן של רשויות מקומיות אחרות. ארבע מהרשויות הללו מסרו כי המרכזים אינם מספקים שירותים אזוריים בשל עומס העבודה בהם או בשל מחסור בכוח אדם מקצועי, וכי כאשר קיימת רשימת המתנה לטיפול, לא ניתן טיפול לתושביהן של רשויות מקומיות אחרות</w:t>
      </w:r>
      <w:r w:rsidRPr="002F2BC5">
        <w:rPr>
          <w:rStyle w:val="af9"/>
          <w:b w:val="0"/>
          <w:bCs w:val="0"/>
          <w:rtl/>
        </w:rPr>
        <w:footnoteReference w:id="306"/>
      </w:r>
      <w:r w:rsidRPr="002F2BC5">
        <w:rPr>
          <w:rFonts w:hint="cs"/>
          <w:rtl/>
        </w:rPr>
        <w:t>.</w:t>
      </w:r>
      <w:bookmarkEnd w:id="1500"/>
      <w:bookmarkEnd w:id="1501"/>
      <w:bookmarkEnd w:id="1502"/>
      <w:bookmarkEnd w:id="1503"/>
      <w:bookmarkEnd w:id="1504"/>
      <w:r w:rsidRPr="002F2BC5">
        <w:rPr>
          <w:rFonts w:hint="cs"/>
          <w:rtl/>
        </w:rPr>
        <w:t xml:space="preserve"> </w:t>
      </w:r>
      <w:bookmarkEnd w:id="1505"/>
      <w:bookmarkEnd w:id="1506"/>
    </w:p>
    <w:p w14:paraId="3C3F775A" w14:textId="77777777" w:rsidR="00817399" w:rsidRPr="002F2BC5" w:rsidRDefault="00817399" w:rsidP="00817399">
      <w:pPr>
        <w:spacing w:line="269" w:lineRule="auto"/>
        <w:rPr>
          <w:rtl/>
        </w:rPr>
      </w:pPr>
    </w:p>
    <w:p w14:paraId="69D28AA4" w14:textId="77777777" w:rsidR="00817399" w:rsidRPr="002F2BC5" w:rsidRDefault="00817399" w:rsidP="00817399">
      <w:pPr>
        <w:pStyle w:val="afffffffa"/>
        <w:spacing w:line="269" w:lineRule="auto"/>
        <w:rPr>
          <w:rtl/>
        </w:rPr>
      </w:pPr>
      <w:bookmarkStart w:id="1507" w:name="_Toc192093140"/>
      <w:bookmarkStart w:id="1508" w:name="_Toc192612848"/>
      <w:bookmarkStart w:id="1509" w:name="_Toc198312285"/>
      <w:bookmarkStart w:id="1510" w:name="_Toc198312764"/>
      <w:bookmarkStart w:id="1511" w:name="_Toc200636937"/>
      <w:bookmarkStart w:id="1512" w:name="_Toc200439935"/>
      <w:bookmarkStart w:id="1513" w:name="_Toc201241040"/>
      <w:r w:rsidRPr="002F2BC5">
        <w:rPr>
          <w:rFonts w:hint="cs"/>
          <w:rtl/>
        </w:rPr>
        <w:t xml:space="preserve">מומלץ למשרד הרווחה לקיים מעקב סדור ושיטתי אחר יישום הנחיותיו בכל הנוגע למודל ההפעלה של המרכזים לטיפול ומניעת אלימות במשפחה, ובתוך כך בכל הנוגע למאפייניהם של השירותים הניתנים בהם ואם הם אומנם ניתנים גם לתושביהן של רשויות מקומיות אחרות. מומלץ עוד כי משרד הרווחה ינחה את הרשויות המקומיות בדבר סדרי הקבלה לטיפול ואופן ניהול רשימות ההמתנה לטיפול כדי להבטיח כי החלטות בנושאים אלה יתקבלו תוך תעדוף צורכי המטופלים </w:t>
      </w:r>
      <w:r w:rsidRPr="002F2BC5">
        <w:rPr>
          <w:rtl/>
        </w:rPr>
        <w:t>מ</w:t>
      </w:r>
      <w:r w:rsidRPr="002F2BC5">
        <w:rPr>
          <w:rFonts w:hint="cs"/>
          <w:rtl/>
        </w:rPr>
        <w:t xml:space="preserve">ן </w:t>
      </w:r>
      <w:r w:rsidRPr="002F2BC5">
        <w:rPr>
          <w:rtl/>
        </w:rPr>
        <w:t>הבחינה המקצועית-אבחנתית ו</w:t>
      </w:r>
      <w:r w:rsidRPr="002F2BC5">
        <w:rPr>
          <w:rFonts w:hint="cs"/>
          <w:rtl/>
        </w:rPr>
        <w:t>לא בזיקה למקום מגוריהם</w:t>
      </w:r>
      <w:r w:rsidRPr="002F2BC5">
        <w:rPr>
          <w:rtl/>
        </w:rPr>
        <w:t>.</w:t>
      </w:r>
      <w:bookmarkEnd w:id="1507"/>
      <w:bookmarkEnd w:id="1508"/>
      <w:bookmarkEnd w:id="1509"/>
      <w:bookmarkEnd w:id="1510"/>
      <w:bookmarkEnd w:id="1511"/>
      <w:bookmarkEnd w:id="1512"/>
      <w:bookmarkEnd w:id="1513"/>
    </w:p>
    <w:p w14:paraId="4D1D9257" w14:textId="77777777" w:rsidR="00817399" w:rsidRPr="002F2BC5" w:rsidRDefault="00817399" w:rsidP="00817399">
      <w:pPr>
        <w:spacing w:line="269" w:lineRule="auto"/>
        <w:rPr>
          <w:rtl/>
        </w:rPr>
      </w:pPr>
    </w:p>
    <w:p w14:paraId="0283E881"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97B48A0" w14:textId="77777777" w:rsidR="00817399" w:rsidRPr="002F2BC5" w:rsidRDefault="00817399" w:rsidP="00817399">
      <w:pPr>
        <w:pStyle w:val="afffffff7"/>
        <w:spacing w:before="0" w:line="269" w:lineRule="auto"/>
      </w:pPr>
      <w:bookmarkStart w:id="1514" w:name="_Toc198312286"/>
      <w:bookmarkStart w:id="1515" w:name="_Toc198312765"/>
      <w:bookmarkStart w:id="1516" w:name="_Toc189072258"/>
      <w:r w:rsidRPr="002F2BC5">
        <w:rPr>
          <w:noProof/>
        </w:rPr>
        <w:drawing>
          <wp:inline distT="0" distB="0" distL="0" distR="0" wp14:anchorId="184A2E97" wp14:editId="70EA163E">
            <wp:extent cx="4324350" cy="933450"/>
            <wp:effectExtent l="0" t="0" r="0" b="0"/>
            <wp:docPr id="34"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514"/>
      <w:bookmarkEnd w:id="1515"/>
    </w:p>
    <w:p w14:paraId="299DD89A" w14:textId="77777777" w:rsidR="00817399" w:rsidRPr="002F2BC5" w:rsidRDefault="00817399" w:rsidP="00817399">
      <w:pPr>
        <w:spacing w:line="269" w:lineRule="auto"/>
        <w:rPr>
          <w:rtl/>
        </w:rPr>
      </w:pPr>
    </w:p>
    <w:p w14:paraId="278B5873" w14:textId="77777777" w:rsidR="00817399" w:rsidRPr="002F2BC5" w:rsidRDefault="00817399" w:rsidP="00817399">
      <w:pPr>
        <w:pStyle w:val="1ff"/>
        <w:bidi/>
        <w:rPr>
          <w:rtl/>
        </w:rPr>
      </w:pPr>
      <w:bookmarkStart w:id="1517" w:name="_Toc191987080"/>
      <w:bookmarkEnd w:id="1452"/>
      <w:bookmarkEnd w:id="1516"/>
      <w:r w:rsidRPr="002F2BC5">
        <w:rPr>
          <w:rFonts w:hint="cs"/>
          <w:rtl/>
        </w:rPr>
        <w:t>הטיפול במרכזים בגברים הנמצאים במעגל האלימות</w:t>
      </w:r>
      <w:bookmarkEnd w:id="1517"/>
    </w:p>
    <w:p w14:paraId="27CCF8B7" w14:textId="77777777" w:rsidR="00817399" w:rsidRPr="002F2BC5" w:rsidRDefault="00817399" w:rsidP="00817399">
      <w:pPr>
        <w:spacing w:line="269" w:lineRule="auto"/>
        <w:rPr>
          <w:rtl/>
        </w:rPr>
      </w:pPr>
    </w:p>
    <w:p w14:paraId="7D6E3C26" w14:textId="77777777" w:rsidR="00817399" w:rsidRPr="002F2BC5" w:rsidRDefault="00817399" w:rsidP="00817399">
      <w:pPr>
        <w:spacing w:line="269" w:lineRule="auto"/>
        <w:rPr>
          <w:rtl/>
        </w:rPr>
      </w:pPr>
      <w:r w:rsidRPr="002F2BC5">
        <w:rPr>
          <w:rFonts w:hint="cs"/>
          <w:rtl/>
        </w:rPr>
        <w:t>מחקרים שעסקו במאפייניהם הייחודיים של גברים הנמצאים במעגל האלימות מצאו כי הטיפול בהם ושיקומם מעמיד מורכבות מיוחדת</w:t>
      </w:r>
      <w:r w:rsidRPr="002F2BC5">
        <w:rPr>
          <w:rStyle w:val="af9"/>
          <w:rtl/>
        </w:rPr>
        <w:footnoteReference w:id="307"/>
      </w:r>
      <w:r w:rsidRPr="002F2BC5">
        <w:rPr>
          <w:rFonts w:hint="cs"/>
          <w:rtl/>
        </w:rPr>
        <w:t>. זאת לנוכח נטייתם הרבה יותר, בהשוואה לנשים, להימנע מפנייה לסיוע או לטיפול באופן יזום, אלא לאחר אירוע קיצון, והקושי ברתימתם לטיפול לאורך זמן</w:t>
      </w:r>
      <w:r w:rsidRPr="002F2BC5">
        <w:rPr>
          <w:rStyle w:val="af9"/>
          <w:rtl/>
        </w:rPr>
        <w:footnoteReference w:id="308"/>
      </w:r>
      <w:r w:rsidRPr="002F2BC5">
        <w:rPr>
          <w:rFonts w:hint="cs"/>
          <w:rtl/>
        </w:rPr>
        <w:t>. בכל הקשור לאוכלוסיות ייחודיות - גברים מהחברה הערבית או החרדית ועולים חדשים - קיים צורך ייחודי בהתאמה תרבותית-חברתית ושפתית של המענים הטיפוליים והשיקומיים עבורם ולתפיסות התרבותיות והחברתיות</w:t>
      </w:r>
      <w:r w:rsidRPr="002F2BC5">
        <w:rPr>
          <w:rStyle w:val="af9"/>
          <w:rtl/>
        </w:rPr>
        <w:footnoteReference w:id="309"/>
      </w:r>
      <w:r w:rsidRPr="002F2BC5">
        <w:rPr>
          <w:rFonts w:hint="cs"/>
          <w:rtl/>
        </w:rPr>
        <w:t xml:space="preserve">. עם זאת, מחקרים שעסקו בטיפול </w:t>
      </w:r>
      <w:r w:rsidRPr="002F2BC5">
        <w:rPr>
          <w:rFonts w:hint="cs"/>
          <w:rtl/>
        </w:rPr>
        <w:lastRenderedPageBreak/>
        <w:t>בגברים אלימים הצביעו על כך שאי אפשר להתייחס למטופלים אלו כקבוצה הומוגנית, וכי לצד הבנת ההקשר התרבותי-חברתי, טיפול מיטבי בהם מחייב גם התאמות ייחודיות נוספות</w:t>
      </w:r>
      <w:r w:rsidRPr="002F2BC5">
        <w:rPr>
          <w:rStyle w:val="af9"/>
          <w:rtl/>
        </w:rPr>
        <w:footnoteReference w:id="310"/>
      </w:r>
      <w:r w:rsidRPr="002F2BC5">
        <w:rPr>
          <w:rFonts w:hint="cs"/>
          <w:rtl/>
        </w:rPr>
        <w:t>.</w:t>
      </w:r>
    </w:p>
    <w:p w14:paraId="09067C70" w14:textId="77777777" w:rsidR="00817399" w:rsidRPr="002F2BC5" w:rsidRDefault="00817399" w:rsidP="00817399">
      <w:pPr>
        <w:spacing w:line="269" w:lineRule="auto"/>
        <w:rPr>
          <w:rtl/>
        </w:rPr>
      </w:pPr>
    </w:p>
    <w:p w14:paraId="58E08743" w14:textId="77777777" w:rsidR="00817399" w:rsidRPr="002F2BC5" w:rsidRDefault="00817399" w:rsidP="00817399">
      <w:pPr>
        <w:spacing w:line="269" w:lineRule="auto"/>
        <w:rPr>
          <w:rtl/>
        </w:rPr>
      </w:pPr>
      <w:bookmarkStart w:id="1518" w:name="_Toc191987081"/>
      <w:r w:rsidRPr="002F2BC5">
        <w:rPr>
          <w:rStyle w:val="70"/>
          <w:rFonts w:hint="cs"/>
          <w:rtl/>
        </w:rPr>
        <w:t>הביקורת הקודמת:</w:t>
      </w:r>
      <w:bookmarkEnd w:id="1518"/>
      <w:r w:rsidRPr="002F2BC5">
        <w:rPr>
          <w:rStyle w:val="70"/>
          <w:rFonts w:hint="cs"/>
          <w:rtl/>
        </w:rPr>
        <w:t xml:space="preserve"> </w:t>
      </w:r>
      <w:r w:rsidRPr="002F2BC5">
        <w:rPr>
          <w:rFonts w:hint="cs"/>
          <w:rtl/>
        </w:rPr>
        <w:t xml:space="preserve">נמצא כי לפי נתוני משרד הרווחה בשנת 2019, מבין כלל המטופלים הבוגרים (גברים ונשים גם יחד) </w:t>
      </w:r>
      <w:r w:rsidRPr="002F2BC5">
        <w:rPr>
          <w:rtl/>
        </w:rPr>
        <w:t>במרכזים לטיפול ומניעת אלימות במשפחה</w:t>
      </w:r>
      <w:r w:rsidRPr="002F2BC5">
        <w:rPr>
          <w:rFonts w:hint="cs"/>
          <w:rtl/>
        </w:rPr>
        <w:t>,</w:t>
      </w:r>
      <w:r w:rsidRPr="002F2BC5">
        <w:rPr>
          <w:rtl/>
        </w:rPr>
        <w:t xml:space="preserve"> </w:t>
      </w:r>
      <w:r w:rsidRPr="002F2BC5">
        <w:rPr>
          <w:rFonts w:hint="cs"/>
          <w:rtl/>
        </w:rPr>
        <w:t xml:space="preserve">שיעורם של הגברים היה </w:t>
      </w:r>
      <w:r w:rsidRPr="002F2BC5">
        <w:rPr>
          <w:rtl/>
        </w:rPr>
        <w:t>כ</w:t>
      </w:r>
      <w:r w:rsidRPr="002F2BC5">
        <w:rPr>
          <w:rFonts w:hint="cs"/>
          <w:rtl/>
        </w:rPr>
        <w:t>-27%</w:t>
      </w:r>
      <w:r w:rsidRPr="002F2BC5">
        <w:rPr>
          <w:rtl/>
        </w:rPr>
        <w:t xml:space="preserve"> </w:t>
      </w:r>
      <w:r w:rsidRPr="002F2BC5">
        <w:rPr>
          <w:rFonts w:hint="cs"/>
          <w:rtl/>
        </w:rPr>
        <w:t>בלבד (2,458 מטופלים גברים)</w:t>
      </w:r>
      <w:r w:rsidRPr="002F2BC5">
        <w:rPr>
          <w:rtl/>
        </w:rPr>
        <w:t xml:space="preserve">. </w:t>
      </w:r>
      <w:r w:rsidRPr="002F2BC5">
        <w:rPr>
          <w:rFonts w:hint="cs"/>
          <w:rtl/>
        </w:rPr>
        <w:t>שיעור זה היה נמוך יותר בקרב המטופלים הגברים בחברה הלא-יהודית (204 מתוך 1,093, שהם כ-19%) לעומת שיעורם בחברה היהודית (2,238 מתוך 7,833, שהם כ-29%)</w:t>
      </w:r>
      <w:r w:rsidRPr="002F2BC5">
        <w:rPr>
          <w:rtl/>
        </w:rPr>
        <w:t>.</w:t>
      </w:r>
      <w:r w:rsidRPr="002F2BC5">
        <w:rPr>
          <w:rFonts w:hint="cs"/>
          <w:rtl/>
        </w:rPr>
        <w:t xml:space="preserve"> עיקר המטופלים הגברים החדשים במרכזים בשנת 2019 הופנו על ידי שירות המבחן (705 מטופלים, שהם כ-27% מעוברי החוק שהופנו לתסקיר בשנה זו) או על ידי שירות בתי הסוהר (960 מטופלים)</w:t>
      </w:r>
      <w:r w:rsidRPr="002F2BC5">
        <w:rPr>
          <w:rStyle w:val="af9"/>
          <w:rtl/>
        </w:rPr>
        <w:footnoteReference w:id="311"/>
      </w:r>
      <w:r w:rsidRPr="002F2BC5">
        <w:rPr>
          <w:rFonts w:hint="cs"/>
          <w:rtl/>
        </w:rPr>
        <w:t>. מיעוט זניח של המטופלים הגברים הופנו על ידי הרשות לשיקום האסיר. הרשויות המקומיות שנבדקו מסרו במהלך הביקורת הקודמת כי לרוב גברים אינם ממשיכים בטיפול במרכזים עם תום תקופת הפיקוח המחויבת לפי צו המבחן.</w:t>
      </w:r>
    </w:p>
    <w:p w14:paraId="38B2067B" w14:textId="77777777" w:rsidR="00817399" w:rsidRPr="002F2BC5" w:rsidRDefault="00817399" w:rsidP="00817399">
      <w:pPr>
        <w:spacing w:line="269" w:lineRule="auto"/>
        <w:rPr>
          <w:rtl/>
        </w:rPr>
      </w:pPr>
    </w:p>
    <w:p w14:paraId="20AF812A" w14:textId="77777777" w:rsidR="00817399" w:rsidRPr="002F2BC5" w:rsidRDefault="00817399" w:rsidP="00817399">
      <w:pPr>
        <w:spacing w:line="269" w:lineRule="auto"/>
        <w:rPr>
          <w:rtl/>
        </w:rPr>
      </w:pPr>
      <w:r w:rsidRPr="002F2BC5">
        <w:rPr>
          <w:rFonts w:hint="cs"/>
          <w:rtl/>
        </w:rPr>
        <w:t xml:space="preserve">מבין הרשויות המקומיות שנבדקו הועלה כי שיעור הגברים שטופלו במרכזים או במחלקות לשירותים חברתיים היה נמוך יותר ועמד על כחמישית מכלל המטופלים בתחום האלימות במשפחה. בעיריות </w:t>
      </w:r>
      <w:r w:rsidRPr="002F2BC5">
        <w:rPr>
          <w:rFonts w:hint="cs"/>
          <w:b/>
          <w:bCs/>
          <w:rtl/>
        </w:rPr>
        <w:t>יבנה</w:t>
      </w:r>
      <w:r w:rsidRPr="002F2BC5">
        <w:rPr>
          <w:rFonts w:hint="cs"/>
          <w:rtl/>
        </w:rPr>
        <w:t xml:space="preserve"> ו</w:t>
      </w:r>
      <w:r w:rsidRPr="002F2BC5">
        <w:rPr>
          <w:rFonts w:hint="cs"/>
          <w:b/>
          <w:bCs/>
          <w:rtl/>
        </w:rPr>
        <w:t xml:space="preserve">רהט </w:t>
      </w:r>
      <w:r w:rsidRPr="002F2BC5">
        <w:rPr>
          <w:rFonts w:hint="cs"/>
          <w:rtl/>
        </w:rPr>
        <w:t xml:space="preserve">עמד שיעור זה על אחוזים אחדים (כ-7% וכ-5%, בהתאמה), ואילו בעיריות </w:t>
      </w:r>
      <w:r w:rsidRPr="002F2BC5">
        <w:rPr>
          <w:b/>
          <w:bCs/>
          <w:rtl/>
        </w:rPr>
        <w:t>בני ברק</w:t>
      </w:r>
      <w:r w:rsidRPr="002F2BC5">
        <w:rPr>
          <w:rtl/>
        </w:rPr>
        <w:t xml:space="preserve"> ו</w:t>
      </w:r>
      <w:r w:rsidRPr="002F2BC5">
        <w:rPr>
          <w:b/>
          <w:bCs/>
          <w:rtl/>
        </w:rPr>
        <w:t xml:space="preserve">ראש העין </w:t>
      </w:r>
      <w:r w:rsidRPr="002F2BC5">
        <w:rPr>
          <w:rFonts w:hint="cs"/>
          <w:rtl/>
        </w:rPr>
        <w:t xml:space="preserve">היה שיעור זה הגבוה ביותר (כ-33% וכ-32%, בהתאמה). נמצא עוד כי העיריות </w:t>
      </w:r>
      <w:r w:rsidRPr="002F2BC5">
        <w:rPr>
          <w:rFonts w:hint="cs"/>
          <w:b/>
          <w:bCs/>
          <w:rtl/>
        </w:rPr>
        <w:t>דימונה</w:t>
      </w:r>
      <w:r w:rsidRPr="002F2BC5">
        <w:rPr>
          <w:rFonts w:hint="cs"/>
          <w:rtl/>
        </w:rPr>
        <w:t xml:space="preserve">, </w:t>
      </w:r>
      <w:r w:rsidRPr="002F2BC5">
        <w:rPr>
          <w:rFonts w:hint="cs"/>
          <w:b/>
          <w:bCs/>
          <w:rtl/>
        </w:rPr>
        <w:t>יבנה</w:t>
      </w:r>
      <w:r w:rsidRPr="002F2BC5">
        <w:rPr>
          <w:rFonts w:hint="cs"/>
          <w:rtl/>
        </w:rPr>
        <w:t xml:space="preserve">, </w:t>
      </w:r>
      <w:r w:rsidRPr="002F2BC5">
        <w:rPr>
          <w:rFonts w:hint="cs"/>
          <w:b/>
          <w:bCs/>
          <w:rtl/>
        </w:rPr>
        <w:t>קריית מלאכי</w:t>
      </w:r>
      <w:r w:rsidRPr="002F2BC5">
        <w:rPr>
          <w:rFonts w:hint="cs"/>
          <w:rtl/>
        </w:rPr>
        <w:t xml:space="preserve"> ו</w:t>
      </w:r>
      <w:r w:rsidRPr="002F2BC5">
        <w:rPr>
          <w:rFonts w:hint="cs"/>
          <w:b/>
          <w:bCs/>
          <w:rtl/>
        </w:rPr>
        <w:t>רהט</w:t>
      </w:r>
      <w:r w:rsidRPr="002F2BC5">
        <w:rPr>
          <w:rFonts w:hint="cs"/>
          <w:rtl/>
        </w:rPr>
        <w:t xml:space="preserve">, המועצה המקומית </w:t>
      </w:r>
      <w:r w:rsidRPr="002F2BC5">
        <w:rPr>
          <w:rFonts w:hint="cs"/>
          <w:b/>
          <w:bCs/>
          <w:rtl/>
        </w:rPr>
        <w:t>שיבלי - אום אל-ר'נם</w:t>
      </w:r>
      <w:r w:rsidRPr="002F2BC5">
        <w:rPr>
          <w:rFonts w:hint="cs"/>
          <w:rtl/>
        </w:rPr>
        <w:t xml:space="preserve"> והמועצה האזורית </w:t>
      </w:r>
      <w:r w:rsidRPr="002F2BC5">
        <w:rPr>
          <w:rFonts w:hint="cs"/>
          <w:b/>
          <w:bCs/>
          <w:rtl/>
        </w:rPr>
        <w:t>מטה יהודה</w:t>
      </w:r>
      <w:r w:rsidRPr="002F2BC5">
        <w:rPr>
          <w:rFonts w:hint="cs"/>
          <w:rtl/>
        </w:rPr>
        <w:t xml:space="preserve"> לא ניהלו ואיגמו נתונים על הטיפול בגברים במחלקות לשירותים חברתיים או במרכזים לטיפול ומניעת אלימות במשפחה. נוסף על כך, רובן המוחלט של הרשויות המקומיות שנבדקו לא הפנו גברים לטיפול במסגרות חוץ-ביתיות בשנים 2015 - 2019.</w:t>
      </w:r>
    </w:p>
    <w:p w14:paraId="07FAF1FE" w14:textId="77777777" w:rsidR="00817399" w:rsidRPr="002F2BC5" w:rsidRDefault="00817399" w:rsidP="00817399">
      <w:pPr>
        <w:spacing w:line="269" w:lineRule="auto"/>
        <w:rPr>
          <w:rtl/>
        </w:rPr>
      </w:pPr>
    </w:p>
    <w:p w14:paraId="4122468F" w14:textId="77777777" w:rsidR="00817399" w:rsidRPr="002F2BC5" w:rsidRDefault="00817399" w:rsidP="00817399">
      <w:pPr>
        <w:spacing w:line="269" w:lineRule="auto"/>
        <w:rPr>
          <w:rtl/>
        </w:rPr>
      </w:pPr>
      <w:r w:rsidRPr="002F2BC5">
        <w:rPr>
          <w:rFonts w:hint="cs"/>
          <w:rtl/>
        </w:rPr>
        <w:t>הביקורת הקודמת העלתה עוד כי תקנים ייעודיים של עובדים סוציאליים בעלי הכשרה בטיפול בגברים, שמשרד הרווחה החל להקצות משנת 2019, אוישו בשיעור של כ-34% בלבד. נוסף על כך, נכון לאוקטובר 2020 קיים משרד הרווחה הכשרה ייעודית אחת בלבד לטיפול בגברים.</w:t>
      </w:r>
    </w:p>
    <w:p w14:paraId="5AF9B902" w14:textId="77777777" w:rsidR="00817399" w:rsidRPr="002F2BC5" w:rsidRDefault="00817399" w:rsidP="00817399">
      <w:pPr>
        <w:spacing w:line="269" w:lineRule="auto"/>
        <w:rPr>
          <w:rtl/>
        </w:rPr>
      </w:pPr>
    </w:p>
    <w:p w14:paraId="393B727F"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למשרד הרווחה לפעול בשיתוף הרשויות המקומיות לגיבוש מדיניות להגדלת מספר המטופלים הגברים בתחום האלימות במשפחה, למעקב אחריהם ולליווי שלהם, תוך איגום נתונים ואיתור מוקדי הקושי ברתימתם לטיפול לאורך זמן ובנשירה מטיפול והתאמה לצורכיהן של אוכלוסיות ייחודיות. </w:t>
      </w:r>
    </w:p>
    <w:p w14:paraId="38A433C6" w14:textId="77777777" w:rsidR="00817399" w:rsidRPr="002F2BC5" w:rsidRDefault="00817399" w:rsidP="00817399">
      <w:pPr>
        <w:spacing w:line="269" w:lineRule="auto"/>
        <w:rPr>
          <w:rtl/>
        </w:rPr>
      </w:pPr>
    </w:p>
    <w:p w14:paraId="0E631145" w14:textId="77777777" w:rsidR="00817399" w:rsidRPr="002F2BC5" w:rsidRDefault="00817399" w:rsidP="00817399">
      <w:pPr>
        <w:spacing w:line="269" w:lineRule="auto"/>
        <w:rPr>
          <w:rtl/>
        </w:rPr>
      </w:pPr>
      <w:r w:rsidRPr="002F2BC5">
        <w:rPr>
          <w:rFonts w:hint="cs"/>
          <w:rtl/>
        </w:rPr>
        <w:t xml:space="preserve">עיריית </w:t>
      </w:r>
      <w:r w:rsidRPr="002F2BC5">
        <w:rPr>
          <w:b/>
          <w:bCs/>
          <w:rtl/>
        </w:rPr>
        <w:t>בני ברק</w:t>
      </w:r>
      <w:r w:rsidRPr="002F2BC5">
        <w:rPr>
          <w:rtl/>
        </w:rPr>
        <w:t xml:space="preserve"> מסר</w:t>
      </w:r>
      <w:r w:rsidRPr="002F2BC5">
        <w:rPr>
          <w:rFonts w:hint="cs"/>
          <w:rtl/>
        </w:rPr>
        <w:t xml:space="preserve">ה </w:t>
      </w:r>
      <w:r w:rsidRPr="002F2BC5">
        <w:rPr>
          <w:rtl/>
        </w:rPr>
        <w:t>בתשובת</w:t>
      </w:r>
      <w:r w:rsidRPr="002F2BC5">
        <w:rPr>
          <w:rFonts w:hint="cs"/>
          <w:rtl/>
        </w:rPr>
        <w:t>ה</w:t>
      </w:r>
      <w:r w:rsidRPr="002F2BC5">
        <w:rPr>
          <w:rtl/>
        </w:rPr>
        <w:t xml:space="preserve"> </w:t>
      </w:r>
      <w:r w:rsidRPr="002F2BC5">
        <w:rPr>
          <w:rFonts w:hint="cs"/>
          <w:rtl/>
        </w:rPr>
        <w:t>לביקורת הקודמת</w:t>
      </w:r>
      <w:r w:rsidRPr="002F2BC5">
        <w:rPr>
          <w:rtl/>
        </w:rPr>
        <w:t xml:space="preserve"> </w:t>
      </w:r>
      <w:r w:rsidRPr="002F2BC5">
        <w:rPr>
          <w:rFonts w:hint="cs"/>
          <w:rtl/>
        </w:rPr>
        <w:t xml:space="preserve">מפברואר 2021 </w:t>
      </w:r>
      <w:r w:rsidRPr="002F2BC5">
        <w:rPr>
          <w:rtl/>
        </w:rPr>
        <w:t>כי ה</w:t>
      </w:r>
      <w:r w:rsidRPr="002F2BC5">
        <w:rPr>
          <w:rFonts w:hint="cs"/>
          <w:rtl/>
        </w:rPr>
        <w:t>י</w:t>
      </w:r>
      <w:r w:rsidRPr="002F2BC5">
        <w:rPr>
          <w:rtl/>
        </w:rPr>
        <w:t xml:space="preserve">א </w:t>
      </w:r>
      <w:r w:rsidRPr="002F2BC5">
        <w:rPr>
          <w:rFonts w:hint="cs"/>
          <w:rtl/>
        </w:rPr>
        <w:t>מייחסת</w:t>
      </w:r>
      <w:r w:rsidRPr="002F2BC5">
        <w:rPr>
          <w:rtl/>
        </w:rPr>
        <w:t xml:space="preserve"> חשיבות רבה </w:t>
      </w:r>
      <w:r w:rsidRPr="002F2BC5">
        <w:rPr>
          <w:rFonts w:hint="cs"/>
          <w:rtl/>
        </w:rPr>
        <w:t>לרתימת</w:t>
      </w:r>
      <w:r w:rsidRPr="002F2BC5">
        <w:rPr>
          <w:rtl/>
        </w:rPr>
        <w:t xml:space="preserve"> גברים לטיפול </w:t>
      </w:r>
      <w:r w:rsidRPr="002F2BC5">
        <w:rPr>
          <w:rFonts w:hint="eastAsia"/>
          <w:rtl/>
        </w:rPr>
        <w:t>ו</w:t>
      </w:r>
      <w:r w:rsidRPr="002F2BC5">
        <w:rPr>
          <w:rFonts w:hint="cs"/>
          <w:rtl/>
        </w:rPr>
        <w:t>כי המרכז לטיפול ומניעת אלימות במשפחה שהיא מפעילה פועל באופן יזום לרתימה של גברים לטיפול גם ללא מעורבותם של המשטרה או שירות המבחן</w:t>
      </w:r>
      <w:r w:rsidRPr="002F2BC5">
        <w:rPr>
          <w:rtl/>
        </w:rPr>
        <w:t>.</w:t>
      </w:r>
      <w:r w:rsidRPr="002F2BC5">
        <w:rPr>
          <w:rFonts w:hint="cs"/>
          <w:rtl/>
        </w:rPr>
        <w:t xml:space="preserve"> לצד זאת ציינה כי לא קיימים מענים מותאמים לגברים אלימים מהחברה הדתית-חרדית המורחקים מביתם. עיריית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מסרה בתשובתה מפברואר 2021 כי קיימת חשיבות בהקצאת תקן ייעודי לטיפול בגברים ולאיושו על ידי מטפל גבר כדי להנגיש את הטיפול גם לגברים מהחברה הדתית-חרדית. </w:t>
      </w:r>
    </w:p>
    <w:p w14:paraId="099A2B7B" w14:textId="77777777" w:rsidR="004136E8" w:rsidRDefault="004136E8" w:rsidP="00817399">
      <w:pPr>
        <w:spacing w:line="269" w:lineRule="auto"/>
        <w:rPr>
          <w:rStyle w:val="70"/>
          <w:rtl/>
        </w:rPr>
      </w:pPr>
      <w:bookmarkStart w:id="1519" w:name="_Toc191987082"/>
    </w:p>
    <w:p w14:paraId="7A82D5FC" w14:textId="09504A6B" w:rsidR="00817399" w:rsidRPr="002F2BC5" w:rsidRDefault="00817399" w:rsidP="00817399">
      <w:pPr>
        <w:spacing w:line="269" w:lineRule="auto"/>
        <w:rPr>
          <w:rtl/>
        </w:rPr>
      </w:pPr>
      <w:r w:rsidRPr="002F2BC5">
        <w:rPr>
          <w:rStyle w:val="70"/>
          <w:rFonts w:hint="cs"/>
          <w:rtl/>
        </w:rPr>
        <w:t>ביקורת המעקב:</w:t>
      </w:r>
      <w:bookmarkEnd w:id="1519"/>
      <w:r w:rsidRPr="002F2BC5">
        <w:rPr>
          <w:rStyle w:val="70"/>
          <w:rFonts w:hint="cs"/>
          <w:rtl/>
        </w:rPr>
        <w:t xml:space="preserve"> </w:t>
      </w:r>
      <w:r w:rsidRPr="002F2BC5">
        <w:rPr>
          <w:rFonts w:hint="cs"/>
          <w:rtl/>
        </w:rPr>
        <w:t>נמצא כי לפי הדיווח הידני שהעבירו המרכזים למשרד הרווחה לשנת 2023, שיעור המטופלים הגברים מכלל המטופלים הבוגרים (נשים וגברים גם יחד) במרכזים בשנה זו היה כ-23% (2,881 מתוך 12,271), ומכלל המטופלים (נשים, גברים וילדים) היה שיעור הגברים כ-21%. בקרב המטופלים הבגירים מהחברה הערבית, שיעור המטופלים הגברים היה נמוך יותר ועמד בשנה זו על כ-19% (527 מתוך 2,764), ומכלל המטופלים (נשים, גברים וילדים) היה שיעור הגברים כ-16%. הנתונים על מספרם ושיעורם של המטופלים הגברים מכלל המטופלים הבגירים במרכזים לטיפול ומניעת אלימות במשפחה בשנים 2019 - 2023 מוצגים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Ref186643481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16</w:t>
      </w:r>
      <w:r w:rsidRPr="002F2BC5">
        <w:rPr>
          <w:rtl/>
        </w:rPr>
        <w:fldChar w:fldCharType="end"/>
      </w:r>
      <w:r w:rsidRPr="002F2BC5">
        <w:rPr>
          <w:rFonts w:hint="cs"/>
          <w:rtl/>
        </w:rPr>
        <w:t xml:space="preserve"> שלהלן.</w:t>
      </w:r>
    </w:p>
    <w:p w14:paraId="08582F9E" w14:textId="77777777" w:rsidR="00817399" w:rsidRPr="002F2BC5" w:rsidRDefault="00817399" w:rsidP="00817399">
      <w:pPr>
        <w:spacing w:line="269" w:lineRule="auto"/>
        <w:rPr>
          <w:rtl/>
        </w:rPr>
      </w:pPr>
    </w:p>
    <w:p w14:paraId="3A2778AC" w14:textId="77777777" w:rsidR="00817399" w:rsidRPr="002F2BC5" w:rsidRDefault="00817399" w:rsidP="00817399">
      <w:pPr>
        <w:pStyle w:val="a9"/>
        <w:spacing w:line="269" w:lineRule="auto"/>
        <w:rPr>
          <w:rtl/>
        </w:rPr>
      </w:pPr>
      <w:bookmarkStart w:id="1520" w:name="_Ref186643481"/>
      <w:bookmarkStart w:id="1521" w:name="_Toc192672908"/>
      <w:r w:rsidRPr="002F2BC5">
        <w:rPr>
          <w:rFonts w:hint="cs"/>
          <w:rtl/>
        </w:rPr>
        <w:lastRenderedPageBreak/>
        <w:t>:</w:t>
      </w:r>
      <w:bookmarkEnd w:id="1520"/>
      <w:r w:rsidRPr="002F2BC5">
        <w:rPr>
          <w:rFonts w:hint="cs"/>
          <w:rtl/>
        </w:rPr>
        <w:t xml:space="preserve"> </w:t>
      </w:r>
      <w:r w:rsidRPr="002F2BC5">
        <w:rPr>
          <w:rFonts w:hint="cs"/>
          <w:b w:val="0"/>
          <w:bCs/>
          <w:rtl/>
        </w:rPr>
        <w:t>מספרם ושיעורם של המטופלים הגברים מכלל המטופלים הבגירים במרכזים לטיפול ומניעת אלימות במשפחה, 2019 - 2023</w:t>
      </w:r>
      <w:bookmarkEnd w:id="1521"/>
    </w:p>
    <w:p w14:paraId="174D21C6"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5F643BFD" wp14:editId="235E2F4E">
            <wp:extent cx="3240000" cy="3462857"/>
            <wp:effectExtent l="0" t="0" r="0" b="4445"/>
            <wp:docPr id="71" name="תמונה 7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
                    <pic:cNvPicPr/>
                  </pic:nvPicPr>
                  <pic:blipFill>
                    <a:blip r:embed="rId53"/>
                    <a:stretch>
                      <a:fillRect/>
                    </a:stretch>
                  </pic:blipFill>
                  <pic:spPr>
                    <a:xfrm>
                      <a:off x="0" y="0"/>
                      <a:ext cx="3240000" cy="3462857"/>
                    </a:xfrm>
                    <a:prstGeom prst="rect">
                      <a:avLst/>
                    </a:prstGeom>
                  </pic:spPr>
                </pic:pic>
              </a:graphicData>
            </a:graphic>
          </wp:inline>
        </w:drawing>
      </w:r>
    </w:p>
    <w:p w14:paraId="051560C1" w14:textId="77777777" w:rsidR="00817399" w:rsidRPr="002F2BC5" w:rsidRDefault="00817399" w:rsidP="00817399">
      <w:pPr>
        <w:pStyle w:val="afffffff1"/>
        <w:bidi/>
        <w:spacing w:line="269" w:lineRule="auto"/>
        <w:rPr>
          <w:rtl/>
        </w:rPr>
      </w:pPr>
      <w:r w:rsidRPr="002F2BC5">
        <w:rPr>
          <w:rFonts w:hint="cs"/>
          <w:rtl/>
        </w:rPr>
        <w:t>לפי הדיווח הידני שהעבירו המרכזים למשרד הרווחה לשנים 2020 - 2023 והנתונים לשנת 2019 מהביקורת הקודמת, בעיבוד משרד מבקר המדינה.</w:t>
      </w:r>
    </w:p>
    <w:p w14:paraId="202D8BF4" w14:textId="77777777" w:rsidR="00817399" w:rsidRPr="002F2BC5" w:rsidRDefault="00817399" w:rsidP="00817399">
      <w:pPr>
        <w:spacing w:line="269" w:lineRule="auto"/>
        <w:rPr>
          <w:rtl/>
        </w:rPr>
      </w:pPr>
    </w:p>
    <w:p w14:paraId="0E5EE031" w14:textId="042A3900" w:rsidR="00817399" w:rsidRPr="002F2BC5" w:rsidRDefault="00817399" w:rsidP="00817399">
      <w:pPr>
        <w:spacing w:line="269" w:lineRule="auto"/>
        <w:rPr>
          <w:rtl/>
        </w:rPr>
      </w:pPr>
      <w:r w:rsidRPr="002F2BC5">
        <w:rPr>
          <w:rFonts w:hint="cs"/>
          <w:rtl/>
        </w:rPr>
        <w:t>הנתונים על מספרם ושיעורם של המטופלים הגברים מאוכלוסיות מגוונות מכלל המטופלים הבגירים מאוכלוסיות מגוונות במרכזים לטיפול ומניעת אלימות במשפחה בשנים 2019 - 2023 מוצגים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Ref186647031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17</w:t>
      </w:r>
      <w:r w:rsidRPr="002F2BC5">
        <w:rPr>
          <w:rtl/>
        </w:rPr>
        <w:fldChar w:fldCharType="end"/>
      </w:r>
      <w:r w:rsidRPr="002F2BC5">
        <w:rPr>
          <w:rFonts w:hint="cs"/>
          <w:rtl/>
        </w:rPr>
        <w:t xml:space="preserve"> שלהלן.</w:t>
      </w:r>
    </w:p>
    <w:p w14:paraId="68CB7564" w14:textId="77777777" w:rsidR="00817399" w:rsidRPr="002F2BC5" w:rsidRDefault="00817399" w:rsidP="00817399">
      <w:pPr>
        <w:spacing w:line="269" w:lineRule="auto"/>
        <w:rPr>
          <w:rtl/>
        </w:rPr>
      </w:pPr>
    </w:p>
    <w:p w14:paraId="60636301" w14:textId="77777777" w:rsidR="00817399" w:rsidRPr="002F2BC5" w:rsidRDefault="00817399" w:rsidP="00817399">
      <w:pPr>
        <w:pStyle w:val="a9"/>
        <w:spacing w:line="269" w:lineRule="auto"/>
        <w:rPr>
          <w:rtl/>
        </w:rPr>
      </w:pPr>
      <w:bookmarkStart w:id="1522" w:name="_Ref186647031"/>
      <w:bookmarkStart w:id="1523" w:name="_Toc192672909"/>
      <w:r w:rsidRPr="002F2BC5">
        <w:rPr>
          <w:rFonts w:hint="cs"/>
          <w:rtl/>
        </w:rPr>
        <w:t xml:space="preserve">: </w:t>
      </w:r>
      <w:r w:rsidRPr="002F2BC5">
        <w:rPr>
          <w:rFonts w:hint="cs"/>
          <w:b w:val="0"/>
          <w:bCs/>
          <w:rtl/>
        </w:rPr>
        <w:t>מספרם ושיעורם של גברים מאוכלוסיות מגוונות מכלל המטופלים הבגירים מאוכלוסיות אלו במרכזים לטיפול ומניעת אלימות במשפחה, 2023</w:t>
      </w:r>
      <w:bookmarkEnd w:id="1522"/>
      <w:bookmarkEnd w:id="1523"/>
    </w:p>
    <w:p w14:paraId="5FDA09DC" w14:textId="77777777" w:rsidR="00817399" w:rsidRPr="002F2BC5" w:rsidRDefault="00817399" w:rsidP="00817399">
      <w:pPr>
        <w:pStyle w:val="afffffff4"/>
        <w:bidi/>
        <w:spacing w:before="0" w:after="0" w:line="269" w:lineRule="auto"/>
        <w:rPr>
          <w:b/>
          <w:bCs/>
          <w:rtl/>
        </w:rPr>
      </w:pPr>
      <w:r w:rsidRPr="002F2BC5">
        <w:rPr>
          <w:noProof/>
        </w:rPr>
        <w:drawing>
          <wp:inline distT="0" distB="0" distL="0" distR="0" wp14:anchorId="6F49875E" wp14:editId="72DB1EA7">
            <wp:extent cx="3960000" cy="1300408"/>
            <wp:effectExtent l="0" t="0" r="2540" b="0"/>
            <wp:docPr id="74" name="תמונה 7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
                    <pic:cNvPicPr/>
                  </pic:nvPicPr>
                  <pic:blipFill>
                    <a:blip r:embed="rId54"/>
                    <a:stretch>
                      <a:fillRect/>
                    </a:stretch>
                  </pic:blipFill>
                  <pic:spPr>
                    <a:xfrm>
                      <a:off x="0" y="0"/>
                      <a:ext cx="3960000" cy="1300408"/>
                    </a:xfrm>
                    <a:prstGeom prst="rect">
                      <a:avLst/>
                    </a:prstGeom>
                  </pic:spPr>
                </pic:pic>
              </a:graphicData>
            </a:graphic>
          </wp:inline>
        </w:drawing>
      </w:r>
    </w:p>
    <w:p w14:paraId="4AB9175C" w14:textId="77777777" w:rsidR="00817399" w:rsidRPr="002F2BC5" w:rsidRDefault="00817399" w:rsidP="00817399">
      <w:pPr>
        <w:pStyle w:val="afffffff1"/>
        <w:bidi/>
        <w:spacing w:line="269" w:lineRule="auto"/>
        <w:rPr>
          <w:rtl/>
        </w:rPr>
      </w:pPr>
      <w:r w:rsidRPr="002F2BC5">
        <w:rPr>
          <w:rFonts w:hint="cs"/>
          <w:rtl/>
        </w:rPr>
        <w:t>לפי הדיווח הידני שהעבירו המרכזים למשרד הרווחה לשנת 2023, בעיבוד משרד מבקר המדינה.</w:t>
      </w:r>
    </w:p>
    <w:p w14:paraId="39C2077A" w14:textId="77777777" w:rsidR="00817399" w:rsidRPr="002F2BC5" w:rsidRDefault="00817399" w:rsidP="00817399">
      <w:pPr>
        <w:spacing w:line="269" w:lineRule="auto"/>
        <w:rPr>
          <w:rtl/>
        </w:rPr>
      </w:pPr>
    </w:p>
    <w:p w14:paraId="63A5B21A" w14:textId="1D6F01D0" w:rsidR="00817399" w:rsidRPr="002F2BC5" w:rsidRDefault="00817399" w:rsidP="00817399">
      <w:pPr>
        <w:spacing w:line="269" w:lineRule="auto"/>
        <w:rPr>
          <w:b/>
          <w:bCs/>
          <w:rtl/>
        </w:rPr>
      </w:pPr>
      <w:r w:rsidRPr="002F2BC5">
        <w:rPr>
          <w:rFonts w:hint="cs"/>
          <w:b/>
          <w:bCs/>
          <w:rtl/>
        </w:rPr>
        <w:t>מ</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Ref186643481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תרשים 16</w:t>
      </w:r>
      <w:r w:rsidRPr="002F2BC5">
        <w:rPr>
          <w:b/>
          <w:bCs/>
          <w:rtl/>
        </w:rPr>
        <w:fldChar w:fldCharType="end"/>
      </w:r>
      <w:r w:rsidRPr="002F2BC5">
        <w:rPr>
          <w:rFonts w:hint="cs"/>
          <w:b/>
          <w:bCs/>
          <w:rtl/>
        </w:rPr>
        <w:t xml:space="preserve"> לעיל עולה כי אף שחלה עלייה במספרם המוחלט של המטופלים הגברים בשנים 2019 ו-2023 (מ-2,458 ל-2,881), הגידול במספרם היה בשיעור נמוך יותר מהגידול במספרן המוחלט של המטופלות. לכן שיעור המטופלים הגברים ירד בשנים הללו (מ-27% ל-23%, בהתאמה). מ</w:t>
      </w:r>
      <w:r w:rsidRPr="002F2BC5">
        <w:rPr>
          <w:b/>
          <w:bCs/>
          <w:rtl/>
        </w:rPr>
        <w:fldChar w:fldCharType="begin"/>
      </w:r>
      <w:r w:rsidRPr="002F2BC5">
        <w:rPr>
          <w:b/>
          <w:bCs/>
          <w:rtl/>
        </w:rPr>
        <w:instrText xml:space="preserve"> </w:instrText>
      </w:r>
      <w:r w:rsidRPr="002F2BC5">
        <w:rPr>
          <w:rFonts w:hint="cs"/>
          <w:b/>
          <w:bCs/>
        </w:rPr>
        <w:instrText>REF</w:instrText>
      </w:r>
      <w:r w:rsidRPr="002F2BC5">
        <w:rPr>
          <w:rFonts w:hint="cs"/>
          <w:b/>
          <w:bCs/>
          <w:rtl/>
        </w:rPr>
        <w:instrText xml:space="preserve"> _</w:instrText>
      </w:r>
      <w:r w:rsidRPr="002F2BC5">
        <w:rPr>
          <w:rFonts w:hint="cs"/>
          <w:b/>
          <w:bCs/>
        </w:rPr>
        <w:instrText>Ref186647031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תרשים 17</w:t>
      </w:r>
      <w:r w:rsidRPr="002F2BC5">
        <w:rPr>
          <w:b/>
          <w:bCs/>
          <w:rtl/>
        </w:rPr>
        <w:fldChar w:fldCharType="end"/>
      </w:r>
      <w:r w:rsidRPr="002F2BC5">
        <w:rPr>
          <w:rFonts w:hint="cs"/>
          <w:b/>
          <w:bCs/>
          <w:rtl/>
        </w:rPr>
        <w:t xml:space="preserve"> עולה עוד כי מקרב המטופלים הבגירים עולי חבר העמים, שיעור המטופלים הגברים היה נמוך מהשיעור הכללי ועמד על כ-21% (205 מתוך 972). מקרב </w:t>
      </w:r>
      <w:r w:rsidRPr="002F2BC5">
        <w:rPr>
          <w:rFonts w:hint="cs"/>
          <w:b/>
          <w:bCs/>
          <w:rtl/>
        </w:rPr>
        <w:lastRenderedPageBreak/>
        <w:t>המטופלים הבגירים יוצאי אתיופיה היה שיעור זה נמוך אף יותר ועמד על כ-17% (47 מתוך 284)</w:t>
      </w:r>
      <w:r w:rsidRPr="002F2BC5">
        <w:rPr>
          <w:rStyle w:val="af9"/>
          <w:b/>
          <w:bCs/>
          <w:rtl/>
        </w:rPr>
        <w:footnoteReference w:id="312"/>
      </w:r>
      <w:r w:rsidRPr="002F2BC5">
        <w:rPr>
          <w:rFonts w:hint="cs"/>
          <w:b/>
          <w:bCs/>
          <w:rtl/>
        </w:rPr>
        <w:t xml:space="preserve">. </w:t>
      </w:r>
    </w:p>
    <w:p w14:paraId="66AE8707" w14:textId="77777777" w:rsidR="00817399" w:rsidRPr="002F2BC5" w:rsidRDefault="00817399" w:rsidP="00817399">
      <w:pPr>
        <w:spacing w:line="269" w:lineRule="auto"/>
        <w:rPr>
          <w:rtl/>
        </w:rPr>
      </w:pPr>
    </w:p>
    <w:p w14:paraId="507F13D9" w14:textId="77777777" w:rsidR="00817399" w:rsidRPr="002F2BC5" w:rsidRDefault="00817399" w:rsidP="00817399">
      <w:pPr>
        <w:spacing w:line="269" w:lineRule="auto"/>
        <w:rPr>
          <w:rtl/>
        </w:rPr>
      </w:pPr>
      <w:r w:rsidRPr="002F2BC5">
        <w:rPr>
          <w:rFonts w:hint="cs"/>
          <w:rtl/>
        </w:rPr>
        <w:t>יש לציין כי בשנת 2023 שיעור הנשירה מטיפול בקרב מטופלים גברים היה זהה לשיעור הנשירה מטיפול בקרב מטופלות נשים ועמד על כ-16%: מקרב הנשים נשרו מטיפול בשנת 2023 1,516 מטופלות מתוך 9,390 מטופלות בשנה זו, ומקרב הגברים נשרו מטיפול בשנה האמורה 465 מטופלים מתוך 2,881 מטופלים בשנה זו. מתשובות הרשויות המקומיות לשאלונים עלה כי הסיבות לנשירה של נשים וגברים מטיפול דומות, ובכלל זה חוסר פניות רגשית וקושי בהתמדה בטיפול, אילוצי זמן הקשורים גם למקום העבודה או שינוי מקום מגורים. רק אחת מהרשויות המקומיות שנבדקו ציינה בהתייחס למטופלים גברים כי נשירה מטיפול נובעת גם מתום תקופת הפיקוח תחת צו של שירות המבחן.</w:t>
      </w:r>
    </w:p>
    <w:p w14:paraId="362952C9" w14:textId="77777777" w:rsidR="00817399" w:rsidRPr="002F2BC5" w:rsidRDefault="00817399" w:rsidP="00817399">
      <w:pPr>
        <w:spacing w:line="269" w:lineRule="auto"/>
        <w:rPr>
          <w:rtl/>
        </w:rPr>
      </w:pPr>
    </w:p>
    <w:p w14:paraId="6A59B286" w14:textId="77777777" w:rsidR="00817399" w:rsidRPr="002F2BC5" w:rsidRDefault="00817399" w:rsidP="00817399">
      <w:pPr>
        <w:spacing w:line="269" w:lineRule="auto"/>
        <w:rPr>
          <w:rtl/>
        </w:rPr>
      </w:pPr>
      <w:r w:rsidRPr="002F2BC5">
        <w:rPr>
          <w:rFonts w:hint="cs"/>
          <w:rtl/>
        </w:rPr>
        <w:t xml:space="preserve">במהלך ביקורת המעקב היה מצוי משרד הרווחה בעיצומו של הליך הקמתם של שני מרכזים ייעודיים לטיפול ומניעת אלימות במשפחה בקרב גברים במחוזות ירושלים והצפון. המרכזים מבוססים על תפיסת הפעלה אזורית והם מיועדים, כל אחד, לכ-75 מטופלים, שלהם יינתנו מענים טיפוליים מותאמים, לרבות באמצעים מקוונים, על פי צרכיו הייחודיים של כל מטופל. הפעלתם של המרכזים תלוּוה במחקר שבמסגרתו ייקבעו גם מדדי תוצאה מותאמים. </w:t>
      </w:r>
    </w:p>
    <w:p w14:paraId="0E229FCA" w14:textId="77777777" w:rsidR="00817399" w:rsidRPr="002F2BC5" w:rsidRDefault="00817399" w:rsidP="00817399">
      <w:pPr>
        <w:spacing w:line="269" w:lineRule="auto"/>
        <w:rPr>
          <w:rtl/>
        </w:rPr>
      </w:pPr>
    </w:p>
    <w:p w14:paraId="6158CB71" w14:textId="4B452595" w:rsidR="00817399" w:rsidRPr="002F2BC5" w:rsidRDefault="00817399" w:rsidP="00817399">
      <w:pPr>
        <w:spacing w:line="269" w:lineRule="auto"/>
        <w:rPr>
          <w:rtl/>
        </w:rPr>
      </w:pPr>
      <w:r w:rsidRPr="002F2BC5">
        <w:rPr>
          <w:rFonts w:hint="cs"/>
          <w:rtl/>
        </w:rPr>
        <w:t>יש לציין כי במהלך ביקורת המעקב, בנובמבר 2024, בסמוך לציון יום המאבק הבינלאומי לאלימות כלפי נשים, יצא משרד הרווחה בקמפיין ארצי שהופנה באופן ייעודי לגברים המצויים במעגל האלימות. בעקבות הקמפיין נרשמה עלייה חדה וניכרת בהיקף הפניות של גברים לקו הסיוע הייעודי שמפעיל משרד הרווחה, מפנייה אחת בלבד בחודש אוגוסט 2024 ל-58 פניות בחודש דצמבר באותה השנה. עם זאת, היקף הפניות נותר נמוך במידה ניכרת בהשוואה להיקף הפניות שמתקבלות במוקד הסיוע מצד נשים (כ-210 פניות בחודש בממוצע). הנתונים על היקף הפניות החודשי לקו הסיוע הייעודי לגברים שמפעיל משרד הרווחה בשנים 2023 ו-2024 - מוצגים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Ref187268631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18</w:t>
      </w:r>
      <w:r w:rsidRPr="002F2BC5">
        <w:rPr>
          <w:rtl/>
        </w:rPr>
        <w:fldChar w:fldCharType="end"/>
      </w:r>
      <w:r w:rsidRPr="002F2BC5">
        <w:rPr>
          <w:rFonts w:hint="cs"/>
          <w:rtl/>
        </w:rPr>
        <w:t xml:space="preserve"> שלהלן.</w:t>
      </w:r>
    </w:p>
    <w:p w14:paraId="26819DB2" w14:textId="77777777" w:rsidR="00817399" w:rsidRPr="002F2BC5" w:rsidRDefault="00817399" w:rsidP="00817399">
      <w:pPr>
        <w:spacing w:line="269" w:lineRule="auto"/>
        <w:rPr>
          <w:rtl/>
        </w:rPr>
      </w:pPr>
    </w:p>
    <w:p w14:paraId="558B81DD" w14:textId="77777777" w:rsidR="00817399" w:rsidRPr="002F2BC5" w:rsidRDefault="00817399" w:rsidP="00817399">
      <w:pPr>
        <w:pStyle w:val="a9"/>
        <w:spacing w:line="269" w:lineRule="auto"/>
      </w:pPr>
      <w:bookmarkStart w:id="1524" w:name="_Ref187268631"/>
      <w:bookmarkStart w:id="1525" w:name="_Toc192672910"/>
      <w:r w:rsidRPr="002F2BC5">
        <w:rPr>
          <w:b w:val="0"/>
          <w:bCs/>
        </w:rPr>
        <w:lastRenderedPageBreak/>
        <w:t>:</w:t>
      </w:r>
      <w:bookmarkEnd w:id="1524"/>
      <w:r w:rsidRPr="002F2BC5">
        <w:rPr>
          <w:rtl/>
        </w:rPr>
        <w:t xml:space="preserve"> </w:t>
      </w:r>
      <w:r w:rsidRPr="002F2BC5">
        <w:rPr>
          <w:b w:val="0"/>
          <w:bCs/>
          <w:rtl/>
        </w:rPr>
        <w:t>הנתונים על היקף הפניות החודשי לקו הסיוע הייעודי לגברים שמפעיל משרד הרווחה בשנים 2023 ו-2024</w:t>
      </w:r>
      <w:bookmarkEnd w:id="1525"/>
    </w:p>
    <w:p w14:paraId="6401F112"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5B33D019" wp14:editId="6DC32A6B">
            <wp:extent cx="5220335" cy="3362325"/>
            <wp:effectExtent l="0" t="0" r="0" b="9525"/>
            <wp:docPr id="75" name="תמונה 7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55"/>
                    <a:stretch>
                      <a:fillRect/>
                    </a:stretch>
                  </pic:blipFill>
                  <pic:spPr>
                    <a:xfrm>
                      <a:off x="0" y="0"/>
                      <a:ext cx="5220335" cy="3362325"/>
                    </a:xfrm>
                    <a:prstGeom prst="rect">
                      <a:avLst/>
                    </a:prstGeom>
                  </pic:spPr>
                </pic:pic>
              </a:graphicData>
            </a:graphic>
          </wp:inline>
        </w:drawing>
      </w:r>
    </w:p>
    <w:p w14:paraId="398A2E0F" w14:textId="77777777" w:rsidR="00817399" w:rsidRPr="002F2BC5" w:rsidRDefault="00817399" w:rsidP="00817399">
      <w:pPr>
        <w:pStyle w:val="afffffff1"/>
        <w:bidi/>
        <w:spacing w:line="269" w:lineRule="auto"/>
        <w:rPr>
          <w:rtl/>
        </w:rPr>
      </w:pPr>
      <w:r w:rsidRPr="002F2BC5">
        <w:rPr>
          <w:rFonts w:hint="cs"/>
          <w:rtl/>
        </w:rPr>
        <w:t>לפי נתוני משרד הרווחה על הפניות שהתקבלו במוקד הסיוע הייעודי לגברים בשנים 2023 ו-2024, בעיבוד משרד מבקר המדינה.</w:t>
      </w:r>
    </w:p>
    <w:p w14:paraId="0515CC38" w14:textId="77777777" w:rsidR="00817399" w:rsidRPr="002F2BC5" w:rsidRDefault="00817399" w:rsidP="00817399">
      <w:pPr>
        <w:spacing w:line="269" w:lineRule="auto"/>
        <w:rPr>
          <w:rtl/>
        </w:rPr>
      </w:pPr>
    </w:p>
    <w:p w14:paraId="304840DC" w14:textId="6F792AD1" w:rsidR="00817399" w:rsidRPr="002F2BC5" w:rsidRDefault="00817399" w:rsidP="00817399">
      <w:pPr>
        <w:spacing w:line="269" w:lineRule="auto"/>
        <w:rPr>
          <w:rtl/>
        </w:rPr>
      </w:pPr>
      <w:r w:rsidRPr="002F2BC5">
        <w:rPr>
          <w:rFonts w:hint="eastAsia"/>
          <w:rtl/>
        </w:rPr>
        <w:t>מהנתונים</w:t>
      </w:r>
      <w:r w:rsidRPr="002F2BC5">
        <w:rPr>
          <w:rtl/>
        </w:rPr>
        <w:t xml:space="preserve"> </w:t>
      </w:r>
      <w:r w:rsidRPr="002F2BC5">
        <w:rPr>
          <w:rFonts w:hint="eastAsia"/>
          <w:rtl/>
        </w:rPr>
        <w:t>המוצגים</w:t>
      </w:r>
      <w:r w:rsidRPr="002F2BC5">
        <w:rPr>
          <w:rtl/>
        </w:rPr>
        <w:t xml:space="preserve"> </w:t>
      </w:r>
      <w:r w:rsidRPr="002F2BC5">
        <w:rPr>
          <w:rFonts w:hint="eastAsia"/>
          <w:rtl/>
        </w:rPr>
        <w:t>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Ref187268631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18</w:t>
      </w:r>
      <w:r w:rsidRPr="002F2BC5">
        <w:rPr>
          <w:rtl/>
        </w:rPr>
        <w:fldChar w:fldCharType="end"/>
      </w:r>
      <w:r w:rsidRPr="002F2BC5">
        <w:rPr>
          <w:rtl/>
        </w:rPr>
        <w:t xml:space="preserve"> לעיל עולה כי בין החודשים ינואר 2023 </w:t>
      </w:r>
      <w:r w:rsidRPr="002F2BC5">
        <w:rPr>
          <w:rFonts w:hint="eastAsia"/>
          <w:rtl/>
        </w:rPr>
        <w:t>עד</w:t>
      </w:r>
      <w:r w:rsidRPr="002F2BC5">
        <w:rPr>
          <w:rtl/>
        </w:rPr>
        <w:t xml:space="preserve"> </w:t>
      </w:r>
      <w:r w:rsidRPr="002F2BC5">
        <w:rPr>
          <w:rFonts w:hint="eastAsia"/>
          <w:rtl/>
        </w:rPr>
        <w:t>אוקטובר</w:t>
      </w:r>
      <w:r w:rsidRPr="002F2BC5">
        <w:rPr>
          <w:rtl/>
        </w:rPr>
        <w:t xml:space="preserve"> 2024 התקבלו מדי חודש פניות בודדות לקו הסיוע הייעודי לגברים (</w:t>
      </w:r>
      <w:r w:rsidRPr="002F2BC5">
        <w:rPr>
          <w:rFonts w:hint="eastAsia"/>
          <w:rtl/>
        </w:rPr>
        <w:t>שלוש</w:t>
      </w:r>
      <w:r w:rsidRPr="002F2BC5">
        <w:rPr>
          <w:rtl/>
        </w:rPr>
        <w:t xml:space="preserve"> פניות בממוצע בחודש). </w:t>
      </w:r>
      <w:r w:rsidRPr="002F2BC5">
        <w:rPr>
          <w:rFonts w:hint="eastAsia"/>
          <w:rtl/>
        </w:rPr>
        <w:t>בחודשים</w:t>
      </w:r>
      <w:r w:rsidRPr="002F2BC5">
        <w:rPr>
          <w:rtl/>
        </w:rPr>
        <w:t xml:space="preserve"> </w:t>
      </w:r>
      <w:r w:rsidRPr="002F2BC5">
        <w:rPr>
          <w:rFonts w:hint="eastAsia"/>
          <w:rtl/>
        </w:rPr>
        <w:t>נובמבר</w:t>
      </w:r>
      <w:r w:rsidRPr="002F2BC5">
        <w:rPr>
          <w:rtl/>
        </w:rPr>
        <w:t xml:space="preserve"> </w:t>
      </w:r>
      <w:r w:rsidRPr="002F2BC5">
        <w:rPr>
          <w:rFonts w:hint="eastAsia"/>
          <w:rtl/>
        </w:rPr>
        <w:t>ודצמבר</w:t>
      </w:r>
      <w:r w:rsidRPr="002F2BC5">
        <w:rPr>
          <w:rtl/>
        </w:rPr>
        <w:t xml:space="preserve"> 2024 </w:t>
      </w:r>
      <w:r w:rsidRPr="002F2BC5">
        <w:rPr>
          <w:rFonts w:hint="eastAsia"/>
          <w:rtl/>
        </w:rPr>
        <w:t>חלה</w:t>
      </w:r>
      <w:r w:rsidRPr="002F2BC5">
        <w:rPr>
          <w:rtl/>
        </w:rPr>
        <w:t xml:space="preserve"> </w:t>
      </w:r>
      <w:r w:rsidRPr="002F2BC5">
        <w:rPr>
          <w:rFonts w:hint="eastAsia"/>
          <w:rtl/>
        </w:rPr>
        <w:t>עלייה</w:t>
      </w:r>
      <w:r w:rsidRPr="002F2BC5">
        <w:rPr>
          <w:rtl/>
        </w:rPr>
        <w:t xml:space="preserve"> </w:t>
      </w:r>
      <w:r w:rsidRPr="002F2BC5">
        <w:rPr>
          <w:rFonts w:hint="eastAsia"/>
          <w:rtl/>
        </w:rPr>
        <w:t>ניכרת</w:t>
      </w:r>
      <w:r w:rsidRPr="002F2BC5">
        <w:rPr>
          <w:rtl/>
        </w:rPr>
        <w:t xml:space="preserve"> </w:t>
      </w:r>
      <w:r w:rsidRPr="002F2BC5">
        <w:rPr>
          <w:rFonts w:hint="eastAsia"/>
          <w:rtl/>
        </w:rPr>
        <w:t>במספר</w:t>
      </w:r>
      <w:r w:rsidRPr="002F2BC5">
        <w:rPr>
          <w:rtl/>
        </w:rPr>
        <w:t xml:space="preserve"> </w:t>
      </w:r>
      <w:r w:rsidRPr="002F2BC5">
        <w:rPr>
          <w:rFonts w:hint="eastAsia"/>
          <w:rtl/>
        </w:rPr>
        <w:t>הפניות</w:t>
      </w:r>
      <w:r w:rsidRPr="002F2BC5">
        <w:rPr>
          <w:rtl/>
        </w:rPr>
        <w:t xml:space="preserve"> </w:t>
      </w:r>
      <w:r w:rsidRPr="002F2BC5">
        <w:rPr>
          <w:rFonts w:hint="eastAsia"/>
          <w:rtl/>
        </w:rPr>
        <w:t>שהתקבלו</w:t>
      </w:r>
      <w:r w:rsidRPr="002F2BC5">
        <w:rPr>
          <w:rtl/>
        </w:rPr>
        <w:t xml:space="preserve"> </w:t>
      </w:r>
      <w:r w:rsidRPr="002F2BC5">
        <w:rPr>
          <w:rFonts w:hint="eastAsia"/>
          <w:rtl/>
        </w:rPr>
        <w:t>בקו</w:t>
      </w:r>
      <w:r w:rsidRPr="002F2BC5">
        <w:rPr>
          <w:rtl/>
        </w:rPr>
        <w:t xml:space="preserve"> </w:t>
      </w:r>
      <w:r w:rsidRPr="002F2BC5">
        <w:rPr>
          <w:rFonts w:hint="eastAsia"/>
          <w:rtl/>
        </w:rPr>
        <w:t>הסיוע</w:t>
      </w:r>
      <w:r w:rsidRPr="002F2BC5">
        <w:rPr>
          <w:rtl/>
        </w:rPr>
        <w:t xml:space="preserve"> </w:t>
      </w:r>
      <w:r w:rsidRPr="002F2BC5">
        <w:rPr>
          <w:rFonts w:hint="eastAsia"/>
          <w:rtl/>
        </w:rPr>
        <w:t>הייעודי</w:t>
      </w:r>
      <w:r w:rsidRPr="002F2BC5">
        <w:rPr>
          <w:rtl/>
        </w:rPr>
        <w:t xml:space="preserve">: </w:t>
      </w:r>
      <w:r w:rsidRPr="002F2BC5">
        <w:rPr>
          <w:rFonts w:hint="eastAsia"/>
          <w:rtl/>
        </w:rPr>
        <w:t>בחודש</w:t>
      </w:r>
      <w:r w:rsidRPr="002F2BC5">
        <w:rPr>
          <w:rtl/>
        </w:rPr>
        <w:t xml:space="preserve"> </w:t>
      </w:r>
      <w:r w:rsidRPr="002F2BC5">
        <w:rPr>
          <w:rFonts w:hint="eastAsia"/>
          <w:rtl/>
        </w:rPr>
        <w:t>נובמבר</w:t>
      </w:r>
      <w:r w:rsidRPr="002F2BC5">
        <w:rPr>
          <w:rtl/>
        </w:rPr>
        <w:t xml:space="preserve"> 2024, שבמהלכו פורסם הקמפיין, </w:t>
      </w:r>
      <w:r w:rsidRPr="002F2BC5">
        <w:rPr>
          <w:rFonts w:hint="eastAsia"/>
          <w:rtl/>
        </w:rPr>
        <w:t>מספר</w:t>
      </w:r>
      <w:r w:rsidRPr="002F2BC5">
        <w:rPr>
          <w:rtl/>
        </w:rPr>
        <w:t xml:space="preserve"> הפניות שהתקבלו לקו הסיוע הייעודי היה גבוה </w:t>
      </w:r>
      <w:r w:rsidRPr="002F2BC5">
        <w:rPr>
          <w:rFonts w:hint="eastAsia"/>
          <w:rtl/>
        </w:rPr>
        <w:t>פי</w:t>
      </w:r>
      <w:r w:rsidRPr="002F2BC5">
        <w:rPr>
          <w:rtl/>
        </w:rPr>
        <w:t xml:space="preserve"> חמש </w:t>
      </w:r>
      <w:r w:rsidRPr="002F2BC5">
        <w:rPr>
          <w:rFonts w:hint="eastAsia"/>
          <w:rtl/>
        </w:rPr>
        <w:t>מהממוצע</w:t>
      </w:r>
      <w:r w:rsidRPr="002F2BC5">
        <w:rPr>
          <w:rtl/>
        </w:rPr>
        <w:t xml:space="preserve"> </w:t>
      </w:r>
      <w:r w:rsidRPr="002F2BC5">
        <w:rPr>
          <w:rFonts w:hint="eastAsia"/>
          <w:rtl/>
        </w:rPr>
        <w:t>החודשי</w:t>
      </w:r>
      <w:r w:rsidRPr="002F2BC5">
        <w:rPr>
          <w:rtl/>
        </w:rPr>
        <w:t xml:space="preserve"> של </w:t>
      </w:r>
      <w:r w:rsidRPr="002F2BC5">
        <w:rPr>
          <w:rFonts w:hint="eastAsia"/>
          <w:rtl/>
        </w:rPr>
        <w:t>הפניות</w:t>
      </w:r>
      <w:r w:rsidRPr="002F2BC5">
        <w:rPr>
          <w:rtl/>
        </w:rPr>
        <w:t xml:space="preserve"> </w:t>
      </w:r>
      <w:r w:rsidRPr="002F2BC5">
        <w:rPr>
          <w:rFonts w:hint="eastAsia"/>
          <w:rtl/>
        </w:rPr>
        <w:t>שהתקבלו</w:t>
      </w:r>
      <w:r w:rsidRPr="002F2BC5">
        <w:rPr>
          <w:rtl/>
        </w:rPr>
        <w:t xml:space="preserve"> </w:t>
      </w:r>
      <w:r w:rsidRPr="002F2BC5">
        <w:rPr>
          <w:rFonts w:hint="eastAsia"/>
          <w:rtl/>
        </w:rPr>
        <w:t>בחודשים</w:t>
      </w:r>
      <w:r w:rsidRPr="002F2BC5">
        <w:rPr>
          <w:rtl/>
        </w:rPr>
        <w:t xml:space="preserve"> </w:t>
      </w:r>
      <w:r w:rsidRPr="002F2BC5">
        <w:rPr>
          <w:rFonts w:hint="eastAsia"/>
          <w:rtl/>
        </w:rPr>
        <w:t>ינואר</w:t>
      </w:r>
      <w:r w:rsidRPr="002F2BC5">
        <w:rPr>
          <w:rtl/>
        </w:rPr>
        <w:t xml:space="preserve"> 2023 </w:t>
      </w:r>
      <w:r w:rsidRPr="002F2BC5">
        <w:rPr>
          <w:rFonts w:hint="eastAsia"/>
          <w:rtl/>
        </w:rPr>
        <w:t>עד</w:t>
      </w:r>
      <w:r w:rsidRPr="002F2BC5">
        <w:rPr>
          <w:rtl/>
        </w:rPr>
        <w:t xml:space="preserve"> </w:t>
      </w:r>
      <w:r w:rsidRPr="002F2BC5">
        <w:rPr>
          <w:rFonts w:hint="eastAsia"/>
          <w:rtl/>
        </w:rPr>
        <w:t>אוקטובר</w:t>
      </w:r>
      <w:r w:rsidRPr="002F2BC5">
        <w:rPr>
          <w:rtl/>
        </w:rPr>
        <w:t xml:space="preserve"> 2024, ובחודש דצמבר 2024 היה מספר הפניות גבוה פי 20 </w:t>
      </w:r>
      <w:r w:rsidRPr="002F2BC5">
        <w:rPr>
          <w:rFonts w:hint="eastAsia"/>
          <w:rtl/>
        </w:rPr>
        <w:t>מהממוצע</w:t>
      </w:r>
      <w:r w:rsidRPr="002F2BC5">
        <w:rPr>
          <w:rtl/>
        </w:rPr>
        <w:t xml:space="preserve"> </w:t>
      </w:r>
      <w:r w:rsidRPr="002F2BC5">
        <w:rPr>
          <w:rFonts w:hint="eastAsia"/>
          <w:rtl/>
        </w:rPr>
        <w:t>האמור</w:t>
      </w:r>
      <w:r w:rsidRPr="002F2BC5">
        <w:rPr>
          <w:rtl/>
        </w:rPr>
        <w:t xml:space="preserve">. </w:t>
      </w:r>
    </w:p>
    <w:p w14:paraId="5EECFA75" w14:textId="77777777" w:rsidR="00817399" w:rsidRPr="002F2BC5" w:rsidRDefault="00817399" w:rsidP="00817399">
      <w:pPr>
        <w:spacing w:line="269" w:lineRule="auto"/>
        <w:rPr>
          <w:rtl/>
        </w:rPr>
      </w:pPr>
    </w:p>
    <w:p w14:paraId="44513FBB" w14:textId="77777777" w:rsidR="00817399" w:rsidRPr="002F2BC5" w:rsidRDefault="00817399" w:rsidP="00817399">
      <w:pPr>
        <w:pStyle w:val="afffffff9"/>
        <w:spacing w:line="269" w:lineRule="auto"/>
        <w:rPr>
          <w:rtl/>
        </w:rPr>
      </w:pPr>
      <w:bookmarkStart w:id="1526" w:name="_Toc192093141"/>
      <w:bookmarkStart w:id="1527" w:name="_Toc192612849"/>
      <w:bookmarkStart w:id="1528" w:name="_Toc198312287"/>
      <w:bookmarkStart w:id="1529" w:name="_Toc198312766"/>
      <w:bookmarkStart w:id="1530" w:name="_Toc200636938"/>
      <w:bookmarkStart w:id="1531" w:name="_Toc200439936"/>
      <w:bookmarkStart w:id="1532" w:name="_Toc201241041"/>
      <w:r w:rsidRPr="002F2BC5">
        <w:rPr>
          <w:rFonts w:hint="eastAsia"/>
          <w:rtl/>
        </w:rPr>
        <w:t>הביקורת</w:t>
      </w:r>
      <w:r w:rsidRPr="002F2BC5">
        <w:rPr>
          <w:rtl/>
        </w:rPr>
        <w:t xml:space="preserve"> הקודמת העלתה כי מבין כלל המטופלים הבוגרים (גברים ונשים גם יחד) במרכזים לטיפול ומניעת אלימות במשפחה, שיעורם של הגברים היה כ-27% בלבד וכי </w:t>
      </w:r>
      <w:r w:rsidRPr="002F2BC5">
        <w:rPr>
          <w:rFonts w:hint="eastAsia"/>
          <w:rtl/>
        </w:rPr>
        <w:t>שיעור</w:t>
      </w:r>
      <w:r w:rsidRPr="002F2BC5">
        <w:rPr>
          <w:rtl/>
        </w:rPr>
        <w:t xml:space="preserve"> </w:t>
      </w:r>
      <w:r w:rsidRPr="002F2BC5">
        <w:rPr>
          <w:rFonts w:hint="eastAsia"/>
          <w:rtl/>
        </w:rPr>
        <w:t>זה</w:t>
      </w:r>
      <w:r w:rsidRPr="002F2BC5">
        <w:rPr>
          <w:rtl/>
        </w:rPr>
        <w:t xml:space="preserve"> </w:t>
      </w:r>
      <w:r w:rsidRPr="002F2BC5">
        <w:rPr>
          <w:rFonts w:hint="eastAsia"/>
          <w:rtl/>
        </w:rPr>
        <w:t>היה</w:t>
      </w:r>
      <w:r w:rsidRPr="002F2BC5">
        <w:rPr>
          <w:rtl/>
        </w:rPr>
        <w:t xml:space="preserve"> </w:t>
      </w:r>
      <w:r w:rsidRPr="002F2BC5">
        <w:rPr>
          <w:rFonts w:hint="eastAsia"/>
          <w:rtl/>
        </w:rPr>
        <w:t>נמוך</w:t>
      </w:r>
      <w:r w:rsidRPr="002F2BC5">
        <w:rPr>
          <w:rtl/>
        </w:rPr>
        <w:t xml:space="preserve"> </w:t>
      </w:r>
      <w:r w:rsidRPr="002F2BC5">
        <w:rPr>
          <w:rFonts w:hint="eastAsia"/>
          <w:rtl/>
        </w:rPr>
        <w:t>יותר</w:t>
      </w:r>
      <w:r w:rsidRPr="002F2BC5">
        <w:rPr>
          <w:rtl/>
        </w:rPr>
        <w:t xml:space="preserve"> </w:t>
      </w:r>
      <w:r w:rsidRPr="002F2BC5">
        <w:rPr>
          <w:rFonts w:hint="eastAsia"/>
          <w:rtl/>
        </w:rPr>
        <w:t>בקרב</w:t>
      </w:r>
      <w:r w:rsidRPr="002F2BC5">
        <w:rPr>
          <w:rtl/>
        </w:rPr>
        <w:t xml:space="preserve"> </w:t>
      </w:r>
      <w:r w:rsidRPr="002F2BC5">
        <w:rPr>
          <w:rFonts w:hint="eastAsia"/>
          <w:rtl/>
        </w:rPr>
        <w:t>המטופלים</w:t>
      </w:r>
      <w:r w:rsidRPr="002F2BC5">
        <w:rPr>
          <w:rtl/>
        </w:rPr>
        <w:t xml:space="preserve"> </w:t>
      </w:r>
      <w:r w:rsidRPr="002F2BC5">
        <w:rPr>
          <w:rFonts w:hint="eastAsia"/>
          <w:rtl/>
        </w:rPr>
        <w:t>הגברים</w:t>
      </w:r>
      <w:r w:rsidRPr="002F2BC5">
        <w:rPr>
          <w:rtl/>
        </w:rPr>
        <w:t xml:space="preserve"> </w:t>
      </w:r>
      <w:r w:rsidRPr="002F2BC5">
        <w:rPr>
          <w:rFonts w:hint="eastAsia"/>
          <w:rtl/>
        </w:rPr>
        <w:t>בחברה</w:t>
      </w:r>
      <w:r w:rsidRPr="002F2BC5">
        <w:rPr>
          <w:rtl/>
        </w:rPr>
        <w:t xml:space="preserve"> </w:t>
      </w:r>
      <w:r w:rsidRPr="002F2BC5">
        <w:rPr>
          <w:rFonts w:hint="eastAsia"/>
          <w:rtl/>
        </w:rPr>
        <w:t>הלא</w:t>
      </w:r>
      <w:r w:rsidRPr="002F2BC5">
        <w:rPr>
          <w:rtl/>
        </w:rPr>
        <w:t>-יהודית (כ-19%). בביקורת המעקב הועלה כי הליקוי תוקן במידה מועטה</w:t>
      </w:r>
      <w:r w:rsidRPr="002F2BC5">
        <w:rPr>
          <w:rFonts w:hint="cs"/>
          <w:rtl/>
        </w:rPr>
        <w:t>. אף שחלה עלייה במספרם המוחלט של המטופלים הגברים בשנים 2019 ו-2023 (מ-2,458 ל-2,881), הגידול במספרם היה בשיעור נמוך יותר מהגידול במספרן המוחלט של המטופלות. לכן שיעור המטופלים הגברים ירד בשנים הללו (מ-27% ל-23%, בהתאמה) ואילו שיעור זה בקרב המטופלים הגברים בחברה הלא-יהודית נותר ללא שינוי (19%)</w:t>
      </w:r>
      <w:r w:rsidRPr="002F2BC5">
        <w:rPr>
          <w:rtl/>
        </w:rPr>
        <w:t>.</w:t>
      </w:r>
      <w:bookmarkEnd w:id="1526"/>
      <w:bookmarkEnd w:id="1527"/>
      <w:bookmarkEnd w:id="1528"/>
      <w:bookmarkEnd w:id="1529"/>
      <w:bookmarkEnd w:id="1530"/>
      <w:bookmarkEnd w:id="1531"/>
      <w:bookmarkEnd w:id="1532"/>
      <w:r w:rsidRPr="002F2BC5">
        <w:rPr>
          <w:rFonts w:hint="cs"/>
          <w:rtl/>
        </w:rPr>
        <w:t xml:space="preserve"> </w:t>
      </w:r>
    </w:p>
    <w:p w14:paraId="7C06D1FB" w14:textId="77777777" w:rsidR="00817399" w:rsidRPr="002F2BC5" w:rsidRDefault="00817399" w:rsidP="00817399">
      <w:pPr>
        <w:spacing w:line="269" w:lineRule="auto"/>
        <w:rPr>
          <w:rtl/>
        </w:rPr>
      </w:pPr>
    </w:p>
    <w:p w14:paraId="2CB27D5A" w14:textId="77777777" w:rsidR="00817399" w:rsidRPr="002F2BC5" w:rsidRDefault="00817399" w:rsidP="00817399">
      <w:pPr>
        <w:spacing w:line="269" w:lineRule="auto"/>
        <w:rPr>
          <w:rtl/>
        </w:rPr>
      </w:pPr>
      <w:r w:rsidRPr="002F2BC5">
        <w:rPr>
          <w:rFonts w:hint="cs"/>
          <w:rtl/>
        </w:rPr>
        <w:t xml:space="preserve">המועצה האזורית </w:t>
      </w:r>
      <w:r w:rsidRPr="002F2BC5">
        <w:rPr>
          <w:rFonts w:hint="cs"/>
          <w:b/>
          <w:bCs/>
          <w:rtl/>
        </w:rPr>
        <w:t>דרום השרון</w:t>
      </w:r>
      <w:r w:rsidRPr="002F2BC5">
        <w:rPr>
          <w:rFonts w:hint="cs"/>
          <w:rtl/>
        </w:rPr>
        <w:t xml:space="preserve"> מסרה בתשובה כי מספר הגברים המטופלים במרכז לטיפול ומניעת אלימות במשפחה המופעל בתחומה נמוך, בדומה לנתון הכלל-ארצי.</w:t>
      </w:r>
    </w:p>
    <w:p w14:paraId="567FA037" w14:textId="77777777" w:rsidR="00817399" w:rsidRPr="002F2BC5" w:rsidRDefault="00817399" w:rsidP="00817399">
      <w:pPr>
        <w:spacing w:line="269" w:lineRule="auto"/>
        <w:rPr>
          <w:rtl/>
        </w:rPr>
      </w:pPr>
    </w:p>
    <w:p w14:paraId="7932327F" w14:textId="77777777" w:rsidR="00817399" w:rsidRPr="002F2BC5" w:rsidRDefault="00817399" w:rsidP="00817399">
      <w:pPr>
        <w:spacing w:line="269" w:lineRule="auto"/>
        <w:rPr>
          <w:rtl/>
        </w:rPr>
      </w:pPr>
      <w:r w:rsidRPr="002F2BC5">
        <w:rPr>
          <w:rtl/>
        </w:rPr>
        <w:t xml:space="preserve">משרד </w:t>
      </w:r>
      <w:r w:rsidRPr="002F2BC5">
        <w:rPr>
          <w:rFonts w:hint="cs"/>
          <w:rtl/>
        </w:rPr>
        <w:t>הרווחה מסר בתשובתו כי לצד פרסום הקמפיין הייחודי והקמתם של המרכזים הייעודיים שנועדו לרתום לטיפול גברים המצויים בתחילת רצף האלימות, הוא גם מקצה תקני כוח אדם ייעודיים לעובדים סוציאליים המתמחים בטיפול בגברים וכן מקיים הכשרות ייעודיות בנושא.</w:t>
      </w:r>
    </w:p>
    <w:p w14:paraId="15C82E25" w14:textId="77777777" w:rsidR="00817399" w:rsidRPr="002F2BC5" w:rsidRDefault="00817399" w:rsidP="00817399">
      <w:pPr>
        <w:spacing w:line="269" w:lineRule="auto"/>
        <w:rPr>
          <w:rtl/>
        </w:rPr>
      </w:pPr>
    </w:p>
    <w:p w14:paraId="3B9F0C98" w14:textId="77777777" w:rsidR="00817399" w:rsidRPr="002F2BC5" w:rsidRDefault="00817399" w:rsidP="00817399">
      <w:pPr>
        <w:pStyle w:val="afffffffa"/>
        <w:spacing w:line="269" w:lineRule="auto"/>
        <w:rPr>
          <w:rtl/>
        </w:rPr>
      </w:pPr>
      <w:bookmarkStart w:id="1533" w:name="_Toc198312288"/>
      <w:bookmarkStart w:id="1534" w:name="_Toc198312767"/>
      <w:bookmarkStart w:id="1535" w:name="_Toc200636939"/>
      <w:bookmarkStart w:id="1536" w:name="_Toc200439937"/>
      <w:bookmarkStart w:id="1537" w:name="_Toc201241042"/>
      <w:bookmarkStart w:id="1538" w:name="_Toc192093142"/>
      <w:bookmarkStart w:id="1539" w:name="_Toc192612850"/>
      <w:r w:rsidRPr="002F2BC5">
        <w:rPr>
          <w:rFonts w:hint="cs"/>
          <w:rtl/>
        </w:rPr>
        <w:t>משרד מבקר המדינה מציין את משרד הרווחה על הקמפיין הייעודי שיזם לרתימתם לטיפול של גברים המצויים במעגל האלימות, מהלך שניכר כי אכן הוביל לעלייה במספר הגברים שפנו לטיפול באמצעות קו הסיוע הארצי הייעודי שמפעיל משרד הרווחה.</w:t>
      </w:r>
      <w:bookmarkEnd w:id="1533"/>
      <w:bookmarkEnd w:id="1534"/>
      <w:bookmarkEnd w:id="1535"/>
      <w:bookmarkEnd w:id="1536"/>
      <w:bookmarkEnd w:id="1537"/>
      <w:r w:rsidRPr="002F2BC5">
        <w:rPr>
          <w:rFonts w:hint="cs"/>
          <w:rtl/>
        </w:rPr>
        <w:t xml:space="preserve"> </w:t>
      </w:r>
      <w:bookmarkEnd w:id="1538"/>
      <w:bookmarkEnd w:id="1539"/>
    </w:p>
    <w:p w14:paraId="5FB3042D" w14:textId="77777777" w:rsidR="00817399" w:rsidRPr="002F2BC5" w:rsidRDefault="00817399" w:rsidP="00817399">
      <w:pPr>
        <w:pStyle w:val="afffffffa"/>
        <w:spacing w:line="269" w:lineRule="auto"/>
        <w:rPr>
          <w:rtl/>
        </w:rPr>
      </w:pPr>
      <w:bookmarkStart w:id="1540" w:name="_Toc192093143"/>
      <w:bookmarkStart w:id="1541" w:name="_Toc192612851"/>
      <w:bookmarkStart w:id="1542" w:name="_Toc198312289"/>
      <w:bookmarkStart w:id="1543" w:name="_Toc198312768"/>
      <w:bookmarkStart w:id="1544" w:name="_Toc200636940"/>
      <w:bookmarkStart w:id="1545" w:name="_Toc200439938"/>
      <w:bookmarkStart w:id="1546" w:name="_Toc201241043"/>
      <w:r w:rsidRPr="002F2BC5">
        <w:rPr>
          <w:rFonts w:hint="cs"/>
          <w:rtl/>
        </w:rPr>
        <w:lastRenderedPageBreak/>
        <w:t>לצד זאת, מומלץ למשרד הרווחה להשלים בהקדם את הקמתם של המרכזים הייעודיים לטיפול בגברים כדי להרחיב את המענים המותאמים עבורם, לנוכח שיעורם הנמוך מקרב המטופלים הבגירים במרכזים. בתוך כך מומלץ לפעול להתאמת המענים במרכזים החדשים שיוקמו וכן במרכזים הקיימים גם לאוכלוסיות ייחודיות, ובכלל זה לגברים מהחברה הדתית-חרדית והערבית ועולים חדשים וותיקים. עוד מומלץ למשרד הרווחה לפעול לגיבוש דרכי פעולה לרתימתם של גברים לטיפול, ובכלל זה התמודדות עם תופעת הנשירה מטיפול.</w:t>
      </w:r>
      <w:bookmarkEnd w:id="1540"/>
      <w:bookmarkEnd w:id="1541"/>
      <w:bookmarkEnd w:id="1542"/>
      <w:bookmarkEnd w:id="1543"/>
      <w:bookmarkEnd w:id="1544"/>
      <w:bookmarkEnd w:id="1545"/>
      <w:bookmarkEnd w:id="1546"/>
      <w:r w:rsidRPr="002F2BC5">
        <w:rPr>
          <w:rFonts w:hint="cs"/>
          <w:rtl/>
        </w:rPr>
        <w:t xml:space="preserve"> </w:t>
      </w:r>
    </w:p>
    <w:p w14:paraId="71B40DD5" w14:textId="77777777" w:rsidR="00817399" w:rsidRPr="002F2BC5" w:rsidRDefault="00817399" w:rsidP="00817399">
      <w:pPr>
        <w:spacing w:line="269" w:lineRule="auto"/>
        <w:rPr>
          <w:rtl/>
        </w:rPr>
      </w:pPr>
    </w:p>
    <w:p w14:paraId="23839C44" w14:textId="77777777" w:rsidR="00817399" w:rsidRPr="002F2BC5" w:rsidRDefault="00817399" w:rsidP="00817399">
      <w:pPr>
        <w:spacing w:line="269" w:lineRule="auto"/>
        <w:rPr>
          <w:rtl/>
        </w:rPr>
      </w:pPr>
      <w:r w:rsidRPr="002F2BC5">
        <w:rPr>
          <w:rFonts w:hint="eastAsia"/>
          <w:rtl/>
        </w:rPr>
        <w:t>מרכז</w:t>
      </w:r>
      <w:r w:rsidRPr="002F2BC5">
        <w:rPr>
          <w:rtl/>
        </w:rPr>
        <w:t xml:space="preserve"> השלטון המקומי מסר בתשובתו </w:t>
      </w:r>
      <w:r w:rsidRPr="002F2BC5">
        <w:rPr>
          <w:rFonts w:hint="eastAsia"/>
          <w:rtl/>
        </w:rPr>
        <w:t>כי</w:t>
      </w:r>
      <w:r w:rsidRPr="002F2BC5">
        <w:rPr>
          <w:rtl/>
        </w:rPr>
        <w:t xml:space="preserve"> </w:t>
      </w:r>
      <w:r w:rsidRPr="002F2BC5">
        <w:rPr>
          <w:rFonts w:hint="eastAsia"/>
          <w:rtl/>
        </w:rPr>
        <w:t>אתגרי</w:t>
      </w:r>
      <w:r w:rsidRPr="002F2BC5">
        <w:rPr>
          <w:rtl/>
        </w:rPr>
        <w:t xml:space="preserve"> הטיפול בגברים </w:t>
      </w:r>
      <w:r w:rsidRPr="002F2BC5">
        <w:rPr>
          <w:rFonts w:hint="eastAsia"/>
          <w:rtl/>
        </w:rPr>
        <w:t>מאפיינים</w:t>
      </w:r>
      <w:r w:rsidRPr="002F2BC5">
        <w:rPr>
          <w:rtl/>
        </w:rPr>
        <w:t xml:space="preserve"> את כלל תחומי העבודה של המחלקות לשירותים חברתיים</w:t>
      </w:r>
      <w:r w:rsidRPr="002F2BC5">
        <w:rPr>
          <w:rFonts w:hint="cs"/>
          <w:rtl/>
        </w:rPr>
        <w:t>,</w:t>
      </w:r>
      <w:r w:rsidRPr="002F2BC5">
        <w:rPr>
          <w:rtl/>
        </w:rPr>
        <w:t xml:space="preserve"> אך </w:t>
      </w:r>
      <w:r w:rsidRPr="002F2BC5">
        <w:rPr>
          <w:rFonts w:hint="cs"/>
          <w:rtl/>
        </w:rPr>
        <w:t xml:space="preserve">הם </w:t>
      </w:r>
      <w:r w:rsidRPr="002F2BC5">
        <w:rPr>
          <w:rtl/>
        </w:rPr>
        <w:t>מק</w:t>
      </w:r>
      <w:r w:rsidRPr="002F2BC5">
        <w:rPr>
          <w:rFonts w:hint="eastAsia"/>
          <w:rtl/>
        </w:rPr>
        <w:t>בלים</w:t>
      </w:r>
      <w:r w:rsidRPr="002F2BC5">
        <w:rPr>
          <w:rtl/>
        </w:rPr>
        <w:t xml:space="preserve"> משנה תוקף </w:t>
      </w:r>
      <w:r w:rsidRPr="002F2BC5">
        <w:rPr>
          <w:rFonts w:hint="eastAsia"/>
          <w:rtl/>
        </w:rPr>
        <w:t>בתחום</w:t>
      </w:r>
      <w:r w:rsidRPr="002F2BC5">
        <w:rPr>
          <w:rtl/>
        </w:rPr>
        <w:t xml:space="preserve"> </w:t>
      </w:r>
      <w:r w:rsidRPr="002F2BC5">
        <w:rPr>
          <w:rFonts w:hint="eastAsia"/>
          <w:rtl/>
        </w:rPr>
        <w:t>הטיפול</w:t>
      </w:r>
      <w:r w:rsidRPr="002F2BC5">
        <w:rPr>
          <w:rtl/>
        </w:rPr>
        <w:t xml:space="preserve"> </w:t>
      </w:r>
      <w:r w:rsidRPr="002F2BC5">
        <w:rPr>
          <w:rFonts w:hint="eastAsia"/>
          <w:rtl/>
        </w:rPr>
        <w:t>באלימות</w:t>
      </w:r>
      <w:r w:rsidRPr="002F2BC5">
        <w:rPr>
          <w:rtl/>
        </w:rPr>
        <w:t xml:space="preserve"> במשפחה. </w:t>
      </w:r>
      <w:r w:rsidRPr="002F2BC5">
        <w:rPr>
          <w:rFonts w:hint="eastAsia"/>
          <w:rtl/>
        </w:rPr>
        <w:t>עוד</w:t>
      </w:r>
      <w:r w:rsidRPr="002F2BC5">
        <w:rPr>
          <w:rtl/>
        </w:rPr>
        <w:t xml:space="preserve"> מסר כי </w:t>
      </w:r>
      <w:r w:rsidRPr="002F2BC5">
        <w:rPr>
          <w:rFonts w:hint="eastAsia"/>
          <w:rtl/>
        </w:rPr>
        <w:t>הוא</w:t>
      </w:r>
      <w:r w:rsidRPr="002F2BC5">
        <w:rPr>
          <w:rtl/>
        </w:rPr>
        <w:t xml:space="preserve"> מלא תקווה שהקמתם של המרכזים הייעודיים לטיפול בגברים </w:t>
      </w:r>
      <w:r w:rsidRPr="002F2BC5">
        <w:rPr>
          <w:rFonts w:hint="eastAsia"/>
          <w:rtl/>
        </w:rPr>
        <w:t>ייעלו</w:t>
      </w:r>
      <w:r w:rsidRPr="002F2BC5">
        <w:rPr>
          <w:rtl/>
        </w:rPr>
        <w:t xml:space="preserve"> </w:t>
      </w:r>
      <w:r w:rsidRPr="002F2BC5">
        <w:rPr>
          <w:rFonts w:hint="eastAsia"/>
          <w:rtl/>
        </w:rPr>
        <w:t>את</w:t>
      </w:r>
      <w:r w:rsidRPr="002F2BC5">
        <w:rPr>
          <w:rtl/>
        </w:rPr>
        <w:t xml:space="preserve"> </w:t>
      </w:r>
      <w:r w:rsidRPr="002F2BC5">
        <w:rPr>
          <w:rFonts w:hint="eastAsia"/>
          <w:rtl/>
        </w:rPr>
        <w:t>המענה</w:t>
      </w:r>
      <w:r w:rsidRPr="002F2BC5">
        <w:rPr>
          <w:rtl/>
        </w:rPr>
        <w:t xml:space="preserve"> </w:t>
      </w:r>
      <w:r w:rsidRPr="002F2BC5">
        <w:rPr>
          <w:rFonts w:hint="eastAsia"/>
          <w:rtl/>
        </w:rPr>
        <w:t>הטיפולי</w:t>
      </w:r>
      <w:r w:rsidRPr="002F2BC5">
        <w:rPr>
          <w:rtl/>
        </w:rPr>
        <w:t xml:space="preserve"> </w:t>
      </w:r>
      <w:r w:rsidRPr="002F2BC5">
        <w:rPr>
          <w:rFonts w:hint="eastAsia"/>
          <w:rtl/>
        </w:rPr>
        <w:t>לגברים</w:t>
      </w:r>
      <w:r w:rsidRPr="002F2BC5">
        <w:rPr>
          <w:rtl/>
        </w:rPr>
        <w:t xml:space="preserve">, </w:t>
      </w:r>
      <w:r w:rsidRPr="002F2BC5">
        <w:rPr>
          <w:rFonts w:hint="eastAsia"/>
          <w:rtl/>
        </w:rPr>
        <w:t>בפרט</w:t>
      </w:r>
      <w:r w:rsidRPr="002F2BC5">
        <w:rPr>
          <w:rtl/>
        </w:rPr>
        <w:t xml:space="preserve"> </w:t>
      </w:r>
      <w:r w:rsidRPr="002F2BC5">
        <w:rPr>
          <w:rFonts w:hint="eastAsia"/>
          <w:rtl/>
        </w:rPr>
        <w:t>בתחום</w:t>
      </w:r>
      <w:r w:rsidRPr="002F2BC5">
        <w:rPr>
          <w:rtl/>
        </w:rPr>
        <w:t xml:space="preserve"> האלימות </w:t>
      </w:r>
      <w:r w:rsidRPr="002F2BC5">
        <w:rPr>
          <w:rFonts w:hint="eastAsia"/>
          <w:rtl/>
        </w:rPr>
        <w:t>בתוך</w:t>
      </w:r>
      <w:r w:rsidRPr="002F2BC5">
        <w:rPr>
          <w:rtl/>
        </w:rPr>
        <w:t xml:space="preserve"> </w:t>
      </w:r>
      <w:r w:rsidRPr="002F2BC5">
        <w:rPr>
          <w:rFonts w:hint="eastAsia"/>
          <w:rtl/>
        </w:rPr>
        <w:t>התא</w:t>
      </w:r>
      <w:r w:rsidRPr="002F2BC5">
        <w:rPr>
          <w:rtl/>
        </w:rPr>
        <w:t xml:space="preserve"> </w:t>
      </w:r>
      <w:r w:rsidRPr="002F2BC5">
        <w:rPr>
          <w:rFonts w:hint="eastAsia"/>
          <w:rtl/>
        </w:rPr>
        <w:t>המשפחתי</w:t>
      </w:r>
      <w:r w:rsidRPr="002F2BC5">
        <w:rPr>
          <w:rtl/>
        </w:rPr>
        <w:t xml:space="preserve"> </w:t>
      </w:r>
      <w:r w:rsidRPr="002F2BC5">
        <w:rPr>
          <w:rFonts w:hint="eastAsia"/>
          <w:rtl/>
        </w:rPr>
        <w:t>ובין</w:t>
      </w:r>
      <w:r w:rsidRPr="002F2BC5">
        <w:rPr>
          <w:rtl/>
        </w:rPr>
        <w:t xml:space="preserve"> </w:t>
      </w:r>
      <w:r w:rsidRPr="002F2BC5">
        <w:rPr>
          <w:rFonts w:hint="eastAsia"/>
          <w:rtl/>
        </w:rPr>
        <w:t>בני</w:t>
      </w:r>
      <w:r w:rsidRPr="002F2BC5">
        <w:rPr>
          <w:rtl/>
        </w:rPr>
        <w:t xml:space="preserve"> </w:t>
      </w:r>
      <w:r w:rsidRPr="002F2BC5">
        <w:rPr>
          <w:rFonts w:hint="eastAsia"/>
          <w:rtl/>
        </w:rPr>
        <w:t>זוג</w:t>
      </w:r>
      <w:r w:rsidRPr="002F2BC5">
        <w:rPr>
          <w:rtl/>
        </w:rPr>
        <w:t>.</w:t>
      </w:r>
    </w:p>
    <w:p w14:paraId="0B0EA829" w14:textId="77777777" w:rsidR="00817399" w:rsidRPr="002F2BC5" w:rsidRDefault="00817399" w:rsidP="00817399">
      <w:pPr>
        <w:spacing w:line="269" w:lineRule="auto"/>
        <w:rPr>
          <w:rtl/>
        </w:rPr>
      </w:pPr>
    </w:p>
    <w:p w14:paraId="4C55DD00"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50C1402" w14:textId="77777777" w:rsidR="00817399" w:rsidRPr="002F2BC5" w:rsidRDefault="00817399" w:rsidP="00817399">
      <w:pPr>
        <w:pStyle w:val="afffffff7"/>
        <w:spacing w:before="0" w:line="269" w:lineRule="auto"/>
      </w:pPr>
      <w:bookmarkStart w:id="1547" w:name="_Toc198312290"/>
      <w:bookmarkStart w:id="1548" w:name="_Toc198312769"/>
      <w:bookmarkStart w:id="1549" w:name="_Toc189072259"/>
      <w:r w:rsidRPr="002F2BC5">
        <w:rPr>
          <w:noProof/>
        </w:rPr>
        <w:drawing>
          <wp:inline distT="0" distB="0" distL="0" distR="0" wp14:anchorId="733F34D1" wp14:editId="5ADA3022">
            <wp:extent cx="4324350" cy="933450"/>
            <wp:effectExtent l="0" t="0" r="0" b="0"/>
            <wp:docPr id="2052770990"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547"/>
      <w:bookmarkEnd w:id="1548"/>
    </w:p>
    <w:bookmarkEnd w:id="1549"/>
    <w:p w14:paraId="0B683D63" w14:textId="77777777" w:rsidR="00817399" w:rsidRPr="002F2BC5" w:rsidRDefault="00817399" w:rsidP="00817399">
      <w:pPr>
        <w:spacing w:line="269" w:lineRule="auto"/>
        <w:rPr>
          <w:rtl/>
        </w:rPr>
      </w:pPr>
    </w:p>
    <w:p w14:paraId="3907BC55" w14:textId="77777777" w:rsidR="00817399" w:rsidRPr="002F2BC5" w:rsidRDefault="00817399" w:rsidP="00817399">
      <w:pPr>
        <w:pStyle w:val="7"/>
        <w:spacing w:line="269" w:lineRule="auto"/>
        <w:rPr>
          <w:rtl/>
        </w:rPr>
      </w:pPr>
      <w:bookmarkStart w:id="1550" w:name="_Toc191987083"/>
      <w:r w:rsidRPr="002F2BC5">
        <w:rPr>
          <w:rFonts w:hint="cs"/>
          <w:rtl/>
        </w:rPr>
        <w:t>הטיפול במרכזים ביוצאי ברית המועצות וביוצאי אתיופיה</w:t>
      </w:r>
      <w:r w:rsidRPr="002F2BC5">
        <w:rPr>
          <w:rStyle w:val="af9"/>
          <w:rtl/>
        </w:rPr>
        <w:footnoteReference w:id="313"/>
      </w:r>
      <w:bookmarkEnd w:id="1550"/>
    </w:p>
    <w:p w14:paraId="78D0D9A6" w14:textId="77777777" w:rsidR="00817399" w:rsidRPr="002F2BC5" w:rsidRDefault="00817399" w:rsidP="00817399">
      <w:pPr>
        <w:spacing w:line="269" w:lineRule="auto"/>
        <w:rPr>
          <w:rtl/>
        </w:rPr>
      </w:pPr>
    </w:p>
    <w:p w14:paraId="7F3AAE29" w14:textId="77777777" w:rsidR="00817399" w:rsidRPr="002F2BC5" w:rsidRDefault="00817399" w:rsidP="00817399">
      <w:pPr>
        <w:spacing w:line="269" w:lineRule="auto"/>
        <w:rPr>
          <w:rtl/>
        </w:rPr>
      </w:pPr>
      <w:r w:rsidRPr="002F2BC5">
        <w:rPr>
          <w:rFonts w:hint="cs"/>
          <w:rtl/>
        </w:rPr>
        <w:t xml:space="preserve">משנת 2004 מפעילים משרד העלייה ומשרד הרווחה במשותף, בחלק מהמרכזים לטיפול ומניעת אלימות במשפחה, </w:t>
      </w:r>
      <w:bookmarkStart w:id="1551" w:name="_Hlk192493806"/>
      <w:r w:rsidRPr="002F2BC5">
        <w:rPr>
          <w:rFonts w:hint="cs"/>
          <w:rtl/>
        </w:rPr>
        <w:t xml:space="preserve">תוכנית ייעודית למטופלים יוצאי ברית המועצות ויוצאי אתיופיה </w:t>
      </w:r>
      <w:bookmarkEnd w:id="1551"/>
      <w:r w:rsidRPr="002F2BC5">
        <w:rPr>
          <w:rFonts w:hint="cs"/>
          <w:rtl/>
        </w:rPr>
        <w:t>(להלן - תוכנית "גשרים"). הנחת היסוד שעליה מבוססת התוכנית היא כי תופעת ההגירה בין ארצות עלולה להגביר את חשיפתם של עולים לתופעת האלימות, על רקע תהליך ההשתלבות בחברה וכן על רקע הבדלי שפה ותרבות</w:t>
      </w:r>
      <w:r w:rsidRPr="002F2BC5">
        <w:rPr>
          <w:rStyle w:val="af9"/>
          <w:rtl/>
        </w:rPr>
        <w:footnoteReference w:id="314"/>
      </w:r>
      <w:r w:rsidRPr="002F2BC5">
        <w:rPr>
          <w:rFonts w:hint="cs"/>
          <w:rtl/>
        </w:rPr>
        <w:t>. במסגרת התוכנית מוקצים תקנים ייעודיים לטובת העסקת עובדים סוציאליים דוברי השפה הרוסית והאמהרית (ובכמה מהמרכזים - גם דוברי צרפתית וספרדית), בעלי הכשרה ייעודית לצורך מתן מענה טיפולי מותאם שפה ותרבות לעולים חדשים נפגעי אלימות במשפחה</w:t>
      </w:r>
      <w:r w:rsidRPr="002F2BC5">
        <w:rPr>
          <w:rStyle w:val="af9"/>
          <w:rtl/>
        </w:rPr>
        <w:footnoteReference w:id="315"/>
      </w:r>
      <w:r w:rsidRPr="002F2BC5">
        <w:rPr>
          <w:rFonts w:hint="cs"/>
          <w:rtl/>
        </w:rPr>
        <w:t xml:space="preserve">. </w:t>
      </w:r>
      <w:bookmarkStart w:id="1552" w:name="_Hlk196214738"/>
      <w:r w:rsidRPr="002F2BC5">
        <w:rPr>
          <w:rFonts w:hint="cs"/>
          <w:rtl/>
        </w:rPr>
        <w:t xml:space="preserve">הקריטריונים להקצאת התקנים הייעודיים במסגרת תוכנית "גשרים" </w:t>
      </w:r>
      <w:bookmarkEnd w:id="1552"/>
      <w:r w:rsidRPr="002F2BC5">
        <w:rPr>
          <w:rFonts w:hint="cs"/>
          <w:rtl/>
        </w:rPr>
        <w:t>נקבעו על ידי ועדת היגוי בין-משרדית בראשות משרד הרווחה ובהשתתפות משרד העלייה. קריטריונים אלה מתייחסים בין השאר למספרם ולשיעורם של העולים המתגוררים בתחומה של ה</w:t>
      </w:r>
      <w:r w:rsidRPr="002F2BC5">
        <w:rPr>
          <w:rtl/>
        </w:rPr>
        <w:t>רשות המקומית</w:t>
      </w:r>
      <w:r w:rsidRPr="002F2BC5">
        <w:rPr>
          <w:rFonts w:hint="cs"/>
          <w:rtl/>
        </w:rPr>
        <w:t>; קבוצות מוצא שבהן התרחשו מקרי רצח נשים בידי בני זוג ומקום מגוריהם; היתכנות העסקת איש מקצוע דובר שפה במרכז לטיפול ומניעת אלימות במשפחה.</w:t>
      </w:r>
    </w:p>
    <w:p w14:paraId="09385AA7" w14:textId="77777777" w:rsidR="00817399" w:rsidRPr="002F2BC5" w:rsidRDefault="00817399" w:rsidP="00817399">
      <w:pPr>
        <w:spacing w:line="269" w:lineRule="auto"/>
        <w:rPr>
          <w:rtl/>
        </w:rPr>
      </w:pPr>
    </w:p>
    <w:p w14:paraId="51FA609B" w14:textId="77777777" w:rsidR="00817399" w:rsidRPr="002F2BC5" w:rsidRDefault="00817399" w:rsidP="00817399">
      <w:pPr>
        <w:spacing w:line="269" w:lineRule="auto"/>
        <w:rPr>
          <w:rtl/>
        </w:rPr>
      </w:pPr>
      <w:bookmarkStart w:id="1553" w:name="_Toc191987084"/>
      <w:r w:rsidRPr="002F2BC5">
        <w:rPr>
          <w:rStyle w:val="70"/>
          <w:rFonts w:hint="cs"/>
          <w:rtl/>
        </w:rPr>
        <w:t>הביקורת הקודמת:</w:t>
      </w:r>
      <w:bookmarkEnd w:id="1553"/>
      <w:r w:rsidRPr="002F2BC5">
        <w:rPr>
          <w:rStyle w:val="70"/>
          <w:rFonts w:hint="cs"/>
          <w:rtl/>
        </w:rPr>
        <w:t xml:space="preserve"> </w:t>
      </w:r>
      <w:r w:rsidRPr="002F2BC5">
        <w:rPr>
          <w:rFonts w:hint="cs"/>
          <w:rtl/>
        </w:rPr>
        <w:t xml:space="preserve">בשנת 2019 הופעלה תוכנית "גשרים" ב-28 רשויות מקומיות. הועלה כי הרוב הגדול של הרשויות המקומיות שבהן הופעלה התוכנית השתייכו למדד חברתי-כלכלי בינוני או גבוה (25 מתוך 28 רשויות מקומיות). בחינת שיעור העולים מכלל התושבים ומספר הנזקקים בתחום האלימות במשפחה בכל רשות מקומית העלתה כי לא הייתה בהכרח הלימה בין היקף התקנים הייעודיים שהוקצו במסגרת התוכנית לבין צורכיהן בפועל של הרשויות המקומיות. כך לדוגמה נמצא כי בעיריית </w:t>
      </w:r>
      <w:r w:rsidRPr="002F2BC5">
        <w:rPr>
          <w:rFonts w:hint="eastAsia"/>
          <w:b/>
          <w:bCs/>
          <w:rtl/>
        </w:rPr>
        <w:t>אילת</w:t>
      </w:r>
      <w:r w:rsidRPr="002F2BC5">
        <w:rPr>
          <w:rFonts w:hint="cs"/>
          <w:rtl/>
        </w:rPr>
        <w:t xml:space="preserve"> היה שיעור העולים ומספר הנזקקים גבוה מהממוצע הארצי (כ-8%), אך היא לא נכללה בתוכנית בשנת 2019, ואילו בעיריות </w:t>
      </w:r>
      <w:r w:rsidRPr="002F2BC5">
        <w:rPr>
          <w:rFonts w:hint="eastAsia"/>
          <w:b/>
          <w:bCs/>
          <w:rtl/>
        </w:rPr>
        <w:t>כפר</w:t>
      </w:r>
      <w:r w:rsidRPr="002F2BC5">
        <w:rPr>
          <w:b/>
          <w:bCs/>
          <w:rtl/>
        </w:rPr>
        <w:t xml:space="preserve"> </w:t>
      </w:r>
      <w:r w:rsidRPr="002F2BC5">
        <w:rPr>
          <w:rFonts w:hint="eastAsia"/>
          <w:b/>
          <w:bCs/>
          <w:rtl/>
        </w:rPr>
        <w:t>סבא</w:t>
      </w:r>
      <w:r w:rsidRPr="002F2BC5">
        <w:rPr>
          <w:rFonts w:hint="cs"/>
          <w:rtl/>
        </w:rPr>
        <w:t xml:space="preserve"> ו</w:t>
      </w:r>
      <w:r w:rsidRPr="002F2BC5">
        <w:rPr>
          <w:rFonts w:hint="eastAsia"/>
          <w:b/>
          <w:bCs/>
          <w:rtl/>
        </w:rPr>
        <w:t>ראשון</w:t>
      </w:r>
      <w:r w:rsidRPr="002F2BC5">
        <w:rPr>
          <w:rFonts w:hint="cs"/>
          <w:rtl/>
        </w:rPr>
        <w:t xml:space="preserve"> </w:t>
      </w:r>
      <w:r w:rsidRPr="002F2BC5">
        <w:rPr>
          <w:rFonts w:hint="eastAsia"/>
          <w:b/>
          <w:bCs/>
          <w:rtl/>
        </w:rPr>
        <w:t>לציון</w:t>
      </w:r>
      <w:r w:rsidRPr="002F2BC5">
        <w:rPr>
          <w:rFonts w:hint="cs"/>
          <w:rtl/>
        </w:rPr>
        <w:t xml:space="preserve">, שנכללו בתוכנית בשנה זו, שיעור העולים ומספר הנזקקים היה נמוך מהממוצע הארצי. עוד נמצא כי מבין הרשויות המקומיות היהודיות שהשתייכו למדד חברתי-כלכלי נמוך וששיעור העולים בהן היה גבוה מהממוצע הארצי - רק 3 מתוך 12 נכללו בתוכנית באותה השנה. </w:t>
      </w:r>
    </w:p>
    <w:p w14:paraId="0D58ED08" w14:textId="77777777" w:rsidR="004136E8" w:rsidRDefault="004136E8" w:rsidP="00817399">
      <w:pPr>
        <w:spacing w:line="269" w:lineRule="auto"/>
        <w:rPr>
          <w:rtl/>
        </w:rPr>
      </w:pPr>
    </w:p>
    <w:p w14:paraId="278A13C4" w14:textId="77777777" w:rsidR="00817399" w:rsidRPr="002F2BC5" w:rsidRDefault="00817399" w:rsidP="00817399">
      <w:pPr>
        <w:spacing w:line="269" w:lineRule="auto"/>
        <w:rPr>
          <w:rtl/>
        </w:rPr>
      </w:pPr>
      <w:r w:rsidRPr="002F2BC5">
        <w:rPr>
          <w:rFonts w:hint="cs"/>
          <w:rtl/>
        </w:rPr>
        <w:t xml:space="preserve">הביקורת הקודמת העלתה עוד כי בשנים 2015 - 2021 נעשו שינויים מזעריים ברשימת הרשויות המקומיות שנכללו בתוכנית "גשרים" ובהיקף התקנים הייעודיים שהוקצו במסגרת התוכנית (הסרה של רשות מקומית אחת והוספה של שלוש רשויות אחרות). </w:t>
      </w:r>
    </w:p>
    <w:p w14:paraId="77250118" w14:textId="77777777" w:rsidR="00817399" w:rsidRPr="002F2BC5" w:rsidRDefault="00817399" w:rsidP="00817399">
      <w:pPr>
        <w:spacing w:line="269" w:lineRule="auto"/>
        <w:rPr>
          <w:rtl/>
        </w:rPr>
      </w:pPr>
    </w:p>
    <w:p w14:paraId="61A7ED14"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ולמשרד העלייה להקפיד לבחון</w:t>
      </w:r>
      <w:r w:rsidRPr="002F2BC5">
        <w:rPr>
          <w:rtl/>
        </w:rPr>
        <w:t xml:space="preserve"> </w:t>
      </w:r>
      <w:r w:rsidRPr="002F2BC5">
        <w:rPr>
          <w:rFonts w:hint="cs"/>
          <w:rtl/>
        </w:rPr>
        <w:t>מפעם לפעם</w:t>
      </w:r>
      <w:r w:rsidRPr="002F2BC5">
        <w:rPr>
          <w:rtl/>
        </w:rPr>
        <w:t xml:space="preserve"> </w:t>
      </w:r>
      <w:r w:rsidRPr="002F2BC5">
        <w:rPr>
          <w:rFonts w:hint="eastAsia"/>
          <w:rtl/>
        </w:rPr>
        <w:t>את</w:t>
      </w:r>
      <w:r w:rsidRPr="002F2BC5">
        <w:rPr>
          <w:rtl/>
        </w:rPr>
        <w:t xml:space="preserve"> </w:t>
      </w:r>
      <w:r w:rsidRPr="002F2BC5">
        <w:rPr>
          <w:rFonts w:hint="cs"/>
          <w:rtl/>
        </w:rPr>
        <w:t xml:space="preserve">מידת ההתאמה לצורכיהן של הרשויות המקומיות מבחינת </w:t>
      </w:r>
      <w:r w:rsidRPr="002F2BC5">
        <w:rPr>
          <w:rFonts w:hint="eastAsia"/>
          <w:rtl/>
        </w:rPr>
        <w:t>שיעור</w:t>
      </w:r>
      <w:r w:rsidRPr="002F2BC5">
        <w:rPr>
          <w:rtl/>
        </w:rPr>
        <w:t xml:space="preserve"> </w:t>
      </w:r>
      <w:r w:rsidRPr="002F2BC5">
        <w:rPr>
          <w:rFonts w:hint="eastAsia"/>
          <w:rtl/>
        </w:rPr>
        <w:t>העולים</w:t>
      </w:r>
      <w:r w:rsidRPr="002F2BC5">
        <w:rPr>
          <w:rtl/>
        </w:rPr>
        <w:t xml:space="preserve"> </w:t>
      </w:r>
      <w:r w:rsidRPr="002F2BC5">
        <w:rPr>
          <w:rFonts w:hint="cs"/>
          <w:rtl/>
        </w:rPr>
        <w:t>המתגוררים בתחומן</w:t>
      </w:r>
      <w:r w:rsidRPr="002F2BC5">
        <w:rPr>
          <w:rtl/>
        </w:rPr>
        <w:t xml:space="preserve"> </w:t>
      </w:r>
      <w:r w:rsidRPr="002F2BC5">
        <w:rPr>
          <w:rFonts w:hint="cs"/>
          <w:rtl/>
        </w:rPr>
        <w:t>ולהבטיח</w:t>
      </w:r>
      <w:r w:rsidRPr="002F2BC5">
        <w:rPr>
          <w:rtl/>
        </w:rPr>
        <w:t xml:space="preserve"> </w:t>
      </w:r>
      <w:r w:rsidRPr="002F2BC5">
        <w:rPr>
          <w:rFonts w:hint="cs"/>
          <w:rtl/>
        </w:rPr>
        <w:t xml:space="preserve">כי המשאבים הייעודיים במסגרת תוכנית "גשרים" יוקצו באופן המיטבי. </w:t>
      </w:r>
    </w:p>
    <w:p w14:paraId="023EFFBF" w14:textId="77777777" w:rsidR="00817399" w:rsidRPr="002F2BC5" w:rsidRDefault="00817399" w:rsidP="00817399">
      <w:pPr>
        <w:spacing w:line="269" w:lineRule="auto"/>
        <w:rPr>
          <w:rtl/>
        </w:rPr>
      </w:pPr>
    </w:p>
    <w:p w14:paraId="45E5EFF1" w14:textId="77777777" w:rsidR="00817399" w:rsidRPr="002F2BC5" w:rsidRDefault="00817399" w:rsidP="00817399">
      <w:pPr>
        <w:spacing w:line="269" w:lineRule="auto"/>
        <w:rPr>
          <w:rtl/>
        </w:rPr>
      </w:pPr>
      <w:r w:rsidRPr="002F2BC5">
        <w:rPr>
          <w:rFonts w:hint="cs"/>
          <w:rtl/>
        </w:rPr>
        <w:t>משרד העלייה מסר בתשובתו לביקורת הקודמת מפברואר 2021 כי בתוכנית "גשרים" נכללו רשויות מקומיות רבות שהשתייכו למדד חברתי-כלכלי בינוני, משום שברשויות אלו התגוררו עולים רבים, וכי המדד החברתי-כלכלי לא נמנה עם השיקולים בבחירת הרשויות המקומיות שייכללו בתוכנית. עוד הוסיף כי נעשות התאמות בהקצאת כוח האדם במסגרת התוכנית מדי שנה ואף במהלך השנה על פי הצורך. אשר לאי-הכללתה של עיריית אילת בתוכנית "גשרים" מסר משרד העלייה כי העירייה לא העלתה בפניו או בפני משרד הרווחה צורך ייחודי בהקשר זה, אך הם יקיימו דיון בנוגע לצורכי העיר לנוכח קליטתם של עולים רבים בתחומה בשנים האחרונות.</w:t>
      </w:r>
    </w:p>
    <w:p w14:paraId="2132DB2E" w14:textId="77777777" w:rsidR="00817399" w:rsidRPr="002F2BC5" w:rsidRDefault="00817399" w:rsidP="00817399">
      <w:pPr>
        <w:spacing w:line="269" w:lineRule="auto"/>
        <w:rPr>
          <w:rtl/>
        </w:rPr>
      </w:pPr>
    </w:p>
    <w:p w14:paraId="370F2A09" w14:textId="77777777" w:rsidR="00817399" w:rsidRPr="002F2BC5" w:rsidRDefault="00817399" w:rsidP="00817399">
      <w:pPr>
        <w:spacing w:line="269" w:lineRule="auto"/>
        <w:rPr>
          <w:rtl/>
        </w:rPr>
      </w:pPr>
      <w:r w:rsidRPr="002F2BC5">
        <w:rPr>
          <w:rFonts w:hint="cs"/>
          <w:rtl/>
        </w:rPr>
        <w:t xml:space="preserve">משרד הרווחה מסר בתשובתו מפברואר 2021 כי בשנתיים שקדמו למועד התשובה פעל בשיתוף עם משרד העלייה לעדכון רשימת הרשויות המקומיות הנכללות בתוכנית "גשרים", בהתאם לשיעור העולים המתגוררים בתחומן ולהיקף הפניות של עולים בתחום האלימות במשפחה וכי המענה במסגרת התוכנית ניתן גם לעולים חדשים וגם לעולים ותיקים. </w:t>
      </w:r>
    </w:p>
    <w:p w14:paraId="5BCC6932" w14:textId="77777777" w:rsidR="00817399" w:rsidRPr="002F2BC5" w:rsidRDefault="00817399" w:rsidP="00817399">
      <w:pPr>
        <w:spacing w:line="269" w:lineRule="auto"/>
        <w:rPr>
          <w:rtl/>
        </w:rPr>
      </w:pPr>
    </w:p>
    <w:p w14:paraId="4BEC7968"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אילת</w:t>
      </w:r>
      <w:r w:rsidRPr="002F2BC5">
        <w:rPr>
          <w:rFonts w:hint="cs"/>
          <w:rtl/>
        </w:rPr>
        <w:t xml:space="preserve"> מסרה בתשובתה ממרץ 2021 כי במרכז לטיפול ומניעת אלימות במשפחה שהיא מפעילה מועסקת ברבע משרה עובדת סוציאלית דוברת רוסית. העובדת עברה הכשרה ייעודית בתחום האלימות במשפחה, אך לא עברה הכשרה ייעודית בעבודה עם עולים. עוד מסרה העירייה כי פנתה לאחרונה למשרד הרווחה בבקשה להקצות לה משרה ייעודית לטיפול בעולים אך פנייתה טרם נענתה.</w:t>
      </w:r>
    </w:p>
    <w:p w14:paraId="49FA673E" w14:textId="77777777" w:rsidR="00817399" w:rsidRPr="002F2BC5" w:rsidRDefault="00817399" w:rsidP="00817399">
      <w:pPr>
        <w:spacing w:line="269" w:lineRule="auto"/>
        <w:rPr>
          <w:rtl/>
        </w:rPr>
      </w:pPr>
    </w:p>
    <w:p w14:paraId="265794E9" w14:textId="77777777" w:rsidR="00817399" w:rsidRPr="002F2BC5" w:rsidRDefault="00817399" w:rsidP="00817399">
      <w:pPr>
        <w:spacing w:line="269" w:lineRule="auto"/>
        <w:rPr>
          <w:rtl/>
        </w:rPr>
      </w:pPr>
      <w:bookmarkStart w:id="1554" w:name="_Toc191987085"/>
      <w:r w:rsidRPr="002F2BC5">
        <w:rPr>
          <w:rStyle w:val="70"/>
          <w:rFonts w:hint="cs"/>
          <w:rtl/>
        </w:rPr>
        <w:t>ביקורת המעקב:</w:t>
      </w:r>
      <w:bookmarkEnd w:id="1554"/>
      <w:r w:rsidRPr="002F2BC5">
        <w:rPr>
          <w:rStyle w:val="70"/>
          <w:rFonts w:hint="cs"/>
          <w:rtl/>
        </w:rPr>
        <w:t xml:space="preserve"> </w:t>
      </w:r>
      <w:r w:rsidRPr="002F2BC5">
        <w:rPr>
          <w:rFonts w:hint="cs"/>
          <w:rtl/>
        </w:rPr>
        <w:t xml:space="preserve">נכון למועד סיום ביקורת המעקב, בדצמבר 2024, פעלה תוכנית "גשרים" ב-31 רשויות מקומיות, ובהן עיריית </w:t>
      </w:r>
      <w:r w:rsidRPr="002F2BC5">
        <w:rPr>
          <w:rFonts w:hint="cs"/>
          <w:b/>
          <w:bCs/>
          <w:rtl/>
        </w:rPr>
        <w:t>אילת</w:t>
      </w:r>
      <w:r w:rsidRPr="002F2BC5">
        <w:rPr>
          <w:rFonts w:hint="cs"/>
          <w:rtl/>
        </w:rPr>
        <w:t xml:space="preserve"> שהתווספה לתוכנית לאחר הביקורת הקודמת. בכל אחת מהשנים 2022 - 2024 הקצו משרד הרווחה ומשרד העלייה במשותף כ-4.5 מיליוני ש"ח לטובת הפעלת התוכנית</w:t>
      </w:r>
      <w:r w:rsidRPr="002F2BC5">
        <w:rPr>
          <w:rStyle w:val="af9"/>
          <w:rtl/>
        </w:rPr>
        <w:footnoteReference w:id="316"/>
      </w:r>
      <w:r w:rsidRPr="002F2BC5">
        <w:rPr>
          <w:rFonts w:hint="cs"/>
          <w:rtl/>
        </w:rPr>
        <w:t>. במסגרת יישום הסכם "כתף אל כתף", הומרו ביולי 2024 התקנים הייעודיים שהוקצו במסגרת תוכנית "גשרים", והעובדים הסוציאליים נקלטו בהעסקה ישירה ברשויות המקומיות שבהן הופעלה התוכנית.</w:t>
      </w:r>
    </w:p>
    <w:p w14:paraId="08F86AE4" w14:textId="77777777" w:rsidR="00817399" w:rsidRPr="002F2BC5" w:rsidRDefault="00817399" w:rsidP="00817399">
      <w:pPr>
        <w:spacing w:line="269" w:lineRule="auto"/>
        <w:rPr>
          <w:rtl/>
        </w:rPr>
      </w:pPr>
    </w:p>
    <w:p w14:paraId="3D2961CE" w14:textId="77777777" w:rsidR="00817399" w:rsidRPr="002F2BC5" w:rsidRDefault="00817399" w:rsidP="00817399">
      <w:pPr>
        <w:spacing w:line="269" w:lineRule="auto"/>
        <w:rPr>
          <w:b/>
          <w:bCs/>
          <w:rtl/>
        </w:rPr>
      </w:pPr>
      <w:r w:rsidRPr="002F2BC5">
        <w:rPr>
          <w:rFonts w:hint="eastAsia"/>
          <w:b/>
          <w:bCs/>
          <w:rtl/>
        </w:rPr>
        <w:t>יוצא</w:t>
      </w:r>
      <w:r w:rsidRPr="002F2BC5">
        <w:rPr>
          <w:b/>
          <w:bCs/>
          <w:rtl/>
        </w:rPr>
        <w:t xml:space="preserve"> </w:t>
      </w:r>
      <w:r w:rsidRPr="002F2BC5">
        <w:rPr>
          <w:rFonts w:hint="eastAsia"/>
          <w:b/>
          <w:bCs/>
          <w:rtl/>
        </w:rPr>
        <w:t>מן</w:t>
      </w:r>
      <w:r w:rsidRPr="002F2BC5">
        <w:rPr>
          <w:b/>
          <w:bCs/>
          <w:rtl/>
        </w:rPr>
        <w:t xml:space="preserve"> </w:t>
      </w:r>
      <w:r w:rsidRPr="002F2BC5">
        <w:rPr>
          <w:rFonts w:hint="eastAsia"/>
          <w:b/>
          <w:bCs/>
          <w:rtl/>
        </w:rPr>
        <w:t>האמור</w:t>
      </w:r>
      <w:r w:rsidRPr="002F2BC5">
        <w:rPr>
          <w:b/>
          <w:bCs/>
          <w:rtl/>
        </w:rPr>
        <w:t xml:space="preserve"> </w:t>
      </w:r>
      <w:r w:rsidRPr="002F2BC5">
        <w:rPr>
          <w:rFonts w:hint="eastAsia"/>
          <w:b/>
          <w:bCs/>
          <w:rtl/>
        </w:rPr>
        <w:t>כי</w:t>
      </w:r>
      <w:r w:rsidRPr="002F2BC5">
        <w:rPr>
          <w:b/>
          <w:bCs/>
          <w:rtl/>
        </w:rPr>
        <w:t xml:space="preserve"> </w:t>
      </w:r>
      <w:r w:rsidRPr="002F2BC5">
        <w:rPr>
          <w:rFonts w:hint="eastAsia"/>
          <w:b/>
          <w:bCs/>
          <w:rtl/>
        </w:rPr>
        <w:t>בשנים</w:t>
      </w:r>
      <w:r w:rsidRPr="002F2BC5">
        <w:rPr>
          <w:b/>
          <w:bCs/>
          <w:rtl/>
        </w:rPr>
        <w:t xml:space="preserve"> 2022 - 2024 </w:t>
      </w:r>
      <w:r w:rsidRPr="002F2BC5">
        <w:rPr>
          <w:rFonts w:hint="eastAsia"/>
          <w:b/>
          <w:bCs/>
          <w:rtl/>
        </w:rPr>
        <w:t>לא</w:t>
      </w:r>
      <w:r w:rsidRPr="002F2BC5">
        <w:rPr>
          <w:b/>
          <w:bCs/>
          <w:rtl/>
        </w:rPr>
        <w:t xml:space="preserve"> </w:t>
      </w:r>
      <w:r w:rsidRPr="002F2BC5">
        <w:rPr>
          <w:rFonts w:hint="eastAsia"/>
          <w:b/>
          <w:bCs/>
          <w:rtl/>
        </w:rPr>
        <w:t>חלו</w:t>
      </w:r>
      <w:r w:rsidRPr="002F2BC5">
        <w:rPr>
          <w:b/>
          <w:bCs/>
          <w:rtl/>
        </w:rPr>
        <w:t xml:space="preserve"> </w:t>
      </w:r>
      <w:r w:rsidRPr="002F2BC5">
        <w:rPr>
          <w:rFonts w:hint="eastAsia"/>
          <w:b/>
          <w:bCs/>
          <w:rtl/>
        </w:rPr>
        <w:t>שינויים</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ממש</w:t>
      </w:r>
      <w:r w:rsidRPr="002F2BC5">
        <w:rPr>
          <w:b/>
          <w:bCs/>
          <w:rtl/>
        </w:rPr>
        <w:t xml:space="preserve"> </w:t>
      </w:r>
      <w:r w:rsidRPr="002F2BC5">
        <w:rPr>
          <w:rFonts w:hint="eastAsia"/>
          <w:b/>
          <w:bCs/>
          <w:rtl/>
        </w:rPr>
        <w:t>בהרכב</w:t>
      </w:r>
      <w:r w:rsidRPr="002F2BC5">
        <w:rPr>
          <w:b/>
          <w:bCs/>
          <w:rtl/>
        </w:rPr>
        <w:t xml:space="preserve"> </w:t>
      </w:r>
      <w:r w:rsidRPr="002F2BC5">
        <w:rPr>
          <w:rFonts w:hint="eastAsia"/>
          <w:b/>
          <w:bCs/>
          <w:rtl/>
        </w:rPr>
        <w:t>הרשויות</w:t>
      </w:r>
      <w:r w:rsidRPr="002F2BC5">
        <w:rPr>
          <w:b/>
          <w:bCs/>
          <w:rtl/>
        </w:rPr>
        <w:t xml:space="preserve"> </w:t>
      </w:r>
      <w:r w:rsidRPr="002F2BC5">
        <w:rPr>
          <w:rFonts w:hint="eastAsia"/>
          <w:b/>
          <w:bCs/>
          <w:rtl/>
        </w:rPr>
        <w:t>המקומיות</w:t>
      </w:r>
      <w:r w:rsidRPr="002F2BC5">
        <w:rPr>
          <w:b/>
          <w:bCs/>
          <w:rtl/>
        </w:rPr>
        <w:t xml:space="preserve"> </w:t>
      </w:r>
      <w:r w:rsidRPr="002F2BC5">
        <w:rPr>
          <w:rFonts w:hint="eastAsia"/>
          <w:b/>
          <w:bCs/>
          <w:rtl/>
        </w:rPr>
        <w:t>שנכללו</w:t>
      </w:r>
      <w:r w:rsidRPr="002F2BC5">
        <w:rPr>
          <w:b/>
          <w:bCs/>
          <w:rtl/>
        </w:rPr>
        <w:t xml:space="preserve"> </w:t>
      </w:r>
      <w:r w:rsidRPr="002F2BC5">
        <w:rPr>
          <w:rFonts w:hint="eastAsia"/>
          <w:b/>
          <w:bCs/>
          <w:rtl/>
        </w:rPr>
        <w:t>בתוכנית</w:t>
      </w:r>
      <w:r w:rsidRPr="002F2BC5">
        <w:rPr>
          <w:b/>
          <w:bCs/>
          <w:rtl/>
        </w:rPr>
        <w:t xml:space="preserve"> "גשרים" </w:t>
      </w:r>
      <w:r w:rsidRPr="002F2BC5">
        <w:rPr>
          <w:rFonts w:hint="eastAsia"/>
          <w:b/>
          <w:bCs/>
          <w:rtl/>
        </w:rPr>
        <w:t>וכי</w:t>
      </w:r>
      <w:r w:rsidRPr="002F2BC5">
        <w:rPr>
          <w:b/>
          <w:bCs/>
          <w:rtl/>
        </w:rPr>
        <w:t xml:space="preserve"> </w:t>
      </w:r>
      <w:r w:rsidRPr="002F2BC5">
        <w:rPr>
          <w:rFonts w:hint="eastAsia"/>
          <w:b/>
          <w:bCs/>
          <w:rtl/>
        </w:rPr>
        <w:t>התקציב</w:t>
      </w:r>
      <w:r w:rsidRPr="002F2BC5">
        <w:rPr>
          <w:b/>
          <w:bCs/>
          <w:rtl/>
        </w:rPr>
        <w:t xml:space="preserve"> </w:t>
      </w:r>
      <w:r w:rsidRPr="002F2BC5">
        <w:rPr>
          <w:rFonts w:hint="eastAsia"/>
          <w:b/>
          <w:bCs/>
          <w:rtl/>
        </w:rPr>
        <w:t>שהוקצה</w:t>
      </w:r>
      <w:r w:rsidRPr="002F2BC5">
        <w:rPr>
          <w:b/>
          <w:bCs/>
          <w:rtl/>
        </w:rPr>
        <w:t xml:space="preserve"> </w:t>
      </w:r>
      <w:r w:rsidRPr="002F2BC5">
        <w:rPr>
          <w:rFonts w:hint="eastAsia"/>
          <w:b/>
          <w:bCs/>
          <w:rtl/>
        </w:rPr>
        <w:t>לטובת</w:t>
      </w:r>
      <w:r w:rsidRPr="002F2BC5">
        <w:rPr>
          <w:b/>
          <w:bCs/>
          <w:rtl/>
        </w:rPr>
        <w:t xml:space="preserve"> </w:t>
      </w:r>
      <w:r w:rsidRPr="002F2BC5">
        <w:rPr>
          <w:rFonts w:hint="eastAsia"/>
          <w:b/>
          <w:bCs/>
          <w:rtl/>
        </w:rPr>
        <w:t>הפעלת</w:t>
      </w:r>
      <w:r w:rsidRPr="002F2BC5">
        <w:rPr>
          <w:b/>
          <w:bCs/>
          <w:rtl/>
        </w:rPr>
        <w:t xml:space="preserve"> </w:t>
      </w:r>
      <w:r w:rsidRPr="002F2BC5">
        <w:rPr>
          <w:rFonts w:hint="eastAsia"/>
          <w:b/>
          <w:bCs/>
          <w:rtl/>
        </w:rPr>
        <w:t>התוכנית</w:t>
      </w:r>
      <w:r w:rsidRPr="002F2BC5">
        <w:rPr>
          <w:b/>
          <w:bCs/>
          <w:rtl/>
        </w:rPr>
        <w:t xml:space="preserve"> </w:t>
      </w:r>
      <w:r w:rsidRPr="002F2BC5">
        <w:rPr>
          <w:rFonts w:hint="eastAsia"/>
          <w:b/>
          <w:bCs/>
          <w:rtl/>
        </w:rPr>
        <w:t>בשנים</w:t>
      </w:r>
      <w:r w:rsidRPr="002F2BC5">
        <w:rPr>
          <w:b/>
          <w:bCs/>
          <w:rtl/>
        </w:rPr>
        <w:t xml:space="preserve"> </w:t>
      </w:r>
      <w:r w:rsidRPr="002F2BC5">
        <w:rPr>
          <w:rFonts w:hint="eastAsia"/>
          <w:b/>
          <w:bCs/>
          <w:rtl/>
        </w:rPr>
        <w:t>הללו</w:t>
      </w:r>
      <w:r w:rsidRPr="002F2BC5">
        <w:rPr>
          <w:b/>
          <w:bCs/>
          <w:rtl/>
        </w:rPr>
        <w:t xml:space="preserve"> </w:t>
      </w:r>
      <w:r w:rsidRPr="002F2BC5">
        <w:rPr>
          <w:rFonts w:hint="eastAsia"/>
          <w:b/>
          <w:bCs/>
          <w:rtl/>
        </w:rPr>
        <w:t>נותר</w:t>
      </w:r>
      <w:r w:rsidRPr="002F2BC5">
        <w:rPr>
          <w:b/>
          <w:bCs/>
          <w:rtl/>
        </w:rPr>
        <w:t xml:space="preserve"> </w:t>
      </w:r>
      <w:r w:rsidRPr="002F2BC5">
        <w:rPr>
          <w:rFonts w:hint="eastAsia"/>
          <w:b/>
          <w:bCs/>
          <w:rtl/>
        </w:rPr>
        <w:t>ללא</w:t>
      </w:r>
      <w:r w:rsidRPr="002F2BC5">
        <w:rPr>
          <w:b/>
          <w:bCs/>
          <w:rtl/>
        </w:rPr>
        <w:t xml:space="preserve"> </w:t>
      </w:r>
      <w:r w:rsidRPr="002F2BC5">
        <w:rPr>
          <w:rFonts w:hint="eastAsia"/>
          <w:b/>
          <w:bCs/>
          <w:rtl/>
        </w:rPr>
        <w:t>שינוי</w:t>
      </w:r>
      <w:r w:rsidRPr="002F2BC5">
        <w:rPr>
          <w:b/>
          <w:bCs/>
          <w:rtl/>
        </w:rPr>
        <w:t>.</w:t>
      </w:r>
    </w:p>
    <w:p w14:paraId="7799DF6B" w14:textId="77777777" w:rsidR="00817399" w:rsidRPr="002F2BC5" w:rsidRDefault="00817399" w:rsidP="00817399">
      <w:pPr>
        <w:spacing w:line="269" w:lineRule="auto"/>
        <w:rPr>
          <w:rtl/>
        </w:rPr>
      </w:pPr>
    </w:p>
    <w:p w14:paraId="651D05ED" w14:textId="77777777" w:rsidR="00817399" w:rsidRPr="002F2BC5" w:rsidRDefault="00817399" w:rsidP="00817399">
      <w:pPr>
        <w:spacing w:line="269" w:lineRule="auto"/>
        <w:rPr>
          <w:rtl/>
        </w:rPr>
      </w:pPr>
      <w:r w:rsidRPr="002F2BC5">
        <w:rPr>
          <w:rFonts w:hint="cs"/>
          <w:rtl/>
        </w:rPr>
        <w:t>במסגרת הביקורת הנוכחית נבדק גם אופן ניצול התקציב שהוקצה במסגרת תוכנית "גשרים" בשנים 2022 - 2023. ניתוח הנתונים העלה כי בשנים אלו התקציב לא נוצל במלואו: בשנת 2022 כ-11% מהתקציב לא נוצל (360,372 ש"ח מתוך 3,360,000 ש"ח), ובשנת 2023 כ-20% מהתקציב לא נוצל (</w:t>
      </w:r>
      <w:r w:rsidRPr="002F2BC5">
        <w:rPr>
          <w:rtl/>
        </w:rPr>
        <w:t>1,694,896</w:t>
      </w:r>
      <w:r w:rsidRPr="002F2BC5">
        <w:rPr>
          <w:rFonts w:hint="cs"/>
          <w:rtl/>
        </w:rPr>
        <w:t xml:space="preserve"> ש"ח מתוך 3,360,000 ש"ח). עוד הועלה כי לצד רשויות מקומיות שהוקצה להן תקציב ושהוא לא נוצל כלל באף אחת מהשנים הללו, נמצאו גם רשויות מקומיות שניצלו את התקציב אף שהן לא נכללו בתוכנית בשנים הללו. כך בין השאר נמצא כי בשנים 2022 - 2023 עיריות </w:t>
      </w:r>
      <w:r w:rsidRPr="002F2BC5">
        <w:rPr>
          <w:rFonts w:hint="cs"/>
          <w:b/>
          <w:bCs/>
          <w:rtl/>
        </w:rPr>
        <w:t>אופקים</w:t>
      </w:r>
      <w:r w:rsidRPr="002F2BC5">
        <w:rPr>
          <w:b/>
          <w:bCs/>
          <w:rtl/>
        </w:rPr>
        <w:t xml:space="preserve">, </w:t>
      </w:r>
      <w:r w:rsidRPr="002F2BC5">
        <w:rPr>
          <w:rFonts w:hint="cs"/>
          <w:b/>
          <w:bCs/>
          <w:rtl/>
        </w:rPr>
        <w:t>כפר</w:t>
      </w:r>
      <w:r w:rsidRPr="002F2BC5">
        <w:rPr>
          <w:b/>
          <w:bCs/>
          <w:rtl/>
        </w:rPr>
        <w:t xml:space="preserve"> </w:t>
      </w:r>
      <w:r w:rsidRPr="002F2BC5">
        <w:rPr>
          <w:rFonts w:hint="cs"/>
          <w:b/>
          <w:bCs/>
          <w:rtl/>
        </w:rPr>
        <w:t>סבא</w:t>
      </w:r>
      <w:r w:rsidRPr="002F2BC5">
        <w:rPr>
          <w:rtl/>
        </w:rPr>
        <w:t>,</w:t>
      </w:r>
      <w:r w:rsidRPr="002F2BC5">
        <w:rPr>
          <w:b/>
          <w:bCs/>
          <w:rtl/>
        </w:rPr>
        <w:t xml:space="preserve"> </w:t>
      </w:r>
      <w:r w:rsidRPr="002F2BC5">
        <w:rPr>
          <w:rFonts w:hint="cs"/>
          <w:b/>
          <w:bCs/>
          <w:rtl/>
        </w:rPr>
        <w:t xml:space="preserve">נהרייה </w:t>
      </w:r>
      <w:r w:rsidRPr="002F2BC5">
        <w:rPr>
          <w:rFonts w:hint="cs"/>
          <w:rtl/>
        </w:rPr>
        <w:t>ו</w:t>
      </w:r>
      <w:r w:rsidRPr="002F2BC5">
        <w:rPr>
          <w:rFonts w:hint="cs"/>
          <w:b/>
          <w:bCs/>
          <w:rtl/>
        </w:rPr>
        <w:t>עפולה</w:t>
      </w:r>
      <w:r w:rsidRPr="002F2BC5">
        <w:rPr>
          <w:rFonts w:hint="cs"/>
          <w:rtl/>
        </w:rPr>
        <w:t xml:space="preserve"> לא ניצלו כלל את התקציב הייעודי שהוקצה להן במסגרת </w:t>
      </w:r>
      <w:r w:rsidRPr="002F2BC5">
        <w:rPr>
          <w:rFonts w:hint="cs"/>
          <w:rtl/>
        </w:rPr>
        <w:lastRenderedPageBreak/>
        <w:t>התוכנית בסכום מצטבר של כ-385 אלפי ש"ח. מנגד נמצא כי בשנת 2022 העביר משרד הרווחה תקציב בסך של כ-630 אלפי ש"ח לשמונה רשויות מקומיות שכלל לא נכללו בתוכנית "גשרים" באותה השנה.</w:t>
      </w:r>
    </w:p>
    <w:p w14:paraId="25795141" w14:textId="77777777" w:rsidR="00817399" w:rsidRPr="002F2BC5" w:rsidRDefault="00817399" w:rsidP="00817399">
      <w:pPr>
        <w:spacing w:line="269" w:lineRule="auto"/>
        <w:rPr>
          <w:rtl/>
        </w:rPr>
      </w:pPr>
    </w:p>
    <w:p w14:paraId="3A2F03A1" w14:textId="77777777" w:rsidR="00817399" w:rsidRPr="002F2BC5" w:rsidRDefault="00817399" w:rsidP="00817399">
      <w:pPr>
        <w:pStyle w:val="afffffff9"/>
        <w:spacing w:line="269" w:lineRule="auto"/>
        <w:rPr>
          <w:rtl/>
        </w:rPr>
      </w:pPr>
      <w:bookmarkStart w:id="1555" w:name="_Toc192093144"/>
      <w:bookmarkStart w:id="1556" w:name="_Toc192612852"/>
      <w:bookmarkStart w:id="1557" w:name="_Toc198312291"/>
      <w:bookmarkStart w:id="1558" w:name="_Toc198312770"/>
      <w:bookmarkStart w:id="1559" w:name="_Toc200636941"/>
      <w:bookmarkStart w:id="1560" w:name="_Toc200439939"/>
      <w:bookmarkStart w:id="1561" w:name="_Toc201241044"/>
      <w:r w:rsidRPr="002F2BC5">
        <w:rPr>
          <w:rFonts w:hint="cs"/>
          <w:rtl/>
        </w:rPr>
        <w:t xml:space="preserve">הביקורת הקודמת העלתה </w:t>
      </w:r>
      <w:r w:rsidRPr="002F2BC5">
        <w:rPr>
          <w:rFonts w:hint="eastAsia"/>
          <w:rtl/>
        </w:rPr>
        <w:t>כי</w:t>
      </w:r>
      <w:r w:rsidRPr="002F2BC5">
        <w:rPr>
          <w:rtl/>
        </w:rPr>
        <w:t xml:space="preserve"> לא הייתה בהכרח הלימה בין היקף התקנים הייעודיים שהוקצו במסגרת תוכנית "גשרים" </w:t>
      </w:r>
      <w:r w:rsidRPr="002F2BC5">
        <w:rPr>
          <w:rFonts w:hint="eastAsia"/>
          <w:rtl/>
        </w:rPr>
        <w:t>לבין</w:t>
      </w:r>
      <w:r w:rsidRPr="002F2BC5">
        <w:rPr>
          <w:rtl/>
        </w:rPr>
        <w:t xml:space="preserve"> צורכיהן בפועל של הרשויות המקומיות</w:t>
      </w:r>
      <w:r w:rsidRPr="002F2BC5">
        <w:rPr>
          <w:rFonts w:hint="cs"/>
          <w:rtl/>
        </w:rPr>
        <w:t xml:space="preserve"> והרוב הגדול של הרשויות המקומיות שבהן הופעלה התוכנית השתייכו למדד חברתי-כלכלי בינוני או גבוה (25 מתוך 28 רשויות מקומיות)</w:t>
      </w:r>
      <w:r w:rsidRPr="002F2BC5">
        <w:rPr>
          <w:rtl/>
        </w:rPr>
        <w:t xml:space="preserve">. </w:t>
      </w:r>
      <w:r w:rsidRPr="002F2BC5">
        <w:rPr>
          <w:rFonts w:hint="eastAsia"/>
          <w:rtl/>
        </w:rPr>
        <w:t>בביקורת</w:t>
      </w:r>
      <w:r w:rsidRPr="002F2BC5">
        <w:rPr>
          <w:rtl/>
        </w:rPr>
        <w:t xml:space="preserve"> </w:t>
      </w:r>
      <w:r w:rsidRPr="002F2BC5">
        <w:rPr>
          <w:rFonts w:hint="eastAsia"/>
          <w:rtl/>
        </w:rPr>
        <w:t>המעקב</w:t>
      </w:r>
      <w:r w:rsidRPr="002F2BC5">
        <w:rPr>
          <w:rtl/>
        </w:rPr>
        <w:t xml:space="preserve">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מועטה</w:t>
      </w:r>
      <w:r w:rsidRPr="002F2BC5">
        <w:rPr>
          <w:rFonts w:hint="cs"/>
          <w:rtl/>
        </w:rPr>
        <w:t xml:space="preserve">. נמצא כי </w:t>
      </w:r>
      <w:r w:rsidRPr="002F2BC5">
        <w:rPr>
          <w:rFonts w:hint="eastAsia"/>
          <w:rtl/>
        </w:rPr>
        <w:t>בשנים</w:t>
      </w:r>
      <w:r w:rsidRPr="002F2BC5">
        <w:rPr>
          <w:rtl/>
        </w:rPr>
        <w:t xml:space="preserve"> 2022 - 2024 </w:t>
      </w:r>
      <w:r w:rsidRPr="002F2BC5">
        <w:rPr>
          <w:rFonts w:hint="eastAsia"/>
          <w:rtl/>
        </w:rPr>
        <w:t>חל</w:t>
      </w:r>
      <w:r w:rsidRPr="002F2BC5">
        <w:rPr>
          <w:rtl/>
        </w:rPr>
        <w:t xml:space="preserve"> </w:t>
      </w:r>
      <w:r w:rsidRPr="002F2BC5">
        <w:rPr>
          <w:rFonts w:hint="eastAsia"/>
          <w:rtl/>
        </w:rPr>
        <w:t>שינוי</w:t>
      </w:r>
      <w:r w:rsidRPr="002F2BC5">
        <w:rPr>
          <w:rtl/>
        </w:rPr>
        <w:t xml:space="preserve"> </w:t>
      </w:r>
      <w:r w:rsidRPr="002F2BC5">
        <w:rPr>
          <w:rFonts w:hint="eastAsia"/>
          <w:rtl/>
        </w:rPr>
        <w:t>מסוים</w:t>
      </w:r>
      <w:r w:rsidRPr="002F2BC5">
        <w:rPr>
          <w:rFonts w:hint="cs"/>
          <w:rtl/>
        </w:rPr>
        <w:t xml:space="preserve"> </w:t>
      </w:r>
      <w:r w:rsidRPr="002F2BC5">
        <w:rPr>
          <w:rFonts w:hint="eastAsia"/>
          <w:rtl/>
        </w:rPr>
        <w:t>בהרכב</w:t>
      </w:r>
      <w:r w:rsidRPr="002F2BC5">
        <w:rPr>
          <w:rtl/>
        </w:rPr>
        <w:t xml:space="preserve"> </w:t>
      </w:r>
      <w:r w:rsidRPr="002F2BC5">
        <w:rPr>
          <w:rFonts w:hint="eastAsia"/>
          <w:rtl/>
        </w:rPr>
        <w:t>הרשויות</w:t>
      </w:r>
      <w:r w:rsidRPr="002F2BC5">
        <w:rPr>
          <w:rtl/>
        </w:rPr>
        <w:t xml:space="preserve"> </w:t>
      </w:r>
      <w:r w:rsidRPr="002F2BC5">
        <w:rPr>
          <w:rFonts w:hint="eastAsia"/>
          <w:rtl/>
        </w:rPr>
        <w:t>המקומיות</w:t>
      </w:r>
      <w:r w:rsidRPr="002F2BC5">
        <w:rPr>
          <w:rtl/>
        </w:rPr>
        <w:t xml:space="preserve"> </w:t>
      </w:r>
      <w:r w:rsidRPr="002F2BC5">
        <w:rPr>
          <w:rFonts w:hint="eastAsia"/>
          <w:rtl/>
        </w:rPr>
        <w:t>שנכללו</w:t>
      </w:r>
      <w:r w:rsidRPr="002F2BC5">
        <w:rPr>
          <w:rtl/>
        </w:rPr>
        <w:t xml:space="preserve"> </w:t>
      </w:r>
      <w:r w:rsidRPr="002F2BC5">
        <w:rPr>
          <w:rFonts w:hint="eastAsia"/>
          <w:rtl/>
        </w:rPr>
        <w:t>בתוכנית</w:t>
      </w:r>
      <w:r w:rsidRPr="002F2BC5">
        <w:rPr>
          <w:rFonts w:hint="cs"/>
          <w:rtl/>
        </w:rPr>
        <w:t xml:space="preserve"> וכי </w:t>
      </w:r>
      <w:r w:rsidRPr="002F2BC5">
        <w:rPr>
          <w:rFonts w:hint="eastAsia"/>
          <w:rtl/>
        </w:rPr>
        <w:t>התקציב</w:t>
      </w:r>
      <w:r w:rsidRPr="002F2BC5">
        <w:rPr>
          <w:rtl/>
        </w:rPr>
        <w:t xml:space="preserve"> </w:t>
      </w:r>
      <w:r w:rsidRPr="002F2BC5">
        <w:rPr>
          <w:rFonts w:hint="eastAsia"/>
          <w:rtl/>
        </w:rPr>
        <w:t>שהוקצה</w:t>
      </w:r>
      <w:r w:rsidRPr="002F2BC5">
        <w:rPr>
          <w:rtl/>
        </w:rPr>
        <w:t xml:space="preserve"> </w:t>
      </w:r>
      <w:r w:rsidRPr="002F2BC5">
        <w:rPr>
          <w:rFonts w:hint="eastAsia"/>
          <w:rtl/>
        </w:rPr>
        <w:t>לטובת</w:t>
      </w:r>
      <w:r w:rsidRPr="002F2BC5">
        <w:rPr>
          <w:rtl/>
        </w:rPr>
        <w:t xml:space="preserve"> </w:t>
      </w:r>
      <w:r w:rsidRPr="002F2BC5">
        <w:rPr>
          <w:rFonts w:hint="eastAsia"/>
          <w:rtl/>
        </w:rPr>
        <w:t>הפעלת</w:t>
      </w:r>
      <w:r w:rsidRPr="002F2BC5">
        <w:rPr>
          <w:rtl/>
        </w:rPr>
        <w:t xml:space="preserve"> </w:t>
      </w:r>
      <w:r w:rsidRPr="002F2BC5">
        <w:rPr>
          <w:rFonts w:hint="eastAsia"/>
          <w:rtl/>
        </w:rPr>
        <w:t>התוכנית</w:t>
      </w:r>
      <w:r w:rsidRPr="002F2BC5">
        <w:rPr>
          <w:rtl/>
        </w:rPr>
        <w:t xml:space="preserve"> </w:t>
      </w:r>
      <w:r w:rsidRPr="002F2BC5">
        <w:rPr>
          <w:rFonts w:hint="eastAsia"/>
          <w:rtl/>
        </w:rPr>
        <w:t>בשנים</w:t>
      </w:r>
      <w:r w:rsidRPr="002F2BC5">
        <w:rPr>
          <w:rtl/>
        </w:rPr>
        <w:t xml:space="preserve"> </w:t>
      </w:r>
      <w:r w:rsidRPr="002F2BC5">
        <w:rPr>
          <w:rFonts w:hint="eastAsia"/>
          <w:rtl/>
        </w:rPr>
        <w:t>הללו</w:t>
      </w:r>
      <w:r w:rsidRPr="002F2BC5">
        <w:rPr>
          <w:rtl/>
        </w:rPr>
        <w:t xml:space="preserve"> </w:t>
      </w:r>
      <w:r w:rsidRPr="002F2BC5">
        <w:rPr>
          <w:rFonts w:hint="eastAsia"/>
          <w:rtl/>
        </w:rPr>
        <w:t>נותר</w:t>
      </w:r>
      <w:r w:rsidRPr="002F2BC5">
        <w:rPr>
          <w:rtl/>
        </w:rPr>
        <w:t xml:space="preserve"> </w:t>
      </w:r>
      <w:r w:rsidRPr="002F2BC5">
        <w:rPr>
          <w:rFonts w:hint="eastAsia"/>
          <w:rtl/>
        </w:rPr>
        <w:t>ללא</w:t>
      </w:r>
      <w:r w:rsidRPr="002F2BC5">
        <w:rPr>
          <w:rtl/>
        </w:rPr>
        <w:t xml:space="preserve"> </w:t>
      </w:r>
      <w:r w:rsidRPr="002F2BC5">
        <w:rPr>
          <w:rFonts w:hint="eastAsia"/>
          <w:rtl/>
        </w:rPr>
        <w:t>שינוי</w:t>
      </w:r>
      <w:r w:rsidRPr="002F2BC5">
        <w:rPr>
          <w:rtl/>
        </w:rPr>
        <w:t xml:space="preserve">. </w:t>
      </w:r>
      <w:r w:rsidRPr="002F2BC5">
        <w:rPr>
          <w:rFonts w:hint="cs"/>
          <w:rtl/>
        </w:rPr>
        <w:t>יתר</w:t>
      </w:r>
      <w:r w:rsidRPr="002F2BC5">
        <w:rPr>
          <w:rFonts w:hint="eastAsia"/>
          <w:rtl/>
        </w:rPr>
        <w:t>ה</w:t>
      </w:r>
      <w:r w:rsidRPr="002F2BC5">
        <w:rPr>
          <w:rFonts w:hint="cs"/>
          <w:rtl/>
        </w:rPr>
        <w:t xml:space="preserve"> מזו, </w:t>
      </w:r>
      <w:r w:rsidRPr="002F2BC5">
        <w:rPr>
          <w:rFonts w:hint="eastAsia"/>
          <w:rtl/>
        </w:rPr>
        <w:t>אף</w:t>
      </w:r>
      <w:r w:rsidRPr="002F2BC5">
        <w:rPr>
          <w:rtl/>
        </w:rPr>
        <w:t xml:space="preserve"> כי התקציב לא נוצל במלואו על ידי הרשויות המקומיות שנכללו בתוכנית, ועל אף החשיבות </w:t>
      </w:r>
      <w:r w:rsidRPr="002F2BC5">
        <w:rPr>
          <w:rFonts w:hint="cs"/>
          <w:rtl/>
        </w:rPr>
        <w:t>בבחינת</w:t>
      </w:r>
      <w:r w:rsidRPr="002F2BC5">
        <w:rPr>
          <w:rtl/>
        </w:rPr>
        <w:t xml:space="preserve"> החסמים העומדים בפני הרשויות המקומיות בניצול התקציב, </w:t>
      </w:r>
      <w:r w:rsidRPr="002F2BC5">
        <w:rPr>
          <w:rFonts w:hint="eastAsia"/>
          <w:rtl/>
        </w:rPr>
        <w:t>נמצא</w:t>
      </w:r>
      <w:r w:rsidRPr="002F2BC5">
        <w:rPr>
          <w:rtl/>
        </w:rPr>
        <w:t xml:space="preserve"> כי </w:t>
      </w:r>
      <w:r w:rsidRPr="002F2BC5">
        <w:rPr>
          <w:rFonts w:hint="eastAsia"/>
          <w:rtl/>
        </w:rPr>
        <w:t>משרד</w:t>
      </w:r>
      <w:r w:rsidRPr="002F2BC5">
        <w:rPr>
          <w:rtl/>
        </w:rPr>
        <w:t xml:space="preserve"> העלייה ומשרד הרווחה לא קיימו באופן סדיר דיונים משותפים בנוגע למתכונת הפעלת התוכנית </w:t>
      </w:r>
      <w:r w:rsidRPr="002F2BC5">
        <w:rPr>
          <w:rFonts w:hint="cs"/>
          <w:rtl/>
        </w:rPr>
        <w:t>ולא בחנו את מידת ההתאמה</w:t>
      </w:r>
      <w:r w:rsidRPr="002F2BC5">
        <w:rPr>
          <w:rtl/>
        </w:rPr>
        <w:t xml:space="preserve"> </w:t>
      </w:r>
      <w:r w:rsidRPr="002F2BC5">
        <w:rPr>
          <w:rFonts w:hint="cs"/>
          <w:rtl/>
        </w:rPr>
        <w:t>ל</w:t>
      </w:r>
      <w:r w:rsidRPr="002F2BC5">
        <w:rPr>
          <w:rtl/>
        </w:rPr>
        <w:t>צורכיהן של הרשויות המקומיות מבחינת שיעור העולים המתגוררים בתחומן</w:t>
      </w:r>
      <w:r w:rsidRPr="002F2BC5">
        <w:rPr>
          <w:rFonts w:hint="cs"/>
          <w:rtl/>
        </w:rPr>
        <w:t>. כך גם משרד העלייה ומשרד הרווחה</w:t>
      </w:r>
      <w:r w:rsidRPr="002F2BC5">
        <w:rPr>
          <w:rtl/>
        </w:rPr>
        <w:t xml:space="preserve"> </w:t>
      </w:r>
      <w:r w:rsidRPr="002F2BC5">
        <w:rPr>
          <w:rFonts w:hint="eastAsia"/>
          <w:rtl/>
        </w:rPr>
        <w:t>לא</w:t>
      </w:r>
      <w:r w:rsidRPr="002F2BC5">
        <w:rPr>
          <w:rtl/>
        </w:rPr>
        <w:t xml:space="preserve"> </w:t>
      </w:r>
      <w:r w:rsidRPr="002F2BC5">
        <w:rPr>
          <w:rFonts w:hint="eastAsia"/>
          <w:rtl/>
        </w:rPr>
        <w:t>בחנו</w:t>
      </w:r>
      <w:r w:rsidRPr="002F2BC5">
        <w:rPr>
          <w:rtl/>
        </w:rPr>
        <w:t xml:space="preserve"> </w:t>
      </w:r>
      <w:r w:rsidRPr="002F2BC5">
        <w:rPr>
          <w:rFonts w:hint="eastAsia"/>
          <w:rtl/>
        </w:rPr>
        <w:t>את</w:t>
      </w:r>
      <w:r w:rsidRPr="002F2BC5">
        <w:rPr>
          <w:rtl/>
        </w:rPr>
        <w:t xml:space="preserve"> </w:t>
      </w:r>
      <w:r w:rsidRPr="002F2BC5">
        <w:rPr>
          <w:rFonts w:hint="eastAsia"/>
          <w:rtl/>
        </w:rPr>
        <w:t>ניצול</w:t>
      </w:r>
      <w:r w:rsidRPr="002F2BC5">
        <w:rPr>
          <w:rtl/>
        </w:rPr>
        <w:t xml:space="preserve"> </w:t>
      </w:r>
      <w:r w:rsidRPr="002F2BC5">
        <w:rPr>
          <w:rFonts w:hint="eastAsia"/>
          <w:rtl/>
        </w:rPr>
        <w:t>התקציב</w:t>
      </w:r>
      <w:r w:rsidRPr="002F2BC5">
        <w:rPr>
          <w:rtl/>
        </w:rPr>
        <w:t xml:space="preserve"> </w:t>
      </w:r>
      <w:r w:rsidRPr="002F2BC5">
        <w:rPr>
          <w:rFonts w:hint="cs"/>
          <w:rtl/>
        </w:rPr>
        <w:t xml:space="preserve">הייעודי </w:t>
      </w:r>
      <w:r w:rsidRPr="002F2BC5">
        <w:rPr>
          <w:rFonts w:hint="eastAsia"/>
          <w:rtl/>
        </w:rPr>
        <w:t>על</w:t>
      </w:r>
      <w:r w:rsidRPr="002F2BC5">
        <w:rPr>
          <w:rtl/>
        </w:rPr>
        <w:t xml:space="preserve"> </w:t>
      </w:r>
      <w:r w:rsidRPr="002F2BC5">
        <w:rPr>
          <w:rFonts w:hint="eastAsia"/>
          <w:rtl/>
        </w:rPr>
        <w:t>ידי</w:t>
      </w:r>
      <w:r w:rsidRPr="002F2BC5">
        <w:rPr>
          <w:rtl/>
        </w:rPr>
        <w:t xml:space="preserve"> </w:t>
      </w:r>
      <w:r w:rsidRPr="002F2BC5">
        <w:rPr>
          <w:rFonts w:hint="eastAsia"/>
          <w:rtl/>
        </w:rPr>
        <w:t>הרשויות</w:t>
      </w:r>
      <w:r w:rsidRPr="002F2BC5">
        <w:rPr>
          <w:rtl/>
        </w:rPr>
        <w:t xml:space="preserve"> </w:t>
      </w:r>
      <w:r w:rsidRPr="002F2BC5">
        <w:rPr>
          <w:rFonts w:hint="eastAsia"/>
          <w:rtl/>
        </w:rPr>
        <w:t>המקומיות</w:t>
      </w:r>
      <w:r w:rsidRPr="002F2BC5">
        <w:rPr>
          <w:rtl/>
        </w:rPr>
        <w:t xml:space="preserve"> </w:t>
      </w:r>
      <w:r w:rsidRPr="002F2BC5">
        <w:rPr>
          <w:rFonts w:hint="eastAsia"/>
          <w:rtl/>
        </w:rPr>
        <w:t>שנכללות</w:t>
      </w:r>
      <w:r w:rsidRPr="002F2BC5">
        <w:rPr>
          <w:rtl/>
        </w:rPr>
        <w:t xml:space="preserve"> </w:t>
      </w:r>
      <w:r w:rsidRPr="002F2BC5">
        <w:rPr>
          <w:rFonts w:hint="eastAsia"/>
          <w:rtl/>
        </w:rPr>
        <w:t>בתוכנית</w:t>
      </w:r>
      <w:r w:rsidRPr="002F2BC5">
        <w:rPr>
          <w:rtl/>
        </w:rPr>
        <w:t xml:space="preserve"> </w:t>
      </w:r>
      <w:r w:rsidRPr="002F2BC5">
        <w:rPr>
          <w:rFonts w:hint="eastAsia"/>
          <w:rtl/>
        </w:rPr>
        <w:t>או</w:t>
      </w:r>
      <w:r w:rsidRPr="002F2BC5">
        <w:rPr>
          <w:rtl/>
        </w:rPr>
        <w:t xml:space="preserve"> </w:t>
      </w:r>
      <w:r w:rsidRPr="002F2BC5">
        <w:rPr>
          <w:rFonts w:hint="cs"/>
          <w:rtl/>
        </w:rPr>
        <w:t>את העברת התקציב ל</w:t>
      </w:r>
      <w:r w:rsidRPr="002F2BC5">
        <w:rPr>
          <w:rFonts w:hint="eastAsia"/>
          <w:rtl/>
        </w:rPr>
        <w:t>רשויות</w:t>
      </w:r>
      <w:r w:rsidRPr="002F2BC5">
        <w:rPr>
          <w:rtl/>
        </w:rPr>
        <w:t xml:space="preserve"> </w:t>
      </w:r>
      <w:r w:rsidRPr="002F2BC5">
        <w:rPr>
          <w:rFonts w:hint="eastAsia"/>
          <w:rtl/>
        </w:rPr>
        <w:t>מקומיות</w:t>
      </w:r>
      <w:r w:rsidRPr="002F2BC5">
        <w:rPr>
          <w:rtl/>
        </w:rPr>
        <w:t xml:space="preserve"> </w:t>
      </w:r>
      <w:r w:rsidRPr="002F2BC5">
        <w:rPr>
          <w:rFonts w:hint="eastAsia"/>
          <w:rtl/>
        </w:rPr>
        <w:t>אחרות</w:t>
      </w:r>
      <w:r w:rsidRPr="002F2BC5">
        <w:rPr>
          <w:rtl/>
        </w:rPr>
        <w:t xml:space="preserve">, </w:t>
      </w:r>
      <w:r w:rsidRPr="002F2BC5">
        <w:rPr>
          <w:rFonts w:hint="cs"/>
          <w:rtl/>
        </w:rPr>
        <w:t>שאינן נכללות בתוכנית ו</w:t>
      </w:r>
      <w:r w:rsidRPr="002F2BC5">
        <w:rPr>
          <w:rFonts w:hint="eastAsia"/>
          <w:rtl/>
        </w:rPr>
        <w:t>ייתכן</w:t>
      </w:r>
      <w:r w:rsidRPr="002F2BC5">
        <w:rPr>
          <w:rtl/>
        </w:rPr>
        <w:t xml:space="preserve"> </w:t>
      </w:r>
      <w:r w:rsidRPr="002F2BC5">
        <w:rPr>
          <w:rFonts w:hint="eastAsia"/>
          <w:rtl/>
        </w:rPr>
        <w:t>שלא</w:t>
      </w:r>
      <w:r w:rsidRPr="002F2BC5">
        <w:rPr>
          <w:rtl/>
        </w:rPr>
        <w:t xml:space="preserve"> </w:t>
      </w:r>
      <w:r w:rsidRPr="002F2BC5">
        <w:rPr>
          <w:rFonts w:hint="eastAsia"/>
          <w:rtl/>
        </w:rPr>
        <w:t>עמדו</w:t>
      </w:r>
      <w:r w:rsidRPr="002F2BC5">
        <w:rPr>
          <w:rtl/>
        </w:rPr>
        <w:t xml:space="preserve"> </w:t>
      </w:r>
      <w:r w:rsidRPr="002F2BC5">
        <w:rPr>
          <w:rFonts w:hint="eastAsia"/>
          <w:rtl/>
        </w:rPr>
        <w:t>בקריטריונים</w:t>
      </w:r>
      <w:r w:rsidRPr="002F2BC5">
        <w:rPr>
          <w:rtl/>
        </w:rPr>
        <w:t xml:space="preserve"> </w:t>
      </w:r>
      <w:r w:rsidRPr="002F2BC5">
        <w:rPr>
          <w:rFonts w:hint="eastAsia"/>
          <w:rtl/>
        </w:rPr>
        <w:t>שלשמם</w:t>
      </w:r>
      <w:r w:rsidRPr="002F2BC5">
        <w:rPr>
          <w:rtl/>
        </w:rPr>
        <w:t xml:space="preserve"> </w:t>
      </w:r>
      <w:r w:rsidRPr="002F2BC5">
        <w:rPr>
          <w:rFonts w:hint="eastAsia"/>
          <w:rtl/>
        </w:rPr>
        <w:t>הוקצה</w:t>
      </w:r>
      <w:r w:rsidRPr="002F2BC5">
        <w:rPr>
          <w:rtl/>
        </w:rPr>
        <w:t xml:space="preserve"> </w:t>
      </w:r>
      <w:r w:rsidRPr="002F2BC5">
        <w:rPr>
          <w:rFonts w:hint="eastAsia"/>
          <w:rtl/>
        </w:rPr>
        <w:t>התקציב</w:t>
      </w:r>
      <w:r w:rsidRPr="002F2BC5">
        <w:rPr>
          <w:rtl/>
        </w:rPr>
        <w:t xml:space="preserve"> </w:t>
      </w:r>
      <w:r w:rsidRPr="002F2BC5">
        <w:rPr>
          <w:rFonts w:hint="eastAsia"/>
          <w:rtl/>
        </w:rPr>
        <w:t>הייעודי</w:t>
      </w:r>
      <w:r w:rsidRPr="002F2BC5">
        <w:rPr>
          <w:rtl/>
        </w:rPr>
        <w:t xml:space="preserve"> </w:t>
      </w:r>
      <w:r w:rsidRPr="002F2BC5">
        <w:rPr>
          <w:rFonts w:hint="eastAsia"/>
          <w:rtl/>
        </w:rPr>
        <w:t>במסגרת</w:t>
      </w:r>
      <w:r w:rsidRPr="002F2BC5">
        <w:rPr>
          <w:rtl/>
        </w:rPr>
        <w:t xml:space="preserve"> </w:t>
      </w:r>
      <w:r w:rsidRPr="002F2BC5">
        <w:rPr>
          <w:rFonts w:hint="eastAsia"/>
          <w:rtl/>
        </w:rPr>
        <w:t>התוכנית</w:t>
      </w:r>
      <w:r w:rsidRPr="002F2BC5">
        <w:rPr>
          <w:rtl/>
        </w:rPr>
        <w:t>.</w:t>
      </w:r>
      <w:bookmarkEnd w:id="1555"/>
      <w:bookmarkEnd w:id="1556"/>
      <w:bookmarkEnd w:id="1557"/>
      <w:bookmarkEnd w:id="1558"/>
      <w:bookmarkEnd w:id="1559"/>
      <w:bookmarkEnd w:id="1560"/>
      <w:bookmarkEnd w:id="1561"/>
    </w:p>
    <w:p w14:paraId="38AB093C" w14:textId="77777777" w:rsidR="00817399" w:rsidRPr="002F2BC5" w:rsidRDefault="00817399" w:rsidP="00817399">
      <w:pPr>
        <w:spacing w:line="269" w:lineRule="auto"/>
        <w:rPr>
          <w:rtl/>
        </w:rPr>
      </w:pPr>
    </w:p>
    <w:p w14:paraId="148E2328" w14:textId="77777777" w:rsidR="00817399" w:rsidRPr="002F2BC5" w:rsidRDefault="00817399" w:rsidP="00817399">
      <w:pPr>
        <w:spacing w:line="269" w:lineRule="auto"/>
        <w:rPr>
          <w:rtl/>
        </w:rPr>
      </w:pPr>
      <w:r w:rsidRPr="002F2BC5">
        <w:rPr>
          <w:rFonts w:hint="cs"/>
          <w:rtl/>
        </w:rPr>
        <w:t>משרד הרווחה מסר במהלך ביקורת המעקב, בדצמבר 2024, כי במסגרת מודל המימון הקודם של המרכזים, ובתוך כך גם של תוכנית "גשרים", היה קושי לקיים מעקב שיטתי וסדור אחר איוש התקנים הייעודיים במרכזים. לפי משרד הרווחה, קושי זה צפוי להיפתר בעקבות יישום הסכם "כתף אל כתף". בהתייחס לרשויות המקומיות שניצלו את התקציב הייעודי במסגרת התוכנית אף שאינן נמנות עם הרשויות המקומיות הנכללות בתוכנית, מסר משרד הרווחה במהלך הביקורת כי הדבר התאפשר משום שהתקציב לא נוצל במלואו על ידי הרשויות המקומיות שנכללו בתוכנית. לצד זאת מסר כי בעקבות יישום הסכם "כתף אל כתף" לא יתאפשר עוד לרשויות מקומיות שאינן נכללות בתוכנית "גשרים" לנצל את התקציב הייעודי המוקצה במסגרת התוכנית</w:t>
      </w:r>
      <w:r w:rsidRPr="002F2BC5">
        <w:rPr>
          <w:rtl/>
        </w:rPr>
        <w:t>.</w:t>
      </w:r>
    </w:p>
    <w:p w14:paraId="2BE77FA3" w14:textId="77777777" w:rsidR="00817399" w:rsidRPr="002F2BC5" w:rsidRDefault="00817399" w:rsidP="00817399">
      <w:pPr>
        <w:spacing w:line="269" w:lineRule="auto"/>
        <w:rPr>
          <w:rtl/>
        </w:rPr>
      </w:pPr>
    </w:p>
    <w:p w14:paraId="6B185C57"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אילת</w:t>
      </w:r>
      <w:r w:rsidRPr="002F2BC5">
        <w:rPr>
          <w:rFonts w:hint="cs"/>
          <w:rtl/>
        </w:rPr>
        <w:t xml:space="preserve"> מסרה בתשובתה מאפריל 2025 כי באוגוסט 2024 הוקצה לה תקן ייעודי לטיפול בעולים בהיקף של 50% משרה, ומאיישת אותו עובדת סוציאלית דוברת השפה הרוסית. עוד ציינה כי בשנת 2023, עוד קודם להקצאת התקן הייעודי, טופלו במרכז שבהפעלתה 25 עולים (מהם 11 עולים ותיקים), ובשנת 2024 טופלו במרכז 18 עולים (מהם 4 עולים ותיקים).</w:t>
      </w:r>
    </w:p>
    <w:p w14:paraId="209B646D" w14:textId="77777777" w:rsidR="00817399" w:rsidRPr="002F2BC5" w:rsidRDefault="00817399" w:rsidP="00817399">
      <w:pPr>
        <w:spacing w:line="269" w:lineRule="auto"/>
        <w:rPr>
          <w:rtl/>
        </w:rPr>
      </w:pPr>
    </w:p>
    <w:p w14:paraId="046875F4"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נהרייה</w:t>
      </w:r>
      <w:r w:rsidRPr="002F2BC5">
        <w:rPr>
          <w:rFonts w:hint="cs"/>
          <w:rtl/>
        </w:rPr>
        <w:t xml:space="preserve"> מסרה בתשובתה מאפריל 2025 כי בעבר העסיקה עובדת סוציאלית בתקן ייעודי ובתקצוב ייעודי לטיפול בעולים, וכי מאז עזיבתה ניתן מענה במרכז למטופלים דוברי השפה הרוסית באמצעות עו"ס משפחה המועסקת במרכז. עיריית </w:t>
      </w:r>
      <w:r w:rsidRPr="002F2BC5">
        <w:rPr>
          <w:rFonts w:hint="cs"/>
          <w:b/>
          <w:bCs/>
          <w:rtl/>
        </w:rPr>
        <w:t>אופקים</w:t>
      </w:r>
      <w:r w:rsidRPr="002F2BC5">
        <w:rPr>
          <w:rFonts w:hint="cs"/>
          <w:rtl/>
        </w:rPr>
        <w:t xml:space="preserve"> מסרה בתשובתה מאפריל 2025 כי לא הובא לידיעתה מידע בדבר הפעלתה של תוכנית "גשרים" והקצאת התקציב במסגרתה. עוד הוסיפה כי היא מייחסת חשיבות עליונה לניצול מיטבי של התקציבים המיועדים לרווחת תושביה, ובפרט התקציבים המיועדים לטיפול בתופעות חברתיות מורכבות ובהן תופעת האלימות במשפחה, וכי לו הייתה מודעת לכך שהוקצה לה תקציב ייעודי במסגרת תוכנית "גשרים", היא הייתה פועלת ללא דיחוי לניצול תקציב זה במלואו. עיריית </w:t>
      </w:r>
      <w:r w:rsidRPr="002F2BC5">
        <w:rPr>
          <w:rFonts w:hint="cs"/>
          <w:b/>
          <w:bCs/>
          <w:rtl/>
        </w:rPr>
        <w:t>עפולה</w:t>
      </w:r>
      <w:r w:rsidRPr="002F2BC5">
        <w:rPr>
          <w:rFonts w:hint="cs"/>
          <w:rtl/>
        </w:rPr>
        <w:t xml:space="preserve"> מסרה בתשובתה ממאי 2025 כי לבקשתה, על רקע הגידול באוכלוסיית העיר ומשלא טופלו במרכז שבהפעלתה מטופלים העונים על ההגדרה של "עולה חדש", אושרה העברה תקציבית לצורך מתן מענה טיפולי לכלל אוכלוסיית העיר, ובכלל זה עולים שאינם בהכרח "עולים חדשים". גם עיריית </w:t>
      </w:r>
      <w:r w:rsidRPr="002F2BC5">
        <w:rPr>
          <w:rFonts w:hint="cs"/>
          <w:b/>
          <w:bCs/>
          <w:rtl/>
        </w:rPr>
        <w:t>כפר סבא</w:t>
      </w:r>
      <w:r w:rsidRPr="002F2BC5">
        <w:rPr>
          <w:rFonts w:hint="cs"/>
          <w:rtl/>
        </w:rPr>
        <w:t xml:space="preserve"> מסרה בתשובתה מאפריל 2025 כי לא ניצלה את התקציב במסגרת תוכנית "גשרים" בהיעדר צורך וכי נכון למועד תשובתה, לא מוקצה לה תקציב במסגרת התוכנית. </w:t>
      </w:r>
    </w:p>
    <w:p w14:paraId="3681C8A4" w14:textId="77777777" w:rsidR="00817399" w:rsidRPr="002F2BC5" w:rsidRDefault="00817399" w:rsidP="00817399">
      <w:pPr>
        <w:spacing w:line="269" w:lineRule="auto"/>
        <w:rPr>
          <w:rtl/>
        </w:rPr>
      </w:pPr>
    </w:p>
    <w:p w14:paraId="2BFAFB7E" w14:textId="77777777" w:rsidR="00817399" w:rsidRPr="002F2BC5" w:rsidRDefault="00817399" w:rsidP="00817399">
      <w:pPr>
        <w:pStyle w:val="afffffffa"/>
        <w:spacing w:line="269" w:lineRule="auto"/>
        <w:rPr>
          <w:rtl/>
        </w:rPr>
      </w:pPr>
      <w:bookmarkStart w:id="1562" w:name="_Toc198312292"/>
      <w:bookmarkStart w:id="1563" w:name="_Toc198312771"/>
      <w:bookmarkStart w:id="1564" w:name="_Toc200636942"/>
      <w:bookmarkStart w:id="1565" w:name="_Toc200439940"/>
      <w:bookmarkStart w:id="1566" w:name="_Toc201241045"/>
      <w:bookmarkStart w:id="1567" w:name="_Toc192093145"/>
      <w:bookmarkStart w:id="1568" w:name="_Toc192612853"/>
      <w:r w:rsidRPr="002F2BC5">
        <w:rPr>
          <w:rFonts w:hint="cs"/>
          <w:rtl/>
        </w:rPr>
        <w:t xml:space="preserve">מומלץ למשרד הרווחה ולמשרד העלייה להקפיד על קיום דיונים משותפים ועיתיים באופן שיאפשר לקיים מעקב ובקרה סדורים ושיטתיים על הפעלת תוכנית "גשרים", ובכלל זה על ניצול התקציב על ידי הרשויות המקומיות הנכללות בתוכנית ועל ניצולו על ידי רשויות מקומיות שאינן נכללות בה. כן מומלץ לעמוד על שינויים בצורכיהן של הרשויות המקומיות, בין השאר </w:t>
      </w:r>
      <w:r w:rsidRPr="002F2BC5">
        <w:rPr>
          <w:rFonts w:hint="cs"/>
          <w:rtl/>
        </w:rPr>
        <w:lastRenderedPageBreak/>
        <w:t>בהתחשב בשיעור העולים המתגוררים בתחומן, בהיקף המטופלים העולים הפונים לטיפול ובהיקף המטופלים בפועל במרכזים שהוחלט לכלול בתוכנית, וזאת בפרט ברשויות מקומיות המשתייכות למדד חברתי-כלכלי נמוך. מומלץ עוד לפעול להתאמת הקריטריונים לבחירת הרשויות המקומיות שייכללו בתוכנית גם בהתייחס לעולים ותיקים, שעשויים להמשיך ולהזדקק להנגשה שפתית ותרבותית גם אם עבר זמן רב מאז שעלו ארצה.</w:t>
      </w:r>
      <w:bookmarkEnd w:id="1562"/>
      <w:bookmarkEnd w:id="1563"/>
      <w:bookmarkEnd w:id="1564"/>
      <w:bookmarkEnd w:id="1565"/>
      <w:bookmarkEnd w:id="1566"/>
      <w:r w:rsidRPr="002F2BC5">
        <w:rPr>
          <w:rFonts w:hint="cs"/>
          <w:rtl/>
        </w:rPr>
        <w:t xml:space="preserve"> </w:t>
      </w:r>
      <w:bookmarkEnd w:id="1567"/>
      <w:bookmarkEnd w:id="1568"/>
    </w:p>
    <w:p w14:paraId="568EE84A" w14:textId="77777777" w:rsidR="00817399" w:rsidRPr="002F2BC5" w:rsidRDefault="00817399" w:rsidP="00817399">
      <w:pPr>
        <w:spacing w:line="269" w:lineRule="auto"/>
        <w:rPr>
          <w:rtl/>
        </w:rPr>
      </w:pPr>
    </w:p>
    <w:p w14:paraId="43723EB7" w14:textId="77777777" w:rsidR="00817399" w:rsidRPr="002F2BC5" w:rsidRDefault="00817399" w:rsidP="00817399">
      <w:pPr>
        <w:spacing w:line="269" w:lineRule="auto"/>
        <w:rPr>
          <w:rtl/>
        </w:rPr>
      </w:pPr>
      <w:r w:rsidRPr="002F2BC5">
        <w:rPr>
          <w:rFonts w:hint="cs"/>
          <w:rtl/>
        </w:rPr>
        <w:t>משרד העלייה מסר בתשובתו מאפריל 2025 כי הוא רואה בתוכנית "גשרים" נדבך חיוני במאמץ הלאומי להגנה על נפגעות ונפגעי אלימות במשפחה מקרב אוכלוסיית העולים וכי ימשיך לפעול בשיתוף פעולה עם הביקורת לטיוב התוכנית לטובת טיפול מותאם ויעיל. בהתייחס לפער בין הקצאת התקציב במסגרת התוכנית ובין ניצולו בפועל מסר כי הוא פועל בשיתוף משרד הרווחה בתחילתה של כל שנה, בהתבסס על מידע עדכני, כדי להתאים את הקצאת התקציב לאפשרות מימושו בפועל, וכי אם רשות מקומית אינה מנצלת את התקציב שהוקצה לה, הוא יועבר בשנת התקציב העוקבת לרשות מקומית אחרת. בדיקה בין-משרדית העלתה כי הפער נובע מקושי של הרשויות המקומיות לגייס כוח אדם מתאים מבחינת ידיעת שפות ורקע טיפולי. הוא הוסיף כי הוא מקבל את המלצת הביקורת לעניין הבקרה על ניצול התקציב, וכי כבר בשבועות הקרובים בכוונתו לפעול להטמעת תשתית בקרה אחידה שתאפשר ניטור רציף ושקוף של הקצאת המשאבים וניצולם והסטת תקנים בין הרשויות המקומיות במידת הצורך. אשר ל</w:t>
      </w:r>
      <w:r w:rsidRPr="002F2BC5">
        <w:rPr>
          <w:rtl/>
        </w:rPr>
        <w:t xml:space="preserve">קריטריונים להקצאת התקנים </w:t>
      </w:r>
      <w:r w:rsidRPr="002F2BC5">
        <w:rPr>
          <w:rFonts w:hint="cs"/>
          <w:rtl/>
        </w:rPr>
        <w:t>הוא ציין כי אלה אינם נוגעים למצבה החברתי-כלכלי של הרשות המקומית, אלא מתייחסים בעיקרם למספר מקרי האלימות המדווחים בקרב אוכלוסיית העולים בכל רשות. משרד העלייה ציין עוד כי מאז הביקורת הקודמת נעשו תיקונים מהותיים במתכונת הפעלת תוכנית "גשרים", ובין השאר נעשו התאמות בתהליך הקצאת התקנים, פותחו מענים מותאמים תרבותית והתוכנית הורחבה לדוברי שפות נוספות. הוא הוסיף כי בין השנים 2021 - 2023 טופלו במסגרת התוכנית כ-1,600 עולים, מהם כ-1,200 נשים עולות, ובכך יש כדי להצביע על עלייה במודעות ועל נכונות גוברת לפנות לקבלת סיוע בקרב אוכלוסייה זו.</w:t>
      </w:r>
    </w:p>
    <w:p w14:paraId="10DCD889" w14:textId="77777777" w:rsidR="00817399" w:rsidRPr="002F2BC5" w:rsidRDefault="00817399" w:rsidP="00817399">
      <w:pPr>
        <w:spacing w:line="269" w:lineRule="auto"/>
        <w:rPr>
          <w:rtl/>
        </w:rPr>
      </w:pPr>
    </w:p>
    <w:p w14:paraId="036BC263"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580CEF6F" w14:textId="77777777" w:rsidR="00817399" w:rsidRPr="002F2BC5" w:rsidRDefault="00817399" w:rsidP="00817399">
      <w:pPr>
        <w:pStyle w:val="afffffff7"/>
        <w:spacing w:before="0" w:line="269" w:lineRule="auto"/>
      </w:pPr>
      <w:bookmarkStart w:id="1569" w:name="_Toc198312293"/>
      <w:bookmarkStart w:id="1570" w:name="_Toc198312772"/>
      <w:bookmarkStart w:id="1571" w:name="_Toc189072260"/>
      <w:r w:rsidRPr="002F2BC5">
        <w:rPr>
          <w:noProof/>
        </w:rPr>
        <w:drawing>
          <wp:inline distT="0" distB="0" distL="0" distR="0" wp14:anchorId="7F756C14" wp14:editId="56C03267">
            <wp:extent cx="4324350" cy="933450"/>
            <wp:effectExtent l="0" t="0" r="0" b="0"/>
            <wp:docPr id="2052770992"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569"/>
      <w:bookmarkEnd w:id="1570"/>
    </w:p>
    <w:p w14:paraId="034A5A42" w14:textId="77777777" w:rsidR="00817399" w:rsidRPr="002F2BC5" w:rsidRDefault="00817399" w:rsidP="00817399">
      <w:pPr>
        <w:spacing w:line="269" w:lineRule="auto"/>
        <w:rPr>
          <w:rtl/>
        </w:rPr>
      </w:pPr>
    </w:p>
    <w:p w14:paraId="56753CCA" w14:textId="77777777" w:rsidR="00817399" w:rsidRPr="002F2BC5" w:rsidRDefault="00817399" w:rsidP="00817399">
      <w:pPr>
        <w:pStyle w:val="1ff"/>
        <w:bidi/>
        <w:rPr>
          <w:rtl/>
        </w:rPr>
      </w:pPr>
      <w:bookmarkStart w:id="1572" w:name="_Toc191987086"/>
      <w:bookmarkEnd w:id="1571"/>
      <w:r w:rsidRPr="002F2BC5">
        <w:rPr>
          <w:rFonts w:hint="cs"/>
          <w:rtl/>
        </w:rPr>
        <w:t>הכשירות המקצועית של העובדים הסוציאליים במרכזים ובמחלקות</w:t>
      </w:r>
      <w:bookmarkEnd w:id="1572"/>
    </w:p>
    <w:p w14:paraId="6AA9EEAB" w14:textId="77777777" w:rsidR="00817399" w:rsidRPr="002F2BC5" w:rsidRDefault="00817399" w:rsidP="00817399">
      <w:pPr>
        <w:spacing w:line="269" w:lineRule="auto"/>
        <w:rPr>
          <w:rtl/>
        </w:rPr>
      </w:pPr>
    </w:p>
    <w:p w14:paraId="14360C70" w14:textId="77777777" w:rsidR="00817399" w:rsidRPr="002F2BC5" w:rsidRDefault="00817399" w:rsidP="00817399">
      <w:pPr>
        <w:spacing w:line="269" w:lineRule="auto"/>
        <w:rPr>
          <w:rtl/>
        </w:rPr>
      </w:pPr>
      <w:r w:rsidRPr="002F2BC5">
        <w:rPr>
          <w:rFonts w:hint="cs"/>
          <w:rtl/>
        </w:rPr>
        <w:t>כשירותם המקצועית של העובדים הסוציאליים המופקדים על מתן המענה הייעודי בתחום האלימות במשפחה חשובה להבטחת רמתם המקצועית של השירותים הניתנים על ידם, אך היא חשובה גם לנוכח תרומתה לביסוס הקשר עם המטופלים וכפועל יוצא ליעילות ומועילות הטיפול</w:t>
      </w:r>
      <w:r w:rsidRPr="002F2BC5">
        <w:rPr>
          <w:rStyle w:val="af9"/>
          <w:rtl/>
        </w:rPr>
        <w:footnoteReference w:id="317"/>
      </w:r>
      <w:r w:rsidRPr="002F2BC5">
        <w:rPr>
          <w:rFonts w:hint="cs"/>
          <w:rtl/>
        </w:rPr>
        <w:t>. חשיבות זו שבהבטחת כשירותם המקצועית של העובדים הסוציאליים המופקדים על מתן המענה הייעודי מעוגנת בהוראות התע"ס. מתוקף כך עוגנה בהוראות התע"ס גם מחויבותו של משרד הרווחה למתן סיוע והעמדת אמצעים לשם הבטחת כשירותם המקצועית של כלל העובדים הסוציאליים המופקדים על מתן מענה בתחום זה, ובכללם העובדים הסוציאליים במרכזים לטיפול ומניעת אלימות במשפחה ובמחלקות לשירותים חברתיים</w:t>
      </w:r>
      <w:r w:rsidRPr="002F2BC5">
        <w:rPr>
          <w:rStyle w:val="af9"/>
          <w:rtl/>
        </w:rPr>
        <w:footnoteReference w:id="318"/>
      </w:r>
      <w:r w:rsidRPr="002F2BC5">
        <w:rPr>
          <w:rFonts w:hint="cs"/>
          <w:rtl/>
        </w:rPr>
        <w:t xml:space="preserve">. </w:t>
      </w:r>
    </w:p>
    <w:p w14:paraId="7887D0E4" w14:textId="77777777" w:rsidR="00817399" w:rsidRPr="002F2BC5" w:rsidRDefault="00817399" w:rsidP="00817399">
      <w:pPr>
        <w:spacing w:line="269" w:lineRule="auto"/>
        <w:rPr>
          <w:rtl/>
        </w:rPr>
      </w:pPr>
    </w:p>
    <w:p w14:paraId="0D65C17A" w14:textId="77777777" w:rsidR="00817399" w:rsidRPr="002F2BC5" w:rsidRDefault="00817399" w:rsidP="00817399">
      <w:pPr>
        <w:spacing w:line="269" w:lineRule="auto"/>
        <w:rPr>
          <w:rtl/>
        </w:rPr>
      </w:pPr>
      <w:bookmarkStart w:id="1573" w:name="_Toc191987087"/>
      <w:r w:rsidRPr="002F2BC5">
        <w:rPr>
          <w:rStyle w:val="70"/>
          <w:rFonts w:hint="cs"/>
          <w:rtl/>
        </w:rPr>
        <w:t>הביקורת הקודמת:</w:t>
      </w:r>
      <w:bookmarkEnd w:id="1573"/>
      <w:r w:rsidRPr="002F2BC5">
        <w:rPr>
          <w:rStyle w:val="70"/>
          <w:rFonts w:hint="cs"/>
          <w:rtl/>
        </w:rPr>
        <w:t xml:space="preserve"> </w:t>
      </w:r>
      <w:r w:rsidRPr="002F2BC5">
        <w:rPr>
          <w:rFonts w:hint="cs"/>
          <w:rtl/>
        </w:rPr>
        <w:t xml:space="preserve">נמצא כי משרד הרווחה לא ניהל מעקב ומכאן שלא אכף את ההנחיות שקבע בהוראות התע"ס לעניין כשירותם המקצועית של העובדים הסוציאליים הנותנים מענה </w:t>
      </w:r>
      <w:r w:rsidRPr="002F2BC5">
        <w:rPr>
          <w:rFonts w:hint="cs"/>
          <w:rtl/>
        </w:rPr>
        <w:lastRenderedPageBreak/>
        <w:t>טיפולי בתחום האלימות במשפחה. מנתוני משרד הרווחה עלה כי בשנים 2015 - 2019 כ-20% מהמרכזים לטיפול ומניעת אלימות במשפחה (22 מהם) לא שלחו כלל את העובדים הסוציאליים שהעסיקו להכשרה ייעודית בתחום האלימות במשפחה. מהמרכזים ששלחו את עובדיהם להכשרות כאמור (88 מרכזים), לפחות כ-20% מהם שלחו רק חלק מעובדיהם להכשרה זו</w:t>
      </w:r>
      <w:r w:rsidRPr="002F2BC5">
        <w:rPr>
          <w:rStyle w:val="af9"/>
          <w:rtl/>
        </w:rPr>
        <w:footnoteReference w:id="319"/>
      </w:r>
      <w:r w:rsidRPr="002F2BC5">
        <w:rPr>
          <w:rFonts w:hint="cs"/>
          <w:rtl/>
        </w:rPr>
        <w:t xml:space="preserve">. בקרב הרשויות המקומיות שנבדקו והפעילו מרכז במהלך הביקורת הקודמת הועלה כי בממוצע כמחצית מהעובדים הסוציאליים שהועסקו בהם הוכשרו לעבודתם כנדרש. הביקורת הקודמת העלתה עוד כי בחלק מהרשויות המקומיות לא נשלחו עובדים סוציאליים להכשרה ייעודית בשל תדירות נמוכה או תפוסה גבוהה של ההכשרות המקצועיות שמקיים משרד הרווחה, או לחלופין בשל </w:t>
      </w:r>
      <w:r w:rsidR="004136E8">
        <w:rPr>
          <w:rtl/>
        </w:rPr>
        <w:br/>
      </w:r>
      <w:r w:rsidRPr="002F2BC5">
        <w:rPr>
          <w:rFonts w:hint="cs"/>
          <w:rtl/>
        </w:rPr>
        <w:t>אי- התאמתן של ההכשרות הקיימות לעובדים סוציאליים ותיקים.</w:t>
      </w:r>
    </w:p>
    <w:p w14:paraId="13BC2889" w14:textId="77777777" w:rsidR="00817399" w:rsidRPr="002F2BC5" w:rsidRDefault="00817399" w:rsidP="00817399">
      <w:pPr>
        <w:spacing w:line="269" w:lineRule="auto"/>
        <w:rPr>
          <w:rtl/>
        </w:rPr>
      </w:pPr>
    </w:p>
    <w:p w14:paraId="346BC0A0"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למשרד הרווחה לקיים מעקב אחר כשירותם המקצועית של המטפלים במרכזים לטיפול ומניעת </w:t>
      </w:r>
      <w:r w:rsidRPr="002F2BC5">
        <w:rPr>
          <w:rFonts w:hint="eastAsia"/>
          <w:rtl/>
        </w:rPr>
        <w:t>אלימות</w:t>
      </w:r>
      <w:r w:rsidRPr="002F2BC5">
        <w:rPr>
          <w:rtl/>
        </w:rPr>
        <w:t xml:space="preserve"> </w:t>
      </w:r>
      <w:r w:rsidRPr="002F2BC5">
        <w:rPr>
          <w:rFonts w:hint="eastAsia"/>
          <w:rtl/>
        </w:rPr>
        <w:t>במשפחה</w:t>
      </w:r>
      <w:r w:rsidRPr="002F2BC5">
        <w:rPr>
          <w:rFonts w:hint="cs"/>
          <w:rtl/>
        </w:rPr>
        <w:t xml:space="preserve"> והציע לבחון כיצד אפשר להבטיח את השתתפותם בהכשרות המחייבות. עוד המליץ למרכז לטיפול ומניעת אלימות במשפחה לעודד את העובדים הסוציאליים שהם מעסיקים להשתתף בהכשרות הייעודיות כדי להבטיח את רמתם המקצועית של השירותים הניתנים במרכזים.</w:t>
      </w:r>
    </w:p>
    <w:p w14:paraId="24C97E16" w14:textId="77777777" w:rsidR="00817399" w:rsidRPr="002F2BC5" w:rsidRDefault="00817399" w:rsidP="00817399">
      <w:pPr>
        <w:spacing w:line="269" w:lineRule="auto"/>
        <w:rPr>
          <w:rtl/>
        </w:rPr>
      </w:pPr>
    </w:p>
    <w:p w14:paraId="60F6E22A"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בכוונתו לערוך מיפוי של כוח האדם המועסק במרכזים וכשירותו המקצועית הנדרשת, בשיתוף עם בית הספר המרכזי להכשרת עובדים בשירותי רווחה (</w:t>
      </w:r>
      <w:bookmarkStart w:id="1574" w:name="_Hlk202278041"/>
      <w:r w:rsidRPr="002F2BC5">
        <w:rPr>
          <w:rFonts w:hint="cs"/>
          <w:rtl/>
        </w:rPr>
        <w:t>להלן גם - בית הספר המרכזי</w:t>
      </w:r>
      <w:bookmarkEnd w:id="1574"/>
      <w:r w:rsidRPr="002F2BC5">
        <w:rPr>
          <w:rFonts w:hint="cs"/>
          <w:rtl/>
        </w:rPr>
        <w:t>)</w:t>
      </w:r>
      <w:r w:rsidRPr="002F2BC5">
        <w:rPr>
          <w:rStyle w:val="af9"/>
          <w:rtl/>
        </w:rPr>
        <w:footnoteReference w:id="320"/>
      </w:r>
      <w:r w:rsidRPr="002F2BC5">
        <w:rPr>
          <w:rFonts w:hint="cs"/>
          <w:rtl/>
        </w:rPr>
        <w:t>, וכי כבר בתוכניות ההכשרה המקצועיות לשנת 2021 תינתן עדיפות להשלמת הפערים בנושא זה. עוד מסר כי לצד מתן תגבור למרכזים בתקני כוח אדם ותקציב, ניתן על ידו דגש גם על העמקת הידע המקצועי של העובדים הסוציאליים במחלקות לשירותים חברתיים וכי לצורך כך הופק תדריך מקצועי ושולבו בהכשרותיהם נושאים בתחום האלימות במשפחה. כמו כן מסר משרד הרווחה כי הוא בוחן אפשרות לפתח לומדה לאנשי מקצוע שאינם מתחום האלימות במשפחה במטרה לשפר את מיומנות האבחון וההתערבות שלהם בעיתות חירום בתחום האלימות במשפחה.</w:t>
      </w:r>
    </w:p>
    <w:p w14:paraId="7A4F4CBB" w14:textId="77777777" w:rsidR="00817399" w:rsidRPr="002F2BC5" w:rsidRDefault="00817399" w:rsidP="00817399">
      <w:pPr>
        <w:spacing w:line="269" w:lineRule="auto"/>
        <w:rPr>
          <w:rtl/>
        </w:rPr>
      </w:pPr>
    </w:p>
    <w:p w14:paraId="4F3F9C37" w14:textId="77777777" w:rsidR="00817399" w:rsidRPr="002F2BC5" w:rsidRDefault="00817399" w:rsidP="00817399">
      <w:pPr>
        <w:spacing w:line="269" w:lineRule="auto"/>
        <w:rPr>
          <w:rtl/>
        </w:rPr>
      </w:pPr>
      <w:bookmarkStart w:id="1575" w:name="_Toc191987088"/>
      <w:r w:rsidRPr="002F2BC5">
        <w:rPr>
          <w:rStyle w:val="70"/>
          <w:rFonts w:hint="cs"/>
          <w:rtl/>
        </w:rPr>
        <w:t>ביקורת המעקב:</w:t>
      </w:r>
      <w:bookmarkEnd w:id="1575"/>
      <w:r w:rsidRPr="002F2BC5">
        <w:rPr>
          <w:rStyle w:val="70"/>
          <w:rFonts w:hint="cs"/>
          <w:rtl/>
        </w:rPr>
        <w:t xml:space="preserve"> </w:t>
      </w:r>
      <w:r w:rsidRPr="002F2BC5">
        <w:rPr>
          <w:rFonts w:hint="cs"/>
          <w:rtl/>
        </w:rPr>
        <w:t>נמצא כי כפי שמסר בתשובתו לביקורת הקודמת, במהלך שנת 2022 ערך משרד הרווחה בשיתוף בית הספר המרכזי מיפוי מאפיינים וצרכים של עובדים סוציאליים במרכזים לטיפול ומניעת אלימות במשפחה באמצעות שאלון שעליו השיבו 406 עובדים (</w:t>
      </w:r>
      <w:bookmarkStart w:id="1576" w:name="_Hlk202278082"/>
      <w:r w:rsidRPr="002F2BC5">
        <w:rPr>
          <w:rFonts w:hint="cs"/>
          <w:rtl/>
        </w:rPr>
        <w:t>להלן - סקר מיפוי הצרכים במרכזים לטיפול ומניעת אלימות במשפחה או סקר מיפוי הצרכים</w:t>
      </w:r>
      <w:bookmarkEnd w:id="1576"/>
      <w:r w:rsidRPr="002F2BC5">
        <w:rPr>
          <w:rFonts w:hint="cs"/>
          <w:rtl/>
        </w:rPr>
        <w:t xml:space="preserve">). </w:t>
      </w:r>
    </w:p>
    <w:p w14:paraId="5658D49A" w14:textId="77777777" w:rsidR="00817399" w:rsidRPr="002F2BC5" w:rsidRDefault="00817399" w:rsidP="00817399">
      <w:pPr>
        <w:spacing w:line="269" w:lineRule="auto"/>
        <w:rPr>
          <w:rtl/>
        </w:rPr>
      </w:pPr>
    </w:p>
    <w:p w14:paraId="28E103FE" w14:textId="77777777" w:rsidR="00817399" w:rsidRPr="002F2BC5" w:rsidRDefault="00817399" w:rsidP="00817399">
      <w:pPr>
        <w:spacing w:line="269" w:lineRule="auto"/>
        <w:rPr>
          <w:b/>
          <w:bCs/>
          <w:rtl/>
        </w:rPr>
      </w:pPr>
      <w:r w:rsidRPr="002F2BC5">
        <w:rPr>
          <w:rFonts w:hint="cs"/>
          <w:b/>
          <w:bCs/>
          <w:rtl/>
        </w:rPr>
        <w:t>מסקר מיפוי הצרכים שעשה משרד הרווחה בשנת 2022 עלה כי כ-29% מהמשיבים על השאלון, המועסקים כעובדים סוציאליים במרכזים לטיפול ומניעת אלימות במשפחה, לא השתתפו בהכשרה או בהשתלמות ייעודית בתחום האלימות במשפחה דרך בית הספר המרכזי</w:t>
      </w:r>
      <w:r w:rsidRPr="002F2BC5">
        <w:rPr>
          <w:rStyle w:val="af9"/>
          <w:b/>
          <w:bCs/>
          <w:rtl/>
        </w:rPr>
        <w:footnoteReference w:id="321"/>
      </w:r>
      <w:r w:rsidRPr="002F2BC5">
        <w:rPr>
          <w:rFonts w:hint="cs"/>
          <w:b/>
          <w:bCs/>
          <w:rtl/>
        </w:rPr>
        <w:t xml:space="preserve">. </w:t>
      </w:r>
    </w:p>
    <w:p w14:paraId="5B62FE44" w14:textId="77777777" w:rsidR="00817399" w:rsidRPr="002F2BC5" w:rsidRDefault="00817399" w:rsidP="00817399">
      <w:pPr>
        <w:spacing w:line="269" w:lineRule="auto"/>
        <w:rPr>
          <w:rtl/>
        </w:rPr>
      </w:pPr>
    </w:p>
    <w:p w14:paraId="7FC14C1E" w14:textId="77777777" w:rsidR="00817399" w:rsidRPr="002F2BC5" w:rsidRDefault="00817399" w:rsidP="00817399">
      <w:pPr>
        <w:spacing w:line="269" w:lineRule="auto"/>
        <w:rPr>
          <w:rtl/>
        </w:rPr>
      </w:pPr>
      <w:r w:rsidRPr="002F2BC5">
        <w:rPr>
          <w:rFonts w:hint="cs"/>
          <w:rtl/>
        </w:rPr>
        <w:t>בהקשר זה יש להוסיף כי גם מהתשובות על השאלונים של ארבע מהרשויות המקומיות שנבדקו הועלה כי ייתכן שטיפול בתחום האלימות במשפחה ניתן בעבר בידי עובד סוציאלי ללא הכשרה ייעודית, בין השאר עו"ס משפחה או עובד חדש במרכז או במחלקה שטרם עבר הכשרה בנושא.</w:t>
      </w:r>
    </w:p>
    <w:p w14:paraId="35921DCD" w14:textId="77777777" w:rsidR="00817399" w:rsidRPr="002F2BC5" w:rsidRDefault="00817399" w:rsidP="00817399">
      <w:pPr>
        <w:spacing w:line="269" w:lineRule="auto"/>
        <w:rPr>
          <w:rtl/>
        </w:rPr>
      </w:pPr>
    </w:p>
    <w:p w14:paraId="418E0189" w14:textId="25F5F831" w:rsidR="00817399" w:rsidRPr="002F2BC5" w:rsidRDefault="00817399" w:rsidP="00817399">
      <w:pPr>
        <w:spacing w:line="269" w:lineRule="auto"/>
        <w:rPr>
          <w:rtl/>
        </w:rPr>
      </w:pPr>
      <w:r w:rsidRPr="002F2BC5">
        <w:rPr>
          <w:rFonts w:hint="cs"/>
          <w:rtl/>
        </w:rPr>
        <w:t>ביקורת המעקב העלתה עוד כי בשנים 2021 - 2024 (עד 31 באוגוסט) התקיימו 26 מחזורים של קורסים ייעודיים בתחום האלימות במשפחה, ובין השאר התקיימו קורסים ייעודיים עבור עו"ס משפחה בתחום הטיפול בילדים ובגברים וכן טיפול רגיש תרבות ורגיש מגדר. פירוט על הקורסים הייעודיים בתחום האלימות במשפחה שהתקיימו בשנים הללו, בחלוקה לפי תחומי ההכשרה הייחודיים, מובא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Ref186116101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14</w:t>
      </w:r>
      <w:r w:rsidRPr="002F2BC5">
        <w:rPr>
          <w:rtl/>
        </w:rPr>
        <w:fldChar w:fldCharType="end"/>
      </w:r>
      <w:r w:rsidRPr="002F2BC5">
        <w:rPr>
          <w:rFonts w:hint="cs"/>
          <w:rtl/>
        </w:rPr>
        <w:t xml:space="preserve"> שלהלן.</w:t>
      </w:r>
    </w:p>
    <w:p w14:paraId="7FDDCA38" w14:textId="77777777" w:rsidR="00817399" w:rsidRPr="002F2BC5" w:rsidRDefault="00817399" w:rsidP="00817399">
      <w:pPr>
        <w:pStyle w:val="a0"/>
        <w:spacing w:line="269" w:lineRule="auto"/>
        <w:rPr>
          <w:rtl/>
        </w:rPr>
      </w:pPr>
      <w:bookmarkStart w:id="1577" w:name="_Ref186116101"/>
      <w:bookmarkStart w:id="1578" w:name="_Toc192674059"/>
      <w:r w:rsidRPr="002F2BC5">
        <w:rPr>
          <w:rFonts w:hint="cs"/>
          <w:b w:val="0"/>
          <w:bCs w:val="0"/>
          <w:rtl/>
        </w:rPr>
        <w:lastRenderedPageBreak/>
        <w:t>:</w:t>
      </w:r>
      <w:bookmarkEnd w:id="1577"/>
      <w:r w:rsidRPr="002F2BC5">
        <w:rPr>
          <w:rFonts w:hint="cs"/>
          <w:rtl/>
        </w:rPr>
        <w:t xml:space="preserve"> </w:t>
      </w:r>
      <w:r w:rsidRPr="002F2BC5">
        <w:rPr>
          <w:rtl/>
        </w:rPr>
        <w:t>הקורסים הייעודיים בתחום האלימות במשפחה בחלוקה לפי תחומי ההכשרה הייחודיים</w:t>
      </w:r>
      <w:r w:rsidRPr="002F2BC5">
        <w:rPr>
          <w:rFonts w:hint="cs"/>
          <w:rtl/>
        </w:rPr>
        <w:t>, 2021 - 2024</w:t>
      </w:r>
      <w:bookmarkEnd w:id="1578"/>
      <w:r w:rsidRPr="002F2BC5">
        <w:rPr>
          <w:rFonts w:hint="cs"/>
          <w:rtl/>
        </w:rPr>
        <w:t xml:space="preserve"> (עד 31 באוגוסט)</w:t>
      </w:r>
    </w:p>
    <w:p w14:paraId="7AA3C44C"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265A6C11" wp14:editId="75F08910">
            <wp:extent cx="5220000" cy="1783277"/>
            <wp:effectExtent l="0" t="0" r="0" b="7620"/>
            <wp:docPr id="5"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89"/>
                    <a:stretch/>
                  </pic:blipFill>
                  <pic:spPr bwMode="auto">
                    <a:xfrm>
                      <a:off x="0" y="0"/>
                      <a:ext cx="5220000" cy="1783277"/>
                    </a:xfrm>
                    <a:prstGeom prst="rect">
                      <a:avLst/>
                    </a:prstGeom>
                    <a:ln>
                      <a:noFill/>
                    </a:ln>
                    <a:extLst>
                      <a:ext uri="{53640926-AAD7-44D8-BBD7-CCE9431645EC}">
                        <a14:shadowObscured xmlns:a14="http://schemas.microsoft.com/office/drawing/2010/main"/>
                      </a:ext>
                    </a:extLst>
                  </pic:spPr>
                </pic:pic>
              </a:graphicData>
            </a:graphic>
          </wp:inline>
        </w:drawing>
      </w:r>
    </w:p>
    <w:p w14:paraId="77AE7E7C" w14:textId="77777777" w:rsidR="00817399" w:rsidRPr="002F2BC5" w:rsidRDefault="00817399" w:rsidP="00817399">
      <w:pPr>
        <w:pStyle w:val="afffffff1"/>
        <w:bidi/>
        <w:spacing w:line="269" w:lineRule="auto"/>
        <w:rPr>
          <w:rtl/>
        </w:rPr>
      </w:pPr>
      <w:r w:rsidRPr="002F2BC5">
        <w:rPr>
          <w:rFonts w:hint="cs"/>
          <w:rtl/>
        </w:rPr>
        <w:t>לפי נתוני משרד הרווחה, בעיבוד משרד מבקר המדינה.</w:t>
      </w:r>
    </w:p>
    <w:p w14:paraId="7C374405" w14:textId="77777777" w:rsidR="00817399" w:rsidRPr="002F2BC5" w:rsidRDefault="00817399" w:rsidP="00817399">
      <w:pPr>
        <w:spacing w:line="269" w:lineRule="auto"/>
        <w:rPr>
          <w:rtl/>
        </w:rPr>
      </w:pPr>
    </w:p>
    <w:p w14:paraId="6F396016" w14:textId="77777777" w:rsidR="00817399" w:rsidRPr="002F2BC5" w:rsidRDefault="00817399" w:rsidP="00817399">
      <w:pPr>
        <w:spacing w:line="269" w:lineRule="auto"/>
        <w:rPr>
          <w:b/>
          <w:bCs/>
          <w:rtl/>
        </w:rPr>
      </w:pPr>
      <w:r w:rsidRPr="002F2BC5">
        <w:rPr>
          <w:rFonts w:hint="cs"/>
          <w:b/>
          <w:bCs/>
          <w:rtl/>
        </w:rPr>
        <w:t>הועלה כי מאז שנת 2022 משרד הרווחה לא עשה סקר מיפוי צרכים נוסף בקרב העובדים הסוציאליים המועסקים במרכזים לטיפול ומניעת אלימות במשפחה או במחלקות לשירותים חברתיים המופקדים על מתן מענה ייעודי בתחום האלימות במשפחה, וממילא אינו מחזיק בנתונים פרטניים ועדכניים על ההכשרות וההשתלמויות שבהן השתתפו העובדים הללו.</w:t>
      </w:r>
    </w:p>
    <w:p w14:paraId="072817F8" w14:textId="77777777" w:rsidR="00817399" w:rsidRPr="002F2BC5" w:rsidRDefault="00817399" w:rsidP="00817399">
      <w:pPr>
        <w:spacing w:line="269" w:lineRule="auto"/>
        <w:rPr>
          <w:rtl/>
        </w:rPr>
      </w:pPr>
    </w:p>
    <w:p w14:paraId="282C2ED5" w14:textId="77777777" w:rsidR="00817399" w:rsidRPr="002F2BC5" w:rsidRDefault="00817399" w:rsidP="00817399">
      <w:pPr>
        <w:spacing w:line="269" w:lineRule="auto"/>
        <w:rPr>
          <w:rtl/>
        </w:rPr>
      </w:pPr>
      <w:r w:rsidRPr="002F2BC5">
        <w:rPr>
          <w:rFonts w:hint="cs"/>
          <w:rtl/>
        </w:rPr>
        <w:t>יצוין כי במועד סיום ביקורת המעקב, בדצמבר 2024, היה מצוי משרד הרווחה בעיצומה של עבודה על בניית תוכנית הכשרה דיגיטלית בתחום האלימות במשפחה, שאמורה לתת מענה לגורמי מקצוע שאינם עובדים סוציאליים. משרד הרווחה מסר במהלך ביקורת המעקב כי הוא צפוי להשיק את תוכנית ההכשרה הדיגיטלית כבר בינואר 2025.</w:t>
      </w:r>
    </w:p>
    <w:p w14:paraId="420D5B86" w14:textId="77777777" w:rsidR="00817399" w:rsidRPr="002F2BC5" w:rsidRDefault="00817399" w:rsidP="00817399">
      <w:pPr>
        <w:spacing w:line="269" w:lineRule="auto"/>
        <w:rPr>
          <w:rtl/>
        </w:rPr>
      </w:pPr>
    </w:p>
    <w:p w14:paraId="157CFBB9" w14:textId="77777777" w:rsidR="00817399" w:rsidRPr="002F2BC5" w:rsidRDefault="00817399" w:rsidP="00817399">
      <w:pPr>
        <w:pStyle w:val="afffffff9"/>
        <w:spacing w:line="269" w:lineRule="auto"/>
        <w:rPr>
          <w:rtl/>
        </w:rPr>
      </w:pPr>
      <w:bookmarkStart w:id="1579" w:name="_Toc192093146"/>
      <w:bookmarkStart w:id="1580" w:name="_Toc192612854"/>
      <w:bookmarkStart w:id="1581" w:name="_Toc198312294"/>
      <w:bookmarkStart w:id="1582" w:name="_Toc198312773"/>
      <w:bookmarkStart w:id="1583" w:name="_Toc200636943"/>
      <w:bookmarkStart w:id="1584" w:name="_Toc200439941"/>
      <w:bookmarkStart w:id="1585" w:name="_Toc201241046"/>
      <w:r w:rsidRPr="002F2BC5">
        <w:rPr>
          <w:rFonts w:hint="cs"/>
          <w:rtl/>
        </w:rPr>
        <w:t xml:space="preserve">בביקורת הקודמת </w:t>
      </w:r>
      <w:r w:rsidRPr="002F2BC5">
        <w:rPr>
          <w:rtl/>
        </w:rPr>
        <w:t xml:space="preserve">הועלה כי משרד הרווחה לא ניהל מעקב ומכאן שלא אכף את ההנחיות שקבע בהוראות התע"ס לעניין כשירותם המקצועית של העובדים הסוציאליים הנותנים מענה טיפולי בתחום האלימות במשפחה. </w:t>
      </w:r>
      <w:r w:rsidRPr="002F2BC5">
        <w:rPr>
          <w:rFonts w:hint="cs"/>
          <w:rtl/>
        </w:rPr>
        <w:t xml:space="preserve">בביקורת המעקב </w:t>
      </w:r>
      <w:r w:rsidRPr="002F2BC5">
        <w:rPr>
          <w:rtl/>
        </w:rPr>
        <w:t xml:space="preserve">הועלה כי הליקוי תוקן במידה רבה. במהלך שנת 2022 ערך משרד הרווחה בשיתוף בית הספר המרכזי </w:t>
      </w:r>
      <w:r w:rsidRPr="002F2BC5">
        <w:rPr>
          <w:rFonts w:hint="eastAsia"/>
          <w:rtl/>
        </w:rPr>
        <w:t>להכשרת</w:t>
      </w:r>
      <w:r w:rsidRPr="002F2BC5">
        <w:rPr>
          <w:rtl/>
        </w:rPr>
        <w:t xml:space="preserve"> </w:t>
      </w:r>
      <w:r w:rsidRPr="002F2BC5">
        <w:rPr>
          <w:rFonts w:hint="eastAsia"/>
          <w:rtl/>
        </w:rPr>
        <w:t>עובדים</w:t>
      </w:r>
      <w:r w:rsidRPr="002F2BC5">
        <w:rPr>
          <w:rtl/>
        </w:rPr>
        <w:t xml:space="preserve"> </w:t>
      </w:r>
      <w:r w:rsidRPr="002F2BC5">
        <w:rPr>
          <w:rFonts w:hint="eastAsia"/>
          <w:rtl/>
        </w:rPr>
        <w:t>בשירותי</w:t>
      </w:r>
      <w:r w:rsidRPr="002F2BC5">
        <w:rPr>
          <w:rtl/>
        </w:rPr>
        <w:t xml:space="preserve"> </w:t>
      </w:r>
      <w:r w:rsidRPr="002F2BC5">
        <w:rPr>
          <w:rFonts w:hint="eastAsia"/>
          <w:rtl/>
        </w:rPr>
        <w:t>רווחה</w:t>
      </w:r>
      <w:r w:rsidRPr="002F2BC5">
        <w:rPr>
          <w:rtl/>
        </w:rPr>
        <w:t xml:space="preserve"> מיפוי מאפיינים וצרכים של עובדים סוציאליים במרכזים לטיפול ומניעת אלימות במשפחה</w:t>
      </w:r>
      <w:r w:rsidRPr="002F2BC5">
        <w:rPr>
          <w:rFonts w:hint="cs"/>
          <w:rtl/>
        </w:rPr>
        <w:t>. עם זאת, במועד סיום ביקורת המעקב, בדצמבר 2024, משרד הרווחה לא החזיק בנתונים פרטניים ועדכניים על ההכשרות וההשתלמויות שבהן השתתפו העובדים הללו.</w:t>
      </w:r>
      <w:bookmarkEnd w:id="1579"/>
      <w:bookmarkEnd w:id="1580"/>
      <w:bookmarkEnd w:id="1581"/>
      <w:bookmarkEnd w:id="1582"/>
      <w:bookmarkEnd w:id="1583"/>
      <w:bookmarkEnd w:id="1584"/>
      <w:bookmarkEnd w:id="1585"/>
    </w:p>
    <w:p w14:paraId="76D1AC17" w14:textId="77777777" w:rsidR="00817399" w:rsidRPr="002F2BC5" w:rsidRDefault="00817399" w:rsidP="00817399">
      <w:pPr>
        <w:spacing w:line="269" w:lineRule="auto"/>
        <w:rPr>
          <w:rtl/>
        </w:rPr>
      </w:pPr>
    </w:p>
    <w:p w14:paraId="64C3DDEC" w14:textId="77777777" w:rsidR="00817399" w:rsidRPr="002F2BC5" w:rsidRDefault="00817399" w:rsidP="00817399">
      <w:pPr>
        <w:pStyle w:val="afffffffa"/>
        <w:spacing w:line="269" w:lineRule="auto"/>
        <w:rPr>
          <w:rtl/>
        </w:rPr>
      </w:pPr>
      <w:bookmarkStart w:id="1586" w:name="_Toc192093147"/>
      <w:bookmarkStart w:id="1587" w:name="_Toc192612855"/>
      <w:bookmarkStart w:id="1588" w:name="_Toc198312295"/>
      <w:bookmarkStart w:id="1589" w:name="_Toc198312774"/>
      <w:bookmarkStart w:id="1590" w:name="_Toc200636944"/>
      <w:bookmarkStart w:id="1591" w:name="_Toc200439942"/>
      <w:bookmarkStart w:id="1592" w:name="_Toc201241047"/>
      <w:r w:rsidRPr="002F2BC5">
        <w:rPr>
          <w:rFonts w:hint="cs"/>
          <w:rtl/>
        </w:rPr>
        <w:t>מומלץ למשרד הרווחה לאסוף, לאגם ולנהל באופן ממוחשב, עיתי ושיטתי את הנתונים על הכשירות המקצועית של כלל העובדים הסוציאליים המופקדים על מתן מענה ייעודי בתחום האלימות במשפחה, במרכזים לטיפול ומניעת אלימות במשפחה ובמחלקות לשירותים חברתיים. כך תונח בפניו תשתית המידע המלאה והעדכנית הנדרשת לקביעת תוכניות ההכשרה המקצועיות והתאמתן לצרכים בפועל כדי שתובטח כשירותם המקצועית של כלל העובדים המופקדים על מתן המענה הייעודי בתחום האלימות במשפחה במחלקות ובמרכזים.</w:t>
      </w:r>
      <w:bookmarkEnd w:id="1586"/>
      <w:bookmarkEnd w:id="1587"/>
      <w:bookmarkEnd w:id="1588"/>
      <w:bookmarkEnd w:id="1589"/>
      <w:bookmarkEnd w:id="1590"/>
      <w:bookmarkEnd w:id="1591"/>
      <w:bookmarkEnd w:id="1592"/>
    </w:p>
    <w:p w14:paraId="49259268" w14:textId="77777777" w:rsidR="00817399" w:rsidRPr="002F2BC5" w:rsidRDefault="00817399" w:rsidP="00817399">
      <w:pPr>
        <w:spacing w:line="269" w:lineRule="auto"/>
        <w:rPr>
          <w:rtl/>
        </w:rPr>
      </w:pPr>
    </w:p>
    <w:p w14:paraId="416E7A4B" w14:textId="77777777" w:rsidR="00817399" w:rsidRPr="002F2BC5" w:rsidRDefault="00817399" w:rsidP="00817399">
      <w:pPr>
        <w:spacing w:line="269" w:lineRule="auto"/>
        <w:rPr>
          <w:rtl/>
        </w:rPr>
      </w:pPr>
      <w:r w:rsidRPr="002F2BC5">
        <w:rPr>
          <w:rFonts w:hint="cs"/>
          <w:rtl/>
        </w:rPr>
        <w:t>משרד הרווחה מסר בתשובתו כי כחלק מההתאמות שנעשות בדוחות הפיקוח תתווסף בדיקה גם לעניין ה</w:t>
      </w:r>
      <w:r w:rsidRPr="002F2BC5">
        <w:rPr>
          <w:rtl/>
        </w:rPr>
        <w:t xml:space="preserve">הכשרות של </w:t>
      </w:r>
      <w:r w:rsidRPr="002F2BC5">
        <w:rPr>
          <w:rFonts w:hint="cs"/>
          <w:rtl/>
        </w:rPr>
        <w:t>ה</w:t>
      </w:r>
      <w:r w:rsidRPr="002F2BC5">
        <w:rPr>
          <w:rtl/>
        </w:rPr>
        <w:t>עובדים</w:t>
      </w:r>
      <w:r w:rsidRPr="002F2BC5">
        <w:rPr>
          <w:rFonts w:hint="cs"/>
          <w:rtl/>
        </w:rPr>
        <w:t xml:space="preserve"> ה</w:t>
      </w:r>
      <w:r w:rsidRPr="002F2BC5">
        <w:rPr>
          <w:rtl/>
        </w:rPr>
        <w:t>סוציאליים במרכזים</w:t>
      </w:r>
      <w:r w:rsidRPr="002F2BC5">
        <w:rPr>
          <w:rFonts w:hint="cs"/>
          <w:rtl/>
        </w:rPr>
        <w:t xml:space="preserve"> לטיפול ומניעת אלימות במשפחה</w:t>
      </w:r>
      <w:r w:rsidRPr="002F2BC5">
        <w:rPr>
          <w:rtl/>
        </w:rPr>
        <w:t>.</w:t>
      </w:r>
    </w:p>
    <w:p w14:paraId="46567945" w14:textId="77777777" w:rsidR="00817399" w:rsidRPr="002F2BC5" w:rsidRDefault="00817399" w:rsidP="00817399">
      <w:pPr>
        <w:spacing w:line="269" w:lineRule="auto"/>
        <w:rPr>
          <w:rtl/>
        </w:rPr>
      </w:pPr>
    </w:p>
    <w:p w14:paraId="7E7726BA"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3C15A588" w14:textId="77777777" w:rsidR="00817399" w:rsidRPr="002F2BC5" w:rsidRDefault="00817399" w:rsidP="00817399">
      <w:pPr>
        <w:pStyle w:val="afffffff7"/>
        <w:spacing w:before="0" w:line="269" w:lineRule="auto"/>
      </w:pPr>
      <w:bookmarkStart w:id="1593" w:name="_Toc198312296"/>
      <w:bookmarkStart w:id="1594" w:name="_Toc198312775"/>
      <w:bookmarkStart w:id="1595" w:name="_Toc189072261"/>
      <w:r w:rsidRPr="002F2BC5">
        <w:rPr>
          <w:noProof/>
        </w:rPr>
        <w:drawing>
          <wp:inline distT="0" distB="0" distL="0" distR="0" wp14:anchorId="27C71031" wp14:editId="1AC4F880">
            <wp:extent cx="4324350" cy="933450"/>
            <wp:effectExtent l="0" t="0" r="0" b="0"/>
            <wp:docPr id="38"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593"/>
      <w:bookmarkEnd w:id="1594"/>
    </w:p>
    <w:bookmarkEnd w:id="1595"/>
    <w:p w14:paraId="257C24E7" w14:textId="77777777" w:rsidR="00817399" w:rsidRPr="002F2BC5" w:rsidRDefault="00817399" w:rsidP="00817399">
      <w:pPr>
        <w:spacing w:line="269" w:lineRule="auto"/>
        <w:rPr>
          <w:rtl/>
        </w:rPr>
      </w:pPr>
    </w:p>
    <w:p w14:paraId="26A08B3C" w14:textId="77777777" w:rsidR="00817399" w:rsidRPr="002F2BC5" w:rsidRDefault="00817399" w:rsidP="00817399">
      <w:pPr>
        <w:pStyle w:val="1ff"/>
        <w:bidi/>
        <w:rPr>
          <w:rtl/>
        </w:rPr>
      </w:pPr>
      <w:bookmarkStart w:id="1596" w:name="_Ref185920696"/>
      <w:bookmarkStart w:id="1597" w:name="_Toc191987089"/>
      <w:r w:rsidRPr="002F2BC5">
        <w:rPr>
          <w:rFonts w:hint="cs"/>
          <w:rtl/>
        </w:rPr>
        <w:lastRenderedPageBreak/>
        <w:t>עומס העבודה המוטל על העובדים הסוציאליים במרכזים</w:t>
      </w:r>
      <w:bookmarkEnd w:id="1596"/>
      <w:bookmarkEnd w:id="1597"/>
    </w:p>
    <w:p w14:paraId="780A440D" w14:textId="77777777" w:rsidR="00817399" w:rsidRPr="002F2BC5" w:rsidRDefault="00817399" w:rsidP="00817399">
      <w:pPr>
        <w:spacing w:line="269" w:lineRule="auto"/>
        <w:rPr>
          <w:rtl/>
        </w:rPr>
      </w:pPr>
    </w:p>
    <w:p w14:paraId="3CE19CF6" w14:textId="77777777" w:rsidR="00817399" w:rsidRPr="002F2BC5" w:rsidRDefault="00817399" w:rsidP="00817399">
      <w:pPr>
        <w:spacing w:line="269" w:lineRule="auto"/>
        <w:rPr>
          <w:rtl/>
        </w:rPr>
      </w:pPr>
      <w:r w:rsidRPr="002F2BC5">
        <w:rPr>
          <w:rFonts w:hint="cs"/>
          <w:rtl/>
        </w:rPr>
        <w:t>בעבודתו היום-יומית נדרש העובד הסוציאלי להתמודד עם מקרים מורכבים, מצבי לחץ ולעיתים גם סירוב של המטופל לשתף פעולה עימו. תחום האלימות במשפחה מעמיד אתגר מיוחד בהקשר זה לנוכח החשיבות של מיידיות הטיפול והצורך במתן מענה זמין ונגיש בכל רגע נתון. אלו מחייבים את נכונותו והיערכותו של העובד הסוציאלי בתחום האלימות במשפחה לעבוד בשעות ובנסיבות שאינן שגרתיות, לעיתים ללא גבולות מקצועיים ברורים ואף תוך העמדתו בסיכון</w:t>
      </w:r>
      <w:r w:rsidRPr="002F2BC5">
        <w:rPr>
          <w:rStyle w:val="af9"/>
          <w:rtl/>
        </w:rPr>
        <w:footnoteReference w:id="322"/>
      </w:r>
      <w:r w:rsidRPr="002F2BC5">
        <w:rPr>
          <w:rFonts w:hint="cs"/>
          <w:rtl/>
        </w:rPr>
        <w:t>. עומס העבודה הרב המוטל על העובד הסוציאלי, בדומה לבעלי מקצוע אחרים בתחומי הטיפול</w:t>
      </w:r>
      <w:r w:rsidRPr="002F2BC5">
        <w:rPr>
          <w:rtl/>
        </w:rPr>
        <w:t xml:space="preserve">, </w:t>
      </w:r>
      <w:r w:rsidRPr="002F2BC5">
        <w:rPr>
          <w:rFonts w:hint="cs"/>
          <w:rtl/>
        </w:rPr>
        <w:t>לצד האתגרים הרבים בעבודתו, עלולים להביא לתחושת שחיקה, וכפועל יוצא לפגיעה בתפקודו המקצועי והאישי וביכולתו לבסס קשר מעמיק עם מטופליו</w:t>
      </w:r>
      <w:bookmarkStart w:id="1598" w:name="_Ref188535531"/>
      <w:r w:rsidRPr="002F2BC5">
        <w:rPr>
          <w:rStyle w:val="af9"/>
          <w:rtl/>
        </w:rPr>
        <w:footnoteReference w:id="323"/>
      </w:r>
      <w:bookmarkEnd w:id="1598"/>
      <w:r w:rsidRPr="002F2BC5">
        <w:rPr>
          <w:rFonts w:hint="cs"/>
          <w:rtl/>
        </w:rPr>
        <w:t>.</w:t>
      </w:r>
    </w:p>
    <w:p w14:paraId="364F551F" w14:textId="77777777" w:rsidR="00817399" w:rsidRPr="002F2BC5" w:rsidRDefault="00817399" w:rsidP="00817399">
      <w:pPr>
        <w:spacing w:line="269" w:lineRule="auto"/>
        <w:rPr>
          <w:rtl/>
        </w:rPr>
      </w:pPr>
    </w:p>
    <w:p w14:paraId="1C81523E" w14:textId="77777777" w:rsidR="00817399" w:rsidRPr="002F2BC5" w:rsidRDefault="00817399" w:rsidP="00817399">
      <w:pPr>
        <w:spacing w:line="269" w:lineRule="auto"/>
        <w:rPr>
          <w:rtl/>
        </w:rPr>
      </w:pPr>
      <w:r w:rsidRPr="002F2BC5">
        <w:rPr>
          <w:rFonts w:hint="cs"/>
          <w:rtl/>
        </w:rPr>
        <w:t>מעבר לפגיעה האפשרית בתפקודו המקצועי והאישי של העובד הסוציאלי, עומס העבודה המוטל עליו עלול להביא גם לידי פגיעה אפשרית בתפקודו של הארגון ולכך שקבלת ההחלטות ברמה הארגונית בנוגע לסדרי העדיפויות והקצאת המשאבים לא תיעשה באופן היעיל והמיטבי. כך, בנסיבות אלו, עלול להתעכב שלא לצורך הטיפול בנפגעי האלימות במשפחה, תוך העמדתם בסיכון והמשך חשיפתם לאלימות של הנפגעים הישירים והעקיפים, ותוך פגיעה אפשרית בתחושת האמון של המעורבים באלימות וכפועל יוצא בנכונותם לקבל טיפול</w:t>
      </w:r>
      <w:r w:rsidRPr="002F2BC5">
        <w:rPr>
          <w:rStyle w:val="af9"/>
          <w:rtl/>
        </w:rPr>
        <w:footnoteReference w:id="324"/>
      </w:r>
      <w:r w:rsidRPr="002F2BC5">
        <w:rPr>
          <w:rFonts w:hint="cs"/>
          <w:rtl/>
        </w:rPr>
        <w:t xml:space="preserve">. </w:t>
      </w:r>
    </w:p>
    <w:p w14:paraId="283CCF0B" w14:textId="77777777" w:rsidR="00817399" w:rsidRPr="002F2BC5" w:rsidRDefault="00817399" w:rsidP="00817399">
      <w:pPr>
        <w:spacing w:line="269" w:lineRule="auto"/>
        <w:rPr>
          <w:rtl/>
        </w:rPr>
      </w:pPr>
    </w:p>
    <w:p w14:paraId="3FDFAD84" w14:textId="77777777" w:rsidR="00817399" w:rsidRPr="002F2BC5" w:rsidRDefault="00817399" w:rsidP="00817399">
      <w:pPr>
        <w:spacing w:line="269" w:lineRule="auto"/>
        <w:rPr>
          <w:rtl/>
        </w:rPr>
      </w:pPr>
      <w:bookmarkStart w:id="1599" w:name="_Toc191987090"/>
      <w:r w:rsidRPr="002F2BC5">
        <w:rPr>
          <w:rStyle w:val="70"/>
          <w:rFonts w:hint="cs"/>
          <w:rtl/>
        </w:rPr>
        <w:t>הביקורת הקודמת:</w:t>
      </w:r>
      <w:bookmarkEnd w:id="1599"/>
      <w:r w:rsidRPr="002F2BC5">
        <w:rPr>
          <w:rStyle w:val="70"/>
          <w:rFonts w:hint="cs"/>
          <w:rtl/>
        </w:rPr>
        <w:t xml:space="preserve"> </w:t>
      </w:r>
      <w:r w:rsidRPr="002F2BC5">
        <w:rPr>
          <w:rFonts w:hint="cs"/>
          <w:rtl/>
        </w:rPr>
        <w:t xml:space="preserve">נמצא כי משרד הרווחה לא החזיק בנתונים מהימנים בדבר מספר המטופלים ומספר המטפלים המועסקים במרכזים. לפי הערכתו של משרד הרווחה, בכל חודש בממוצע טיפל עובד סוציאלי שהועסק במשרה מלאה בכ-19 מטופלים (16 עד 22 מטופלים). עם זאת, </w:t>
      </w:r>
      <w:r w:rsidRPr="002F2BC5">
        <w:rPr>
          <w:rtl/>
        </w:rPr>
        <w:t>ברשויות</w:t>
      </w:r>
      <w:r w:rsidRPr="002F2BC5">
        <w:rPr>
          <w:rFonts w:hint="cs"/>
          <w:rtl/>
        </w:rPr>
        <w:t xml:space="preserve"> המקומיות שנבדקו נמצא כי עובד סוציאלי טיפל בממוצע </w:t>
      </w:r>
      <w:r w:rsidRPr="002F2BC5">
        <w:rPr>
          <w:rtl/>
        </w:rPr>
        <w:t>בכ-2</w:t>
      </w:r>
      <w:r w:rsidRPr="002F2BC5">
        <w:rPr>
          <w:rFonts w:hint="cs"/>
          <w:rtl/>
        </w:rPr>
        <w:t>3.5</w:t>
      </w:r>
      <w:r w:rsidRPr="002F2BC5">
        <w:rPr>
          <w:rtl/>
        </w:rPr>
        <w:t xml:space="preserve"> תיקים בחודש</w:t>
      </w:r>
      <w:r w:rsidRPr="002F2BC5">
        <w:rPr>
          <w:rFonts w:hint="cs"/>
          <w:rtl/>
        </w:rPr>
        <w:t xml:space="preserve"> וכי </w:t>
      </w:r>
      <w:r w:rsidRPr="002F2BC5">
        <w:rPr>
          <w:rtl/>
        </w:rPr>
        <w:t>ב</w:t>
      </w:r>
      <w:r w:rsidRPr="002F2BC5">
        <w:rPr>
          <w:rFonts w:hint="cs"/>
          <w:rtl/>
        </w:rPr>
        <w:t xml:space="preserve">עיריית </w:t>
      </w:r>
      <w:r w:rsidRPr="002F2BC5">
        <w:rPr>
          <w:b/>
          <w:bCs/>
          <w:rtl/>
        </w:rPr>
        <w:t>רהט</w:t>
      </w:r>
      <w:r w:rsidRPr="002F2BC5">
        <w:rPr>
          <w:rtl/>
        </w:rPr>
        <w:t xml:space="preserve"> </w:t>
      </w:r>
      <w:r w:rsidRPr="002F2BC5">
        <w:rPr>
          <w:rFonts w:hint="cs"/>
          <w:rtl/>
        </w:rPr>
        <w:t>טיפל העובד הסוציאלי במרכז בכל חודש בממוצע בכ-30 עד 40 מטופלים</w:t>
      </w:r>
      <w:r w:rsidRPr="002F2BC5">
        <w:rPr>
          <w:rtl/>
        </w:rPr>
        <w:t>.</w:t>
      </w:r>
    </w:p>
    <w:p w14:paraId="0310769A" w14:textId="77777777" w:rsidR="00817399" w:rsidRPr="002F2BC5" w:rsidRDefault="00817399" w:rsidP="00817399">
      <w:pPr>
        <w:spacing w:line="269" w:lineRule="auto"/>
        <w:rPr>
          <w:rtl/>
        </w:rPr>
      </w:pPr>
    </w:p>
    <w:p w14:paraId="29A296A9" w14:textId="77777777" w:rsidR="00817399" w:rsidRPr="002F2BC5" w:rsidRDefault="00817399" w:rsidP="00817399">
      <w:pPr>
        <w:spacing w:line="269" w:lineRule="auto"/>
        <w:rPr>
          <w:rtl/>
        </w:rPr>
      </w:pPr>
      <w:r w:rsidRPr="002F2BC5">
        <w:rPr>
          <w:rFonts w:hint="cs"/>
          <w:rtl/>
        </w:rPr>
        <w:t>בביקורת הקודמת הועלה כי עומס העבודה על העובדים הסוציאליים הוסבר בחלקו בהקצאה חסרה של תקני כוח אדם ייעודיים על ידי משרד הרווחה, ובחלקו בקושי של הרשויות המקומיות לאייש את תקני כוח האדם הייעודיים שהוקצו להן</w:t>
      </w:r>
      <w:r w:rsidRPr="002F2BC5">
        <w:rPr>
          <w:rStyle w:val="af9"/>
          <w:rtl/>
        </w:rPr>
        <w:footnoteReference w:id="325"/>
      </w:r>
      <w:r w:rsidRPr="002F2BC5">
        <w:rPr>
          <w:rFonts w:hint="cs"/>
          <w:rtl/>
        </w:rPr>
        <w:t xml:space="preserve">. כך במועד סיום הביקורת הקודמת אוישו כ-68% בלבד מתקני כוח האדם הייעודיים לטיפול בילדים נפגעי אלימות - וכ-34% בלבד מתקני כוח האדם הייעודיים לטיפול בגברים. </w:t>
      </w:r>
    </w:p>
    <w:p w14:paraId="5D7AAB62" w14:textId="77777777" w:rsidR="00817399" w:rsidRPr="002F2BC5" w:rsidRDefault="00817399" w:rsidP="00817399">
      <w:pPr>
        <w:spacing w:line="269" w:lineRule="auto"/>
        <w:rPr>
          <w:rtl/>
        </w:rPr>
      </w:pPr>
    </w:p>
    <w:p w14:paraId="460DC537" w14:textId="77777777" w:rsidR="00817399" w:rsidRPr="002F2BC5" w:rsidRDefault="00817399" w:rsidP="00817399">
      <w:pPr>
        <w:spacing w:line="269" w:lineRule="auto"/>
        <w:rPr>
          <w:rtl/>
        </w:rPr>
      </w:pPr>
      <w:r w:rsidRPr="002F2BC5">
        <w:rPr>
          <w:rFonts w:hint="cs"/>
          <w:rtl/>
        </w:rPr>
        <w:t>משרד מבקר המדינה המליץ בביקורת הקודמת ל</w:t>
      </w:r>
      <w:r w:rsidRPr="002F2BC5">
        <w:rPr>
          <w:rtl/>
        </w:rPr>
        <w:t xml:space="preserve">משרד הרווחה </w:t>
      </w:r>
      <w:r w:rsidRPr="002F2BC5">
        <w:rPr>
          <w:rFonts w:hint="cs"/>
          <w:rtl/>
        </w:rPr>
        <w:t>ל</w:t>
      </w:r>
      <w:r w:rsidRPr="002F2BC5">
        <w:rPr>
          <w:rtl/>
        </w:rPr>
        <w:t>בח</w:t>
      </w:r>
      <w:r w:rsidRPr="002F2BC5">
        <w:rPr>
          <w:rFonts w:hint="cs"/>
          <w:rtl/>
        </w:rPr>
        <w:t>ו</w:t>
      </w:r>
      <w:r w:rsidRPr="002F2BC5">
        <w:rPr>
          <w:rtl/>
        </w:rPr>
        <w:t xml:space="preserve">ן </w:t>
      </w:r>
      <w:r w:rsidRPr="002F2BC5">
        <w:rPr>
          <w:rFonts w:hint="eastAsia"/>
          <w:rtl/>
        </w:rPr>
        <w:t>את</w:t>
      </w:r>
      <w:r w:rsidRPr="002F2BC5">
        <w:rPr>
          <w:rtl/>
        </w:rPr>
        <w:t xml:space="preserve"> </w:t>
      </w:r>
      <w:r w:rsidRPr="002F2BC5">
        <w:rPr>
          <w:rFonts w:hint="eastAsia"/>
          <w:rtl/>
        </w:rPr>
        <w:t>הפערים</w:t>
      </w:r>
      <w:r w:rsidRPr="002F2BC5">
        <w:rPr>
          <w:rtl/>
        </w:rPr>
        <w:t xml:space="preserve"> </w:t>
      </w:r>
      <w:r w:rsidRPr="002F2BC5">
        <w:rPr>
          <w:rFonts w:hint="eastAsia"/>
          <w:rtl/>
        </w:rPr>
        <w:t>ב</w:t>
      </w:r>
      <w:r w:rsidRPr="002F2BC5">
        <w:rPr>
          <w:rFonts w:hint="cs"/>
          <w:rtl/>
        </w:rPr>
        <w:t xml:space="preserve">ין תקני כוח האדם הייעודיים שהוא מקצה לצורכיהם של המרכזים </w:t>
      </w:r>
      <w:r w:rsidRPr="002F2BC5">
        <w:rPr>
          <w:rFonts w:hint="eastAsia"/>
          <w:rtl/>
        </w:rPr>
        <w:t>בפועל</w:t>
      </w:r>
      <w:r w:rsidRPr="002F2BC5">
        <w:rPr>
          <w:rtl/>
        </w:rPr>
        <w:t xml:space="preserve">. </w:t>
      </w:r>
      <w:r w:rsidRPr="002F2BC5">
        <w:rPr>
          <w:rFonts w:hint="eastAsia"/>
          <w:rtl/>
        </w:rPr>
        <w:t>עוד</w:t>
      </w:r>
      <w:r w:rsidRPr="002F2BC5">
        <w:rPr>
          <w:rtl/>
        </w:rPr>
        <w:t xml:space="preserve"> </w:t>
      </w:r>
      <w:r w:rsidRPr="002F2BC5">
        <w:rPr>
          <w:rFonts w:hint="cs"/>
          <w:rtl/>
        </w:rPr>
        <w:t>הומלץ לכלל ה</w:t>
      </w:r>
      <w:r w:rsidRPr="002F2BC5">
        <w:rPr>
          <w:rtl/>
        </w:rPr>
        <w:t xml:space="preserve">מרכזים </w:t>
      </w:r>
      <w:r w:rsidRPr="002F2BC5">
        <w:rPr>
          <w:rFonts w:hint="cs"/>
          <w:rtl/>
        </w:rPr>
        <w:t>לטיפול ומניעת אלימות במשפחה לפעול לאיוש מלא של תקני כוח האדם שהוקצו להם</w:t>
      </w:r>
      <w:r w:rsidRPr="002F2BC5">
        <w:rPr>
          <w:rtl/>
        </w:rPr>
        <w:t xml:space="preserve">. </w:t>
      </w:r>
    </w:p>
    <w:p w14:paraId="19539710" w14:textId="77777777" w:rsidR="00817399" w:rsidRPr="002F2BC5" w:rsidRDefault="00817399" w:rsidP="00817399">
      <w:pPr>
        <w:spacing w:line="269" w:lineRule="auto"/>
        <w:rPr>
          <w:rtl/>
        </w:rPr>
      </w:pPr>
    </w:p>
    <w:p w14:paraId="36D7109D" w14:textId="77777777" w:rsidR="00817399" w:rsidRPr="002F2BC5" w:rsidRDefault="00817399" w:rsidP="00817399">
      <w:pPr>
        <w:spacing w:line="269" w:lineRule="auto"/>
        <w:rPr>
          <w:rtl/>
        </w:rPr>
      </w:pPr>
      <w:r w:rsidRPr="002F2BC5">
        <w:rPr>
          <w:rFonts w:hint="cs"/>
          <w:rtl/>
        </w:rPr>
        <w:t>משרד הרווחה מסר בתשובתו לביקורת הקודמת מפברואר 2021 כי הקושי באיוש תקני כוח האדם נובע בעיקרו מהמעמד ומתנאי השכר של העובדים הסוציאליים בכללותם. עוד מסר כי מינואר 2021 יידרשו המרכזים לדווח לו בכל רבעון על היקף המטופלים והתקדמות הטיפול בהם כדי לאפשר לו ניטור שוטף של עומסי העבודה ורשימות ההמתנה לטיפול.</w:t>
      </w:r>
    </w:p>
    <w:p w14:paraId="73A51BAB" w14:textId="77777777" w:rsidR="00817399" w:rsidRPr="002F2BC5" w:rsidRDefault="00817399" w:rsidP="00817399">
      <w:pPr>
        <w:spacing w:line="269" w:lineRule="auto"/>
        <w:rPr>
          <w:rtl/>
        </w:rPr>
      </w:pPr>
    </w:p>
    <w:p w14:paraId="202357A6" w14:textId="77777777" w:rsidR="00817399" w:rsidRPr="002F2BC5" w:rsidRDefault="00817399" w:rsidP="00817399">
      <w:pPr>
        <w:spacing w:line="269" w:lineRule="auto"/>
        <w:rPr>
          <w:rtl/>
        </w:rPr>
      </w:pPr>
      <w:bookmarkStart w:id="1600" w:name="_Toc191987091"/>
      <w:r w:rsidRPr="002F2BC5">
        <w:rPr>
          <w:rStyle w:val="70"/>
          <w:rFonts w:hint="cs"/>
          <w:rtl/>
        </w:rPr>
        <w:t>ביקורת המעקב:</w:t>
      </w:r>
      <w:bookmarkEnd w:id="1600"/>
      <w:r w:rsidRPr="002F2BC5">
        <w:rPr>
          <w:rStyle w:val="70"/>
          <w:rFonts w:hint="cs"/>
          <w:rtl/>
        </w:rPr>
        <w:t xml:space="preserve"> </w:t>
      </w:r>
      <w:r w:rsidRPr="002F2BC5">
        <w:rPr>
          <w:rFonts w:hint="cs"/>
          <w:rtl/>
        </w:rPr>
        <w:t xml:space="preserve">נמצא כי במועד סיום ביקורת המעקב, בדצמבר 2024, החזיק משרד הרווחה בנתונים חלקיים בנוגע לאיוש תקני כוח האדם הייעודיים במרכזים לטיפול ולמניעת אלימות במשפחה. זאת אף כי נתונים אלה הכרחיים לניטור שוטף של עומס העבודה המוטל על </w:t>
      </w:r>
      <w:r w:rsidRPr="002F2BC5">
        <w:rPr>
          <w:rFonts w:hint="cs"/>
          <w:rtl/>
        </w:rPr>
        <w:lastRenderedPageBreak/>
        <w:t xml:space="preserve">העובדים במרכזים ולהצגת תמונה מלאה ומהימנה בדבר הפערים בין תקני כוח האדם הייעודיים, המאוישים ואלה שאינם מאוישים, לבין צורכיהם של המרכזים בפועל. </w:t>
      </w:r>
    </w:p>
    <w:p w14:paraId="06E63DC5" w14:textId="77777777" w:rsidR="00817399" w:rsidRPr="002F2BC5" w:rsidRDefault="00817399" w:rsidP="00817399">
      <w:pPr>
        <w:spacing w:line="269" w:lineRule="auto"/>
        <w:rPr>
          <w:rtl/>
        </w:rPr>
      </w:pPr>
    </w:p>
    <w:p w14:paraId="49DC6676" w14:textId="1EEA3226" w:rsidR="00817399" w:rsidRPr="002F2BC5" w:rsidRDefault="00817399" w:rsidP="00817399">
      <w:pPr>
        <w:spacing w:line="269" w:lineRule="auto"/>
        <w:rPr>
          <w:rtl/>
        </w:rPr>
      </w:pPr>
      <w:r w:rsidRPr="002F2BC5">
        <w:rPr>
          <w:rFonts w:hint="cs"/>
          <w:rtl/>
        </w:rPr>
        <w:t xml:space="preserve">עוד הועלה כי לפי תשובות הרשויות המקומיות שנבדקו לשאלונים, בכל הנוגע למספר המטופלים במרכזים ולהקצאת תקני כוח האדם הייעודיים ואיושם בפועל, בעיריית </w:t>
      </w:r>
      <w:r w:rsidRPr="002F2BC5">
        <w:rPr>
          <w:rFonts w:hint="cs"/>
          <w:b/>
          <w:bCs/>
          <w:rtl/>
        </w:rPr>
        <w:t>בית</w:t>
      </w:r>
      <w:r w:rsidRPr="002F2BC5">
        <w:rPr>
          <w:rFonts w:hint="cs"/>
          <w:rtl/>
        </w:rPr>
        <w:t xml:space="preserve"> </w:t>
      </w:r>
      <w:r w:rsidRPr="002F2BC5">
        <w:rPr>
          <w:rFonts w:hint="cs"/>
          <w:b/>
          <w:bCs/>
          <w:rtl/>
        </w:rPr>
        <w:t>שמש</w:t>
      </w:r>
      <w:r w:rsidRPr="002F2BC5">
        <w:rPr>
          <w:rFonts w:hint="cs"/>
          <w:rtl/>
        </w:rPr>
        <w:t xml:space="preserve"> מספר המטופלים החודשי הממוצע שבהם טיפל עובד סוציאלי המועסק במרכז עלה מ-17.5 במהלך הביקורת הקודמת ל-22 במהלך ביקורת המעקב; בעיריית </w:t>
      </w:r>
      <w:r w:rsidRPr="002F2BC5">
        <w:rPr>
          <w:rFonts w:hint="cs"/>
          <w:b/>
          <w:bCs/>
          <w:rtl/>
        </w:rPr>
        <w:t>דימונה</w:t>
      </w:r>
      <w:r w:rsidRPr="002F2BC5">
        <w:rPr>
          <w:rFonts w:hint="cs"/>
          <w:rtl/>
        </w:rPr>
        <w:t xml:space="preserve"> עלה מספר המטופלים הממוצע מ-20 ל-21.5; בעיריות </w:t>
      </w:r>
      <w:r w:rsidRPr="002F2BC5">
        <w:rPr>
          <w:rFonts w:hint="cs"/>
          <w:b/>
          <w:bCs/>
          <w:rtl/>
        </w:rPr>
        <w:t>בני ברק</w:t>
      </w:r>
      <w:r w:rsidRPr="002F2BC5">
        <w:rPr>
          <w:rFonts w:hint="cs"/>
          <w:rtl/>
        </w:rPr>
        <w:t xml:space="preserve"> ו</w:t>
      </w:r>
      <w:r w:rsidRPr="002F2BC5">
        <w:rPr>
          <w:rFonts w:hint="cs"/>
          <w:b/>
          <w:bCs/>
          <w:rtl/>
        </w:rPr>
        <w:t>חדרה</w:t>
      </w:r>
      <w:r w:rsidRPr="002F2BC5">
        <w:rPr>
          <w:rFonts w:hint="cs"/>
          <w:rtl/>
        </w:rPr>
        <w:t xml:space="preserve"> עלה מספר המטופלים הממוצע מ-22 ל-24; בעיריית </w:t>
      </w:r>
      <w:r w:rsidRPr="002F2BC5">
        <w:rPr>
          <w:rFonts w:hint="cs"/>
          <w:b/>
          <w:bCs/>
          <w:rtl/>
        </w:rPr>
        <w:t>סח</w:t>
      </w:r>
      <w:r w:rsidRPr="002F2BC5">
        <w:rPr>
          <w:b/>
          <w:bCs/>
          <w:rtl/>
        </w:rPr>
        <w:t>'</w:t>
      </w:r>
      <w:r w:rsidRPr="002F2BC5">
        <w:rPr>
          <w:rFonts w:hint="cs"/>
          <w:b/>
          <w:bCs/>
          <w:rtl/>
        </w:rPr>
        <w:t>נין</w:t>
      </w:r>
      <w:r w:rsidRPr="002F2BC5">
        <w:rPr>
          <w:rFonts w:hint="cs"/>
          <w:rtl/>
        </w:rPr>
        <w:t xml:space="preserve"> עלה מספר המטופלים הממוצע מ-20 ל-24; ובעיריית </w:t>
      </w:r>
      <w:r w:rsidRPr="002F2BC5">
        <w:rPr>
          <w:rFonts w:hint="cs"/>
          <w:b/>
          <w:bCs/>
          <w:rtl/>
        </w:rPr>
        <w:t>רהט</w:t>
      </w:r>
      <w:r w:rsidRPr="002F2BC5">
        <w:rPr>
          <w:rFonts w:hint="cs"/>
          <w:rtl/>
        </w:rPr>
        <w:t xml:space="preserve"> עלה מספר המטופלים הממוצע מ-30 ל-50. לעומת זאת, בעיריית </w:t>
      </w:r>
      <w:r w:rsidRPr="002F2BC5">
        <w:rPr>
          <w:rFonts w:hint="cs"/>
          <w:b/>
          <w:bCs/>
          <w:rtl/>
        </w:rPr>
        <w:t>עכו</w:t>
      </w:r>
      <w:r w:rsidRPr="002F2BC5">
        <w:rPr>
          <w:rFonts w:hint="cs"/>
          <w:rtl/>
        </w:rPr>
        <w:t xml:space="preserve"> ירד מספר המטופלים הממוצע מ-22 ל-18 ובעיריית </w:t>
      </w:r>
      <w:r w:rsidRPr="002F2BC5">
        <w:rPr>
          <w:rFonts w:hint="cs"/>
          <w:b/>
          <w:bCs/>
          <w:rtl/>
        </w:rPr>
        <w:t>ראש העין</w:t>
      </w:r>
      <w:r w:rsidRPr="002F2BC5">
        <w:rPr>
          <w:rFonts w:hint="cs"/>
          <w:rtl/>
        </w:rPr>
        <w:t xml:space="preserve"> ירד מספר המטופלים הממוצע מ-27 ל-24. עיריית </w:t>
      </w:r>
      <w:r w:rsidRPr="002F2BC5">
        <w:rPr>
          <w:rFonts w:hint="cs"/>
          <w:b/>
          <w:bCs/>
          <w:rtl/>
        </w:rPr>
        <w:t>קריית מלאכי</w:t>
      </w:r>
      <w:r w:rsidRPr="002F2BC5">
        <w:rPr>
          <w:rFonts w:hint="cs"/>
          <w:rtl/>
        </w:rPr>
        <w:t xml:space="preserve"> לא מסרה בשאלון נתונים על מספר המטופלים הממוצע לעובד סוציאלי במרכז. הנתונים על היחס בין מספר המטופלים למספר המטפלים ושיעור איוש תקני כוח האדם ברשויות המקומיות שנבדקו והפעילו מרכזים לטיפול ומניעת אלימות במשפחה מובאים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Ref185880350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15</w:t>
      </w:r>
      <w:r w:rsidRPr="002F2BC5">
        <w:rPr>
          <w:rtl/>
        </w:rPr>
        <w:fldChar w:fldCharType="end"/>
      </w:r>
      <w:r w:rsidRPr="002F2BC5">
        <w:rPr>
          <w:rFonts w:hint="cs"/>
          <w:rtl/>
        </w:rPr>
        <w:t xml:space="preserve"> שלהלן.</w:t>
      </w:r>
    </w:p>
    <w:p w14:paraId="2753AA0A" w14:textId="77777777" w:rsidR="00817399" w:rsidRPr="002F2BC5" w:rsidRDefault="00817399" w:rsidP="00817399">
      <w:pPr>
        <w:spacing w:line="269" w:lineRule="auto"/>
        <w:rPr>
          <w:rtl/>
        </w:rPr>
      </w:pPr>
    </w:p>
    <w:p w14:paraId="4FAF0E0F" w14:textId="77777777" w:rsidR="00817399" w:rsidRPr="002F2BC5" w:rsidRDefault="00817399" w:rsidP="00817399">
      <w:pPr>
        <w:pStyle w:val="a0"/>
        <w:spacing w:line="269" w:lineRule="auto"/>
        <w:ind w:left="0" w:firstLine="0"/>
        <w:rPr>
          <w:rtl/>
        </w:rPr>
      </w:pPr>
      <w:bookmarkStart w:id="1601" w:name="_Ref185880350"/>
      <w:bookmarkStart w:id="1602" w:name="_Toc192674060"/>
      <w:r w:rsidRPr="002F2BC5">
        <w:rPr>
          <w:rFonts w:hint="cs"/>
          <w:b w:val="0"/>
          <w:bCs w:val="0"/>
          <w:rtl/>
        </w:rPr>
        <w:t>:</w:t>
      </w:r>
      <w:bookmarkEnd w:id="1601"/>
      <w:r w:rsidRPr="002F2BC5">
        <w:rPr>
          <w:rFonts w:hint="cs"/>
          <w:b w:val="0"/>
          <w:bCs w:val="0"/>
          <w:rtl/>
        </w:rPr>
        <w:t xml:space="preserve"> </w:t>
      </w:r>
      <w:r w:rsidRPr="002F2BC5">
        <w:rPr>
          <w:rtl/>
        </w:rPr>
        <w:t xml:space="preserve">היחס בין מספר המטופלים למספר </w:t>
      </w:r>
      <w:r w:rsidRPr="002F2BC5">
        <w:rPr>
          <w:rFonts w:hint="cs"/>
          <w:rtl/>
        </w:rPr>
        <w:t>העובדים הסוציאליים</w:t>
      </w:r>
      <w:r w:rsidRPr="002F2BC5">
        <w:rPr>
          <w:rtl/>
        </w:rPr>
        <w:t xml:space="preserve"> ושיעור איוש תקני כוח האדם ברשויות המקומיות שנבדקו והפעילו מרכזים לטיפול ומניעת אלימות במשפחה</w:t>
      </w:r>
      <w:r w:rsidRPr="002F2BC5">
        <w:rPr>
          <w:rFonts w:hint="cs"/>
          <w:rtl/>
        </w:rPr>
        <w:t>,</w:t>
      </w:r>
      <w:r w:rsidRPr="002F2BC5">
        <w:rPr>
          <w:rtl/>
        </w:rPr>
        <w:br/>
      </w:r>
      <w:r w:rsidRPr="002F2BC5">
        <w:rPr>
          <w:rFonts w:hint="cs"/>
          <w:rtl/>
        </w:rPr>
        <w:t>לפי הנתונים שנמסרו בביקורת הקודמת ובביקורת המעקב*</w:t>
      </w:r>
      <w:bookmarkEnd w:id="1602"/>
    </w:p>
    <w:p w14:paraId="09BB39C8" w14:textId="77777777" w:rsidR="00817399" w:rsidRPr="002F2BC5" w:rsidRDefault="00817399" w:rsidP="00817399">
      <w:pPr>
        <w:pStyle w:val="afffffff4"/>
        <w:bidi/>
        <w:spacing w:before="0" w:after="0" w:line="269" w:lineRule="auto"/>
      </w:pPr>
      <w:r w:rsidRPr="002F2BC5">
        <w:rPr>
          <w:noProof/>
        </w:rPr>
        <w:drawing>
          <wp:inline distT="0" distB="0" distL="0" distR="0" wp14:anchorId="117E1208" wp14:editId="2C8673FB">
            <wp:extent cx="5220335" cy="2829560"/>
            <wp:effectExtent l="0" t="0" r="0" b="8890"/>
            <wp:docPr id="2052770972" name="תמונה 205277097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20335" cy="2829560"/>
                    </a:xfrm>
                    <a:prstGeom prst="rect">
                      <a:avLst/>
                    </a:prstGeom>
                  </pic:spPr>
                </pic:pic>
              </a:graphicData>
            </a:graphic>
          </wp:inline>
        </w:drawing>
      </w:r>
    </w:p>
    <w:p w14:paraId="6EA46972" w14:textId="77777777" w:rsidR="00817399" w:rsidRPr="002F2BC5" w:rsidRDefault="00817399" w:rsidP="00817399">
      <w:pPr>
        <w:pStyle w:val="afffffff1"/>
        <w:bidi/>
        <w:spacing w:line="269" w:lineRule="auto"/>
        <w:rPr>
          <w:rtl/>
        </w:rPr>
      </w:pPr>
      <w:r w:rsidRPr="002F2BC5">
        <w:rPr>
          <w:rFonts w:hint="cs"/>
          <w:rtl/>
        </w:rPr>
        <w:t>לפי נתונים שנמסרו על ידי הרשויות המקומיות שנבדקו בביקורת הקודמת ולפי תשובותיהן לשאלונים שנשלחו אליהן במהלך ביקורת המעקב, בעיבוד משרד מבקר המדינה.</w:t>
      </w:r>
    </w:p>
    <w:p w14:paraId="346E38AB" w14:textId="77777777" w:rsidR="00817399" w:rsidRPr="002F2BC5" w:rsidRDefault="00817399" w:rsidP="00817399">
      <w:pPr>
        <w:pStyle w:val="afffffff1"/>
        <w:bidi/>
        <w:spacing w:line="269" w:lineRule="auto"/>
        <w:rPr>
          <w:rtl/>
        </w:rPr>
      </w:pPr>
      <w:r w:rsidRPr="002F2BC5">
        <w:rPr>
          <w:rFonts w:hint="cs"/>
          <w:rtl/>
        </w:rPr>
        <w:t>* הנתונים מתייחסים לרשויות מקומיות שהפעילו מרכזים גם במהלך הביקורת הקודמת וגם במהלך ביקורת המעקב.</w:t>
      </w:r>
    </w:p>
    <w:p w14:paraId="0380D483" w14:textId="77777777" w:rsidR="00817399" w:rsidRPr="002F2BC5" w:rsidRDefault="00817399" w:rsidP="00817399">
      <w:pPr>
        <w:spacing w:line="269" w:lineRule="auto"/>
        <w:rPr>
          <w:rtl/>
        </w:rPr>
      </w:pPr>
    </w:p>
    <w:p w14:paraId="006557A5" w14:textId="260B54C7" w:rsidR="00817399" w:rsidRPr="002F2BC5" w:rsidRDefault="00817399" w:rsidP="00817399">
      <w:pPr>
        <w:spacing w:line="269" w:lineRule="auto"/>
        <w:rPr>
          <w:b/>
          <w:bCs/>
          <w:rtl/>
        </w:rPr>
      </w:pPr>
      <w:r w:rsidRPr="002F2BC5">
        <w:rPr>
          <w:rFonts w:hint="cs"/>
          <w:b/>
          <w:bCs/>
          <w:rtl/>
        </w:rPr>
        <w:t>מהנתונים המובאים 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Ref185880350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15</w:t>
      </w:r>
      <w:r w:rsidRPr="002F2BC5">
        <w:rPr>
          <w:b/>
          <w:bCs/>
          <w:rtl/>
        </w:rPr>
        <w:fldChar w:fldCharType="end"/>
      </w:r>
      <w:r w:rsidRPr="002F2BC5">
        <w:rPr>
          <w:rFonts w:hint="cs"/>
          <w:b/>
          <w:bCs/>
          <w:rtl/>
        </w:rPr>
        <w:t xml:space="preserve"> עולה כי מספר המטופלים החודשי הממוצע שבהם מטפל עובד סוציאלי המועסק במרכז עלה בעד כ-9% בבני ברק, בדימונה ובחדרה, בכ-20% בסח</w:t>
      </w:r>
      <w:r w:rsidRPr="002F2BC5">
        <w:rPr>
          <w:b/>
          <w:bCs/>
          <w:rtl/>
        </w:rPr>
        <w:t>'</w:t>
      </w:r>
      <w:r w:rsidRPr="002F2BC5">
        <w:rPr>
          <w:rFonts w:hint="cs"/>
          <w:b/>
          <w:bCs/>
          <w:rtl/>
        </w:rPr>
        <w:t>נין, בכ-26% בבית שמש ובכ-67% ברהט. לעומת זאת, מספר זה ירד בעכו (בכ-18%) ובראש העין (בכ-11%). הועלה עוד כי גם במרכזים שבהם אוישו באופן מלא תקני כוח האדם של העובדים הסוציאליים הייעודיים נותר עומס העבודה גבוה. כך לדוגמה בעיריית רהט אוישו כלל התקנים של העובדים הסוציאליים הייעודיים, ולמרות זאת היחס בין מספר המטופלים לעובד סוציאלי היה הגבוה ביותר (50 מטופלים לעובד סוציאלי אחד).</w:t>
      </w:r>
    </w:p>
    <w:p w14:paraId="4AE0154E" w14:textId="77777777" w:rsidR="00817399" w:rsidRPr="002F2BC5" w:rsidRDefault="00817399" w:rsidP="00817399">
      <w:pPr>
        <w:spacing w:line="269" w:lineRule="auto"/>
        <w:rPr>
          <w:rtl/>
        </w:rPr>
      </w:pPr>
    </w:p>
    <w:p w14:paraId="119E2C4E"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יבנה</w:t>
      </w:r>
      <w:r w:rsidRPr="002F2BC5">
        <w:rPr>
          <w:rFonts w:hint="cs"/>
          <w:rtl/>
        </w:rPr>
        <w:t>, שהחלה להפעיל מרכז לטיפול ומניעת אלימות במשפחה לאחר סיום הביקורת הקודמת, ציינה בשאלון כי קיים</w:t>
      </w:r>
      <w:r w:rsidRPr="002F2BC5">
        <w:rPr>
          <w:rtl/>
        </w:rPr>
        <w:t xml:space="preserve"> קושי רב לגייס עובדים בתחום </w:t>
      </w:r>
      <w:r w:rsidRPr="002F2BC5">
        <w:rPr>
          <w:rFonts w:hint="cs"/>
          <w:rtl/>
        </w:rPr>
        <w:t xml:space="preserve">האלימות במשפחה בשל הצורך </w:t>
      </w:r>
      <w:r w:rsidRPr="002F2BC5">
        <w:rPr>
          <w:rFonts w:hint="cs"/>
          <w:rtl/>
        </w:rPr>
        <w:lastRenderedPageBreak/>
        <w:t>במומחיות וידע מיוחדים, ויש בכך כדי להשליך על המענה הניתן במרכז ולזמני ההמתנה לטיפול</w:t>
      </w:r>
      <w:r w:rsidRPr="002F2BC5">
        <w:rPr>
          <w:rtl/>
        </w:rPr>
        <w:t>.</w:t>
      </w:r>
      <w:r w:rsidRPr="002F2BC5">
        <w:rPr>
          <w:rFonts w:hint="cs"/>
          <w:rtl/>
        </w:rPr>
        <w:t xml:space="preserve"> עיריית </w:t>
      </w:r>
      <w:r w:rsidRPr="002F2BC5">
        <w:rPr>
          <w:rFonts w:hint="cs"/>
          <w:b/>
          <w:bCs/>
          <w:rtl/>
        </w:rPr>
        <w:t>דימונה</w:t>
      </w:r>
      <w:r w:rsidRPr="002F2BC5">
        <w:rPr>
          <w:rFonts w:hint="cs"/>
          <w:rtl/>
        </w:rPr>
        <w:t xml:space="preserve"> ציינה בשאלון שמערכת המחשוב המשמשת את המחלקה לשירותים חברתיים שלה אינה מאפשרת תיעוד מדויק של נזקקות בתחום האלימות במשפחה, ומשכך גם אינה מאפשרת להציג נתונים מלאים ומדויקים על מספר היחידים והמשפחות המטופלים במחלקה בתחום האלימות במשפחה. היא הוסיפה וציינה כי התיעוד החסר במערכות המידע שלה מביא לכך שעומס העבודה ומשאבי הזמן הנדרשים לטיפול בכלל הנזקקים בתחום האלימות במשפחה אינו בא לידי ביטוי בנתונים המוצגים במערכת.</w:t>
      </w:r>
    </w:p>
    <w:p w14:paraId="7C165B76" w14:textId="77777777" w:rsidR="00817399" w:rsidRPr="002F2BC5" w:rsidRDefault="00817399" w:rsidP="00817399">
      <w:pPr>
        <w:spacing w:line="269" w:lineRule="auto"/>
        <w:rPr>
          <w:rtl/>
        </w:rPr>
      </w:pPr>
    </w:p>
    <w:p w14:paraId="00BFC7BD" w14:textId="77777777" w:rsidR="00817399" w:rsidRPr="002F2BC5" w:rsidRDefault="00817399" w:rsidP="00817399">
      <w:pPr>
        <w:spacing w:line="269" w:lineRule="auto"/>
        <w:rPr>
          <w:b/>
          <w:bCs/>
          <w:rtl/>
        </w:rPr>
      </w:pPr>
      <w:r w:rsidRPr="002F2BC5">
        <w:rPr>
          <w:rFonts w:hint="eastAsia"/>
          <w:b/>
          <w:bCs/>
          <w:rtl/>
        </w:rPr>
        <w:t>ביקורת</w:t>
      </w:r>
      <w:r w:rsidRPr="002F2BC5">
        <w:rPr>
          <w:b/>
          <w:bCs/>
          <w:rtl/>
        </w:rPr>
        <w:t xml:space="preserve"> המעקב העלתה עוד כי סקר מיפוי הצרכים שעשה משרד הרווחה בשנת 2022, שנועד למפות את הכשירות המקצועית והצרכים המקצועיים של העובדים הסוציאליים במרכזים לצד תנאי העבודה שלהם וסביבת העבודה שלהם, לא כלל התייחסות לעומס העבודה על העובדים הסוציאליים ולמספר התיקים הממוצע </w:t>
      </w:r>
      <w:r w:rsidRPr="002F2BC5">
        <w:rPr>
          <w:rFonts w:hint="eastAsia"/>
          <w:b/>
          <w:bCs/>
          <w:rtl/>
        </w:rPr>
        <w:t>שבו</w:t>
      </w:r>
      <w:r w:rsidRPr="002F2BC5">
        <w:rPr>
          <w:b/>
          <w:bCs/>
          <w:rtl/>
        </w:rPr>
        <w:t xml:space="preserve"> הם מטפלים.</w:t>
      </w:r>
    </w:p>
    <w:p w14:paraId="585E5987" w14:textId="77777777" w:rsidR="00817399" w:rsidRPr="002F2BC5" w:rsidRDefault="00817399" w:rsidP="00817399">
      <w:pPr>
        <w:spacing w:line="269" w:lineRule="auto"/>
        <w:rPr>
          <w:rtl/>
        </w:rPr>
      </w:pPr>
    </w:p>
    <w:p w14:paraId="369D6EE7" w14:textId="77777777" w:rsidR="00817399" w:rsidRPr="002F2BC5" w:rsidRDefault="00817399" w:rsidP="00817399">
      <w:pPr>
        <w:spacing w:line="269" w:lineRule="auto"/>
        <w:rPr>
          <w:rtl/>
        </w:rPr>
      </w:pPr>
      <w:r w:rsidRPr="002F2BC5">
        <w:rPr>
          <w:rFonts w:hint="cs"/>
          <w:rtl/>
        </w:rPr>
        <w:t>יצוין כי במהלך שנת 2023 החל משרד הרווחה בהליך הסדרה של המרכזים לטיפול ומניעת אלימות במשפחה בליוויה של חברת ייעוץ ארגוני. במסגרת הליך ההסדרה נעשה מיפוי של מודל העבודה הקיים במרכזים, תוך בחינת מאפייניהם השונים של מרכזים קטנים וגדולים והשוואה לנעשה בתחום זה בעולם. מודל העבודה שייקבע בסיומו של ההליך יעוגן בהוראות התע"ס</w:t>
      </w:r>
      <w:r w:rsidRPr="002F2BC5">
        <w:rPr>
          <w:rtl/>
        </w:rPr>
        <w:t>.</w:t>
      </w:r>
    </w:p>
    <w:p w14:paraId="50B47792" w14:textId="77777777" w:rsidR="00817399" w:rsidRPr="002F2BC5" w:rsidRDefault="00817399" w:rsidP="00817399">
      <w:pPr>
        <w:spacing w:line="269" w:lineRule="auto"/>
        <w:rPr>
          <w:rtl/>
        </w:rPr>
      </w:pPr>
    </w:p>
    <w:p w14:paraId="365C0C35" w14:textId="77777777" w:rsidR="00817399" w:rsidRPr="002F2BC5" w:rsidRDefault="00817399" w:rsidP="00817399">
      <w:pPr>
        <w:pStyle w:val="afffffff9"/>
        <w:spacing w:line="269" w:lineRule="auto"/>
        <w:rPr>
          <w:rtl/>
        </w:rPr>
      </w:pPr>
      <w:bookmarkStart w:id="1603" w:name="_Toc192093148"/>
      <w:bookmarkStart w:id="1604" w:name="_Toc192612856"/>
      <w:bookmarkStart w:id="1605" w:name="_Toc198312297"/>
      <w:bookmarkStart w:id="1606" w:name="_Toc198312776"/>
      <w:bookmarkStart w:id="1607" w:name="_Toc200636945"/>
      <w:bookmarkStart w:id="1608" w:name="_Toc200439943"/>
      <w:bookmarkStart w:id="1609" w:name="_Toc201241048"/>
      <w:r w:rsidRPr="002F2BC5">
        <w:rPr>
          <w:rFonts w:hint="eastAsia"/>
          <w:rtl/>
        </w:rPr>
        <w:t>הביקורת</w:t>
      </w:r>
      <w:r w:rsidRPr="002F2BC5">
        <w:rPr>
          <w:rtl/>
        </w:rPr>
        <w:t xml:space="preserve"> </w:t>
      </w:r>
      <w:r w:rsidRPr="002F2BC5">
        <w:rPr>
          <w:rFonts w:hint="eastAsia"/>
          <w:rtl/>
        </w:rPr>
        <w:t>הקודמת</w:t>
      </w:r>
      <w:r w:rsidRPr="002F2BC5">
        <w:rPr>
          <w:rtl/>
        </w:rPr>
        <w:t xml:space="preserve"> </w:t>
      </w:r>
      <w:r w:rsidRPr="002F2BC5">
        <w:rPr>
          <w:rFonts w:hint="eastAsia"/>
          <w:rtl/>
        </w:rPr>
        <w:t>העלתה</w:t>
      </w:r>
      <w:r w:rsidRPr="002F2BC5">
        <w:rPr>
          <w:rtl/>
        </w:rPr>
        <w:t xml:space="preserve"> </w:t>
      </w:r>
      <w:r w:rsidRPr="002F2BC5">
        <w:rPr>
          <w:rFonts w:hint="eastAsia"/>
          <w:rtl/>
        </w:rPr>
        <w:t>כי</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לא</w:t>
      </w:r>
      <w:r w:rsidRPr="002F2BC5">
        <w:rPr>
          <w:rtl/>
        </w:rPr>
        <w:t xml:space="preserve"> </w:t>
      </w:r>
      <w:r w:rsidRPr="002F2BC5">
        <w:rPr>
          <w:rFonts w:hint="eastAsia"/>
          <w:rtl/>
        </w:rPr>
        <w:t>החזיק</w:t>
      </w:r>
      <w:r w:rsidRPr="002F2BC5">
        <w:rPr>
          <w:rtl/>
        </w:rPr>
        <w:t xml:space="preserve"> </w:t>
      </w:r>
      <w:r w:rsidRPr="002F2BC5">
        <w:rPr>
          <w:rFonts w:hint="eastAsia"/>
          <w:rtl/>
        </w:rPr>
        <w:t>בנתונים</w:t>
      </w:r>
      <w:r w:rsidRPr="002F2BC5">
        <w:rPr>
          <w:rtl/>
        </w:rPr>
        <w:t xml:space="preserve"> </w:t>
      </w:r>
      <w:r w:rsidRPr="002F2BC5">
        <w:rPr>
          <w:rFonts w:hint="eastAsia"/>
          <w:rtl/>
        </w:rPr>
        <w:t>מהימנים</w:t>
      </w:r>
      <w:r w:rsidRPr="002F2BC5">
        <w:rPr>
          <w:rtl/>
        </w:rPr>
        <w:t xml:space="preserve"> </w:t>
      </w:r>
      <w:r w:rsidRPr="002F2BC5">
        <w:rPr>
          <w:rFonts w:hint="eastAsia"/>
          <w:rtl/>
        </w:rPr>
        <w:t>בדבר</w:t>
      </w:r>
      <w:r w:rsidRPr="002F2BC5">
        <w:rPr>
          <w:rtl/>
        </w:rPr>
        <w:t xml:space="preserve"> </w:t>
      </w:r>
      <w:r w:rsidRPr="002F2BC5">
        <w:rPr>
          <w:rFonts w:hint="eastAsia"/>
          <w:rtl/>
        </w:rPr>
        <w:t>מספר</w:t>
      </w:r>
      <w:r w:rsidRPr="002F2BC5">
        <w:rPr>
          <w:rtl/>
        </w:rPr>
        <w:t xml:space="preserve"> </w:t>
      </w:r>
      <w:r w:rsidRPr="002F2BC5">
        <w:rPr>
          <w:rFonts w:hint="eastAsia"/>
          <w:rtl/>
        </w:rPr>
        <w:t>המטופלים</w:t>
      </w:r>
      <w:r w:rsidRPr="002F2BC5">
        <w:rPr>
          <w:rtl/>
        </w:rPr>
        <w:t xml:space="preserve"> </w:t>
      </w:r>
      <w:r w:rsidRPr="002F2BC5">
        <w:rPr>
          <w:rFonts w:hint="eastAsia"/>
          <w:rtl/>
        </w:rPr>
        <w:t>ומספר</w:t>
      </w:r>
      <w:r w:rsidRPr="002F2BC5">
        <w:rPr>
          <w:rtl/>
        </w:rPr>
        <w:t xml:space="preserve"> </w:t>
      </w:r>
      <w:r w:rsidRPr="002F2BC5">
        <w:rPr>
          <w:rFonts w:hint="eastAsia"/>
          <w:rtl/>
        </w:rPr>
        <w:t>המטפלים</w:t>
      </w:r>
      <w:r w:rsidRPr="002F2BC5">
        <w:rPr>
          <w:rtl/>
        </w:rPr>
        <w:t xml:space="preserve"> </w:t>
      </w:r>
      <w:r w:rsidRPr="002F2BC5">
        <w:rPr>
          <w:rFonts w:hint="eastAsia"/>
          <w:rtl/>
        </w:rPr>
        <w:t>המועסקים</w:t>
      </w:r>
      <w:r w:rsidRPr="002F2BC5">
        <w:rPr>
          <w:rtl/>
        </w:rPr>
        <w:t xml:space="preserve"> </w:t>
      </w:r>
      <w:r w:rsidRPr="002F2BC5">
        <w:rPr>
          <w:rFonts w:hint="eastAsia"/>
          <w:rtl/>
        </w:rPr>
        <w:t>במרכזים</w:t>
      </w:r>
      <w:r w:rsidRPr="002F2BC5">
        <w:rPr>
          <w:rFonts w:hint="cs"/>
          <w:rtl/>
        </w:rPr>
        <w:t xml:space="preserve"> וכי עומס העבודה על העובדים הסוציאליים במרכזים לטיפול ומניעת אלימות במשפחה ברשויות המקומיות שנבדקו בעניין זה היה גבוה מכפי שהעריך משרד הרווחה</w:t>
      </w:r>
      <w:r w:rsidRPr="002F2BC5">
        <w:rPr>
          <w:rtl/>
        </w:rPr>
        <w:t xml:space="preserve">. </w:t>
      </w:r>
      <w:r w:rsidRPr="002F2BC5">
        <w:rPr>
          <w:rFonts w:hint="eastAsia"/>
          <w:rtl/>
        </w:rPr>
        <w:t>בביקורת</w:t>
      </w:r>
      <w:r w:rsidRPr="002F2BC5">
        <w:rPr>
          <w:rtl/>
        </w:rPr>
        <w:t xml:space="preserve"> המעקב הועלה כי הליקוי תוקן במידה מועטה</w:t>
      </w:r>
      <w:r w:rsidRPr="002F2BC5">
        <w:rPr>
          <w:rFonts w:hint="cs"/>
          <w:rtl/>
        </w:rPr>
        <w:t xml:space="preserve">. </w:t>
      </w:r>
      <w:r w:rsidRPr="002F2BC5">
        <w:rPr>
          <w:rFonts w:hint="eastAsia"/>
          <w:rtl/>
        </w:rPr>
        <w:t>במועד</w:t>
      </w:r>
      <w:r w:rsidRPr="002F2BC5">
        <w:rPr>
          <w:rtl/>
        </w:rPr>
        <w:t xml:space="preserve"> </w:t>
      </w:r>
      <w:r w:rsidRPr="002F2BC5">
        <w:rPr>
          <w:rFonts w:hint="eastAsia"/>
          <w:rtl/>
        </w:rPr>
        <w:t>סיום</w:t>
      </w:r>
      <w:r w:rsidRPr="002F2BC5">
        <w:rPr>
          <w:rtl/>
        </w:rPr>
        <w:t xml:space="preserve"> </w:t>
      </w:r>
      <w:r w:rsidRPr="002F2BC5">
        <w:rPr>
          <w:rFonts w:hint="eastAsia"/>
          <w:rtl/>
        </w:rPr>
        <w:t>ביקורת</w:t>
      </w:r>
      <w:r w:rsidRPr="002F2BC5">
        <w:rPr>
          <w:rtl/>
        </w:rPr>
        <w:t xml:space="preserve"> </w:t>
      </w:r>
      <w:r w:rsidRPr="002F2BC5">
        <w:rPr>
          <w:rFonts w:hint="eastAsia"/>
          <w:rtl/>
        </w:rPr>
        <w:t>המעקב</w:t>
      </w:r>
      <w:r w:rsidRPr="002F2BC5">
        <w:rPr>
          <w:rtl/>
        </w:rPr>
        <w:t xml:space="preserve">, </w:t>
      </w:r>
      <w:r w:rsidRPr="002F2BC5">
        <w:rPr>
          <w:rFonts w:hint="eastAsia"/>
          <w:rtl/>
        </w:rPr>
        <w:t>בדצמבר</w:t>
      </w:r>
      <w:r w:rsidRPr="002F2BC5">
        <w:rPr>
          <w:rtl/>
        </w:rPr>
        <w:t xml:space="preserve"> 2024, </w:t>
      </w:r>
      <w:r w:rsidRPr="002F2BC5">
        <w:rPr>
          <w:rFonts w:hint="eastAsia"/>
          <w:rtl/>
        </w:rPr>
        <w:t>החזיק</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בנתונים</w:t>
      </w:r>
      <w:r w:rsidRPr="002F2BC5">
        <w:rPr>
          <w:rtl/>
        </w:rPr>
        <w:t xml:space="preserve"> </w:t>
      </w:r>
      <w:r w:rsidRPr="002F2BC5">
        <w:rPr>
          <w:rFonts w:hint="eastAsia"/>
          <w:rtl/>
        </w:rPr>
        <w:t>חלקיים</w:t>
      </w:r>
      <w:r w:rsidRPr="002F2BC5">
        <w:rPr>
          <w:rtl/>
        </w:rPr>
        <w:t xml:space="preserve"> </w:t>
      </w:r>
      <w:r w:rsidRPr="002F2BC5">
        <w:rPr>
          <w:rFonts w:hint="eastAsia"/>
          <w:rtl/>
        </w:rPr>
        <w:t>בנוגע</w:t>
      </w:r>
      <w:r w:rsidRPr="002F2BC5">
        <w:rPr>
          <w:rtl/>
        </w:rPr>
        <w:t xml:space="preserve"> </w:t>
      </w:r>
      <w:r w:rsidRPr="002F2BC5">
        <w:rPr>
          <w:rFonts w:hint="eastAsia"/>
          <w:rtl/>
        </w:rPr>
        <w:t>לאיוש</w:t>
      </w:r>
      <w:r w:rsidRPr="002F2BC5">
        <w:rPr>
          <w:rtl/>
        </w:rPr>
        <w:t xml:space="preserve"> </w:t>
      </w:r>
      <w:r w:rsidRPr="002F2BC5">
        <w:rPr>
          <w:rFonts w:hint="eastAsia"/>
          <w:rtl/>
        </w:rPr>
        <w:t>תקני</w:t>
      </w:r>
      <w:r w:rsidRPr="002F2BC5">
        <w:rPr>
          <w:rtl/>
        </w:rPr>
        <w:t xml:space="preserve"> </w:t>
      </w:r>
      <w:r w:rsidRPr="002F2BC5">
        <w:rPr>
          <w:rFonts w:hint="eastAsia"/>
          <w:rtl/>
        </w:rPr>
        <w:t>כוח</w:t>
      </w:r>
      <w:r w:rsidRPr="002F2BC5">
        <w:rPr>
          <w:rtl/>
        </w:rPr>
        <w:t xml:space="preserve"> </w:t>
      </w:r>
      <w:r w:rsidRPr="002F2BC5">
        <w:rPr>
          <w:rFonts w:hint="eastAsia"/>
          <w:rtl/>
        </w:rPr>
        <w:t>האדם</w:t>
      </w:r>
      <w:r w:rsidRPr="002F2BC5">
        <w:rPr>
          <w:rtl/>
        </w:rPr>
        <w:t xml:space="preserve"> </w:t>
      </w:r>
      <w:r w:rsidRPr="002F2BC5">
        <w:rPr>
          <w:rFonts w:hint="eastAsia"/>
          <w:rtl/>
        </w:rPr>
        <w:t>הייעודיים</w:t>
      </w:r>
      <w:r w:rsidRPr="002F2BC5">
        <w:rPr>
          <w:rtl/>
        </w:rPr>
        <w:t xml:space="preserve"> </w:t>
      </w:r>
      <w:r w:rsidRPr="002F2BC5">
        <w:rPr>
          <w:rFonts w:hint="eastAsia"/>
          <w:rtl/>
        </w:rPr>
        <w:t>במרכזים</w:t>
      </w:r>
      <w:r w:rsidRPr="002F2BC5">
        <w:rPr>
          <w:rtl/>
        </w:rPr>
        <w:t xml:space="preserve"> </w:t>
      </w:r>
      <w:r w:rsidRPr="002F2BC5">
        <w:rPr>
          <w:rFonts w:hint="eastAsia"/>
          <w:rtl/>
        </w:rPr>
        <w:t>לטיפול</w:t>
      </w:r>
      <w:r w:rsidRPr="002F2BC5">
        <w:rPr>
          <w:rtl/>
        </w:rPr>
        <w:t xml:space="preserve"> </w:t>
      </w:r>
      <w:r w:rsidRPr="002F2BC5">
        <w:rPr>
          <w:rFonts w:hint="eastAsia"/>
          <w:rtl/>
        </w:rPr>
        <w:t>ולמניעת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w:t>
      </w:r>
      <w:r w:rsidRPr="002F2BC5">
        <w:rPr>
          <w:rFonts w:hint="cs"/>
          <w:rtl/>
        </w:rPr>
        <w:t xml:space="preserve"> בנוסף לכך, בשש מתוך תשע הרשויות המקומיות שנבדקו בעניין זה עומס העבודה על העובדים הסוציאליים במרכזים לטיפול ומניעת אלימות במשפחה היה גבוה בביקורת המעקב מכפי שנמסר בביקורת הקודמת.</w:t>
      </w:r>
      <w:bookmarkEnd w:id="1603"/>
      <w:bookmarkEnd w:id="1604"/>
      <w:bookmarkEnd w:id="1605"/>
      <w:bookmarkEnd w:id="1606"/>
      <w:bookmarkEnd w:id="1607"/>
      <w:bookmarkEnd w:id="1608"/>
      <w:bookmarkEnd w:id="1609"/>
    </w:p>
    <w:p w14:paraId="044D23E0" w14:textId="77777777" w:rsidR="00817399" w:rsidRPr="002F2BC5" w:rsidRDefault="00817399" w:rsidP="00817399">
      <w:pPr>
        <w:spacing w:line="269" w:lineRule="auto"/>
        <w:rPr>
          <w:rtl/>
        </w:rPr>
      </w:pPr>
    </w:p>
    <w:p w14:paraId="1E65FAF4"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חדרה</w:t>
      </w:r>
      <w:r w:rsidRPr="002F2BC5">
        <w:rPr>
          <w:rFonts w:hint="cs"/>
          <w:rtl/>
        </w:rPr>
        <w:t xml:space="preserve"> מסרה בתשובתה כי עומס העבודה במרכז שבהפעלתה התגבר על רקע העלייה במספר המטופלים. גם העיריות בית </w:t>
      </w:r>
      <w:r w:rsidRPr="002F2BC5">
        <w:rPr>
          <w:rFonts w:hint="eastAsia"/>
          <w:b/>
          <w:bCs/>
          <w:rtl/>
        </w:rPr>
        <w:t>שמש</w:t>
      </w:r>
      <w:r w:rsidRPr="002F2BC5">
        <w:rPr>
          <w:rFonts w:hint="cs"/>
          <w:rtl/>
        </w:rPr>
        <w:t xml:space="preserve"> ו</w:t>
      </w:r>
      <w:r w:rsidRPr="002F2BC5">
        <w:rPr>
          <w:rFonts w:hint="eastAsia"/>
          <w:b/>
          <w:bCs/>
          <w:rtl/>
        </w:rPr>
        <w:t>בני</w:t>
      </w:r>
      <w:r w:rsidRPr="002F2BC5">
        <w:rPr>
          <w:b/>
          <w:bCs/>
          <w:rtl/>
        </w:rPr>
        <w:t xml:space="preserve"> </w:t>
      </w:r>
      <w:r w:rsidRPr="002F2BC5">
        <w:rPr>
          <w:rFonts w:hint="eastAsia"/>
          <w:b/>
          <w:bCs/>
          <w:rtl/>
        </w:rPr>
        <w:t>ברק</w:t>
      </w:r>
      <w:r w:rsidRPr="002F2BC5">
        <w:rPr>
          <w:rFonts w:hint="cs"/>
          <w:rtl/>
        </w:rPr>
        <w:t xml:space="preserve"> מסרו בתשובותיהן כי חלה עלייה ניכרת במספר המטופלים במרכז שכל אחת מהן מפעילה, בעוד שתקני כוח האדם במרכז אינם מאוישים במלואם. עיריית בית שמש הוסיפה כי לנוכח העלייה במשך ההמתנה לטיפול, המרכז שבהפעלתה החל להפעיל קבוצת אינטייק לנשים, המאפשרת מענה ראשוני לצורכיהן. עיריית </w:t>
      </w:r>
      <w:r w:rsidRPr="002F2BC5">
        <w:rPr>
          <w:rFonts w:hint="cs"/>
          <w:b/>
          <w:bCs/>
          <w:rtl/>
        </w:rPr>
        <w:t>יבנה</w:t>
      </w:r>
      <w:r w:rsidRPr="002F2BC5">
        <w:rPr>
          <w:rFonts w:hint="cs"/>
          <w:rtl/>
        </w:rPr>
        <w:t xml:space="preserve"> מסרה בתשובתה כי היא פועלת במאמץ רב לצמצום הפערים בכוח האדם ואף הגדילה את תקינת כוח האדם המאוישת. עם זאת, היא נתקלת בקושי משמעותי לגייס עובדים סוציאליים, בפרט בתחום האלימות במשפחה, בשל תנאי השכר שבאפשרותה להציע להם מול אפשרויות העיסוק בתחום זה במגזר הפרטי ובקליניקות פרטיות. גם עיריית </w:t>
      </w:r>
      <w:r w:rsidRPr="002F2BC5">
        <w:rPr>
          <w:rFonts w:hint="eastAsia"/>
          <w:b/>
          <w:bCs/>
          <w:rtl/>
        </w:rPr>
        <w:t>ראש</w:t>
      </w:r>
      <w:r w:rsidRPr="002F2BC5">
        <w:rPr>
          <w:b/>
          <w:bCs/>
          <w:rtl/>
        </w:rPr>
        <w:t xml:space="preserve"> </w:t>
      </w:r>
      <w:r w:rsidRPr="002F2BC5">
        <w:rPr>
          <w:rFonts w:hint="eastAsia"/>
          <w:b/>
          <w:bCs/>
          <w:rtl/>
        </w:rPr>
        <w:t>העין</w:t>
      </w:r>
      <w:r w:rsidRPr="002F2BC5">
        <w:rPr>
          <w:rFonts w:hint="cs"/>
          <w:rtl/>
        </w:rPr>
        <w:t xml:space="preserve"> מסרה בתשובתה </w:t>
      </w:r>
      <w:r w:rsidRPr="002F2BC5">
        <w:rPr>
          <w:rFonts w:hint="eastAsia"/>
          <w:rtl/>
        </w:rPr>
        <w:t>כי</w:t>
      </w:r>
      <w:r w:rsidRPr="002F2BC5">
        <w:rPr>
          <w:rtl/>
        </w:rPr>
        <w:t xml:space="preserve"> </w:t>
      </w:r>
      <w:r w:rsidRPr="002F2BC5">
        <w:rPr>
          <w:rFonts w:hint="eastAsia"/>
          <w:rtl/>
        </w:rPr>
        <w:t>נכון</w:t>
      </w:r>
      <w:r w:rsidRPr="002F2BC5">
        <w:rPr>
          <w:rtl/>
        </w:rPr>
        <w:t xml:space="preserve"> למועד תשובתה </w:t>
      </w:r>
      <w:r w:rsidRPr="002F2BC5">
        <w:rPr>
          <w:rFonts w:hint="eastAsia"/>
          <w:rtl/>
        </w:rPr>
        <w:t>לא</w:t>
      </w:r>
      <w:r w:rsidRPr="002F2BC5">
        <w:rPr>
          <w:rtl/>
        </w:rPr>
        <w:t xml:space="preserve"> כל תקני כוח האדם במרכז </w:t>
      </w:r>
      <w:r w:rsidRPr="002F2BC5">
        <w:rPr>
          <w:rFonts w:hint="eastAsia"/>
          <w:rtl/>
        </w:rPr>
        <w:t>היו</w:t>
      </w:r>
      <w:r w:rsidRPr="002F2BC5">
        <w:rPr>
          <w:rtl/>
        </w:rPr>
        <w:t xml:space="preserve"> </w:t>
      </w:r>
      <w:r w:rsidRPr="002F2BC5">
        <w:rPr>
          <w:rFonts w:hint="eastAsia"/>
          <w:rtl/>
        </w:rPr>
        <w:t>מאוישים</w:t>
      </w:r>
      <w:r w:rsidRPr="002F2BC5">
        <w:rPr>
          <w:rFonts w:hint="cs"/>
          <w:rtl/>
        </w:rPr>
        <w:t xml:space="preserve">, והוסיפה כי קיים קושי לגייס עובדים סוציאליים למגזר הציבורי. עיריית </w:t>
      </w:r>
      <w:r w:rsidRPr="002F2BC5">
        <w:rPr>
          <w:rFonts w:hint="eastAsia"/>
          <w:b/>
          <w:bCs/>
          <w:rtl/>
        </w:rPr>
        <w:t>סח</w:t>
      </w:r>
      <w:r w:rsidRPr="002F2BC5">
        <w:rPr>
          <w:b/>
          <w:bCs/>
          <w:rtl/>
        </w:rPr>
        <w:t xml:space="preserve">'נין </w:t>
      </w:r>
      <w:r w:rsidRPr="002F2BC5">
        <w:rPr>
          <w:rFonts w:hint="cs"/>
          <w:rtl/>
        </w:rPr>
        <w:t xml:space="preserve">מסרה בתשובתה כי </w:t>
      </w:r>
      <w:r w:rsidRPr="002F2BC5">
        <w:rPr>
          <w:rFonts w:hint="eastAsia"/>
          <w:rtl/>
        </w:rPr>
        <w:t>תקינת</w:t>
      </w:r>
      <w:r w:rsidRPr="002F2BC5">
        <w:rPr>
          <w:rtl/>
        </w:rPr>
        <w:t xml:space="preserve"> כוח האדם </w:t>
      </w:r>
      <w:r w:rsidRPr="002F2BC5">
        <w:rPr>
          <w:rFonts w:hint="eastAsia"/>
          <w:rtl/>
        </w:rPr>
        <w:t>אינה</w:t>
      </w:r>
      <w:r w:rsidRPr="002F2BC5">
        <w:rPr>
          <w:rtl/>
        </w:rPr>
        <w:t xml:space="preserve"> מאוישת </w:t>
      </w:r>
      <w:r w:rsidRPr="002F2BC5">
        <w:rPr>
          <w:rFonts w:hint="eastAsia"/>
          <w:rtl/>
        </w:rPr>
        <w:t>במלואה</w:t>
      </w:r>
      <w:r w:rsidRPr="002F2BC5">
        <w:rPr>
          <w:rtl/>
        </w:rPr>
        <w:t xml:space="preserve"> באישור משרד הרווחה</w:t>
      </w:r>
      <w:r w:rsidRPr="002F2BC5">
        <w:rPr>
          <w:rFonts w:hint="cs"/>
          <w:rtl/>
        </w:rPr>
        <w:t>.</w:t>
      </w:r>
    </w:p>
    <w:p w14:paraId="49592D6B" w14:textId="77777777" w:rsidR="00817399" w:rsidRPr="002F2BC5" w:rsidRDefault="00817399" w:rsidP="00817399">
      <w:pPr>
        <w:spacing w:line="269" w:lineRule="auto"/>
        <w:rPr>
          <w:rtl/>
        </w:rPr>
      </w:pPr>
    </w:p>
    <w:p w14:paraId="7D304659" w14:textId="77777777" w:rsidR="00817399" w:rsidRPr="002F2BC5" w:rsidRDefault="00817399" w:rsidP="00817399">
      <w:pPr>
        <w:spacing w:line="269" w:lineRule="auto"/>
        <w:rPr>
          <w:rtl/>
        </w:rPr>
      </w:pPr>
      <w:r w:rsidRPr="002F2BC5">
        <w:rPr>
          <w:rFonts w:hint="cs"/>
          <w:rtl/>
        </w:rPr>
        <w:t xml:space="preserve">מרכז השלטון המקומי מסר בתשובתו כי נושא האלימות במשפחה מצוי בליבת עשייתן של המחלקות לשירותים חברתיים, אך הן נתונות תחת מגבלות משמעותיות של משאבים ושל כוח אדם מקצועי, וזאת בפרט לנוכח היעדרו של סרגל תקינה מחייב וברקע מלחמת חרבות ברזל. </w:t>
      </w:r>
    </w:p>
    <w:p w14:paraId="4007B46D" w14:textId="77777777" w:rsidR="00817399" w:rsidRPr="002F2BC5" w:rsidRDefault="00817399" w:rsidP="00817399">
      <w:pPr>
        <w:spacing w:line="269" w:lineRule="auto"/>
        <w:rPr>
          <w:rtl/>
        </w:rPr>
      </w:pPr>
    </w:p>
    <w:p w14:paraId="02A18940" w14:textId="77777777" w:rsidR="00817399" w:rsidRPr="002F2BC5" w:rsidRDefault="00817399" w:rsidP="00817399">
      <w:pPr>
        <w:pStyle w:val="afffffffa"/>
        <w:spacing w:line="269" w:lineRule="auto"/>
        <w:rPr>
          <w:rtl/>
        </w:rPr>
      </w:pPr>
      <w:bookmarkStart w:id="1610" w:name="_Toc192093149"/>
      <w:bookmarkStart w:id="1611" w:name="_Toc192612857"/>
      <w:bookmarkStart w:id="1612" w:name="_Toc198312298"/>
      <w:bookmarkStart w:id="1613" w:name="_Toc198312777"/>
      <w:bookmarkStart w:id="1614" w:name="_Toc200636946"/>
      <w:bookmarkStart w:id="1615" w:name="_Toc200439944"/>
      <w:bookmarkStart w:id="1616" w:name="_Toc201241049"/>
      <w:r w:rsidRPr="002F2BC5">
        <w:rPr>
          <w:rFonts w:hint="cs"/>
          <w:rtl/>
        </w:rPr>
        <w:t>משרד מבקר המדינה מציין את המהלך שהחל לקדם משרד הרווחה בשנת 2023 בנוגע להסדרת מודל עבודה למרכזים לטיפול ומניעת אלימות במשפחה.</w:t>
      </w:r>
      <w:bookmarkEnd w:id="1610"/>
      <w:bookmarkEnd w:id="1611"/>
      <w:bookmarkEnd w:id="1612"/>
      <w:bookmarkEnd w:id="1613"/>
      <w:bookmarkEnd w:id="1614"/>
      <w:bookmarkEnd w:id="1615"/>
      <w:bookmarkEnd w:id="1616"/>
      <w:r w:rsidRPr="002F2BC5">
        <w:rPr>
          <w:rFonts w:hint="cs"/>
          <w:rtl/>
        </w:rPr>
        <w:t xml:space="preserve"> </w:t>
      </w:r>
    </w:p>
    <w:p w14:paraId="0A1B12F4" w14:textId="77777777" w:rsidR="00817399" w:rsidRPr="002F2BC5" w:rsidRDefault="00817399" w:rsidP="00817399">
      <w:pPr>
        <w:spacing w:line="269" w:lineRule="auto"/>
        <w:rPr>
          <w:rtl/>
        </w:rPr>
      </w:pPr>
    </w:p>
    <w:p w14:paraId="4BB2BEAF" w14:textId="77777777" w:rsidR="00817399" w:rsidRPr="002F2BC5" w:rsidRDefault="00817399" w:rsidP="00817399">
      <w:pPr>
        <w:pStyle w:val="afffffffa"/>
        <w:spacing w:line="269" w:lineRule="auto"/>
        <w:rPr>
          <w:rtl/>
        </w:rPr>
      </w:pPr>
      <w:bookmarkStart w:id="1617" w:name="_Toc192093150"/>
      <w:bookmarkStart w:id="1618" w:name="_Toc192612858"/>
      <w:bookmarkStart w:id="1619" w:name="_Toc198312299"/>
      <w:bookmarkStart w:id="1620" w:name="_Toc198312778"/>
      <w:bookmarkStart w:id="1621" w:name="_Toc200636947"/>
      <w:bookmarkStart w:id="1622" w:name="_Toc200439945"/>
      <w:bookmarkStart w:id="1623" w:name="_Toc201241050"/>
      <w:r w:rsidRPr="002F2BC5">
        <w:rPr>
          <w:rFonts w:hint="cs"/>
          <w:rtl/>
        </w:rPr>
        <w:t xml:space="preserve">לצד זאת על משרד הרווחה להקפיד על איסוף שיטתי של נתונים על היקף המטופלים במרכזים והתקדמות הטיפול בהם, כפי שמסר שיעשה עוד בביקורת הקודמת. זאת כדי שיוכל לעקוב באופן שיטתי וסדור אחר עומסי העבודה המוטלים על העובדים הסוציאליים ואחר הסיבות לעומסים </w:t>
      </w:r>
      <w:r w:rsidRPr="002F2BC5">
        <w:rPr>
          <w:rFonts w:hint="cs"/>
          <w:rtl/>
        </w:rPr>
        <w:lastRenderedPageBreak/>
        <w:t>אלו וההשלכות שלהם, ובהתאם לכך יוכל להעריך את דרכי ההתמודדות עם העומסים באופן מושכל ומיטבי. בתוך כך, על משרד הרווחה להשלים את איסוף ועיבוד הנתונים על איוש תקני כוח האדם במרכזים, לאחר השלמת קליטתם של כלל העובדים הסוציאליים במרכזים בהעסקה ישירה במסגרת יישום הסכם "כתף אל כתף".</w:t>
      </w:r>
      <w:bookmarkEnd w:id="1617"/>
      <w:bookmarkEnd w:id="1618"/>
      <w:bookmarkEnd w:id="1619"/>
      <w:bookmarkEnd w:id="1620"/>
      <w:bookmarkEnd w:id="1621"/>
      <w:bookmarkEnd w:id="1622"/>
      <w:bookmarkEnd w:id="1623"/>
    </w:p>
    <w:p w14:paraId="234A1835" w14:textId="77777777" w:rsidR="00817399" w:rsidRPr="002F2BC5" w:rsidRDefault="00817399" w:rsidP="00817399">
      <w:pPr>
        <w:spacing w:line="269" w:lineRule="auto"/>
        <w:rPr>
          <w:rtl/>
        </w:rPr>
      </w:pPr>
    </w:p>
    <w:p w14:paraId="6C8F6F3C" w14:textId="77777777" w:rsidR="00817399" w:rsidRPr="002F2BC5" w:rsidRDefault="00817399" w:rsidP="00817399">
      <w:pPr>
        <w:spacing w:line="269" w:lineRule="auto"/>
        <w:rPr>
          <w:rtl/>
        </w:rPr>
      </w:pPr>
      <w:r w:rsidRPr="002F2BC5">
        <w:rPr>
          <w:rtl/>
        </w:rPr>
        <w:t xml:space="preserve">משרד הרווחה </w:t>
      </w:r>
      <w:r w:rsidRPr="002F2BC5">
        <w:rPr>
          <w:rFonts w:hint="cs"/>
          <w:rtl/>
        </w:rPr>
        <w:t>מסר בתשובתו כי הוא פועל לאיסוף הנתונים על היקף המטופלים במרכזים לטיפול ומניעת אלימות במשפחה ועל התקדמות הטיפול בהם במסגרת השלמת יישום הסכם "כתף אל כתף" וכן באמצעות המערכת הממוחשבת החדשה ומערכת הפיקוח המרכזית</w:t>
      </w:r>
      <w:r w:rsidRPr="002F2BC5">
        <w:rPr>
          <w:rtl/>
        </w:rPr>
        <w:t>.</w:t>
      </w:r>
    </w:p>
    <w:p w14:paraId="55AB43A9" w14:textId="77777777" w:rsidR="00817399" w:rsidRPr="002F2BC5" w:rsidRDefault="00817399" w:rsidP="00817399">
      <w:pPr>
        <w:spacing w:line="269" w:lineRule="auto"/>
        <w:rPr>
          <w:rtl/>
        </w:rPr>
      </w:pPr>
    </w:p>
    <w:p w14:paraId="264F95C5"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56316535" w14:textId="77777777" w:rsidR="00817399" w:rsidRPr="002F2BC5" w:rsidRDefault="00817399" w:rsidP="00817399">
      <w:pPr>
        <w:pStyle w:val="afffffff7"/>
        <w:spacing w:before="0" w:line="269" w:lineRule="auto"/>
        <w:rPr>
          <w:b/>
          <w:bCs/>
          <w:rtl/>
        </w:rPr>
      </w:pPr>
      <w:bookmarkStart w:id="1624" w:name="_Toc198312300"/>
      <w:bookmarkStart w:id="1625" w:name="_Toc198312779"/>
      <w:bookmarkStart w:id="1626" w:name="_Toc189072262"/>
      <w:r w:rsidRPr="002F2BC5">
        <w:rPr>
          <w:b/>
          <w:bCs/>
          <w:noProof/>
        </w:rPr>
        <w:drawing>
          <wp:inline distT="0" distB="0" distL="0" distR="0" wp14:anchorId="3D1C2B11" wp14:editId="7CACFE91">
            <wp:extent cx="4324350" cy="933450"/>
            <wp:effectExtent l="0" t="0" r="0" b="0"/>
            <wp:docPr id="39"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624"/>
      <w:bookmarkEnd w:id="1625"/>
    </w:p>
    <w:p w14:paraId="40047666" w14:textId="77777777" w:rsidR="00817399" w:rsidRPr="002F2BC5" w:rsidRDefault="00817399" w:rsidP="00817399">
      <w:pPr>
        <w:spacing w:line="269" w:lineRule="auto"/>
        <w:rPr>
          <w:rtl/>
        </w:rPr>
      </w:pPr>
    </w:p>
    <w:p w14:paraId="063F0039" w14:textId="77777777" w:rsidR="00817399" w:rsidRPr="002F2BC5" w:rsidRDefault="00817399" w:rsidP="00817399">
      <w:pPr>
        <w:pStyle w:val="1ff"/>
        <w:bidi/>
        <w:rPr>
          <w:rtl/>
        </w:rPr>
      </w:pPr>
      <w:bookmarkStart w:id="1627" w:name="_Toc191987092"/>
      <w:bookmarkEnd w:id="1626"/>
      <w:r w:rsidRPr="002F2BC5">
        <w:rPr>
          <w:rFonts w:hint="cs"/>
          <w:rtl/>
        </w:rPr>
        <w:t>משך ההמתנה לטיפול במרכזים לטיפול ומניעת אלימות במשפחה</w:t>
      </w:r>
      <w:bookmarkEnd w:id="1627"/>
    </w:p>
    <w:p w14:paraId="39F84407" w14:textId="77777777" w:rsidR="00817399" w:rsidRPr="002F2BC5" w:rsidRDefault="00817399" w:rsidP="00817399">
      <w:pPr>
        <w:spacing w:line="269" w:lineRule="auto"/>
        <w:rPr>
          <w:rtl/>
        </w:rPr>
      </w:pPr>
    </w:p>
    <w:p w14:paraId="045698AA" w14:textId="77777777" w:rsidR="00817399" w:rsidRPr="002F2BC5" w:rsidRDefault="00817399" w:rsidP="00817399">
      <w:pPr>
        <w:spacing w:line="269" w:lineRule="auto"/>
        <w:rPr>
          <w:rtl/>
        </w:rPr>
      </w:pPr>
      <w:r w:rsidRPr="002F2BC5">
        <w:rPr>
          <w:rFonts w:hint="cs"/>
          <w:rtl/>
        </w:rPr>
        <w:t>על פי הוראות התע"ס, הבטחת מענה מיטבי בתחום האלימות במשפחה מחייבת מיידיות וזמינות במתן הסיוע. על גורמי הטיפול להיערך למתן סיוע לנפגעי אלימות במשפחה ככל האפשר ללא עיכוב וללא המתנה, וזאת ללא קשר לדרגת הסיכון של הנפגע בטרם עבר "אבחון יסודי"</w:t>
      </w:r>
      <w:r w:rsidRPr="002F2BC5">
        <w:rPr>
          <w:rStyle w:val="af9"/>
          <w:rtl/>
        </w:rPr>
        <w:footnoteReference w:id="326"/>
      </w:r>
      <w:r w:rsidRPr="002F2BC5">
        <w:rPr>
          <w:rFonts w:hint="cs"/>
          <w:rtl/>
        </w:rPr>
        <w:t xml:space="preserve">. </w:t>
      </w:r>
    </w:p>
    <w:p w14:paraId="092B5640" w14:textId="77777777" w:rsidR="00817399" w:rsidRPr="002F2BC5" w:rsidRDefault="00817399" w:rsidP="00817399">
      <w:pPr>
        <w:spacing w:line="269" w:lineRule="auto"/>
        <w:rPr>
          <w:rtl/>
        </w:rPr>
      </w:pPr>
    </w:p>
    <w:p w14:paraId="5E989A55" w14:textId="77777777" w:rsidR="00817399" w:rsidRPr="002F2BC5" w:rsidRDefault="00817399" w:rsidP="00817399">
      <w:pPr>
        <w:spacing w:line="269" w:lineRule="auto"/>
        <w:rPr>
          <w:rtl/>
        </w:rPr>
      </w:pPr>
      <w:bookmarkStart w:id="1628" w:name="_Toc191987093"/>
      <w:r w:rsidRPr="002F2BC5">
        <w:rPr>
          <w:rStyle w:val="70"/>
          <w:rFonts w:hint="cs"/>
          <w:rtl/>
        </w:rPr>
        <w:t>הביקורת הקודמת:</w:t>
      </w:r>
      <w:bookmarkEnd w:id="1628"/>
      <w:r w:rsidRPr="002F2BC5">
        <w:rPr>
          <w:rStyle w:val="70"/>
          <w:rFonts w:hint="cs"/>
          <w:rtl/>
        </w:rPr>
        <w:t xml:space="preserve"> </w:t>
      </w:r>
      <w:r w:rsidRPr="002F2BC5">
        <w:rPr>
          <w:rFonts w:hint="cs"/>
          <w:rtl/>
        </w:rPr>
        <w:t xml:space="preserve">במהלך הביקורת הקודמת לא נמסרו נתונים ממשרד הרווחה בדבר משך ההמתנה לטיפול במרכזים. מניתוח נתונים שנאספו מהרשויות המקומיות שנבדקו עלה כי משך ההמתנה המשוער </w:t>
      </w:r>
      <w:r w:rsidRPr="002F2BC5">
        <w:rPr>
          <w:rtl/>
        </w:rPr>
        <w:t>לקבלת טיפול</w:t>
      </w:r>
      <w:r w:rsidRPr="002F2BC5">
        <w:rPr>
          <w:rFonts w:hint="cs"/>
          <w:rtl/>
        </w:rPr>
        <w:t xml:space="preserve"> מרגע הסכמתו של המטופל לקבלת הטיפול היה עשוי להגיע לשלושה חודשים: בעיריות </w:t>
      </w:r>
      <w:r w:rsidRPr="002F2BC5">
        <w:rPr>
          <w:rFonts w:hint="cs"/>
          <w:b/>
          <w:bCs/>
          <w:rtl/>
        </w:rPr>
        <w:t>סח</w:t>
      </w:r>
      <w:r w:rsidRPr="002F2BC5">
        <w:rPr>
          <w:b/>
          <w:bCs/>
          <w:rtl/>
        </w:rPr>
        <w:t>'</w:t>
      </w:r>
      <w:r w:rsidRPr="002F2BC5">
        <w:rPr>
          <w:rFonts w:hint="cs"/>
          <w:b/>
          <w:bCs/>
          <w:rtl/>
        </w:rPr>
        <w:t>נין</w:t>
      </w:r>
      <w:r w:rsidRPr="002F2BC5">
        <w:rPr>
          <w:rFonts w:hint="cs"/>
          <w:rtl/>
        </w:rPr>
        <w:t xml:space="preserve"> ו</w:t>
      </w:r>
      <w:r w:rsidRPr="002F2BC5">
        <w:rPr>
          <w:rFonts w:hint="cs"/>
          <w:b/>
          <w:bCs/>
          <w:rtl/>
        </w:rPr>
        <w:t>דימונה</w:t>
      </w:r>
      <w:r w:rsidRPr="002F2BC5">
        <w:rPr>
          <w:rFonts w:hint="cs"/>
          <w:rtl/>
        </w:rPr>
        <w:t xml:space="preserve"> היה משך ההמתנה כחודש וחצי וכחודש, בהתאמה; בעיריית </w:t>
      </w:r>
      <w:r w:rsidRPr="002F2BC5">
        <w:rPr>
          <w:rFonts w:hint="cs"/>
          <w:b/>
          <w:bCs/>
          <w:rtl/>
        </w:rPr>
        <w:t>עכו</w:t>
      </w:r>
      <w:r w:rsidRPr="002F2BC5">
        <w:rPr>
          <w:rFonts w:hint="cs"/>
          <w:rtl/>
        </w:rPr>
        <w:t xml:space="preserve"> היה משך ההמתנה כשבועיים; בעיריית </w:t>
      </w:r>
      <w:r w:rsidRPr="002F2BC5">
        <w:rPr>
          <w:rFonts w:hint="cs"/>
          <w:b/>
          <w:bCs/>
          <w:rtl/>
        </w:rPr>
        <w:t>חדרה</w:t>
      </w:r>
      <w:r w:rsidRPr="002F2BC5">
        <w:rPr>
          <w:rFonts w:hint="cs"/>
          <w:rtl/>
        </w:rPr>
        <w:t xml:space="preserve"> היה משך ההמתנה במקרים דחופים יום אחד ובמקרים אחרים - בין שבוע לשבועיים; בעיריות </w:t>
      </w:r>
      <w:r w:rsidRPr="002F2BC5">
        <w:rPr>
          <w:rFonts w:hint="cs"/>
          <w:b/>
          <w:bCs/>
          <w:rtl/>
        </w:rPr>
        <w:t>בית שמש</w:t>
      </w:r>
      <w:r w:rsidRPr="002F2BC5">
        <w:rPr>
          <w:rFonts w:hint="cs"/>
          <w:rtl/>
        </w:rPr>
        <w:t xml:space="preserve"> ו</w:t>
      </w:r>
      <w:r w:rsidRPr="002F2BC5">
        <w:rPr>
          <w:rFonts w:hint="cs"/>
          <w:b/>
          <w:bCs/>
          <w:rtl/>
        </w:rPr>
        <w:t>בני ברק</w:t>
      </w:r>
      <w:r w:rsidRPr="002F2BC5">
        <w:rPr>
          <w:rFonts w:hint="cs"/>
          <w:rtl/>
        </w:rPr>
        <w:t xml:space="preserve"> מקרים דחופים נענו באופן מיידי, ובמקרים אחרים משך ההמתנה עמד על כשבוע ימים; אשר לעיריות </w:t>
      </w:r>
      <w:r w:rsidRPr="002F2BC5">
        <w:rPr>
          <w:rFonts w:hint="cs"/>
          <w:b/>
          <w:bCs/>
          <w:rtl/>
        </w:rPr>
        <w:t>רהט</w:t>
      </w:r>
      <w:r w:rsidRPr="002F2BC5">
        <w:rPr>
          <w:rFonts w:hint="cs"/>
          <w:rtl/>
        </w:rPr>
        <w:t xml:space="preserve"> ו</w:t>
      </w:r>
      <w:r w:rsidRPr="002F2BC5">
        <w:rPr>
          <w:rFonts w:hint="cs"/>
          <w:b/>
          <w:bCs/>
          <w:rtl/>
        </w:rPr>
        <w:t xml:space="preserve">ראש העין </w:t>
      </w:r>
      <w:r w:rsidRPr="002F2BC5">
        <w:rPr>
          <w:rFonts w:hint="cs"/>
          <w:rtl/>
        </w:rPr>
        <w:t>נמסר כי</w:t>
      </w:r>
      <w:r w:rsidRPr="002F2BC5">
        <w:rPr>
          <w:rFonts w:hint="cs"/>
          <w:b/>
          <w:bCs/>
          <w:rtl/>
        </w:rPr>
        <w:t xml:space="preserve"> </w:t>
      </w:r>
      <w:r w:rsidRPr="002F2BC5">
        <w:rPr>
          <w:rFonts w:hint="cs"/>
          <w:rtl/>
        </w:rPr>
        <w:t xml:space="preserve">כלל המקרים נענו באופן מיידי וללא המתנה. בחלק מהרשויות המקומיות היה זמן ההמתנה עבור תושבי חוץ ארוך יותר: בעיריית </w:t>
      </w:r>
      <w:r w:rsidRPr="002F2BC5">
        <w:rPr>
          <w:rFonts w:hint="cs"/>
          <w:b/>
          <w:bCs/>
          <w:rtl/>
        </w:rPr>
        <w:t>סח</w:t>
      </w:r>
      <w:r w:rsidRPr="002F2BC5">
        <w:rPr>
          <w:b/>
          <w:bCs/>
          <w:rtl/>
        </w:rPr>
        <w:t>'</w:t>
      </w:r>
      <w:r w:rsidRPr="002F2BC5">
        <w:rPr>
          <w:rFonts w:hint="cs"/>
          <w:b/>
          <w:bCs/>
          <w:rtl/>
        </w:rPr>
        <w:t>נין</w:t>
      </w:r>
      <w:r w:rsidRPr="002F2BC5">
        <w:rPr>
          <w:rFonts w:hint="cs"/>
          <w:rtl/>
        </w:rPr>
        <w:t xml:space="preserve"> היה משך ההמתנה כחודשיים, ובעיריית </w:t>
      </w:r>
      <w:r w:rsidRPr="002F2BC5">
        <w:rPr>
          <w:rFonts w:hint="cs"/>
          <w:b/>
          <w:bCs/>
          <w:rtl/>
        </w:rPr>
        <w:t>בית שמש</w:t>
      </w:r>
      <w:r w:rsidRPr="002F2BC5">
        <w:rPr>
          <w:rFonts w:hint="cs"/>
          <w:rtl/>
        </w:rPr>
        <w:t xml:space="preserve"> כשבועיים. בעיריית </w:t>
      </w:r>
      <w:r w:rsidRPr="002F2BC5">
        <w:rPr>
          <w:b/>
          <w:bCs/>
          <w:rtl/>
        </w:rPr>
        <w:t>בני ברק</w:t>
      </w:r>
      <w:r w:rsidRPr="002F2BC5">
        <w:rPr>
          <w:rFonts w:hint="cs"/>
          <w:rtl/>
        </w:rPr>
        <w:t xml:space="preserve"> נמסר כי משך ההמתנה לטיפול עבור תושבי חוץ ממושך יותר בשל התנייתו</w:t>
      </w:r>
      <w:r w:rsidRPr="002F2BC5">
        <w:rPr>
          <w:rtl/>
        </w:rPr>
        <w:t xml:space="preserve"> באישור ו</w:t>
      </w:r>
      <w:r w:rsidRPr="002F2BC5">
        <w:rPr>
          <w:rFonts w:hint="cs"/>
          <w:rtl/>
        </w:rPr>
        <w:t>ב</w:t>
      </w:r>
      <w:r w:rsidRPr="002F2BC5">
        <w:rPr>
          <w:rtl/>
        </w:rPr>
        <w:t xml:space="preserve">השמה של הרשות </w:t>
      </w:r>
      <w:r w:rsidRPr="002F2BC5">
        <w:rPr>
          <w:rFonts w:hint="cs"/>
          <w:rtl/>
        </w:rPr>
        <w:t xml:space="preserve">המפנה וכי מקרים דחופים נענים על ידי הרשות המפנה. </w:t>
      </w:r>
    </w:p>
    <w:p w14:paraId="1F659ADA" w14:textId="77777777" w:rsidR="00817399" w:rsidRPr="002F2BC5" w:rsidRDefault="00817399" w:rsidP="00817399">
      <w:pPr>
        <w:spacing w:line="269" w:lineRule="auto"/>
        <w:rPr>
          <w:rtl/>
        </w:rPr>
      </w:pPr>
    </w:p>
    <w:p w14:paraId="17F26D39" w14:textId="77777777" w:rsidR="00817399" w:rsidRPr="002F2BC5" w:rsidRDefault="00817399" w:rsidP="00817399">
      <w:pPr>
        <w:spacing w:line="269" w:lineRule="auto"/>
        <w:rPr>
          <w:rtl/>
        </w:rPr>
      </w:pPr>
      <w:r w:rsidRPr="002F2BC5">
        <w:rPr>
          <w:rFonts w:hint="cs"/>
          <w:rtl/>
        </w:rPr>
        <w:t>בכלל הרשויות שנבדקו עלה כי הסיבות העיקריות להמתנה לטיפול של יותר משבוע ימים היו</w:t>
      </w:r>
      <w:r w:rsidRPr="002F2BC5">
        <w:rPr>
          <w:rtl/>
        </w:rPr>
        <w:t xml:space="preserve"> </w:t>
      </w:r>
      <w:r w:rsidRPr="002F2BC5">
        <w:rPr>
          <w:rFonts w:hint="eastAsia"/>
          <w:rtl/>
        </w:rPr>
        <w:t>מחסור</w:t>
      </w:r>
      <w:r w:rsidRPr="002F2BC5">
        <w:rPr>
          <w:rtl/>
        </w:rPr>
        <w:t xml:space="preserve"> </w:t>
      </w:r>
      <w:r w:rsidRPr="002F2BC5">
        <w:rPr>
          <w:rFonts w:hint="eastAsia"/>
          <w:rtl/>
        </w:rPr>
        <w:t>בכוח</w:t>
      </w:r>
      <w:r w:rsidRPr="002F2BC5">
        <w:rPr>
          <w:rtl/>
        </w:rPr>
        <w:t xml:space="preserve"> </w:t>
      </w:r>
      <w:r w:rsidRPr="002F2BC5">
        <w:rPr>
          <w:rFonts w:hint="eastAsia"/>
          <w:rtl/>
        </w:rPr>
        <w:t>אדם</w:t>
      </w:r>
      <w:r w:rsidRPr="002F2BC5">
        <w:rPr>
          <w:rtl/>
        </w:rPr>
        <w:t xml:space="preserve"> </w:t>
      </w:r>
      <w:r w:rsidRPr="002F2BC5">
        <w:rPr>
          <w:rFonts w:hint="cs"/>
          <w:rtl/>
        </w:rPr>
        <w:t>ועומס העבודה על המטפלים</w:t>
      </w:r>
      <w:r w:rsidRPr="002F2BC5">
        <w:rPr>
          <w:rtl/>
        </w:rPr>
        <w:t>.</w:t>
      </w:r>
      <w:r w:rsidRPr="002F2BC5">
        <w:rPr>
          <w:rFonts w:hint="cs"/>
          <w:rtl/>
        </w:rPr>
        <w:t xml:space="preserve"> </w:t>
      </w:r>
    </w:p>
    <w:p w14:paraId="4A54D6E2" w14:textId="77777777" w:rsidR="00817399" w:rsidRPr="002F2BC5" w:rsidRDefault="00817399" w:rsidP="00817399">
      <w:pPr>
        <w:spacing w:line="269" w:lineRule="auto"/>
        <w:rPr>
          <w:rtl/>
        </w:rPr>
      </w:pPr>
    </w:p>
    <w:p w14:paraId="33C47844" w14:textId="77777777" w:rsidR="00817399" w:rsidRPr="002F2BC5" w:rsidRDefault="00817399" w:rsidP="00817399">
      <w:pPr>
        <w:spacing w:line="269" w:lineRule="auto"/>
        <w:rPr>
          <w:rtl/>
        </w:rPr>
      </w:pPr>
      <w:r w:rsidRPr="002F2BC5">
        <w:rPr>
          <w:rFonts w:hint="cs"/>
          <w:rtl/>
        </w:rPr>
        <w:t>משרד מבקר המדינה המליץ בביקורת הקודמת ל</w:t>
      </w:r>
      <w:r w:rsidRPr="002F2BC5">
        <w:rPr>
          <w:rtl/>
        </w:rPr>
        <w:t xml:space="preserve">משרד הרווחה </w:t>
      </w:r>
      <w:r w:rsidRPr="002F2BC5">
        <w:rPr>
          <w:rFonts w:hint="cs"/>
          <w:rtl/>
        </w:rPr>
        <w:t>ל</w:t>
      </w:r>
      <w:r w:rsidRPr="002F2BC5">
        <w:rPr>
          <w:rtl/>
        </w:rPr>
        <w:t>בח</w:t>
      </w:r>
      <w:r w:rsidRPr="002F2BC5">
        <w:rPr>
          <w:rFonts w:hint="cs"/>
          <w:rtl/>
        </w:rPr>
        <w:t>ו</w:t>
      </w:r>
      <w:r w:rsidRPr="002F2BC5">
        <w:rPr>
          <w:rtl/>
        </w:rPr>
        <w:t xml:space="preserve">ן </w:t>
      </w:r>
      <w:r w:rsidRPr="002F2BC5">
        <w:rPr>
          <w:rFonts w:hint="eastAsia"/>
          <w:rtl/>
        </w:rPr>
        <w:t>את</w:t>
      </w:r>
      <w:r w:rsidRPr="002F2BC5">
        <w:rPr>
          <w:rtl/>
        </w:rPr>
        <w:t xml:space="preserve"> </w:t>
      </w:r>
      <w:r w:rsidRPr="002F2BC5">
        <w:rPr>
          <w:rFonts w:hint="eastAsia"/>
          <w:rtl/>
        </w:rPr>
        <w:t>מש</w:t>
      </w:r>
      <w:r w:rsidRPr="002F2BC5">
        <w:rPr>
          <w:rFonts w:hint="cs"/>
          <w:rtl/>
        </w:rPr>
        <w:t>ך</w:t>
      </w:r>
      <w:r w:rsidRPr="002F2BC5">
        <w:rPr>
          <w:rtl/>
        </w:rPr>
        <w:t xml:space="preserve"> הזמן לקבלת </w:t>
      </w:r>
      <w:r w:rsidRPr="002F2BC5">
        <w:rPr>
          <w:rFonts w:hint="cs"/>
          <w:rtl/>
        </w:rPr>
        <w:t>טיפול</w:t>
      </w:r>
      <w:r w:rsidRPr="002F2BC5">
        <w:rPr>
          <w:rtl/>
        </w:rPr>
        <w:t xml:space="preserve"> במרכזים</w:t>
      </w:r>
      <w:r w:rsidRPr="002F2BC5">
        <w:rPr>
          <w:rFonts w:hint="cs"/>
          <w:rtl/>
        </w:rPr>
        <w:t xml:space="preserve"> </w:t>
      </w:r>
      <w:r w:rsidRPr="002F2BC5">
        <w:rPr>
          <w:rFonts w:hint="eastAsia"/>
          <w:rtl/>
        </w:rPr>
        <w:t>ל</w:t>
      </w:r>
      <w:r w:rsidRPr="002F2BC5">
        <w:rPr>
          <w:rFonts w:hint="cs"/>
          <w:rtl/>
        </w:rPr>
        <w:t>טיפול</w:t>
      </w:r>
      <w:r w:rsidRPr="002F2BC5">
        <w:rPr>
          <w:rtl/>
        </w:rPr>
        <w:t xml:space="preserve"> </w:t>
      </w:r>
      <w:r w:rsidRPr="002F2BC5">
        <w:rPr>
          <w:rFonts w:hint="eastAsia"/>
          <w:rtl/>
        </w:rPr>
        <w:t>ו</w:t>
      </w:r>
      <w:r w:rsidRPr="002F2BC5">
        <w:rPr>
          <w:rFonts w:hint="cs"/>
          <w:rtl/>
        </w:rPr>
        <w:t>מניעת</w:t>
      </w:r>
      <w:r w:rsidRPr="002F2BC5">
        <w:rPr>
          <w:rtl/>
        </w:rPr>
        <w:t xml:space="preserve"> </w:t>
      </w:r>
      <w:r w:rsidRPr="002F2BC5">
        <w:rPr>
          <w:rFonts w:hint="eastAsia"/>
          <w:rtl/>
        </w:rPr>
        <w:t>באלימות</w:t>
      </w:r>
      <w:r w:rsidRPr="002F2BC5">
        <w:rPr>
          <w:rtl/>
        </w:rPr>
        <w:t xml:space="preserve"> </w:t>
      </w:r>
      <w:r w:rsidRPr="002F2BC5">
        <w:rPr>
          <w:rFonts w:hint="eastAsia"/>
          <w:rtl/>
        </w:rPr>
        <w:t>במשפחה</w:t>
      </w:r>
      <w:r w:rsidRPr="002F2BC5">
        <w:rPr>
          <w:rtl/>
        </w:rPr>
        <w:t xml:space="preserve">. </w:t>
      </w:r>
    </w:p>
    <w:p w14:paraId="13468C37" w14:textId="77777777" w:rsidR="00817399" w:rsidRPr="002F2BC5" w:rsidRDefault="00817399" w:rsidP="00817399">
      <w:pPr>
        <w:spacing w:line="269" w:lineRule="auto"/>
        <w:rPr>
          <w:rtl/>
        </w:rPr>
      </w:pPr>
    </w:p>
    <w:p w14:paraId="147DE6B6"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בית</w:t>
      </w:r>
      <w:r w:rsidRPr="002F2BC5">
        <w:rPr>
          <w:b/>
          <w:bCs/>
          <w:rtl/>
        </w:rPr>
        <w:t xml:space="preserve"> </w:t>
      </w:r>
      <w:r w:rsidRPr="002F2BC5">
        <w:rPr>
          <w:rFonts w:hint="eastAsia"/>
          <w:b/>
          <w:bCs/>
          <w:rtl/>
        </w:rPr>
        <w:t>שמש</w:t>
      </w:r>
      <w:r w:rsidRPr="002F2BC5">
        <w:rPr>
          <w:rFonts w:hint="cs"/>
          <w:b/>
          <w:bCs/>
          <w:rtl/>
        </w:rPr>
        <w:t xml:space="preserve"> </w:t>
      </w:r>
      <w:r w:rsidRPr="002F2BC5">
        <w:rPr>
          <w:rFonts w:hint="cs"/>
          <w:rtl/>
        </w:rPr>
        <w:t xml:space="preserve">מסרה בתשובתה לביקורת הקודמת מפברואר 2021 כי במצבי מצוקה, שהתגברו בתקופת הקורונה, המענה ניתן באופן מיידי וכי אף שלא ניתן תגמול עבור שעות כוננות של העובדים הסוציאליים במרכזים, המענים ניתנים על ידם גם מחוץ לשעות העבודה ואף בשעות היום המאוחרות. </w:t>
      </w:r>
    </w:p>
    <w:p w14:paraId="3D088798" w14:textId="77777777" w:rsidR="00817399" w:rsidRPr="002F2BC5" w:rsidRDefault="00817399" w:rsidP="00817399">
      <w:pPr>
        <w:spacing w:line="269" w:lineRule="auto"/>
        <w:rPr>
          <w:rtl/>
        </w:rPr>
      </w:pPr>
    </w:p>
    <w:p w14:paraId="0B46A3E5" w14:textId="77777777" w:rsidR="00817399" w:rsidRPr="002F2BC5" w:rsidRDefault="00817399" w:rsidP="00817399">
      <w:pPr>
        <w:spacing w:line="269" w:lineRule="auto"/>
        <w:rPr>
          <w:rtl/>
        </w:rPr>
      </w:pPr>
      <w:bookmarkStart w:id="1629" w:name="_Toc191987094"/>
      <w:r w:rsidRPr="002F2BC5">
        <w:rPr>
          <w:rStyle w:val="70"/>
          <w:rFonts w:hint="cs"/>
          <w:rtl/>
        </w:rPr>
        <w:lastRenderedPageBreak/>
        <w:t>ביקורת המעקב:</w:t>
      </w:r>
      <w:bookmarkEnd w:id="1629"/>
      <w:r w:rsidRPr="002F2BC5">
        <w:rPr>
          <w:rStyle w:val="70"/>
          <w:rFonts w:hint="cs"/>
          <w:rtl/>
        </w:rPr>
        <w:t xml:space="preserve"> </w:t>
      </w:r>
      <w:r w:rsidRPr="002F2BC5">
        <w:rPr>
          <w:rFonts w:hint="cs"/>
          <w:rtl/>
        </w:rPr>
        <w:t xml:space="preserve">נמצא כי משרד הרווחה אינו אוסף נתונים על משך ההמתנה לטיפול במרכזים. יתרה מזו, גם המרכזים אינם נדרשים לכלול בדיווח התקופתי שהם מעבירים נתונים בנושא זה. משרד הרווחה הפיק לבקשת צוות הביקורת נתונים על משך ההמתנה הממוצע לטיפול במרכזים לשנים 2020 - 2024 בהתבסס על חישוב של משך הזמן שחלף (בימים) בין מועד ההחלטה על השמה (לאחר אינטייק [ריאיון קבלה ראשוני]) </w:t>
      </w:r>
      <w:r w:rsidRPr="002F2BC5">
        <w:rPr>
          <w:rtl/>
        </w:rPr>
        <w:t>(</w:t>
      </w:r>
      <w:bookmarkStart w:id="1630" w:name="_Hlk202279817"/>
      <w:r w:rsidRPr="002F2BC5">
        <w:rPr>
          <w:rtl/>
        </w:rPr>
        <w:t>להלן גם - מענה ראשוני</w:t>
      </w:r>
      <w:bookmarkEnd w:id="1630"/>
      <w:r w:rsidRPr="002F2BC5">
        <w:rPr>
          <w:rtl/>
        </w:rPr>
        <w:t>)</w:t>
      </w:r>
      <w:r w:rsidRPr="002F2BC5">
        <w:rPr>
          <w:rFonts w:hint="cs"/>
          <w:rtl/>
        </w:rPr>
        <w:t xml:space="preserve"> לבין ההשמה הראשונה שדווחה במערכת מס"ר (מערכת מסגרות רווחה) </w:t>
      </w:r>
      <w:r w:rsidRPr="002F2BC5">
        <w:rPr>
          <w:rtl/>
        </w:rPr>
        <w:t xml:space="preserve">(להלן גם - </w:t>
      </w:r>
      <w:r w:rsidRPr="002F2BC5">
        <w:rPr>
          <w:rFonts w:hint="eastAsia"/>
          <w:rtl/>
        </w:rPr>
        <w:t>טיפול</w:t>
      </w:r>
      <w:r w:rsidRPr="002F2BC5">
        <w:rPr>
          <w:rtl/>
        </w:rPr>
        <w:t xml:space="preserve"> </w:t>
      </w:r>
      <w:r w:rsidRPr="002F2BC5">
        <w:rPr>
          <w:rFonts w:hint="eastAsia"/>
          <w:rtl/>
        </w:rPr>
        <w:t>מהותי</w:t>
      </w:r>
      <w:r w:rsidRPr="002F2BC5">
        <w:rPr>
          <w:rtl/>
        </w:rPr>
        <w:t>)</w:t>
      </w:r>
      <w:r w:rsidRPr="002F2BC5">
        <w:rPr>
          <w:rStyle w:val="af9"/>
          <w:rtl/>
        </w:rPr>
        <w:footnoteReference w:id="327"/>
      </w:r>
      <w:r w:rsidRPr="002F2BC5">
        <w:rPr>
          <w:rFonts w:hint="cs"/>
          <w:rtl/>
        </w:rPr>
        <w:t>. עם זאת, נתונים אלו משקפים תמונה חלקית בלבד, משום שקודם ליישום הסכם "כתף אל כתף" הרשויות המקומיות התבקשו לדווח רק עבור חלק מההשמות</w:t>
      </w:r>
      <w:r w:rsidRPr="002F2BC5">
        <w:rPr>
          <w:rStyle w:val="af9"/>
          <w:rtl/>
        </w:rPr>
        <w:footnoteReference w:id="328"/>
      </w:r>
      <w:r w:rsidRPr="002F2BC5">
        <w:rPr>
          <w:rFonts w:hint="cs"/>
          <w:rtl/>
        </w:rPr>
        <w:t>. מנתונים חלקיים אלו הועלה כי משך ההמתנה הממוצע לטיפול בשנים 2020 - 2024 משתנה בין הרשויות המקומיות: בכ-5% מהרשויות המקומיות שלגביהן הועברו נתונים (13 מתוך 250) ניתן מענה מיידי (0 ימי המתנה בממוצע); בכחמישית מהרשויות המקומיות (54 מתוך 250) משך ההמתנה הוא שניים עד שלושה ימים קלנדריים</w:t>
      </w:r>
      <w:r w:rsidRPr="002F2BC5">
        <w:rPr>
          <w:rStyle w:val="af9"/>
          <w:rtl/>
        </w:rPr>
        <w:footnoteReference w:id="329"/>
      </w:r>
      <w:r w:rsidRPr="002F2BC5">
        <w:rPr>
          <w:rFonts w:hint="cs"/>
          <w:rtl/>
        </w:rPr>
        <w:t>; בכחמישית מהרשויות המקומיות (55 מתוך 250) משך ההמתנה הוא ארבעה עד שבעה ימים קלנדריים; ובכמחצית מהרשויות המקומיות (128 מתוך 250) משך ההמתנה לטיפול הוא יותר משבוע ימים. נוסף על כך, בכרבע מהרשויות המקומיות (64 מתוך 250) משך ההמתנה לטיפול הוא יותר משבועיים.</w:t>
      </w:r>
    </w:p>
    <w:p w14:paraId="300A3B38" w14:textId="77777777" w:rsidR="00817399" w:rsidRPr="002F2BC5" w:rsidRDefault="00817399" w:rsidP="00817399">
      <w:pPr>
        <w:spacing w:line="269" w:lineRule="auto"/>
        <w:rPr>
          <w:rtl/>
        </w:rPr>
      </w:pPr>
    </w:p>
    <w:p w14:paraId="138EA192" w14:textId="77777777" w:rsidR="00817399" w:rsidRPr="002F2BC5" w:rsidRDefault="00817399" w:rsidP="00817399">
      <w:pPr>
        <w:pStyle w:val="a9"/>
        <w:spacing w:line="269" w:lineRule="auto"/>
        <w:rPr>
          <w:rtl/>
        </w:rPr>
      </w:pPr>
      <w:bookmarkStart w:id="1631" w:name="_Toc192672911"/>
      <w:r w:rsidRPr="002F2BC5">
        <w:rPr>
          <w:rFonts w:hint="cs"/>
          <w:rtl/>
        </w:rPr>
        <w:t xml:space="preserve">: </w:t>
      </w:r>
      <w:r w:rsidRPr="002F2BC5">
        <w:rPr>
          <w:rFonts w:hint="cs"/>
          <w:b w:val="0"/>
          <w:bCs/>
          <w:rtl/>
        </w:rPr>
        <w:t>התפלגות הרשויות המקומיות לפי משך ההמתנה לטיפול במרכזים לטיפול</w:t>
      </w:r>
      <w:r w:rsidRPr="002F2BC5">
        <w:rPr>
          <w:b w:val="0"/>
          <w:bCs/>
          <w:rtl/>
        </w:rPr>
        <w:br/>
      </w:r>
      <w:r w:rsidRPr="002F2BC5">
        <w:rPr>
          <w:rFonts w:hint="cs"/>
          <w:b w:val="0"/>
          <w:bCs/>
          <w:rtl/>
        </w:rPr>
        <w:t>ומניעת אלימות במשפחה (ימים קלנדריים), ממוצע לשנים 2020 - 2024</w:t>
      </w:r>
      <w:r w:rsidRPr="002F2BC5">
        <w:rPr>
          <w:rFonts w:hint="cs"/>
          <w:rtl/>
        </w:rPr>
        <w:t>*</w:t>
      </w:r>
      <w:bookmarkEnd w:id="1631"/>
    </w:p>
    <w:p w14:paraId="61D929CA"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13AF0740" wp14:editId="3CB5DE6B">
            <wp:extent cx="5220335" cy="2111375"/>
            <wp:effectExtent l="0" t="0" r="0" b="3175"/>
            <wp:docPr id="2052771031" name="תמונה 205277103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20335" cy="2111375"/>
                    </a:xfrm>
                    <a:prstGeom prst="rect">
                      <a:avLst/>
                    </a:prstGeom>
                  </pic:spPr>
                </pic:pic>
              </a:graphicData>
            </a:graphic>
          </wp:inline>
        </w:drawing>
      </w:r>
    </w:p>
    <w:p w14:paraId="63251CB9" w14:textId="77777777" w:rsidR="00817399" w:rsidRPr="002F2BC5" w:rsidRDefault="00817399" w:rsidP="00817399">
      <w:pPr>
        <w:pStyle w:val="afffffff1"/>
        <w:bidi/>
        <w:spacing w:line="269" w:lineRule="auto"/>
        <w:rPr>
          <w:rtl/>
        </w:rPr>
      </w:pPr>
      <w:r w:rsidRPr="002F2BC5">
        <w:rPr>
          <w:rFonts w:hint="cs"/>
          <w:rtl/>
        </w:rPr>
        <w:t>לפי נתוני משרד הרווחה בממוצע לשנים 2020 - 2024, בעיבוד משרד מבקר המדינה.</w:t>
      </w:r>
    </w:p>
    <w:p w14:paraId="21CBC617" w14:textId="77777777" w:rsidR="00817399" w:rsidRPr="002F2BC5" w:rsidRDefault="00817399" w:rsidP="00817399">
      <w:pPr>
        <w:pStyle w:val="afffffff1"/>
        <w:bidi/>
        <w:spacing w:line="269" w:lineRule="auto"/>
        <w:rPr>
          <w:rtl/>
        </w:rPr>
      </w:pPr>
      <w:r w:rsidRPr="002F2BC5">
        <w:rPr>
          <w:rFonts w:hint="cs"/>
          <w:rtl/>
        </w:rPr>
        <w:t>* הנתונים מתייחסים להשמות שדווחו במערכת מס"ר בלבד. יצוין כי דיווח במס"ר עשוי להתקבל באיחור בשל תקופת חגים, עומס עבודה על המרכז או טעות אנוש.</w:t>
      </w:r>
    </w:p>
    <w:p w14:paraId="217B34E0" w14:textId="77777777" w:rsidR="00817399" w:rsidRPr="002F2BC5" w:rsidRDefault="00817399" w:rsidP="00817399">
      <w:pPr>
        <w:spacing w:line="269" w:lineRule="auto"/>
        <w:rPr>
          <w:rtl/>
        </w:rPr>
      </w:pPr>
    </w:p>
    <w:p w14:paraId="0EA84B05" w14:textId="77777777" w:rsidR="00817399" w:rsidRPr="002F2BC5" w:rsidRDefault="00817399" w:rsidP="00817399">
      <w:pPr>
        <w:spacing w:line="269" w:lineRule="auto"/>
        <w:rPr>
          <w:b/>
          <w:bCs/>
          <w:rtl/>
        </w:rPr>
      </w:pPr>
      <w:r w:rsidRPr="002F2BC5">
        <w:rPr>
          <w:rFonts w:hint="eastAsia"/>
          <w:b/>
          <w:bCs/>
          <w:rtl/>
        </w:rPr>
        <w:t>מבין</w:t>
      </w:r>
      <w:r w:rsidRPr="002F2BC5">
        <w:rPr>
          <w:b/>
          <w:bCs/>
          <w:rtl/>
        </w:rPr>
        <w:t xml:space="preserve"> הרשויות המקומיות שנבדקו עלה כי משכי ההמתנה לטיפול בממוצע לשנים 2020 - 2024 בעיריות </w:t>
      </w:r>
      <w:r w:rsidRPr="002F2BC5">
        <w:rPr>
          <w:rFonts w:hint="cs"/>
          <w:b/>
          <w:bCs/>
          <w:rtl/>
        </w:rPr>
        <w:t>חדרה</w:t>
      </w:r>
      <w:r w:rsidRPr="002F2BC5">
        <w:rPr>
          <w:b/>
          <w:bCs/>
          <w:rtl/>
        </w:rPr>
        <w:t xml:space="preserve"> ו</w:t>
      </w:r>
      <w:r w:rsidRPr="002F2BC5">
        <w:rPr>
          <w:rFonts w:hint="cs"/>
          <w:b/>
          <w:bCs/>
          <w:rtl/>
        </w:rPr>
        <w:t>עכו</w:t>
      </w:r>
      <w:r w:rsidRPr="002F2BC5">
        <w:rPr>
          <w:b/>
          <w:bCs/>
          <w:rtl/>
        </w:rPr>
        <w:t xml:space="preserve"> היה דומה לזה שדווח בביקורת הקודמת (כשבועיים) וכך גם בעיריית </w:t>
      </w:r>
      <w:r w:rsidRPr="002F2BC5">
        <w:rPr>
          <w:rFonts w:hint="cs"/>
          <w:b/>
          <w:bCs/>
          <w:rtl/>
        </w:rPr>
        <w:t>ראש העין</w:t>
      </w:r>
      <w:r w:rsidRPr="002F2BC5">
        <w:rPr>
          <w:b/>
          <w:bCs/>
          <w:rtl/>
        </w:rPr>
        <w:t xml:space="preserve"> (כארבעה ימים). לעומת זאת, בעיריות </w:t>
      </w:r>
      <w:r w:rsidRPr="002F2BC5">
        <w:rPr>
          <w:rFonts w:hint="cs"/>
          <w:b/>
          <w:bCs/>
          <w:rtl/>
        </w:rPr>
        <w:t>בית שמש</w:t>
      </w:r>
      <w:r w:rsidRPr="002F2BC5">
        <w:rPr>
          <w:b/>
          <w:bCs/>
          <w:rtl/>
        </w:rPr>
        <w:t xml:space="preserve">, </w:t>
      </w:r>
      <w:r w:rsidRPr="002F2BC5">
        <w:rPr>
          <w:rFonts w:hint="cs"/>
          <w:b/>
          <w:bCs/>
          <w:rtl/>
        </w:rPr>
        <w:t>בני ברק</w:t>
      </w:r>
      <w:r w:rsidRPr="002F2BC5">
        <w:rPr>
          <w:b/>
          <w:bCs/>
          <w:rtl/>
        </w:rPr>
        <w:t xml:space="preserve"> ו</w:t>
      </w:r>
      <w:r w:rsidRPr="002F2BC5">
        <w:rPr>
          <w:rFonts w:hint="cs"/>
          <w:b/>
          <w:bCs/>
          <w:rtl/>
        </w:rPr>
        <w:t>רהט</w:t>
      </w:r>
      <w:r w:rsidRPr="002F2BC5">
        <w:rPr>
          <w:b/>
          <w:bCs/>
          <w:rtl/>
        </w:rPr>
        <w:t xml:space="preserve"> היה משך ההמתנה הממוצע לפי הנתונים שנמסרו בביקורת המעקב גבוה מכפי שנמסר בביקורת הקודמת (בין שלושה לארבעה שבועות בממוצע). בעיריית </w:t>
      </w:r>
      <w:r w:rsidRPr="002F2BC5">
        <w:rPr>
          <w:rFonts w:hint="cs"/>
          <w:b/>
          <w:bCs/>
          <w:rtl/>
        </w:rPr>
        <w:t>דימונה</w:t>
      </w:r>
      <w:r w:rsidRPr="002F2BC5">
        <w:rPr>
          <w:b/>
          <w:bCs/>
          <w:rtl/>
        </w:rPr>
        <w:t xml:space="preserve"> משך ההמתנה הממוצע לטיפול לפי הנתונים שנמסרו בביקורת המעקב </w:t>
      </w:r>
      <w:r w:rsidRPr="002F2BC5">
        <w:rPr>
          <w:rFonts w:hint="eastAsia"/>
          <w:b/>
          <w:bCs/>
          <w:rtl/>
        </w:rPr>
        <w:t>היה</w:t>
      </w:r>
      <w:r w:rsidRPr="002F2BC5">
        <w:rPr>
          <w:b/>
          <w:bCs/>
          <w:rtl/>
        </w:rPr>
        <w:t xml:space="preserve"> </w:t>
      </w:r>
      <w:r w:rsidRPr="002F2BC5">
        <w:rPr>
          <w:rFonts w:hint="eastAsia"/>
          <w:b/>
          <w:bCs/>
          <w:rtl/>
        </w:rPr>
        <w:t>נמוך</w:t>
      </w:r>
      <w:r w:rsidRPr="002F2BC5">
        <w:rPr>
          <w:b/>
          <w:bCs/>
          <w:rtl/>
        </w:rPr>
        <w:t xml:space="preserve"> מכפי שדווח בביקורת הקודמת (עד כשלושה שבועות בממוצע בהשוואה לכחודש). בעיריית </w:t>
      </w:r>
      <w:r w:rsidRPr="002F2BC5">
        <w:rPr>
          <w:rFonts w:hint="cs"/>
          <w:b/>
          <w:bCs/>
          <w:rtl/>
        </w:rPr>
        <w:t>סח</w:t>
      </w:r>
      <w:r w:rsidRPr="002F2BC5">
        <w:rPr>
          <w:b/>
          <w:bCs/>
          <w:rtl/>
        </w:rPr>
        <w:t>'</w:t>
      </w:r>
      <w:r w:rsidRPr="002F2BC5">
        <w:rPr>
          <w:rFonts w:hint="cs"/>
          <w:b/>
          <w:bCs/>
          <w:rtl/>
        </w:rPr>
        <w:t>נין</w:t>
      </w:r>
      <w:r w:rsidRPr="002F2BC5">
        <w:rPr>
          <w:b/>
          <w:bCs/>
          <w:rtl/>
        </w:rPr>
        <w:t xml:space="preserve"> ממוצע משך ההמתנה לטיפול </w:t>
      </w:r>
      <w:r w:rsidRPr="002F2BC5">
        <w:rPr>
          <w:rFonts w:hint="eastAsia"/>
          <w:b/>
          <w:bCs/>
          <w:rtl/>
        </w:rPr>
        <w:t>היה</w:t>
      </w:r>
      <w:r w:rsidRPr="002F2BC5">
        <w:rPr>
          <w:b/>
          <w:bCs/>
          <w:rtl/>
        </w:rPr>
        <w:t xml:space="preserve"> קצר במידה ניכרת </w:t>
      </w:r>
      <w:r w:rsidRPr="002F2BC5">
        <w:rPr>
          <w:rFonts w:hint="eastAsia"/>
          <w:b/>
          <w:bCs/>
          <w:rtl/>
        </w:rPr>
        <w:t>ממשך</w:t>
      </w:r>
      <w:r w:rsidRPr="002F2BC5">
        <w:rPr>
          <w:b/>
          <w:bCs/>
          <w:rtl/>
        </w:rPr>
        <w:t xml:space="preserve"> ההמתנה שנמסר בביקורת הקודמת - </w:t>
      </w:r>
      <w:r w:rsidRPr="002F2BC5">
        <w:rPr>
          <w:rFonts w:hint="eastAsia"/>
          <w:b/>
          <w:bCs/>
          <w:rtl/>
        </w:rPr>
        <w:t>כחודש</w:t>
      </w:r>
      <w:r w:rsidRPr="002F2BC5">
        <w:rPr>
          <w:b/>
          <w:bCs/>
          <w:rtl/>
        </w:rPr>
        <w:t xml:space="preserve"> וחצי </w:t>
      </w:r>
      <w:r w:rsidRPr="002F2BC5">
        <w:rPr>
          <w:rFonts w:hint="cs"/>
          <w:b/>
          <w:bCs/>
          <w:rtl/>
        </w:rPr>
        <w:t xml:space="preserve">בהשוואה </w:t>
      </w:r>
      <w:r w:rsidRPr="002F2BC5">
        <w:rPr>
          <w:rFonts w:hint="eastAsia"/>
          <w:b/>
          <w:bCs/>
          <w:rtl/>
        </w:rPr>
        <w:t>לכשבוע</w:t>
      </w:r>
      <w:r w:rsidRPr="002F2BC5">
        <w:rPr>
          <w:b/>
          <w:bCs/>
          <w:rtl/>
        </w:rPr>
        <w:t xml:space="preserve"> ב</w:t>
      </w:r>
      <w:r w:rsidRPr="002F2BC5">
        <w:rPr>
          <w:rFonts w:hint="eastAsia"/>
          <w:b/>
          <w:bCs/>
          <w:rtl/>
        </w:rPr>
        <w:t>לבד</w:t>
      </w:r>
      <w:r w:rsidRPr="002F2BC5">
        <w:rPr>
          <w:b/>
          <w:bCs/>
          <w:rtl/>
        </w:rPr>
        <w:t xml:space="preserve">. </w:t>
      </w:r>
    </w:p>
    <w:p w14:paraId="6952C9E4" w14:textId="77777777" w:rsidR="00817399" w:rsidRPr="002F2BC5" w:rsidRDefault="00817399" w:rsidP="00817399">
      <w:pPr>
        <w:spacing w:line="269" w:lineRule="auto"/>
        <w:rPr>
          <w:rtl/>
        </w:rPr>
      </w:pPr>
    </w:p>
    <w:p w14:paraId="2818302F" w14:textId="5C5C13D9" w:rsidR="00817399" w:rsidRPr="002F2BC5" w:rsidRDefault="00817399" w:rsidP="00817399">
      <w:pPr>
        <w:spacing w:line="269" w:lineRule="auto"/>
        <w:rPr>
          <w:rtl/>
        </w:rPr>
      </w:pPr>
      <w:r w:rsidRPr="002F2BC5">
        <w:rPr>
          <w:rFonts w:hint="cs"/>
          <w:rtl/>
        </w:rPr>
        <w:lastRenderedPageBreak/>
        <w:t>הנתונים על משך ההמתנה הממוצע לטיפול במרכזים לטיפול ומניעת אלימות במשפחה בכלל הרשויות המקומיות (הנתון החציוני) וברשויות המקומיות שנבדקו מובאים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Ref182327209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20</w:t>
      </w:r>
      <w:r w:rsidRPr="002F2BC5">
        <w:rPr>
          <w:rtl/>
        </w:rPr>
        <w:fldChar w:fldCharType="end"/>
      </w:r>
      <w:r w:rsidRPr="002F2BC5">
        <w:rPr>
          <w:rFonts w:hint="cs"/>
          <w:rtl/>
        </w:rPr>
        <w:t xml:space="preserve"> שלהלן.</w:t>
      </w:r>
    </w:p>
    <w:p w14:paraId="42FD3452" w14:textId="77777777" w:rsidR="00817399" w:rsidRPr="002F2BC5" w:rsidRDefault="00817399" w:rsidP="00817399">
      <w:pPr>
        <w:pStyle w:val="a9"/>
        <w:spacing w:line="269" w:lineRule="auto"/>
        <w:rPr>
          <w:b w:val="0"/>
          <w:bCs/>
          <w:rtl/>
        </w:rPr>
      </w:pPr>
      <w:bookmarkStart w:id="1632" w:name="_Toc192672912"/>
      <w:bookmarkStart w:id="1633" w:name="_Ref182327209"/>
      <w:r w:rsidRPr="002F2BC5">
        <w:rPr>
          <w:rFonts w:hint="cs"/>
          <w:rtl/>
        </w:rPr>
        <w:t xml:space="preserve">: </w:t>
      </w:r>
      <w:r w:rsidRPr="002F2BC5">
        <w:rPr>
          <w:rFonts w:hint="cs"/>
          <w:b w:val="0"/>
          <w:bCs/>
          <w:rtl/>
        </w:rPr>
        <w:t xml:space="preserve">משך ההמתנה הממוצע לטיפול (ימים קלנדריים) </w:t>
      </w:r>
      <w:r w:rsidRPr="002F2BC5">
        <w:rPr>
          <w:b w:val="0"/>
          <w:bCs/>
          <w:rtl/>
        </w:rPr>
        <w:br/>
      </w:r>
      <w:r w:rsidRPr="002F2BC5">
        <w:rPr>
          <w:rFonts w:hint="cs"/>
          <w:b w:val="0"/>
          <w:bCs/>
          <w:rtl/>
        </w:rPr>
        <w:t>במרכזים לטיפול ומניעת אלימות במשפחה</w:t>
      </w:r>
      <w:bookmarkEnd w:id="1632"/>
      <w:r w:rsidRPr="002F2BC5">
        <w:rPr>
          <w:rFonts w:hint="cs"/>
          <w:b w:val="0"/>
          <w:bCs/>
          <w:rtl/>
        </w:rPr>
        <w:t xml:space="preserve"> </w:t>
      </w:r>
      <w:bookmarkEnd w:id="1633"/>
    </w:p>
    <w:p w14:paraId="06CCFEF1"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2822833E" wp14:editId="4F11A93B">
            <wp:extent cx="5220000" cy="2971025"/>
            <wp:effectExtent l="0" t="0" r="0" b="1270"/>
            <wp:docPr id="2052770993" name="תמונה 205277099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0000" cy="2971025"/>
                    </a:xfrm>
                    <a:prstGeom prst="rect">
                      <a:avLst/>
                    </a:prstGeom>
                    <a:noFill/>
                  </pic:spPr>
                </pic:pic>
              </a:graphicData>
            </a:graphic>
          </wp:inline>
        </w:drawing>
      </w:r>
    </w:p>
    <w:p w14:paraId="015D0C2B" w14:textId="77777777" w:rsidR="00817399" w:rsidRPr="002F2BC5" w:rsidRDefault="00817399" w:rsidP="00817399">
      <w:pPr>
        <w:pStyle w:val="afffffff1"/>
        <w:bidi/>
        <w:spacing w:line="269" w:lineRule="auto"/>
        <w:rPr>
          <w:rtl/>
        </w:rPr>
      </w:pPr>
      <w:r w:rsidRPr="002F2BC5">
        <w:rPr>
          <w:rFonts w:hint="eastAsia"/>
          <w:rtl/>
        </w:rPr>
        <w:t>על</w:t>
      </w:r>
      <w:r w:rsidRPr="002F2BC5">
        <w:rPr>
          <w:rtl/>
        </w:rPr>
        <w:t xml:space="preserve"> </w:t>
      </w:r>
      <w:r w:rsidRPr="002F2BC5">
        <w:rPr>
          <w:rFonts w:hint="eastAsia"/>
          <w:rtl/>
        </w:rPr>
        <w:t>פי</w:t>
      </w:r>
      <w:r w:rsidRPr="002F2BC5">
        <w:rPr>
          <w:rtl/>
        </w:rPr>
        <w:t xml:space="preserve"> </w:t>
      </w:r>
      <w:r w:rsidRPr="002F2BC5">
        <w:rPr>
          <w:rFonts w:hint="eastAsia"/>
          <w:rtl/>
        </w:rPr>
        <w:t>נתוני</w:t>
      </w:r>
      <w:r w:rsidRPr="002F2BC5">
        <w:rPr>
          <w:rtl/>
        </w:rPr>
        <w:t xml:space="preserve"> </w:t>
      </w:r>
      <w:r w:rsidRPr="002F2BC5">
        <w:rPr>
          <w:rFonts w:hint="eastAsia"/>
          <w:rtl/>
        </w:rPr>
        <w:t>הרשויות</w:t>
      </w:r>
      <w:r w:rsidRPr="002F2BC5">
        <w:rPr>
          <w:rtl/>
        </w:rPr>
        <w:t xml:space="preserve"> </w:t>
      </w:r>
      <w:r w:rsidRPr="002F2BC5">
        <w:rPr>
          <w:rFonts w:hint="eastAsia"/>
          <w:rtl/>
        </w:rPr>
        <w:t>המקומיות</w:t>
      </w:r>
      <w:r w:rsidRPr="002F2BC5">
        <w:rPr>
          <w:rtl/>
        </w:rPr>
        <w:t xml:space="preserve"> </w:t>
      </w:r>
      <w:r w:rsidRPr="002F2BC5">
        <w:rPr>
          <w:rFonts w:hint="eastAsia"/>
          <w:rtl/>
        </w:rPr>
        <w:t>שנבדקו</w:t>
      </w:r>
      <w:r w:rsidRPr="002F2BC5">
        <w:rPr>
          <w:rtl/>
        </w:rPr>
        <w:t xml:space="preserve"> </w:t>
      </w:r>
      <w:r w:rsidRPr="002F2BC5">
        <w:rPr>
          <w:rFonts w:hint="eastAsia"/>
          <w:rtl/>
        </w:rPr>
        <w:t>בביקורת</w:t>
      </w:r>
      <w:r w:rsidRPr="002F2BC5">
        <w:rPr>
          <w:rFonts w:hint="cs"/>
          <w:rtl/>
        </w:rPr>
        <w:t xml:space="preserve"> שנמסרו בביקורת הקודמת והנתונים שהעביר משרד הרווחה לממוצע השנים 2020 - 2024,</w:t>
      </w:r>
      <w:r w:rsidRPr="002F2BC5">
        <w:rPr>
          <w:rtl/>
        </w:rPr>
        <w:t xml:space="preserve"> </w:t>
      </w:r>
      <w:r w:rsidRPr="002F2BC5">
        <w:rPr>
          <w:rFonts w:hint="eastAsia"/>
          <w:rtl/>
        </w:rPr>
        <w:t>בעיבוד</w:t>
      </w:r>
      <w:r w:rsidRPr="002F2BC5">
        <w:rPr>
          <w:rtl/>
        </w:rPr>
        <w:t xml:space="preserve"> </w:t>
      </w:r>
      <w:r w:rsidRPr="002F2BC5">
        <w:rPr>
          <w:rFonts w:hint="eastAsia"/>
          <w:rtl/>
        </w:rPr>
        <w:t>משרד</w:t>
      </w:r>
      <w:r w:rsidRPr="002F2BC5">
        <w:rPr>
          <w:rtl/>
        </w:rPr>
        <w:t xml:space="preserve"> </w:t>
      </w:r>
      <w:r w:rsidRPr="002F2BC5">
        <w:rPr>
          <w:rFonts w:hint="eastAsia"/>
          <w:rtl/>
        </w:rPr>
        <w:t>מבקר</w:t>
      </w:r>
      <w:r w:rsidRPr="002F2BC5">
        <w:rPr>
          <w:rtl/>
        </w:rPr>
        <w:t xml:space="preserve"> </w:t>
      </w:r>
      <w:r w:rsidRPr="002F2BC5">
        <w:rPr>
          <w:rFonts w:hint="eastAsia"/>
          <w:rtl/>
        </w:rPr>
        <w:t>המדינה</w:t>
      </w:r>
      <w:r w:rsidRPr="002F2BC5">
        <w:rPr>
          <w:rtl/>
        </w:rPr>
        <w:t>.</w:t>
      </w:r>
    </w:p>
    <w:p w14:paraId="69A86BF7" w14:textId="77777777" w:rsidR="00817399" w:rsidRPr="002F2BC5" w:rsidRDefault="00817399" w:rsidP="00817399">
      <w:pPr>
        <w:pStyle w:val="afffffff1"/>
        <w:bidi/>
        <w:spacing w:line="269" w:lineRule="auto"/>
        <w:rPr>
          <w:rtl/>
        </w:rPr>
      </w:pPr>
      <w:r w:rsidRPr="002F2BC5">
        <w:rPr>
          <w:rFonts w:hint="cs"/>
          <w:rtl/>
        </w:rPr>
        <w:t>* הנתונים מתייחסים להשמות שדווחו במערכת מס"ר בלבד. יצוין כי דיווח במס"ר עשוי להתקבל באיחור בשל הימצאות בתקופת חגים, עומס עבודה על המרכז או טעות אנוש.</w:t>
      </w:r>
    </w:p>
    <w:p w14:paraId="7D42D239" w14:textId="77777777" w:rsidR="00817399" w:rsidRPr="002F2BC5" w:rsidRDefault="00817399" w:rsidP="00817399">
      <w:pPr>
        <w:spacing w:line="269" w:lineRule="auto"/>
        <w:rPr>
          <w:rtl/>
        </w:rPr>
      </w:pPr>
    </w:p>
    <w:p w14:paraId="0787C4CE" w14:textId="41DAB8FE" w:rsidR="00817399" w:rsidRPr="002F2BC5" w:rsidRDefault="00817399" w:rsidP="00817399">
      <w:pPr>
        <w:spacing w:line="269" w:lineRule="auto"/>
        <w:rPr>
          <w:rtl/>
        </w:rPr>
      </w:pPr>
      <w:r w:rsidRPr="002F2BC5">
        <w:rPr>
          <w:rFonts w:hint="cs"/>
          <w:rtl/>
        </w:rPr>
        <w:t>מ</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Ref182327209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20</w:t>
      </w:r>
      <w:r w:rsidRPr="002F2BC5">
        <w:rPr>
          <w:rtl/>
        </w:rPr>
        <w:fldChar w:fldCharType="end"/>
      </w:r>
      <w:r w:rsidRPr="002F2BC5">
        <w:rPr>
          <w:rFonts w:hint="cs"/>
          <w:rtl/>
        </w:rPr>
        <w:t xml:space="preserve"> עולה כי בעיריות </w:t>
      </w:r>
      <w:r w:rsidRPr="002F2BC5">
        <w:rPr>
          <w:rFonts w:hint="cs"/>
          <w:b/>
          <w:bCs/>
          <w:rtl/>
        </w:rPr>
        <w:t>בית שמש</w:t>
      </w:r>
      <w:r w:rsidRPr="002F2BC5">
        <w:rPr>
          <w:rFonts w:hint="cs"/>
          <w:rtl/>
        </w:rPr>
        <w:t xml:space="preserve">, </w:t>
      </w:r>
      <w:r w:rsidRPr="002F2BC5">
        <w:rPr>
          <w:rFonts w:hint="cs"/>
          <w:b/>
          <w:bCs/>
          <w:rtl/>
        </w:rPr>
        <w:t>בני ברק</w:t>
      </w:r>
      <w:r w:rsidRPr="002F2BC5">
        <w:rPr>
          <w:rFonts w:hint="cs"/>
          <w:rtl/>
        </w:rPr>
        <w:t xml:space="preserve">, </w:t>
      </w:r>
      <w:r w:rsidRPr="002F2BC5">
        <w:rPr>
          <w:rFonts w:hint="cs"/>
          <w:b/>
          <w:bCs/>
          <w:rtl/>
        </w:rPr>
        <w:t>דימונה</w:t>
      </w:r>
      <w:r w:rsidRPr="002F2BC5">
        <w:rPr>
          <w:rFonts w:hint="cs"/>
          <w:rtl/>
        </w:rPr>
        <w:t xml:space="preserve">, </w:t>
      </w:r>
      <w:r w:rsidRPr="002F2BC5">
        <w:rPr>
          <w:rFonts w:hint="cs"/>
          <w:b/>
          <w:bCs/>
          <w:rtl/>
        </w:rPr>
        <w:t>חדרה</w:t>
      </w:r>
      <w:r w:rsidRPr="002F2BC5">
        <w:rPr>
          <w:rFonts w:hint="cs"/>
          <w:rtl/>
        </w:rPr>
        <w:t xml:space="preserve">, </w:t>
      </w:r>
      <w:r w:rsidRPr="002F2BC5">
        <w:rPr>
          <w:rFonts w:hint="eastAsia"/>
          <w:b/>
          <w:bCs/>
          <w:rtl/>
        </w:rPr>
        <w:t>עכו</w:t>
      </w:r>
      <w:r w:rsidRPr="002F2BC5">
        <w:rPr>
          <w:rFonts w:hint="cs"/>
          <w:rtl/>
        </w:rPr>
        <w:t xml:space="preserve"> ו</w:t>
      </w:r>
      <w:r w:rsidRPr="002F2BC5">
        <w:rPr>
          <w:rFonts w:hint="cs"/>
          <w:b/>
          <w:bCs/>
          <w:rtl/>
        </w:rPr>
        <w:t>רהט</w:t>
      </w:r>
      <w:r w:rsidRPr="002F2BC5">
        <w:rPr>
          <w:rFonts w:hint="cs"/>
          <w:rtl/>
        </w:rPr>
        <w:t xml:space="preserve"> משך ההמתנה הממוצע לטיפול במרכזים בשנים 2020 - 2024, כפי שעולה מנתוני משרד הרווחה, גבוה מהנתון החציוני הכלל-ארצי (שעמד על משך המתנה של כשמונה ימים קלנדריים בממוצע). עוד עולה כי בעיריות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w:t>
      </w:r>
      <w:r w:rsidRPr="002F2BC5">
        <w:rPr>
          <w:rFonts w:hint="eastAsia"/>
          <w:b/>
          <w:bCs/>
          <w:rtl/>
        </w:rPr>
        <w:t>בני</w:t>
      </w:r>
      <w:r w:rsidRPr="002F2BC5">
        <w:rPr>
          <w:b/>
          <w:bCs/>
          <w:rtl/>
        </w:rPr>
        <w:t xml:space="preserve"> </w:t>
      </w:r>
      <w:r w:rsidRPr="002F2BC5">
        <w:rPr>
          <w:rFonts w:hint="eastAsia"/>
          <w:b/>
          <w:bCs/>
          <w:rtl/>
        </w:rPr>
        <w:t>ברק</w:t>
      </w:r>
      <w:r w:rsidRPr="002F2BC5">
        <w:rPr>
          <w:rFonts w:hint="cs"/>
          <w:rtl/>
        </w:rPr>
        <w:t xml:space="preserve"> ו</w:t>
      </w:r>
      <w:r w:rsidRPr="002F2BC5">
        <w:rPr>
          <w:rFonts w:hint="eastAsia"/>
          <w:b/>
          <w:bCs/>
          <w:rtl/>
        </w:rPr>
        <w:t>רהט</w:t>
      </w:r>
      <w:r w:rsidRPr="002F2BC5">
        <w:rPr>
          <w:rFonts w:hint="cs"/>
          <w:rtl/>
        </w:rPr>
        <w:t xml:space="preserve"> משך ההמתנה הממוצע גבוה מכפי שנמסר בביקורת הקודמת. לעומת זאת, בעיריות </w:t>
      </w:r>
      <w:r w:rsidRPr="002F2BC5">
        <w:rPr>
          <w:rFonts w:hint="cs"/>
          <w:b/>
          <w:bCs/>
          <w:rtl/>
        </w:rPr>
        <w:t>סח</w:t>
      </w:r>
      <w:r w:rsidRPr="002F2BC5">
        <w:rPr>
          <w:b/>
          <w:bCs/>
          <w:rtl/>
        </w:rPr>
        <w:t>'</w:t>
      </w:r>
      <w:r w:rsidRPr="002F2BC5">
        <w:rPr>
          <w:rFonts w:hint="cs"/>
          <w:b/>
          <w:bCs/>
          <w:rtl/>
        </w:rPr>
        <w:t>נין</w:t>
      </w:r>
      <w:r w:rsidRPr="002F2BC5">
        <w:rPr>
          <w:rFonts w:hint="cs"/>
          <w:rtl/>
        </w:rPr>
        <w:t xml:space="preserve"> ו</w:t>
      </w:r>
      <w:r w:rsidRPr="002F2BC5">
        <w:rPr>
          <w:rFonts w:hint="cs"/>
          <w:b/>
          <w:bCs/>
          <w:rtl/>
        </w:rPr>
        <w:t xml:space="preserve">ראש העין </w:t>
      </w:r>
      <w:r w:rsidRPr="002F2BC5">
        <w:rPr>
          <w:rFonts w:hint="cs"/>
          <w:rtl/>
        </w:rPr>
        <w:t xml:space="preserve">משך ההמתנה הממוצע נמוך מהנתון החציוני הכלל-ארצי, ובעיריית </w:t>
      </w:r>
      <w:r w:rsidRPr="002F2BC5">
        <w:rPr>
          <w:rFonts w:hint="cs"/>
          <w:b/>
          <w:bCs/>
          <w:rtl/>
        </w:rPr>
        <w:t>סח</w:t>
      </w:r>
      <w:r w:rsidRPr="002F2BC5">
        <w:rPr>
          <w:b/>
          <w:bCs/>
          <w:rtl/>
        </w:rPr>
        <w:t>'</w:t>
      </w:r>
      <w:r w:rsidRPr="002F2BC5">
        <w:rPr>
          <w:rFonts w:hint="cs"/>
          <w:b/>
          <w:bCs/>
          <w:rtl/>
        </w:rPr>
        <w:t>נין</w:t>
      </w:r>
      <w:r w:rsidRPr="002F2BC5">
        <w:rPr>
          <w:rFonts w:hint="cs"/>
          <w:rtl/>
        </w:rPr>
        <w:t xml:space="preserve"> הוא גם נמוך מכפי שנמסר בביקורת הקודמת.</w:t>
      </w:r>
    </w:p>
    <w:p w14:paraId="7E95BC1E" w14:textId="77777777" w:rsidR="00817399" w:rsidRPr="002F2BC5" w:rsidRDefault="00817399" w:rsidP="00817399">
      <w:pPr>
        <w:spacing w:line="269" w:lineRule="auto"/>
        <w:rPr>
          <w:rtl/>
        </w:rPr>
      </w:pPr>
    </w:p>
    <w:p w14:paraId="515ECE52" w14:textId="77777777" w:rsidR="00817399" w:rsidRPr="002F2BC5" w:rsidRDefault="00817399" w:rsidP="00817399">
      <w:pPr>
        <w:pStyle w:val="afffffff9"/>
        <w:spacing w:line="269" w:lineRule="auto"/>
        <w:rPr>
          <w:rtl/>
        </w:rPr>
      </w:pPr>
      <w:bookmarkStart w:id="1634" w:name="_Toc192093151"/>
      <w:bookmarkStart w:id="1635" w:name="_Toc192612859"/>
      <w:bookmarkStart w:id="1636" w:name="_Toc198312301"/>
      <w:bookmarkStart w:id="1637" w:name="_Toc198312780"/>
      <w:bookmarkStart w:id="1638" w:name="_Toc200636948"/>
      <w:bookmarkStart w:id="1639" w:name="_Toc200439946"/>
      <w:bookmarkStart w:id="1640" w:name="_Toc201241051"/>
      <w:r w:rsidRPr="002F2BC5">
        <w:rPr>
          <w:rtl/>
        </w:rPr>
        <w:t>במהלך הביקורת הקודמת לא נמסרו נתונים ממשרד הרווחה בדבר משך ההמתנה לטיפול במרכזים. מניתוח נתונים שנאספו מהרשויות המקומיות שנבדקו עלה כי משך ההמתנה</w:t>
      </w:r>
      <w:r w:rsidRPr="002F2BC5">
        <w:rPr>
          <w:rFonts w:hint="cs"/>
          <w:rtl/>
        </w:rPr>
        <w:t xml:space="preserve"> </w:t>
      </w:r>
      <w:r w:rsidRPr="002F2BC5">
        <w:rPr>
          <w:rFonts w:hint="eastAsia"/>
          <w:rtl/>
        </w:rPr>
        <w:t>הממוצע</w:t>
      </w:r>
      <w:r w:rsidRPr="002F2BC5">
        <w:rPr>
          <w:rtl/>
        </w:rPr>
        <w:t xml:space="preserve"> לקבלת טיפול מרגע הסכמתו של המטופל לקבלת הטיפול היה שונה </w:t>
      </w:r>
      <w:r w:rsidRPr="002F2BC5">
        <w:rPr>
          <w:rFonts w:hint="eastAsia"/>
          <w:rtl/>
        </w:rPr>
        <w:t>מרשות</w:t>
      </w:r>
      <w:r w:rsidRPr="002F2BC5">
        <w:rPr>
          <w:rtl/>
        </w:rPr>
        <w:t xml:space="preserve"> </w:t>
      </w:r>
      <w:r w:rsidRPr="002F2BC5">
        <w:rPr>
          <w:rFonts w:hint="eastAsia"/>
          <w:rtl/>
        </w:rPr>
        <w:t>לרשות</w:t>
      </w:r>
      <w:r w:rsidRPr="002F2BC5">
        <w:rPr>
          <w:rFonts w:hint="cs"/>
          <w:rtl/>
        </w:rPr>
        <w:t xml:space="preserve"> והוא</w:t>
      </w:r>
      <w:r w:rsidRPr="002F2BC5">
        <w:rPr>
          <w:rtl/>
        </w:rPr>
        <w:t xml:space="preserve"> עשוי </w:t>
      </w:r>
      <w:r w:rsidRPr="002F2BC5">
        <w:rPr>
          <w:rFonts w:hint="cs"/>
          <w:rtl/>
        </w:rPr>
        <w:t xml:space="preserve">היה </w:t>
      </w:r>
      <w:r w:rsidRPr="002F2BC5">
        <w:rPr>
          <w:rtl/>
        </w:rPr>
        <w:t>להגיע לשלושה חודשים</w:t>
      </w:r>
      <w:r w:rsidRPr="002F2BC5">
        <w:rPr>
          <w:rFonts w:hint="cs"/>
          <w:rtl/>
        </w:rPr>
        <w:t xml:space="preserve">. בביקורת המעקב </w:t>
      </w:r>
      <w:r w:rsidRPr="002F2BC5">
        <w:rPr>
          <w:rtl/>
        </w:rPr>
        <w:t>הועלה כי הליקוי תוקן במידה מועטה</w:t>
      </w:r>
      <w:r w:rsidRPr="002F2BC5">
        <w:rPr>
          <w:rFonts w:hint="cs"/>
          <w:rtl/>
        </w:rPr>
        <w:t>.</w:t>
      </w:r>
      <w:r w:rsidRPr="002F2BC5">
        <w:rPr>
          <w:rtl/>
        </w:rPr>
        <w:t xml:space="preserve"> </w:t>
      </w:r>
      <w:r w:rsidRPr="002F2BC5">
        <w:rPr>
          <w:rFonts w:hint="cs"/>
          <w:rtl/>
        </w:rPr>
        <w:t xml:space="preserve">מהנתונים החלקיים על משך ההמתנה הממוצע לטיפול במרכזים מסתמן שבכמחצית מהרשויות המקומיות </w:t>
      </w:r>
      <w:r w:rsidRPr="002F2BC5">
        <w:rPr>
          <w:rtl/>
        </w:rPr>
        <w:t xml:space="preserve">(128 </w:t>
      </w:r>
      <w:r w:rsidRPr="002F2BC5">
        <w:rPr>
          <w:rFonts w:hint="eastAsia"/>
          <w:rtl/>
        </w:rPr>
        <w:t>מתוך</w:t>
      </w:r>
      <w:r w:rsidRPr="002F2BC5">
        <w:rPr>
          <w:rtl/>
        </w:rPr>
        <w:t xml:space="preserve"> 250) </w:t>
      </w:r>
      <w:r w:rsidRPr="002F2BC5">
        <w:rPr>
          <w:rFonts w:hint="eastAsia"/>
          <w:rtl/>
        </w:rPr>
        <w:t>משך</w:t>
      </w:r>
      <w:r w:rsidRPr="002F2BC5">
        <w:rPr>
          <w:rtl/>
        </w:rPr>
        <w:t xml:space="preserve"> </w:t>
      </w:r>
      <w:r w:rsidRPr="002F2BC5">
        <w:rPr>
          <w:rFonts w:hint="eastAsia"/>
          <w:rtl/>
        </w:rPr>
        <w:t>ההמתנה</w:t>
      </w:r>
      <w:r w:rsidRPr="002F2BC5">
        <w:rPr>
          <w:rtl/>
        </w:rPr>
        <w:t xml:space="preserve"> </w:t>
      </w:r>
      <w:r w:rsidRPr="002F2BC5">
        <w:rPr>
          <w:rFonts w:hint="eastAsia"/>
          <w:rtl/>
        </w:rPr>
        <w:t>לטיפול</w:t>
      </w:r>
      <w:r w:rsidRPr="002F2BC5">
        <w:rPr>
          <w:rtl/>
        </w:rPr>
        <w:t xml:space="preserve"> </w:t>
      </w:r>
      <w:r w:rsidRPr="002F2BC5">
        <w:rPr>
          <w:rFonts w:hint="eastAsia"/>
          <w:rtl/>
        </w:rPr>
        <w:t>הוא</w:t>
      </w:r>
      <w:r w:rsidRPr="002F2BC5">
        <w:rPr>
          <w:rtl/>
        </w:rPr>
        <w:t xml:space="preserve"> </w:t>
      </w:r>
      <w:r w:rsidRPr="002F2BC5">
        <w:rPr>
          <w:rFonts w:hint="eastAsia"/>
          <w:rtl/>
        </w:rPr>
        <w:t>יותר</w:t>
      </w:r>
      <w:r w:rsidRPr="002F2BC5">
        <w:rPr>
          <w:rtl/>
        </w:rPr>
        <w:t xml:space="preserve"> </w:t>
      </w:r>
      <w:r w:rsidRPr="002F2BC5">
        <w:rPr>
          <w:rFonts w:hint="eastAsia"/>
          <w:rtl/>
        </w:rPr>
        <w:t>משבוע</w:t>
      </w:r>
      <w:r w:rsidRPr="002F2BC5">
        <w:rPr>
          <w:rtl/>
        </w:rPr>
        <w:t xml:space="preserve"> </w:t>
      </w:r>
      <w:r w:rsidRPr="002F2BC5">
        <w:rPr>
          <w:rFonts w:hint="eastAsia"/>
          <w:rtl/>
        </w:rPr>
        <w:t>ימים</w:t>
      </w:r>
      <w:r w:rsidRPr="002F2BC5">
        <w:rPr>
          <w:rFonts w:hint="cs"/>
          <w:rtl/>
        </w:rPr>
        <w:t xml:space="preserve"> </w:t>
      </w:r>
      <w:r w:rsidRPr="002F2BC5">
        <w:rPr>
          <w:rtl/>
        </w:rPr>
        <w:t xml:space="preserve">(החציון הכלל-ארצי </w:t>
      </w:r>
      <w:r w:rsidRPr="002F2BC5">
        <w:rPr>
          <w:rFonts w:hint="eastAsia"/>
          <w:rtl/>
        </w:rPr>
        <w:t>עומד</w:t>
      </w:r>
      <w:r w:rsidRPr="002F2BC5">
        <w:rPr>
          <w:rtl/>
        </w:rPr>
        <w:t xml:space="preserve"> </w:t>
      </w:r>
      <w:r w:rsidRPr="002F2BC5">
        <w:rPr>
          <w:rFonts w:hint="eastAsia"/>
          <w:rtl/>
        </w:rPr>
        <w:t>על</w:t>
      </w:r>
      <w:r w:rsidRPr="002F2BC5">
        <w:rPr>
          <w:rtl/>
        </w:rPr>
        <w:t xml:space="preserve"> </w:t>
      </w:r>
      <w:r w:rsidRPr="002F2BC5">
        <w:rPr>
          <w:rFonts w:hint="eastAsia"/>
          <w:rtl/>
        </w:rPr>
        <w:t>משך</w:t>
      </w:r>
      <w:r w:rsidRPr="002F2BC5">
        <w:rPr>
          <w:rtl/>
        </w:rPr>
        <w:t xml:space="preserve"> </w:t>
      </w:r>
      <w:r w:rsidRPr="002F2BC5">
        <w:rPr>
          <w:rFonts w:hint="eastAsia"/>
          <w:rtl/>
        </w:rPr>
        <w:t>המתנה</w:t>
      </w:r>
      <w:r w:rsidRPr="002F2BC5">
        <w:rPr>
          <w:rtl/>
        </w:rPr>
        <w:t xml:space="preserve"> </w:t>
      </w:r>
      <w:r w:rsidRPr="002F2BC5">
        <w:rPr>
          <w:rFonts w:hint="eastAsia"/>
          <w:rtl/>
        </w:rPr>
        <w:t>של</w:t>
      </w:r>
      <w:r w:rsidRPr="002F2BC5">
        <w:rPr>
          <w:rtl/>
        </w:rPr>
        <w:t xml:space="preserve"> </w:t>
      </w:r>
      <w:r w:rsidRPr="002F2BC5">
        <w:rPr>
          <w:rFonts w:hint="eastAsia"/>
          <w:rtl/>
        </w:rPr>
        <w:t>כשמונה</w:t>
      </w:r>
      <w:r w:rsidRPr="002F2BC5">
        <w:rPr>
          <w:rtl/>
        </w:rPr>
        <w:t xml:space="preserve"> </w:t>
      </w:r>
      <w:r w:rsidRPr="002F2BC5">
        <w:rPr>
          <w:rFonts w:hint="eastAsia"/>
          <w:rtl/>
        </w:rPr>
        <w:t>ימים</w:t>
      </w:r>
      <w:r w:rsidRPr="002F2BC5">
        <w:rPr>
          <w:rtl/>
        </w:rPr>
        <w:t>)</w:t>
      </w:r>
      <w:r w:rsidRPr="002F2BC5">
        <w:rPr>
          <w:rFonts w:hint="cs"/>
          <w:rtl/>
        </w:rPr>
        <w:t xml:space="preserve"> </w:t>
      </w:r>
      <w:r w:rsidRPr="002F2BC5">
        <w:rPr>
          <w:rFonts w:hint="eastAsia"/>
          <w:rtl/>
        </w:rPr>
        <w:t>וכי</w:t>
      </w:r>
      <w:r w:rsidRPr="002F2BC5">
        <w:rPr>
          <w:rtl/>
        </w:rPr>
        <w:t xml:space="preserve"> </w:t>
      </w:r>
      <w:r w:rsidRPr="002F2BC5">
        <w:rPr>
          <w:rFonts w:hint="eastAsia"/>
          <w:rtl/>
        </w:rPr>
        <w:t>בכרבע</w:t>
      </w:r>
      <w:r w:rsidRPr="002F2BC5">
        <w:rPr>
          <w:rtl/>
        </w:rPr>
        <w:t xml:space="preserve"> מהרשויות </w:t>
      </w:r>
      <w:r w:rsidRPr="002F2BC5">
        <w:rPr>
          <w:rFonts w:hint="eastAsia"/>
          <w:rtl/>
        </w:rPr>
        <w:t>הוא</w:t>
      </w:r>
      <w:r w:rsidRPr="002F2BC5">
        <w:rPr>
          <w:rtl/>
        </w:rPr>
        <w:t xml:space="preserve"> </w:t>
      </w:r>
      <w:r w:rsidRPr="002F2BC5">
        <w:rPr>
          <w:rFonts w:hint="eastAsia"/>
          <w:rtl/>
        </w:rPr>
        <w:t>מעל</w:t>
      </w:r>
      <w:r w:rsidRPr="002F2BC5">
        <w:rPr>
          <w:rtl/>
        </w:rPr>
        <w:t xml:space="preserve"> </w:t>
      </w:r>
      <w:r w:rsidRPr="002F2BC5">
        <w:rPr>
          <w:rFonts w:hint="eastAsia"/>
          <w:rtl/>
        </w:rPr>
        <w:t>שבועיים</w:t>
      </w:r>
      <w:r w:rsidRPr="002F2BC5">
        <w:rPr>
          <w:rFonts w:hint="cs"/>
          <w:rtl/>
        </w:rPr>
        <w:t>, ומשכך לא ניתן בהן מענה טיפולי זמין לנפגעי האלימות במשפחה מייד לאחר האינטייק.</w:t>
      </w:r>
      <w:bookmarkEnd w:id="1634"/>
      <w:bookmarkEnd w:id="1635"/>
      <w:bookmarkEnd w:id="1636"/>
      <w:bookmarkEnd w:id="1637"/>
      <w:bookmarkEnd w:id="1638"/>
      <w:bookmarkEnd w:id="1639"/>
      <w:bookmarkEnd w:id="1640"/>
      <w:r w:rsidRPr="002F2BC5">
        <w:rPr>
          <w:rFonts w:hint="cs"/>
          <w:rtl/>
        </w:rPr>
        <w:t xml:space="preserve"> </w:t>
      </w:r>
    </w:p>
    <w:p w14:paraId="3D1E10B5" w14:textId="77777777" w:rsidR="00817399" w:rsidRPr="002F2BC5" w:rsidRDefault="00817399" w:rsidP="00817399">
      <w:pPr>
        <w:spacing w:line="269" w:lineRule="auto"/>
        <w:rPr>
          <w:rtl/>
        </w:rPr>
      </w:pPr>
    </w:p>
    <w:p w14:paraId="4573BF54" w14:textId="77777777" w:rsidR="00817399" w:rsidRPr="002F2BC5" w:rsidRDefault="00817399" w:rsidP="00817399">
      <w:pPr>
        <w:spacing w:line="269" w:lineRule="auto"/>
        <w:rPr>
          <w:rtl/>
        </w:rPr>
      </w:pPr>
      <w:r w:rsidRPr="002F2BC5">
        <w:rPr>
          <w:rFonts w:hint="cs"/>
          <w:rtl/>
        </w:rPr>
        <w:t xml:space="preserve">העיריות </w:t>
      </w:r>
      <w:r w:rsidRPr="002F2BC5">
        <w:rPr>
          <w:rFonts w:hint="cs"/>
          <w:b/>
          <w:bCs/>
          <w:rtl/>
        </w:rPr>
        <w:t>בני ברק</w:t>
      </w:r>
      <w:r w:rsidRPr="002F2BC5">
        <w:rPr>
          <w:rFonts w:hint="cs"/>
          <w:rtl/>
        </w:rPr>
        <w:t xml:space="preserve">, </w:t>
      </w:r>
      <w:r w:rsidRPr="002F2BC5">
        <w:rPr>
          <w:rFonts w:hint="eastAsia"/>
          <w:b/>
          <w:bCs/>
          <w:rtl/>
        </w:rPr>
        <w:t>דימונה</w:t>
      </w:r>
      <w:r w:rsidRPr="002F2BC5">
        <w:rPr>
          <w:rFonts w:hint="cs"/>
          <w:rtl/>
        </w:rPr>
        <w:t xml:space="preserve"> ו</w:t>
      </w:r>
      <w:r w:rsidRPr="002F2BC5">
        <w:rPr>
          <w:rFonts w:hint="eastAsia"/>
          <w:b/>
          <w:bCs/>
          <w:rtl/>
        </w:rPr>
        <w:t>חדרה</w:t>
      </w:r>
      <w:r w:rsidRPr="002F2BC5">
        <w:rPr>
          <w:rFonts w:hint="cs"/>
          <w:rtl/>
        </w:rPr>
        <w:t xml:space="preserve"> מסרו בתשובותיהן כי משך ההמתנה לטיפול משתנה בהתאם לרמת הדחיפות והמסוכנות. עיריית בני ברק ציינה כי מקרים דחופים המתאפיינים ברמת מסוכנות גבוהה מקבלים מענה מיידי, אך במקרים אחרים המענה הטיפולי ניתן בתוך פרק זמן של עד </w:t>
      </w:r>
      <w:r w:rsidRPr="002F2BC5">
        <w:rPr>
          <w:rFonts w:hint="eastAsia"/>
          <w:rtl/>
        </w:rPr>
        <w:t>כ</w:t>
      </w:r>
      <w:r w:rsidRPr="002F2BC5">
        <w:rPr>
          <w:rFonts w:hint="cs"/>
          <w:rtl/>
        </w:rPr>
        <w:t xml:space="preserve">שלושה שבועות. עיריית </w:t>
      </w:r>
      <w:r w:rsidRPr="002F2BC5">
        <w:rPr>
          <w:rFonts w:hint="eastAsia"/>
          <w:rtl/>
        </w:rPr>
        <w:t>דימונה</w:t>
      </w:r>
      <w:r w:rsidRPr="002F2BC5">
        <w:rPr>
          <w:rFonts w:hint="cs"/>
          <w:rtl/>
        </w:rPr>
        <w:t xml:space="preserve"> ציינה כי פניות המחייבות מענה מיידי יטופלו עוד באותו היום או לכל המאוחר בתוך מספר ימים, כתלות ברמת הדחיפות של הפנייה, ואילו פניות המצריכות התערבות ארוכת טווח יטופלו בתוך פרק זמן ארוך יותר. עוד הוסיפה כי משך ההמתנה לטיפול התקצר בעקבות איוש משרת עו"ס המשטרה, וכי היא צופה קיצור נוסף במשך ההמתנה לטיפול עם קליטתה של עובדת סוציאלית נוספת. עיריית חדרה ציינה שעם כל פונה מתקיימת שיחה </w:t>
      </w:r>
      <w:r w:rsidRPr="002F2BC5">
        <w:rPr>
          <w:rFonts w:hint="cs"/>
          <w:rtl/>
        </w:rPr>
        <w:lastRenderedPageBreak/>
        <w:t xml:space="preserve">טלפונית לצורך תיעדוף, וכי לנוכח עומס הפניות הגבוה, משך ההמתנה המרבי לטיפול, ובלבד שאינו מתאפיין במסוכנות, הוא כשבועיים. אם קיים סיכון או חשש לסיכון, הפונה מתקבל לטיפול באופן מיידי וללא כל המתנה, וכדי להבטיח זאת, אף ישנה תורנות יומית של עובדים בשעות העבודה. עוד הוסיפה כי נעשים כל המאמצים לצמצום משכי ההמתנה לטיפול. עיריית </w:t>
      </w:r>
      <w:r w:rsidRPr="002F2BC5">
        <w:rPr>
          <w:rFonts w:hint="eastAsia"/>
          <w:b/>
          <w:bCs/>
          <w:rtl/>
        </w:rPr>
        <w:t>ראש</w:t>
      </w:r>
      <w:r w:rsidRPr="002F2BC5">
        <w:rPr>
          <w:rFonts w:hint="cs"/>
          <w:rtl/>
        </w:rPr>
        <w:t xml:space="preserve"> </w:t>
      </w:r>
      <w:r w:rsidRPr="002F2BC5">
        <w:rPr>
          <w:rFonts w:hint="eastAsia"/>
          <w:b/>
          <w:bCs/>
          <w:rtl/>
        </w:rPr>
        <w:t>העין</w:t>
      </w:r>
      <w:r w:rsidRPr="002F2BC5">
        <w:rPr>
          <w:rFonts w:hint="cs"/>
          <w:rtl/>
        </w:rPr>
        <w:t xml:space="preserve"> מסרה בתשובתה כי צוות המרכז שבהפעלתה עושה מאמצים רבים כדי לשמר את משך ההמתנה הקצר לטיפול. עיריית </w:t>
      </w:r>
      <w:r w:rsidRPr="002F2BC5">
        <w:rPr>
          <w:rFonts w:hint="eastAsia"/>
          <w:b/>
          <w:bCs/>
          <w:rtl/>
        </w:rPr>
        <w:t>רהט</w:t>
      </w:r>
      <w:r w:rsidRPr="002F2BC5">
        <w:rPr>
          <w:rFonts w:hint="cs"/>
          <w:rtl/>
        </w:rPr>
        <w:t xml:space="preserve"> מסרה בתשובתה ממרץ 2025 ובתשובתה המשלימה מאפריל 2025 כי אין זמני המתנה לטיפול במרכז שבהפעלתה, והוסיפה כי לפני יישום הסכם "כתף אל כתף" הועברו דיווחים חלקיים על השמות למרכז, או שהדיווחים הועברו באיחור, ובכך ייתכן שיש כדי להסביר את משך ההמתנה לטיפול כפי שעולה מנתוני משרד הרווחה.</w:t>
      </w:r>
    </w:p>
    <w:p w14:paraId="047FCF9D" w14:textId="77777777" w:rsidR="00817399" w:rsidRPr="002F2BC5" w:rsidRDefault="00817399" w:rsidP="00817399">
      <w:pPr>
        <w:spacing w:line="269" w:lineRule="auto"/>
        <w:rPr>
          <w:rtl/>
        </w:rPr>
      </w:pPr>
    </w:p>
    <w:p w14:paraId="364C6233" w14:textId="77777777" w:rsidR="00817399" w:rsidRPr="002F2BC5" w:rsidRDefault="00817399" w:rsidP="00817399">
      <w:pPr>
        <w:spacing w:line="269" w:lineRule="auto"/>
        <w:rPr>
          <w:rtl/>
        </w:rPr>
      </w:pPr>
      <w:r w:rsidRPr="002F2BC5">
        <w:rPr>
          <w:rFonts w:hint="cs"/>
          <w:rtl/>
        </w:rPr>
        <w:t xml:space="preserve">משרד הרווחה מסר בתשובתו כי </w:t>
      </w:r>
      <w:r w:rsidRPr="002F2BC5">
        <w:rPr>
          <w:rtl/>
        </w:rPr>
        <w:t xml:space="preserve">מודל ההפעלה </w:t>
      </w:r>
      <w:r w:rsidRPr="002F2BC5">
        <w:rPr>
          <w:rFonts w:hint="cs"/>
          <w:rtl/>
        </w:rPr>
        <w:t>של המרכזים לטיפול ומניעת אלימות במשפחה מחייב מתן</w:t>
      </w:r>
      <w:r w:rsidRPr="002F2BC5">
        <w:rPr>
          <w:rtl/>
        </w:rPr>
        <w:t xml:space="preserve"> מענה ראשוני מיידי</w:t>
      </w:r>
      <w:r w:rsidRPr="002F2BC5">
        <w:rPr>
          <w:rFonts w:hint="cs"/>
          <w:rtl/>
        </w:rPr>
        <w:t>. כדי לאפשר זאת, מבלי להגביר את עומס העבודה המוטל על העובדים הסוציאליים, נקבע תקן מופחת לעניין עומס התיקים הקבוע על המטפל (מ-22 ל-20 מטופלים לעובד סוציאלי)</w:t>
      </w:r>
      <w:r w:rsidRPr="002F2BC5">
        <w:rPr>
          <w:rStyle w:val="af9"/>
          <w:rtl/>
        </w:rPr>
        <w:footnoteReference w:id="330"/>
      </w:r>
      <w:r w:rsidRPr="002F2BC5">
        <w:rPr>
          <w:rtl/>
        </w:rPr>
        <w:t>.</w:t>
      </w:r>
      <w:r w:rsidRPr="002F2BC5">
        <w:rPr>
          <w:rFonts w:hint="cs"/>
          <w:rtl/>
        </w:rPr>
        <w:t xml:space="preserve"> לצד זאת מסר כי בשל תנאי העסקתם של העובדים הסוציאליים והמשבר שחוות המחלקות לשירותים חברתיים, קיים קושי של </w:t>
      </w:r>
      <w:r w:rsidRPr="002F2BC5">
        <w:rPr>
          <w:rtl/>
        </w:rPr>
        <w:t>ממש בגיוס עובדים מיומנים למרכזים</w:t>
      </w:r>
      <w:r w:rsidRPr="002F2BC5">
        <w:rPr>
          <w:rFonts w:hint="cs"/>
          <w:rtl/>
        </w:rPr>
        <w:t>,</w:t>
      </w:r>
      <w:r w:rsidRPr="002F2BC5">
        <w:rPr>
          <w:rtl/>
        </w:rPr>
        <w:t xml:space="preserve"> באופן המשפיע על</w:t>
      </w:r>
      <w:r w:rsidRPr="002F2BC5">
        <w:rPr>
          <w:rFonts w:hint="cs"/>
          <w:rtl/>
        </w:rPr>
        <w:t xml:space="preserve"> </w:t>
      </w:r>
      <w:r w:rsidRPr="002F2BC5">
        <w:rPr>
          <w:rtl/>
        </w:rPr>
        <w:t xml:space="preserve">היכולת לתת מענה למכלול </w:t>
      </w:r>
      <w:r w:rsidRPr="002F2BC5">
        <w:rPr>
          <w:rFonts w:hint="cs"/>
          <w:rtl/>
        </w:rPr>
        <w:t>צורכיהם של הפונים</w:t>
      </w:r>
      <w:r w:rsidRPr="002F2BC5">
        <w:rPr>
          <w:rtl/>
        </w:rPr>
        <w:t>.</w:t>
      </w:r>
    </w:p>
    <w:p w14:paraId="2B5FFFCB" w14:textId="77777777" w:rsidR="00817399" w:rsidRPr="002F2BC5" w:rsidRDefault="00817399" w:rsidP="00817399">
      <w:pPr>
        <w:spacing w:line="269" w:lineRule="auto"/>
        <w:rPr>
          <w:rtl/>
        </w:rPr>
      </w:pPr>
    </w:p>
    <w:p w14:paraId="1CE4CA3E" w14:textId="77777777" w:rsidR="00817399" w:rsidRPr="002F2BC5" w:rsidRDefault="00817399" w:rsidP="00817399">
      <w:pPr>
        <w:pStyle w:val="afffffffa"/>
        <w:spacing w:line="269" w:lineRule="auto"/>
        <w:rPr>
          <w:rtl/>
        </w:rPr>
      </w:pPr>
      <w:bookmarkStart w:id="1641" w:name="_Toc198312302"/>
      <w:bookmarkStart w:id="1642" w:name="_Toc198312781"/>
      <w:bookmarkStart w:id="1643" w:name="_Toc192093152"/>
      <w:bookmarkStart w:id="1644" w:name="_Toc192612860"/>
      <w:bookmarkStart w:id="1645" w:name="_Toc200636949"/>
      <w:bookmarkStart w:id="1646" w:name="_Toc200439947"/>
      <w:bookmarkStart w:id="1647" w:name="_Toc201241052"/>
      <w:r w:rsidRPr="002F2BC5">
        <w:rPr>
          <w:rFonts w:hint="eastAsia"/>
          <w:rtl/>
        </w:rPr>
        <w:t>על</w:t>
      </w:r>
      <w:r w:rsidRPr="002F2BC5">
        <w:rPr>
          <w:rtl/>
        </w:rPr>
        <w:t xml:space="preserve"> </w:t>
      </w:r>
      <w:r w:rsidRPr="002F2BC5">
        <w:rPr>
          <w:rFonts w:hint="eastAsia"/>
          <w:rtl/>
        </w:rPr>
        <w:t>משרד</w:t>
      </w:r>
      <w:r w:rsidRPr="002F2BC5">
        <w:rPr>
          <w:rtl/>
        </w:rPr>
        <w:t xml:space="preserve"> הרווחה </w:t>
      </w:r>
      <w:r w:rsidRPr="002F2BC5">
        <w:rPr>
          <w:rFonts w:hint="eastAsia"/>
          <w:rtl/>
        </w:rPr>
        <w:t>לפעול</w:t>
      </w:r>
      <w:r w:rsidRPr="002F2BC5">
        <w:rPr>
          <w:rtl/>
        </w:rPr>
        <w:t xml:space="preserve"> לבחינ</w:t>
      </w:r>
      <w:r w:rsidRPr="002F2BC5">
        <w:rPr>
          <w:rFonts w:hint="cs"/>
          <w:rtl/>
        </w:rPr>
        <w:t>ה שיטתית של</w:t>
      </w:r>
      <w:r w:rsidRPr="002F2BC5">
        <w:rPr>
          <w:rtl/>
        </w:rPr>
        <w:t xml:space="preserve"> מש</w:t>
      </w:r>
      <w:r w:rsidRPr="002F2BC5">
        <w:rPr>
          <w:rFonts w:hint="cs"/>
          <w:rtl/>
        </w:rPr>
        <w:t>כי ההמתנה לטיפול במרכזים והתאמתם לאופי השירותים הניתנים בהם, המחייבים מיידיות וזמינות באספקתם. כדי לאפשר ניטור ובקרה מיטבית, לרבות בקרה עצמית של המרכזים עצמם, ובפרט לנוכח השונות במשך ההמתנה בין המרכזים, מומלץ כי משרד הרווחה יקבע אמות מידה לעניין משך ההמתנה לטיפול - תוך הבחנה בין מענה ראשוני ובין מענה טיפולי מהותי - וזאת גם בשים לב לרמת הדחיפות ולרמת המסוכנות הנשקפת לפונה.</w:t>
      </w:r>
      <w:bookmarkEnd w:id="1641"/>
      <w:bookmarkEnd w:id="1642"/>
      <w:bookmarkEnd w:id="1643"/>
      <w:bookmarkEnd w:id="1644"/>
      <w:bookmarkEnd w:id="1645"/>
      <w:bookmarkEnd w:id="1646"/>
      <w:bookmarkEnd w:id="1647"/>
    </w:p>
    <w:p w14:paraId="102F688B" w14:textId="77777777" w:rsidR="00817399" w:rsidRPr="002F2BC5" w:rsidRDefault="00817399" w:rsidP="00817399">
      <w:pPr>
        <w:spacing w:line="269" w:lineRule="auto"/>
        <w:rPr>
          <w:rtl/>
        </w:rPr>
      </w:pPr>
    </w:p>
    <w:p w14:paraId="05CA62EF"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40421469" w14:textId="77777777" w:rsidR="00817399" w:rsidRPr="002F2BC5" w:rsidRDefault="00817399" w:rsidP="00817399">
      <w:pPr>
        <w:pStyle w:val="afffffff7"/>
        <w:spacing w:before="0" w:line="269" w:lineRule="auto"/>
        <w:rPr>
          <w:b/>
          <w:bCs/>
          <w:rtl/>
        </w:rPr>
      </w:pPr>
      <w:bookmarkStart w:id="1648" w:name="_Toc198312303"/>
      <w:bookmarkStart w:id="1649" w:name="_Toc198312782"/>
      <w:bookmarkStart w:id="1650" w:name="_Toc189072263"/>
      <w:r w:rsidRPr="002F2BC5">
        <w:rPr>
          <w:b/>
          <w:bCs/>
          <w:noProof/>
        </w:rPr>
        <w:drawing>
          <wp:inline distT="0" distB="0" distL="0" distR="0" wp14:anchorId="73960FC0" wp14:editId="5EE7385A">
            <wp:extent cx="4324350" cy="933450"/>
            <wp:effectExtent l="0" t="0" r="0" b="0"/>
            <wp:docPr id="40"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648"/>
      <w:bookmarkEnd w:id="1649"/>
    </w:p>
    <w:bookmarkEnd w:id="1650"/>
    <w:p w14:paraId="4215D2B7" w14:textId="77777777" w:rsidR="00817399" w:rsidRPr="002F2BC5" w:rsidRDefault="00817399" w:rsidP="00817399">
      <w:pPr>
        <w:spacing w:line="269" w:lineRule="auto"/>
        <w:rPr>
          <w:rtl/>
        </w:rPr>
      </w:pPr>
    </w:p>
    <w:p w14:paraId="5A4196C3" w14:textId="77777777" w:rsidR="00817399" w:rsidRPr="002F2BC5" w:rsidRDefault="00817399" w:rsidP="00817399">
      <w:pPr>
        <w:pStyle w:val="1ff"/>
        <w:bidi/>
      </w:pPr>
      <w:bookmarkStart w:id="1651" w:name="_Ref191967617"/>
      <w:bookmarkStart w:id="1652" w:name="_Toc191987095"/>
      <w:r w:rsidRPr="009473DF">
        <w:rPr>
          <w:rFonts w:hint="cs"/>
          <w:rtl/>
        </w:rPr>
        <w:t>הנגישות הפיזית</w:t>
      </w:r>
      <w:r w:rsidRPr="009473DF">
        <w:rPr>
          <w:rtl/>
        </w:rPr>
        <w:t xml:space="preserve"> </w:t>
      </w:r>
      <w:r w:rsidRPr="009473DF">
        <w:rPr>
          <w:rFonts w:hint="cs"/>
          <w:rtl/>
        </w:rPr>
        <w:t>וסביבת הטיפול במחלקות לשירותים חברתיים ובמרכזים לטיפול ומניעת אלימות במשפחה</w:t>
      </w:r>
      <w:r w:rsidRPr="009473DF">
        <w:rPr>
          <w:rStyle w:val="af9"/>
          <w:u w:val="none"/>
        </w:rPr>
        <w:footnoteReference w:id="331"/>
      </w:r>
      <w:bookmarkEnd w:id="1651"/>
      <w:bookmarkEnd w:id="1652"/>
    </w:p>
    <w:p w14:paraId="2141A057" w14:textId="77777777" w:rsidR="00817399" w:rsidRPr="002F2BC5" w:rsidRDefault="00817399" w:rsidP="00817399">
      <w:pPr>
        <w:spacing w:line="269" w:lineRule="auto"/>
        <w:rPr>
          <w:rtl/>
        </w:rPr>
      </w:pPr>
    </w:p>
    <w:p w14:paraId="6DB0F9DA" w14:textId="77777777" w:rsidR="00817399" w:rsidRPr="002F2BC5" w:rsidRDefault="00817399" w:rsidP="00817399">
      <w:pPr>
        <w:spacing w:line="269" w:lineRule="auto"/>
        <w:rPr>
          <w:rtl/>
        </w:rPr>
      </w:pPr>
      <w:r w:rsidRPr="002F2BC5">
        <w:rPr>
          <w:rFonts w:hint="eastAsia"/>
          <w:rtl/>
        </w:rPr>
        <w:t>חוק</w:t>
      </w:r>
      <w:r w:rsidRPr="002F2BC5">
        <w:rPr>
          <w:rtl/>
        </w:rPr>
        <w:t xml:space="preserve"> </w:t>
      </w:r>
      <w:r w:rsidRPr="002F2BC5">
        <w:rPr>
          <w:rFonts w:hint="eastAsia"/>
          <w:rtl/>
        </w:rPr>
        <w:t>שוויון</w:t>
      </w:r>
      <w:r w:rsidRPr="002F2BC5">
        <w:rPr>
          <w:rtl/>
        </w:rPr>
        <w:t xml:space="preserve"> </w:t>
      </w:r>
      <w:r w:rsidRPr="002F2BC5">
        <w:rPr>
          <w:rFonts w:hint="eastAsia"/>
          <w:rtl/>
        </w:rPr>
        <w:t>זכויות</w:t>
      </w:r>
      <w:r w:rsidRPr="002F2BC5">
        <w:rPr>
          <w:rtl/>
        </w:rPr>
        <w:t xml:space="preserve"> </w:t>
      </w:r>
      <w:r w:rsidRPr="002F2BC5">
        <w:rPr>
          <w:rFonts w:hint="eastAsia"/>
          <w:rtl/>
        </w:rPr>
        <w:t>לאנשים</w:t>
      </w:r>
      <w:r w:rsidRPr="002F2BC5">
        <w:rPr>
          <w:rtl/>
        </w:rPr>
        <w:t xml:space="preserve"> </w:t>
      </w:r>
      <w:r w:rsidRPr="002F2BC5">
        <w:rPr>
          <w:rFonts w:hint="eastAsia"/>
          <w:rtl/>
        </w:rPr>
        <w:t>עם</w:t>
      </w:r>
      <w:r w:rsidRPr="002F2BC5">
        <w:rPr>
          <w:rtl/>
        </w:rPr>
        <w:t xml:space="preserve"> </w:t>
      </w:r>
      <w:r w:rsidRPr="002F2BC5">
        <w:rPr>
          <w:rFonts w:hint="eastAsia"/>
          <w:rtl/>
        </w:rPr>
        <w:t>מוגבלות</w:t>
      </w:r>
      <w:r w:rsidRPr="002F2BC5">
        <w:rPr>
          <w:rtl/>
        </w:rPr>
        <w:t xml:space="preserve">, </w:t>
      </w:r>
      <w:r w:rsidRPr="002F2BC5">
        <w:rPr>
          <w:rFonts w:hint="eastAsia"/>
          <w:rtl/>
        </w:rPr>
        <w:t>התשנ</w:t>
      </w:r>
      <w:r w:rsidRPr="002F2BC5">
        <w:rPr>
          <w:rtl/>
        </w:rPr>
        <w:t xml:space="preserve">"ח-1998, </w:t>
      </w:r>
      <w:r w:rsidRPr="002F2BC5">
        <w:rPr>
          <w:rFonts w:hint="eastAsia"/>
          <w:rtl/>
        </w:rPr>
        <w:t>והתקנות</w:t>
      </w:r>
      <w:r w:rsidRPr="002F2BC5">
        <w:rPr>
          <w:rtl/>
        </w:rPr>
        <w:t xml:space="preserve"> שהותקנו מכוחו (להלן - חוק שוויון זכויות ותקנותיו) </w:t>
      </w:r>
      <w:r w:rsidRPr="002F2BC5">
        <w:rPr>
          <w:rFonts w:hint="eastAsia"/>
          <w:rtl/>
        </w:rPr>
        <w:t>קובעים</w:t>
      </w:r>
      <w:r w:rsidRPr="002F2BC5">
        <w:rPr>
          <w:rtl/>
        </w:rPr>
        <w:t xml:space="preserve"> את החובה כי כל מקום ציבורי, </w:t>
      </w:r>
      <w:r w:rsidRPr="002F2BC5">
        <w:rPr>
          <w:rFonts w:hint="eastAsia"/>
          <w:rtl/>
        </w:rPr>
        <w:t>ובכלל</w:t>
      </w:r>
      <w:r w:rsidRPr="002F2BC5">
        <w:rPr>
          <w:rtl/>
        </w:rPr>
        <w:t xml:space="preserve"> </w:t>
      </w:r>
      <w:r w:rsidRPr="002F2BC5">
        <w:rPr>
          <w:rFonts w:hint="eastAsia"/>
          <w:rtl/>
        </w:rPr>
        <w:t>זה</w:t>
      </w:r>
      <w:r w:rsidRPr="002F2BC5">
        <w:rPr>
          <w:rtl/>
        </w:rPr>
        <w:t xml:space="preserve"> </w:t>
      </w:r>
      <w:r w:rsidRPr="002F2BC5">
        <w:rPr>
          <w:rFonts w:hint="eastAsia"/>
          <w:rtl/>
        </w:rPr>
        <w:t>המחלקות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 xml:space="preserve"> </w:t>
      </w:r>
      <w:r w:rsidRPr="002F2BC5">
        <w:rPr>
          <w:rFonts w:hint="eastAsia"/>
          <w:rtl/>
        </w:rPr>
        <w:t>ברשויות</w:t>
      </w:r>
      <w:r w:rsidRPr="002F2BC5">
        <w:rPr>
          <w:rtl/>
        </w:rPr>
        <w:t xml:space="preserve"> </w:t>
      </w:r>
      <w:r w:rsidRPr="002F2BC5">
        <w:rPr>
          <w:rFonts w:hint="eastAsia"/>
          <w:rtl/>
        </w:rPr>
        <w:t>המקומיות</w:t>
      </w:r>
      <w:r w:rsidRPr="002F2BC5">
        <w:rPr>
          <w:rtl/>
        </w:rPr>
        <w:t>, או מרכז המספק שירותי רווחה או שירות</w:t>
      </w:r>
      <w:r w:rsidRPr="002F2BC5">
        <w:rPr>
          <w:rFonts w:hint="eastAsia"/>
          <w:rtl/>
        </w:rPr>
        <w:t>ים</w:t>
      </w:r>
      <w:r w:rsidRPr="002F2BC5">
        <w:rPr>
          <w:rtl/>
        </w:rPr>
        <w:t xml:space="preserve"> טיפולי</w:t>
      </w:r>
      <w:r w:rsidRPr="002F2BC5">
        <w:rPr>
          <w:rFonts w:hint="eastAsia"/>
          <w:rtl/>
        </w:rPr>
        <w:t>ים</w:t>
      </w:r>
      <w:r w:rsidRPr="002F2BC5">
        <w:rPr>
          <w:rtl/>
        </w:rPr>
        <w:t xml:space="preserve"> </w:t>
      </w:r>
      <w:r w:rsidRPr="002F2BC5">
        <w:rPr>
          <w:rFonts w:hint="eastAsia"/>
          <w:rtl/>
        </w:rPr>
        <w:t>אחרים</w:t>
      </w:r>
      <w:r w:rsidRPr="002F2BC5">
        <w:rPr>
          <w:rtl/>
        </w:rPr>
        <w:t xml:space="preserve"> -</w:t>
      </w:r>
      <w:r w:rsidRPr="002F2BC5">
        <w:rPr>
          <w:rFonts w:hint="cs"/>
          <w:rtl/>
        </w:rPr>
        <w:t xml:space="preserve"> יהיו נגישים לאנשים עם מוגבלות. לגבי מבני ציבור קיימים קובע חוק שוויון זכויות ותקנותיו הוראות לעניין התאמות הנגישות שיש לבצע במבנה וכן את המועד האחרון לביצוען. בהתייחס למבני ציבור קיימים ברשויות המקומיות נקבע כי על הרשויות המקומיות להשלים את התאמות הנגישות הנדרשות בחוק שוויון זכויות ובתקנותיו עד ל-1 בנובמבר 2021, אולם בכפוף לתנאים מסוימים תינתן ארכה לרשויות מקומיות להשלמת התאמות הנגישות עד ל-31 במרץ 2026</w:t>
      </w:r>
      <w:bookmarkStart w:id="1653" w:name="_Ref189030696"/>
      <w:r w:rsidRPr="002F2BC5">
        <w:rPr>
          <w:rStyle w:val="af9"/>
          <w:rtl/>
        </w:rPr>
        <w:footnoteReference w:id="332"/>
      </w:r>
      <w:bookmarkEnd w:id="1653"/>
      <w:r w:rsidRPr="002F2BC5">
        <w:rPr>
          <w:rFonts w:hint="cs"/>
          <w:rtl/>
        </w:rPr>
        <w:t xml:space="preserve">. </w:t>
      </w:r>
    </w:p>
    <w:p w14:paraId="396E0EA4" w14:textId="77777777" w:rsidR="00817399" w:rsidRPr="002F2BC5" w:rsidRDefault="00817399" w:rsidP="00817399">
      <w:pPr>
        <w:spacing w:line="269" w:lineRule="auto"/>
        <w:rPr>
          <w:rtl/>
        </w:rPr>
      </w:pPr>
    </w:p>
    <w:p w14:paraId="4E347987" w14:textId="77777777" w:rsidR="00817399" w:rsidRPr="002F2BC5" w:rsidRDefault="00817399" w:rsidP="00817399">
      <w:pPr>
        <w:spacing w:line="269" w:lineRule="auto"/>
        <w:rPr>
          <w:rtl/>
        </w:rPr>
      </w:pPr>
      <w:r w:rsidRPr="002F2BC5">
        <w:rPr>
          <w:rFonts w:hint="cs"/>
          <w:rtl/>
        </w:rPr>
        <w:lastRenderedPageBreak/>
        <w:t>התאמתו של מבנה למתן שירותי רווחה אינה נמדדת רק במובנים של נגישות לאנשים עם מוגבלות אלא גם במובנים נוספים, ובכלל זה קרבתו הגיאוגרפית למקבלי השירות או אפשרויות ההגעה אליו בהתחשב בסביבה שבה הוא ממוקם ויכולתו של המבנה להבטיח את שלום המטופלים והמטפלים ואת הפרטיות למטופלים ולהקנות תחושת ביטחון אישית לבאים בשעריו. הואיל ומדובר במרכז המספק שירותים בתחום האלימות במשפחה, הרי שהחשיבות בהקניית תחושת ביטחון אישית לנפגעי האלימות הבאים בשערי המרכז מועצמת אף יותר.</w:t>
      </w:r>
    </w:p>
    <w:p w14:paraId="4E27029D" w14:textId="77777777" w:rsidR="00817399" w:rsidRPr="002F2BC5" w:rsidRDefault="00817399" w:rsidP="00817399">
      <w:pPr>
        <w:spacing w:line="269" w:lineRule="auto"/>
        <w:rPr>
          <w:rtl/>
        </w:rPr>
      </w:pPr>
    </w:p>
    <w:p w14:paraId="499C2151" w14:textId="77777777" w:rsidR="00817399" w:rsidRPr="002F2BC5" w:rsidRDefault="00817399" w:rsidP="00817399">
      <w:pPr>
        <w:spacing w:line="269" w:lineRule="auto"/>
        <w:rPr>
          <w:rtl/>
        </w:rPr>
      </w:pPr>
      <w:bookmarkStart w:id="1654" w:name="_Toc191987096"/>
      <w:r w:rsidRPr="002F2BC5">
        <w:rPr>
          <w:rStyle w:val="70"/>
          <w:rFonts w:hint="cs"/>
          <w:rtl/>
        </w:rPr>
        <w:t>הביקורת הקודמת:</w:t>
      </w:r>
      <w:bookmarkEnd w:id="1654"/>
      <w:r w:rsidRPr="002F2BC5">
        <w:rPr>
          <w:rStyle w:val="70"/>
          <w:rFonts w:hint="cs"/>
          <w:rtl/>
        </w:rPr>
        <w:t xml:space="preserve"> </w:t>
      </w:r>
      <w:r w:rsidRPr="002F2BC5">
        <w:rPr>
          <w:rFonts w:hint="cs"/>
          <w:rtl/>
        </w:rPr>
        <w:t xml:space="preserve">נמצא כי </w:t>
      </w:r>
      <w:r w:rsidRPr="002F2BC5">
        <w:rPr>
          <w:rtl/>
        </w:rPr>
        <w:t xml:space="preserve">מבני המרכז </w:t>
      </w:r>
      <w:r w:rsidRPr="002F2BC5">
        <w:rPr>
          <w:rFonts w:hint="cs"/>
          <w:rtl/>
        </w:rPr>
        <w:t>לטיפול 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והמחלקה לשירותים חברתיים</w:t>
      </w:r>
      <w:r w:rsidRPr="002F2BC5">
        <w:rPr>
          <w:rFonts w:hint="cs"/>
          <w:rtl/>
        </w:rPr>
        <w:t xml:space="preserve"> ב</w:t>
      </w:r>
      <w:r w:rsidRPr="002F2BC5">
        <w:rPr>
          <w:rFonts w:hint="eastAsia"/>
          <w:rtl/>
        </w:rPr>
        <w:t>עיריית</w:t>
      </w:r>
      <w:r w:rsidRPr="002F2BC5">
        <w:rPr>
          <w:rtl/>
        </w:rPr>
        <w:t xml:space="preserve"> </w:t>
      </w:r>
      <w:r w:rsidRPr="002F2BC5">
        <w:rPr>
          <w:rFonts w:hint="eastAsia"/>
          <w:b/>
          <w:bCs/>
          <w:rtl/>
        </w:rPr>
        <w:t>בית</w:t>
      </w:r>
      <w:r w:rsidRPr="002F2BC5">
        <w:rPr>
          <w:b/>
          <w:bCs/>
          <w:rtl/>
        </w:rPr>
        <w:t xml:space="preserve"> </w:t>
      </w:r>
      <w:r w:rsidRPr="002F2BC5">
        <w:rPr>
          <w:rFonts w:hint="eastAsia"/>
          <w:b/>
          <w:bCs/>
          <w:rtl/>
        </w:rPr>
        <w:t>שמש</w:t>
      </w:r>
      <w:r w:rsidRPr="002F2BC5">
        <w:rPr>
          <w:rtl/>
        </w:rPr>
        <w:t xml:space="preserve"> ו</w:t>
      </w:r>
      <w:r w:rsidRPr="002F2BC5">
        <w:rPr>
          <w:rFonts w:hint="cs"/>
          <w:rtl/>
        </w:rPr>
        <w:t>ב</w:t>
      </w:r>
      <w:r w:rsidRPr="002F2BC5">
        <w:rPr>
          <w:rtl/>
        </w:rPr>
        <w:t xml:space="preserve">מועצה </w:t>
      </w:r>
      <w:r w:rsidRPr="002F2BC5">
        <w:rPr>
          <w:rFonts w:hint="cs"/>
          <w:rtl/>
        </w:rPr>
        <w:t>ה</w:t>
      </w:r>
      <w:r w:rsidRPr="002F2BC5">
        <w:rPr>
          <w:rtl/>
        </w:rPr>
        <w:t xml:space="preserve">מקומית </w:t>
      </w:r>
      <w:r w:rsidRPr="002F2BC5">
        <w:rPr>
          <w:rFonts w:hint="eastAsia"/>
          <w:b/>
          <w:bCs/>
          <w:rtl/>
        </w:rPr>
        <w:t>ש</w:t>
      </w:r>
      <w:r w:rsidRPr="002F2BC5">
        <w:rPr>
          <w:rFonts w:hint="cs"/>
          <w:b/>
          <w:bCs/>
          <w:rtl/>
        </w:rPr>
        <w:t>י</w:t>
      </w:r>
      <w:r w:rsidRPr="002F2BC5">
        <w:rPr>
          <w:rFonts w:hint="eastAsia"/>
          <w:b/>
          <w:bCs/>
          <w:rtl/>
        </w:rPr>
        <w:t>בלי</w:t>
      </w:r>
      <w:r w:rsidRPr="002F2BC5">
        <w:rPr>
          <w:b/>
          <w:bCs/>
          <w:rtl/>
        </w:rPr>
        <w:t xml:space="preserve"> </w:t>
      </w:r>
      <w:r w:rsidRPr="002F2BC5">
        <w:rPr>
          <w:rFonts w:hint="cs"/>
          <w:b/>
          <w:bCs/>
          <w:rtl/>
        </w:rPr>
        <w:t xml:space="preserve">- </w:t>
      </w:r>
      <w:r w:rsidRPr="002F2BC5">
        <w:rPr>
          <w:rFonts w:hint="eastAsia"/>
          <w:b/>
          <w:bCs/>
          <w:rtl/>
        </w:rPr>
        <w:t>אום</w:t>
      </w:r>
      <w:r w:rsidRPr="002F2BC5">
        <w:rPr>
          <w:b/>
          <w:bCs/>
          <w:rtl/>
        </w:rPr>
        <w:t xml:space="preserve"> </w:t>
      </w:r>
      <w:r w:rsidRPr="002F2BC5">
        <w:rPr>
          <w:rFonts w:hint="eastAsia"/>
          <w:b/>
          <w:bCs/>
          <w:rtl/>
        </w:rPr>
        <w:t>אל</w:t>
      </w:r>
      <w:r w:rsidRPr="002F2BC5">
        <w:rPr>
          <w:b/>
          <w:bCs/>
          <w:rtl/>
        </w:rPr>
        <w:t>-</w:t>
      </w:r>
      <w:r w:rsidRPr="002F2BC5">
        <w:rPr>
          <w:rFonts w:hint="cs"/>
          <w:b/>
          <w:bCs/>
          <w:rtl/>
        </w:rPr>
        <w:t>ר'</w:t>
      </w:r>
      <w:r w:rsidRPr="002F2BC5">
        <w:rPr>
          <w:b/>
          <w:bCs/>
          <w:rtl/>
        </w:rPr>
        <w:t>נם</w:t>
      </w:r>
      <w:r w:rsidRPr="002F2BC5">
        <w:rPr>
          <w:rFonts w:hint="cs"/>
          <w:b/>
          <w:bCs/>
          <w:rtl/>
        </w:rPr>
        <w:t xml:space="preserve"> </w:t>
      </w:r>
      <w:r w:rsidRPr="002F2BC5">
        <w:rPr>
          <w:rFonts w:hint="cs"/>
          <w:rtl/>
        </w:rPr>
        <w:t>לא היו</w:t>
      </w:r>
      <w:r w:rsidRPr="002F2BC5">
        <w:rPr>
          <w:rtl/>
        </w:rPr>
        <w:t xml:space="preserve"> מונגשים</w:t>
      </w:r>
      <w:r w:rsidRPr="002F2BC5">
        <w:rPr>
          <w:rFonts w:hint="cs"/>
          <w:rtl/>
        </w:rPr>
        <w:t xml:space="preserve"> לאנשים עם מוגבלות כמחויב בחוק ובתקנות</w:t>
      </w:r>
      <w:r w:rsidRPr="002F2BC5">
        <w:rPr>
          <w:rtl/>
        </w:rPr>
        <w:t xml:space="preserve">. </w:t>
      </w:r>
      <w:r w:rsidRPr="002F2BC5">
        <w:rPr>
          <w:rFonts w:hint="cs"/>
          <w:rtl/>
        </w:rPr>
        <w:t>עוד הועלה כי בשניים מהמרכזים קיימות בעיות בטיחות שאינן מאפשרות להבטיח את שלום המטופלים בו. באחד מהם (להלן - מרכז א') נמצא לדוגמה שלא מוצב שומר בכניסה למבנה המרכז ודלת הכניסה למרכז רעועה וקלה לפריצה.</w:t>
      </w:r>
    </w:p>
    <w:p w14:paraId="05B709EE" w14:textId="77777777" w:rsidR="00817399" w:rsidRPr="002F2BC5" w:rsidRDefault="00817399" w:rsidP="00817399">
      <w:pPr>
        <w:spacing w:line="269" w:lineRule="auto"/>
        <w:rPr>
          <w:rtl/>
        </w:rPr>
      </w:pPr>
    </w:p>
    <w:p w14:paraId="5A049958" w14:textId="77777777" w:rsidR="00817399" w:rsidRPr="002F2BC5" w:rsidRDefault="00817399" w:rsidP="00817399">
      <w:pPr>
        <w:spacing w:line="269" w:lineRule="auto"/>
        <w:rPr>
          <w:rtl/>
        </w:rPr>
      </w:pPr>
      <w:r w:rsidRPr="002F2BC5">
        <w:rPr>
          <w:rFonts w:hint="cs"/>
          <w:rtl/>
        </w:rPr>
        <w:t>משרד מבקר המדינה המליץ בביקורת הקודמת לעיריית</w:t>
      </w:r>
      <w:r w:rsidRPr="002F2BC5">
        <w:rPr>
          <w:rtl/>
        </w:rPr>
        <w:t xml:space="preserve"> </w:t>
      </w:r>
      <w:r w:rsidRPr="002F2BC5">
        <w:rPr>
          <w:rFonts w:hint="eastAsia"/>
          <w:b/>
          <w:bCs/>
          <w:rtl/>
        </w:rPr>
        <w:t>בית</w:t>
      </w:r>
      <w:r w:rsidRPr="002F2BC5">
        <w:rPr>
          <w:b/>
          <w:bCs/>
          <w:rtl/>
        </w:rPr>
        <w:t xml:space="preserve"> שמש </w:t>
      </w:r>
      <w:r w:rsidRPr="002F2BC5">
        <w:rPr>
          <w:rtl/>
        </w:rPr>
        <w:t>ו</w:t>
      </w:r>
      <w:r w:rsidRPr="002F2BC5">
        <w:rPr>
          <w:rFonts w:hint="cs"/>
          <w:rtl/>
        </w:rPr>
        <w:t xml:space="preserve">למועצה מקומית </w:t>
      </w:r>
      <w:r w:rsidRPr="002F2BC5">
        <w:rPr>
          <w:b/>
          <w:bCs/>
          <w:rtl/>
        </w:rPr>
        <w:t>ש</w:t>
      </w:r>
      <w:r w:rsidRPr="002F2BC5">
        <w:rPr>
          <w:rFonts w:hint="cs"/>
          <w:b/>
          <w:bCs/>
          <w:rtl/>
        </w:rPr>
        <w:t>י</w:t>
      </w:r>
      <w:r w:rsidRPr="002F2BC5">
        <w:rPr>
          <w:b/>
          <w:bCs/>
          <w:rtl/>
        </w:rPr>
        <w:t xml:space="preserve">בלי </w:t>
      </w:r>
      <w:r w:rsidRPr="002F2BC5">
        <w:rPr>
          <w:rFonts w:hint="cs"/>
          <w:b/>
          <w:bCs/>
          <w:rtl/>
        </w:rPr>
        <w:t>-</w:t>
      </w:r>
      <w:r w:rsidRPr="002F2BC5">
        <w:rPr>
          <w:b/>
          <w:bCs/>
          <w:rtl/>
        </w:rPr>
        <w:t xml:space="preserve"> אום אל</w:t>
      </w:r>
      <w:r w:rsidRPr="002F2BC5">
        <w:rPr>
          <w:rFonts w:hint="cs"/>
          <w:b/>
          <w:bCs/>
          <w:rtl/>
        </w:rPr>
        <w:t>-ר'</w:t>
      </w:r>
      <w:r w:rsidRPr="002F2BC5">
        <w:rPr>
          <w:b/>
          <w:bCs/>
          <w:rtl/>
        </w:rPr>
        <w:t>נם</w:t>
      </w:r>
      <w:r w:rsidRPr="002F2BC5">
        <w:rPr>
          <w:rtl/>
        </w:rPr>
        <w:t xml:space="preserve"> לפעול </w:t>
      </w:r>
      <w:r w:rsidRPr="002F2BC5">
        <w:rPr>
          <w:rFonts w:hint="eastAsia"/>
          <w:rtl/>
        </w:rPr>
        <w:t>להנגשתם</w:t>
      </w:r>
      <w:r w:rsidRPr="002F2BC5">
        <w:rPr>
          <w:rtl/>
        </w:rPr>
        <w:t xml:space="preserve"> הפיזית של מבני המרכז </w:t>
      </w:r>
      <w:r w:rsidRPr="002F2BC5">
        <w:rPr>
          <w:rFonts w:hint="cs"/>
          <w:rtl/>
        </w:rPr>
        <w:t>לטיפול 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Fonts w:hint="cs"/>
          <w:rtl/>
        </w:rPr>
        <w:t xml:space="preserve"> </w:t>
      </w:r>
      <w:r w:rsidRPr="002F2BC5">
        <w:rPr>
          <w:rtl/>
        </w:rPr>
        <w:t>והמחלקה לשירותים חברתיים</w:t>
      </w:r>
      <w:r w:rsidRPr="002F2BC5">
        <w:rPr>
          <w:rFonts w:hint="cs"/>
          <w:rtl/>
        </w:rPr>
        <w:t>, כנדרש בחוק שוויון זכויות ובתקנותיו, כדי להבטיח את נגישות השירותים הניתנים בהם גם לאנשים עם מוגבלות</w:t>
      </w:r>
      <w:r w:rsidRPr="002F2BC5">
        <w:rPr>
          <w:rtl/>
        </w:rPr>
        <w:t xml:space="preserve">. </w:t>
      </w:r>
      <w:r w:rsidRPr="002F2BC5">
        <w:rPr>
          <w:rFonts w:hint="cs"/>
          <w:rtl/>
        </w:rPr>
        <w:t>עוד הומלץ לכלל הרשויות המקומיות לפעול לאבטחתם של המרכזים הפועלים בתחומן וכן הומלץ למשרד הרווחה להנחות את הרשויות המקומיות כיצד לנהוג בנושא זה.</w:t>
      </w:r>
    </w:p>
    <w:p w14:paraId="7D7BB369" w14:textId="77777777" w:rsidR="00817399" w:rsidRPr="002F2BC5" w:rsidRDefault="00817399" w:rsidP="00817399">
      <w:pPr>
        <w:spacing w:line="269" w:lineRule="auto"/>
        <w:rPr>
          <w:rtl/>
        </w:rPr>
      </w:pPr>
    </w:p>
    <w:p w14:paraId="0D9EB94F" w14:textId="77777777" w:rsidR="00817399" w:rsidRPr="002F2BC5" w:rsidRDefault="00817399" w:rsidP="00817399">
      <w:pPr>
        <w:spacing w:line="269" w:lineRule="auto"/>
        <w:rPr>
          <w:rtl/>
        </w:rPr>
      </w:pPr>
      <w:bookmarkStart w:id="1655" w:name="_Toc191987097"/>
      <w:r w:rsidRPr="002F2BC5">
        <w:rPr>
          <w:rStyle w:val="70"/>
          <w:rFonts w:hint="cs"/>
          <w:rtl/>
        </w:rPr>
        <w:t>ביקורת המעקב:</w:t>
      </w:r>
      <w:bookmarkEnd w:id="1655"/>
      <w:r w:rsidRPr="002F2BC5">
        <w:rPr>
          <w:rStyle w:val="70"/>
          <w:rFonts w:hint="cs"/>
          <w:rtl/>
        </w:rPr>
        <w:t xml:space="preserve"> </w:t>
      </w:r>
      <w:r w:rsidRPr="002F2BC5">
        <w:rPr>
          <w:rFonts w:hint="cs"/>
          <w:rtl/>
        </w:rPr>
        <w:t xml:space="preserve">הרשויות המקומיות שנבדקו התבקשו להתייחס בשאלון לנגישותם של המרכזים לטיפול ומניעת אלימות במשפחה לאנשים עם מוגבלות, נכון לאוגוסט 2024, בחלוף קרוב לשלוש שנים מהמועד האחרון שנקבע בחוק שוויון זכויות להשלמת ביצוע התאמות הנגישות. </w:t>
      </w:r>
    </w:p>
    <w:p w14:paraId="1D37D069" w14:textId="77777777" w:rsidR="00817399" w:rsidRPr="002F2BC5" w:rsidRDefault="00817399" w:rsidP="00817399">
      <w:pPr>
        <w:spacing w:line="269" w:lineRule="auto"/>
        <w:rPr>
          <w:rtl/>
        </w:rPr>
      </w:pPr>
    </w:p>
    <w:p w14:paraId="01431547" w14:textId="77777777" w:rsidR="00817399" w:rsidRPr="002F2BC5" w:rsidRDefault="00817399" w:rsidP="00817399">
      <w:pPr>
        <w:spacing w:line="269" w:lineRule="auto"/>
        <w:rPr>
          <w:rtl/>
        </w:rPr>
      </w:pPr>
      <w:r w:rsidRPr="002F2BC5">
        <w:rPr>
          <w:rFonts w:hint="cs"/>
          <w:rtl/>
        </w:rPr>
        <w:t xml:space="preserve">המועצה המקומית </w:t>
      </w:r>
      <w:r w:rsidRPr="002F2BC5">
        <w:rPr>
          <w:rFonts w:hint="cs"/>
          <w:b/>
          <w:bCs/>
          <w:rtl/>
        </w:rPr>
        <w:t>שיבלי - אום אל-ר'נם</w:t>
      </w:r>
      <w:r w:rsidRPr="002F2BC5">
        <w:rPr>
          <w:rFonts w:hint="cs"/>
          <w:rtl/>
        </w:rPr>
        <w:t xml:space="preserve"> מסרה במענה על השאלון כי מבנה המחלקה לשירותים חברתיים היה נגיש לאנשים עם מוגבלות, אולם לא הוצג אישור מורשה לנגישות כנדרש</w:t>
      </w:r>
      <w:r w:rsidRPr="002F2BC5">
        <w:rPr>
          <w:rStyle w:val="af9"/>
          <w:rtl/>
        </w:rPr>
        <w:footnoteReference w:id="333"/>
      </w:r>
      <w:r w:rsidRPr="002F2BC5">
        <w:rPr>
          <w:rFonts w:hint="cs"/>
          <w:rtl/>
        </w:rPr>
        <w:t xml:space="preserve">. עיריית </w:t>
      </w:r>
      <w:r w:rsidRPr="002F2BC5">
        <w:rPr>
          <w:rFonts w:hint="cs"/>
          <w:b/>
          <w:bCs/>
          <w:rtl/>
        </w:rPr>
        <w:t>בית שמש</w:t>
      </w:r>
      <w:r w:rsidRPr="002F2BC5">
        <w:rPr>
          <w:rFonts w:hint="cs"/>
          <w:rtl/>
        </w:rPr>
        <w:t xml:space="preserve"> טרם השלימה את הנגשת מבנה המרכז לטיפול ומניעת אלימות במשפחה שבתחומה לאנשים עם מוגבלות, ומסרה כי תהליך ההנגשה צפוי להסתיים במהלך שנת 2025. עוד הועלה כי גם המרכז בעיריית </w:t>
      </w:r>
      <w:r w:rsidRPr="002F2BC5">
        <w:rPr>
          <w:rFonts w:hint="cs"/>
          <w:b/>
          <w:bCs/>
          <w:rtl/>
        </w:rPr>
        <w:t>סח</w:t>
      </w:r>
      <w:r w:rsidRPr="002F2BC5">
        <w:rPr>
          <w:b/>
          <w:bCs/>
          <w:rtl/>
        </w:rPr>
        <w:t>'</w:t>
      </w:r>
      <w:r w:rsidRPr="002F2BC5">
        <w:rPr>
          <w:rFonts w:hint="cs"/>
          <w:b/>
          <w:bCs/>
          <w:rtl/>
        </w:rPr>
        <w:t>נין</w:t>
      </w:r>
      <w:r w:rsidRPr="002F2BC5">
        <w:rPr>
          <w:rFonts w:hint="cs"/>
          <w:rtl/>
        </w:rPr>
        <w:t xml:space="preserve"> לא היה מונגש, אך העירייה מסרה במהלך ביקורת המעקב כי הוא עתיד לעבור למבנה מונגש. </w:t>
      </w:r>
    </w:p>
    <w:p w14:paraId="05940310" w14:textId="77777777" w:rsidR="00817399" w:rsidRPr="002F2BC5" w:rsidRDefault="00817399" w:rsidP="00817399">
      <w:pPr>
        <w:spacing w:line="269" w:lineRule="auto"/>
        <w:rPr>
          <w:rtl/>
        </w:rPr>
      </w:pPr>
    </w:p>
    <w:p w14:paraId="1A462E1E" w14:textId="77777777" w:rsidR="00817399" w:rsidRPr="002F2BC5" w:rsidRDefault="00817399" w:rsidP="00817399">
      <w:pPr>
        <w:spacing w:line="269" w:lineRule="auto"/>
        <w:rPr>
          <w:rtl/>
        </w:rPr>
      </w:pPr>
      <w:r w:rsidRPr="002F2BC5">
        <w:rPr>
          <w:rFonts w:hint="cs"/>
          <w:rtl/>
        </w:rPr>
        <w:t xml:space="preserve">יש לציין כי מהתשובות על השאלונים עלה שגם המרכז שמפעילה עיריית </w:t>
      </w:r>
      <w:r w:rsidRPr="002F2BC5">
        <w:rPr>
          <w:rFonts w:hint="cs"/>
          <w:b/>
          <w:bCs/>
          <w:rtl/>
        </w:rPr>
        <w:t>קריית מלאכי</w:t>
      </w:r>
      <w:r w:rsidRPr="002F2BC5">
        <w:rPr>
          <w:rFonts w:hint="cs"/>
          <w:rtl/>
        </w:rPr>
        <w:t xml:space="preserve"> אינו מונגש לאנשים עם מוגבלות משום שהוא ממוקם בקומה השנייה של המבנה, ללא מעלית. עם זאת, העירייה מסרה במהלך ביקורת המעקב כי במידת הצורך מתקיימות פגישות טיפוליות בקומה הראשונה של המבנה.</w:t>
      </w:r>
      <w:r w:rsidRPr="002F2BC5" w:rsidDel="005742B8">
        <w:rPr>
          <w:rFonts w:hint="cs"/>
          <w:rtl/>
        </w:rPr>
        <w:t xml:space="preserve"> </w:t>
      </w:r>
    </w:p>
    <w:p w14:paraId="116407CE" w14:textId="77777777" w:rsidR="00817399" w:rsidRPr="002F2BC5" w:rsidRDefault="00817399" w:rsidP="00817399">
      <w:pPr>
        <w:spacing w:line="269" w:lineRule="auto"/>
        <w:rPr>
          <w:rtl/>
        </w:rPr>
      </w:pPr>
    </w:p>
    <w:p w14:paraId="458C284F" w14:textId="77777777" w:rsidR="00817399" w:rsidRPr="002F2BC5" w:rsidRDefault="00817399" w:rsidP="00817399">
      <w:pPr>
        <w:spacing w:line="269" w:lineRule="auto"/>
        <w:rPr>
          <w:rtl/>
        </w:rPr>
      </w:pPr>
      <w:r w:rsidRPr="002F2BC5">
        <w:rPr>
          <w:rFonts w:hint="cs"/>
          <w:rtl/>
        </w:rPr>
        <w:t>אשר להיבטים הנוגעים להבטחת שלומם של המטופלים והמטפלים ולהקניית תחושת ביטחון אישי עבורם הועלה כי מרכז א' פעל להחלפתה של דלת הכניסה למרכז וכן הותקנו קודן ומצלמות אבטחה במרכז. לצד זאת הועלה כי מרכז שמפעילה עירייה אחרת ממוקם באזור המתאפיין בשיעורי פשיעה גבוהים, עובדה העלולה להניא מטופלים מלהגיע לטיפול במרכז מחשש לביטחונם האישי (להלן - מרכז ב').</w:t>
      </w:r>
    </w:p>
    <w:p w14:paraId="2CF32CC2" w14:textId="77777777" w:rsidR="00817399" w:rsidRPr="002F2BC5" w:rsidRDefault="00817399" w:rsidP="00817399">
      <w:pPr>
        <w:spacing w:line="269" w:lineRule="auto"/>
        <w:rPr>
          <w:rtl/>
        </w:rPr>
      </w:pPr>
    </w:p>
    <w:p w14:paraId="0808D42A" w14:textId="77777777" w:rsidR="00817399" w:rsidRPr="002F2BC5" w:rsidRDefault="00817399" w:rsidP="00817399">
      <w:pPr>
        <w:pStyle w:val="afffffff9"/>
        <w:spacing w:line="269" w:lineRule="auto"/>
        <w:rPr>
          <w:rtl/>
        </w:rPr>
      </w:pPr>
      <w:bookmarkStart w:id="1656" w:name="_Toc191987098"/>
      <w:bookmarkStart w:id="1657" w:name="_Toc192093153"/>
      <w:bookmarkStart w:id="1658" w:name="_Toc192612861"/>
      <w:bookmarkStart w:id="1659" w:name="_Toc198312304"/>
      <w:bookmarkStart w:id="1660" w:name="_Toc198312783"/>
      <w:bookmarkStart w:id="1661" w:name="_Toc200636950"/>
      <w:bookmarkStart w:id="1662" w:name="_Toc200439948"/>
      <w:bookmarkStart w:id="1663" w:name="_Toc201241053"/>
      <w:r w:rsidRPr="002F2BC5">
        <w:rPr>
          <w:rFonts w:hint="cs"/>
          <w:rtl/>
        </w:rPr>
        <w:t xml:space="preserve">הביקורת הקודמת העלתה </w:t>
      </w:r>
      <w:r w:rsidRPr="002F2BC5">
        <w:rPr>
          <w:rFonts w:hint="eastAsia"/>
          <w:rtl/>
        </w:rPr>
        <w:t>כי</w:t>
      </w:r>
      <w:r w:rsidRPr="002F2BC5">
        <w:rPr>
          <w:rtl/>
        </w:rPr>
        <w:t xml:space="preserve"> מבני המרכז </w:t>
      </w:r>
      <w:r w:rsidRPr="002F2BC5">
        <w:rPr>
          <w:rFonts w:hint="eastAsia"/>
          <w:rtl/>
        </w:rPr>
        <w:t>לטיפול</w:t>
      </w:r>
      <w:r w:rsidRPr="002F2BC5">
        <w:rPr>
          <w:rtl/>
        </w:rPr>
        <w:t xml:space="preserve"> </w:t>
      </w:r>
      <w:r w:rsidRPr="002F2BC5">
        <w:rPr>
          <w:rFonts w:hint="eastAsia"/>
          <w:rtl/>
        </w:rPr>
        <w:t>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והמחלקה לשירותים חברתיים ב</w:t>
      </w:r>
      <w:r w:rsidRPr="002F2BC5">
        <w:rPr>
          <w:rFonts w:hint="eastAsia"/>
          <w:rtl/>
        </w:rPr>
        <w:t>עיריית</w:t>
      </w:r>
      <w:r w:rsidRPr="002F2BC5">
        <w:rPr>
          <w:rtl/>
        </w:rPr>
        <w:t xml:space="preserve"> </w:t>
      </w:r>
      <w:r w:rsidRPr="002F2BC5">
        <w:rPr>
          <w:rFonts w:hint="eastAsia"/>
          <w:rtl/>
        </w:rPr>
        <w:t>בית</w:t>
      </w:r>
      <w:r w:rsidRPr="002F2BC5">
        <w:rPr>
          <w:rtl/>
        </w:rPr>
        <w:t xml:space="preserve"> </w:t>
      </w:r>
      <w:r w:rsidRPr="002F2BC5">
        <w:rPr>
          <w:rFonts w:hint="eastAsia"/>
          <w:rtl/>
        </w:rPr>
        <w:t>שמש</w:t>
      </w:r>
      <w:r w:rsidRPr="002F2BC5">
        <w:rPr>
          <w:rtl/>
        </w:rPr>
        <w:t xml:space="preserve"> ו</w:t>
      </w:r>
      <w:r w:rsidRPr="002F2BC5">
        <w:rPr>
          <w:rFonts w:hint="eastAsia"/>
          <w:rtl/>
        </w:rPr>
        <w:t>ב</w:t>
      </w:r>
      <w:r w:rsidRPr="002F2BC5">
        <w:rPr>
          <w:rtl/>
        </w:rPr>
        <w:t xml:space="preserve">מועצה מקומית </w:t>
      </w:r>
      <w:r w:rsidRPr="002F2BC5">
        <w:rPr>
          <w:rFonts w:hint="eastAsia"/>
          <w:rtl/>
        </w:rPr>
        <w:t>ש</w:t>
      </w:r>
      <w:r w:rsidRPr="002F2BC5">
        <w:rPr>
          <w:rFonts w:hint="cs"/>
          <w:rtl/>
        </w:rPr>
        <w:t>י</w:t>
      </w:r>
      <w:r w:rsidRPr="002F2BC5">
        <w:rPr>
          <w:rFonts w:hint="eastAsia"/>
          <w:rtl/>
        </w:rPr>
        <w:t>בלי</w:t>
      </w:r>
      <w:r w:rsidRPr="002F2BC5">
        <w:rPr>
          <w:rtl/>
        </w:rPr>
        <w:t xml:space="preserve"> </w:t>
      </w:r>
      <w:r w:rsidRPr="002F2BC5">
        <w:rPr>
          <w:rFonts w:hint="cs"/>
          <w:rtl/>
        </w:rPr>
        <w:t xml:space="preserve">- </w:t>
      </w:r>
      <w:r w:rsidRPr="002F2BC5">
        <w:rPr>
          <w:rFonts w:hint="eastAsia"/>
          <w:rtl/>
        </w:rPr>
        <w:t>אום</w:t>
      </w:r>
      <w:r w:rsidRPr="002F2BC5">
        <w:rPr>
          <w:rtl/>
        </w:rPr>
        <w:t xml:space="preserve"> </w:t>
      </w:r>
      <w:r w:rsidRPr="002F2BC5">
        <w:rPr>
          <w:rFonts w:hint="eastAsia"/>
          <w:rtl/>
        </w:rPr>
        <w:t>אל</w:t>
      </w:r>
      <w:r w:rsidRPr="002F2BC5">
        <w:rPr>
          <w:rtl/>
        </w:rPr>
        <w:t>-</w:t>
      </w:r>
      <w:r w:rsidRPr="002F2BC5">
        <w:rPr>
          <w:rFonts w:hint="cs"/>
          <w:rtl/>
        </w:rPr>
        <w:t>ר'</w:t>
      </w:r>
      <w:r w:rsidRPr="002F2BC5">
        <w:rPr>
          <w:rtl/>
        </w:rPr>
        <w:t>נם</w:t>
      </w:r>
      <w:r w:rsidRPr="002F2BC5">
        <w:rPr>
          <w:rFonts w:hint="cs"/>
          <w:rtl/>
        </w:rPr>
        <w:t xml:space="preserve"> </w:t>
      </w:r>
      <w:r w:rsidRPr="002F2BC5">
        <w:rPr>
          <w:rFonts w:hint="eastAsia"/>
          <w:rtl/>
        </w:rPr>
        <w:t>לא</w:t>
      </w:r>
      <w:r w:rsidRPr="002F2BC5">
        <w:rPr>
          <w:rtl/>
        </w:rPr>
        <w:t xml:space="preserve"> </w:t>
      </w:r>
      <w:r w:rsidRPr="002F2BC5">
        <w:rPr>
          <w:rFonts w:hint="eastAsia"/>
          <w:rtl/>
        </w:rPr>
        <w:t>היו</w:t>
      </w:r>
      <w:r w:rsidRPr="002F2BC5">
        <w:rPr>
          <w:rtl/>
        </w:rPr>
        <w:t xml:space="preserve"> מונגשים לאנשים עם מוגבלות</w:t>
      </w:r>
      <w:r w:rsidRPr="002F2BC5">
        <w:rPr>
          <w:rFonts w:hint="cs"/>
          <w:rtl/>
        </w:rPr>
        <w:t>,</w:t>
      </w:r>
      <w:r w:rsidRPr="002F2BC5">
        <w:rPr>
          <w:rtl/>
        </w:rPr>
        <w:t xml:space="preserve"> כמחויב בחוק ובתקנות.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כי הליקוי </w:t>
      </w:r>
      <w:r w:rsidRPr="002F2BC5">
        <w:rPr>
          <w:rFonts w:hint="cs"/>
          <w:rtl/>
        </w:rPr>
        <w:t>תוקן במידה חלקית ו</w:t>
      </w:r>
      <w:r w:rsidRPr="002F2BC5">
        <w:rPr>
          <w:rtl/>
        </w:rPr>
        <w:t xml:space="preserve">כי </w:t>
      </w:r>
      <w:r w:rsidRPr="002F2BC5">
        <w:rPr>
          <w:rFonts w:hint="cs"/>
          <w:rtl/>
        </w:rPr>
        <w:t xml:space="preserve">במועד סיומה, בדצמבר 2024, עיריית בית שמש טרם השלימה באופן רשמי את הנגשתו של </w:t>
      </w:r>
      <w:r w:rsidRPr="002F2BC5">
        <w:rPr>
          <w:rtl/>
        </w:rPr>
        <w:t>מבנ</w:t>
      </w:r>
      <w:r w:rsidRPr="002F2BC5">
        <w:rPr>
          <w:rFonts w:hint="cs"/>
          <w:rtl/>
        </w:rPr>
        <w:t>ה</w:t>
      </w:r>
      <w:r w:rsidRPr="002F2BC5">
        <w:rPr>
          <w:rtl/>
        </w:rPr>
        <w:t xml:space="preserve"> המרכז </w:t>
      </w:r>
      <w:r w:rsidRPr="002F2BC5">
        <w:rPr>
          <w:rFonts w:hint="cs"/>
          <w:rtl/>
        </w:rPr>
        <w:t xml:space="preserve">שבהפעלתה </w:t>
      </w:r>
      <w:r w:rsidRPr="002F2BC5">
        <w:rPr>
          <w:rtl/>
        </w:rPr>
        <w:t>לאנשים עם מוג</w:t>
      </w:r>
      <w:r w:rsidRPr="002F2BC5">
        <w:rPr>
          <w:rFonts w:hint="eastAsia"/>
          <w:rtl/>
        </w:rPr>
        <w:t>ב</w:t>
      </w:r>
      <w:r w:rsidRPr="002F2BC5">
        <w:rPr>
          <w:rtl/>
        </w:rPr>
        <w:t xml:space="preserve">לות כמחויב בחוק ובתקנות. </w:t>
      </w:r>
      <w:r w:rsidRPr="002F2BC5">
        <w:rPr>
          <w:rFonts w:hint="cs"/>
          <w:rtl/>
        </w:rPr>
        <w:t xml:space="preserve">נוסף על </w:t>
      </w:r>
      <w:r w:rsidRPr="002F2BC5">
        <w:rPr>
          <w:rFonts w:hint="cs"/>
          <w:rtl/>
        </w:rPr>
        <w:lastRenderedPageBreak/>
        <w:t xml:space="preserve">כך הועלה כי גם מבנה המרכז לטיפול ומניעת אלימות במשפחה בעיריית סח'נין אינו מונגש לאנשים עם מוגבלות כאמור, וכן כי </w:t>
      </w:r>
      <w:r w:rsidRPr="002F2BC5">
        <w:rPr>
          <w:rFonts w:hint="eastAsia"/>
          <w:rtl/>
        </w:rPr>
        <w:t>ב</w:t>
      </w:r>
      <w:r w:rsidRPr="002F2BC5">
        <w:rPr>
          <w:rFonts w:hint="cs"/>
          <w:rtl/>
        </w:rPr>
        <w:t xml:space="preserve">מרכז ב' </w:t>
      </w:r>
      <w:r w:rsidRPr="002F2BC5">
        <w:rPr>
          <w:rtl/>
        </w:rPr>
        <w:t xml:space="preserve">קיימות בעיות </w:t>
      </w:r>
      <w:r w:rsidRPr="002F2BC5">
        <w:rPr>
          <w:rFonts w:hint="eastAsia"/>
          <w:rtl/>
        </w:rPr>
        <w:t>בהיבטים</w:t>
      </w:r>
      <w:r w:rsidRPr="002F2BC5">
        <w:rPr>
          <w:rtl/>
        </w:rPr>
        <w:t xml:space="preserve"> </w:t>
      </w:r>
      <w:r w:rsidRPr="002F2BC5">
        <w:rPr>
          <w:rFonts w:hint="eastAsia"/>
          <w:rtl/>
        </w:rPr>
        <w:t>הנוגעים</w:t>
      </w:r>
      <w:r w:rsidRPr="002F2BC5">
        <w:rPr>
          <w:rtl/>
        </w:rPr>
        <w:t xml:space="preserve"> </w:t>
      </w:r>
      <w:r w:rsidRPr="002F2BC5">
        <w:rPr>
          <w:rFonts w:hint="eastAsia"/>
          <w:rtl/>
        </w:rPr>
        <w:t>להבטחת</w:t>
      </w:r>
      <w:r w:rsidRPr="002F2BC5">
        <w:rPr>
          <w:rtl/>
        </w:rPr>
        <w:t xml:space="preserve"> </w:t>
      </w:r>
      <w:r w:rsidRPr="002F2BC5">
        <w:rPr>
          <w:rFonts w:hint="eastAsia"/>
          <w:rtl/>
        </w:rPr>
        <w:t>שלומם</w:t>
      </w:r>
      <w:r w:rsidRPr="002F2BC5">
        <w:rPr>
          <w:rtl/>
        </w:rPr>
        <w:t xml:space="preserve"> </w:t>
      </w:r>
      <w:r w:rsidRPr="002F2BC5">
        <w:rPr>
          <w:rFonts w:hint="eastAsia"/>
          <w:rtl/>
        </w:rPr>
        <w:t>של</w:t>
      </w:r>
      <w:r w:rsidRPr="002F2BC5">
        <w:rPr>
          <w:rtl/>
        </w:rPr>
        <w:t xml:space="preserve"> </w:t>
      </w:r>
      <w:r w:rsidRPr="002F2BC5">
        <w:rPr>
          <w:rFonts w:hint="eastAsia"/>
          <w:rtl/>
        </w:rPr>
        <w:t>המטופלים</w:t>
      </w:r>
      <w:r w:rsidRPr="002F2BC5">
        <w:rPr>
          <w:rtl/>
        </w:rPr>
        <w:t xml:space="preserve"> </w:t>
      </w:r>
      <w:r w:rsidRPr="002F2BC5">
        <w:rPr>
          <w:rFonts w:hint="eastAsia"/>
          <w:rtl/>
        </w:rPr>
        <w:t>והמטפלים</w:t>
      </w:r>
      <w:r w:rsidRPr="002F2BC5">
        <w:rPr>
          <w:rFonts w:hint="cs"/>
          <w:rtl/>
        </w:rPr>
        <w:t xml:space="preserve"> ותחושת הביטחון האישי שלהם</w:t>
      </w:r>
      <w:r w:rsidRPr="002F2BC5">
        <w:rPr>
          <w:rtl/>
        </w:rPr>
        <w:t>.</w:t>
      </w:r>
      <w:bookmarkEnd w:id="1656"/>
      <w:bookmarkEnd w:id="1657"/>
      <w:bookmarkEnd w:id="1658"/>
      <w:bookmarkEnd w:id="1659"/>
      <w:bookmarkEnd w:id="1660"/>
      <w:bookmarkEnd w:id="1661"/>
      <w:bookmarkEnd w:id="1662"/>
      <w:bookmarkEnd w:id="1663"/>
    </w:p>
    <w:p w14:paraId="55BFFFE3" w14:textId="77777777" w:rsidR="00817399" w:rsidRPr="002F2BC5" w:rsidRDefault="00817399" w:rsidP="00817399">
      <w:pPr>
        <w:spacing w:line="269" w:lineRule="auto"/>
        <w:rPr>
          <w:rtl/>
        </w:rPr>
      </w:pPr>
    </w:p>
    <w:p w14:paraId="41C87CE2" w14:textId="77777777" w:rsidR="00817399" w:rsidRPr="002F2BC5" w:rsidRDefault="00817399" w:rsidP="00817399">
      <w:pPr>
        <w:pStyle w:val="afffffffa"/>
        <w:spacing w:line="269" w:lineRule="auto"/>
        <w:rPr>
          <w:rtl/>
        </w:rPr>
      </w:pPr>
      <w:bookmarkStart w:id="1664" w:name="_Toc191987099"/>
      <w:bookmarkStart w:id="1665" w:name="_Toc192093154"/>
      <w:bookmarkStart w:id="1666" w:name="_Toc192612862"/>
      <w:bookmarkStart w:id="1667" w:name="_Toc198312305"/>
      <w:bookmarkStart w:id="1668" w:name="_Toc198312784"/>
      <w:bookmarkStart w:id="1669" w:name="_Toc200636951"/>
      <w:bookmarkStart w:id="1670" w:name="_Toc200439949"/>
      <w:bookmarkStart w:id="1671" w:name="_Toc201241054"/>
      <w:r w:rsidRPr="002F2BC5">
        <w:rPr>
          <w:rFonts w:hint="cs"/>
          <w:rtl/>
        </w:rPr>
        <w:t>על העיריות בית שמש וסח</w:t>
      </w:r>
      <w:r w:rsidRPr="002F2BC5">
        <w:rPr>
          <w:rtl/>
        </w:rPr>
        <w:t>'</w:t>
      </w:r>
      <w:r w:rsidRPr="002F2BC5">
        <w:rPr>
          <w:rFonts w:hint="cs"/>
          <w:rtl/>
        </w:rPr>
        <w:t>נין להשלים ללא דיחוי את הפעולות הנדרשות להתאמתם של מבני המרכז לטיפול ומניעת אלימות במשפחה בתחומן למתן מענה גם לאנשים עם מוגבלות, כנדרש בחוק שוויון זכויות ותקנותיו. מומלץ לעירייה המפעילה את מרכז ב' להעביר את פעילות המרכז למיקום חלופי כדי להבטיח את נגישותו לכלל הזקוקים לטיפול, תוך שימת דגש בין השאר גם על תחושת הביטחון האישי של הבאים בשעריו.</w:t>
      </w:r>
      <w:bookmarkEnd w:id="1664"/>
      <w:bookmarkEnd w:id="1665"/>
      <w:bookmarkEnd w:id="1666"/>
      <w:bookmarkEnd w:id="1667"/>
      <w:bookmarkEnd w:id="1668"/>
      <w:bookmarkEnd w:id="1669"/>
      <w:bookmarkEnd w:id="1670"/>
      <w:bookmarkEnd w:id="1671"/>
    </w:p>
    <w:p w14:paraId="436BC6A3" w14:textId="77777777" w:rsidR="00817399" w:rsidRPr="002F2BC5" w:rsidRDefault="00817399" w:rsidP="00817399">
      <w:pPr>
        <w:spacing w:line="269" w:lineRule="auto"/>
        <w:rPr>
          <w:rtl/>
        </w:rPr>
      </w:pPr>
    </w:p>
    <w:p w14:paraId="18B04192"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קריית</w:t>
      </w:r>
      <w:r w:rsidRPr="002F2BC5">
        <w:rPr>
          <w:b/>
          <w:bCs/>
          <w:rtl/>
        </w:rPr>
        <w:t xml:space="preserve"> </w:t>
      </w:r>
      <w:r w:rsidRPr="002F2BC5">
        <w:rPr>
          <w:rFonts w:hint="eastAsia"/>
          <w:b/>
          <w:bCs/>
          <w:rtl/>
        </w:rPr>
        <w:t>מלאכי</w:t>
      </w:r>
      <w:r w:rsidRPr="002F2BC5">
        <w:rPr>
          <w:rFonts w:hint="cs"/>
          <w:rtl/>
        </w:rPr>
        <w:t xml:space="preserve"> מסרה בתשובתה כי אומנם מבנה המרכז אינו מונגש לאנשים עם מוגבלות, כפי שנמסר במהלך ביקורת המעקב, אך לא מתאפשר מצב שבו בשל כך נמנע שירות מאדם עם מוגבלות. עיריית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מסרה בתשובתה כי מאז הביקורת הקודמת נסלל שביל אספלט המוביל מהחנייה למבנה המרכז לצורך מעבר של כיסא גלגלים וכי נכון למועד התשובה, מבנה המרכז מונגש, והאישור הרשמי לכך צפוי להינתן במהלך השנה הקרובה.</w:t>
      </w:r>
    </w:p>
    <w:p w14:paraId="3CD03629" w14:textId="77777777" w:rsidR="00817399" w:rsidRPr="002F2BC5" w:rsidRDefault="00817399" w:rsidP="00817399">
      <w:pPr>
        <w:spacing w:line="269" w:lineRule="auto"/>
        <w:rPr>
          <w:rtl/>
        </w:rPr>
      </w:pPr>
    </w:p>
    <w:p w14:paraId="1ABA9E9C"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046386BD" w14:textId="77777777" w:rsidR="00817399" w:rsidRPr="002F2BC5" w:rsidRDefault="00817399" w:rsidP="00817399">
      <w:pPr>
        <w:pStyle w:val="afffffff7"/>
        <w:spacing w:before="0" w:line="269" w:lineRule="auto"/>
        <w:rPr>
          <w:b/>
          <w:bCs/>
          <w:rtl/>
        </w:rPr>
      </w:pPr>
      <w:bookmarkStart w:id="1672" w:name="_Toc198312306"/>
      <w:bookmarkStart w:id="1673" w:name="_Toc198312785"/>
      <w:bookmarkStart w:id="1674" w:name="_Toc189072264"/>
      <w:r w:rsidRPr="002F2BC5">
        <w:rPr>
          <w:noProof/>
          <w:sz w:val="24"/>
        </w:rPr>
        <w:drawing>
          <wp:inline distT="0" distB="0" distL="0" distR="0" wp14:anchorId="6769BB6B" wp14:editId="5E47F932">
            <wp:extent cx="4324350" cy="933450"/>
            <wp:effectExtent l="0" t="0" r="0" b="0"/>
            <wp:docPr id="2052770974" name="תמונה 205277097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1056"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672"/>
      <w:bookmarkEnd w:id="1673"/>
    </w:p>
    <w:bookmarkEnd w:id="1674"/>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587"/>
        <w:gridCol w:w="1902"/>
        <w:gridCol w:w="1276"/>
        <w:gridCol w:w="1697"/>
      </w:tblGrid>
      <w:tr w:rsidR="00817399" w:rsidRPr="002F2BC5" w14:paraId="5E018F2D" w14:textId="77777777" w:rsidTr="00B14D2A">
        <w:trPr>
          <w:jc w:val="center"/>
        </w:trPr>
        <w:tc>
          <w:tcPr>
            <w:tcW w:w="1304" w:type="dxa"/>
          </w:tcPr>
          <w:p w14:paraId="7934BFBF" w14:textId="77777777" w:rsidR="00817399" w:rsidRPr="002F2BC5" w:rsidRDefault="00817399" w:rsidP="00B14D2A">
            <w:pPr>
              <w:spacing w:line="269" w:lineRule="auto"/>
              <w:ind w:left="450"/>
              <w:jc w:val="center"/>
              <w:rPr>
                <w:rFonts w:ascii="Assistant" w:hAnsi="Assistant" w:cs="Assistant"/>
                <w:sz w:val="18"/>
                <w:szCs w:val="18"/>
                <w:rtl/>
              </w:rPr>
            </w:pPr>
          </w:p>
        </w:tc>
        <w:tc>
          <w:tcPr>
            <w:tcW w:w="1587" w:type="dxa"/>
          </w:tcPr>
          <w:p w14:paraId="77AD0057" w14:textId="77777777" w:rsidR="00817399" w:rsidRPr="002F2BC5" w:rsidRDefault="00817399" w:rsidP="00B14D2A">
            <w:pPr>
              <w:spacing w:line="269" w:lineRule="auto"/>
              <w:ind w:left="548"/>
              <w:jc w:val="center"/>
              <w:rPr>
                <w:rFonts w:ascii="Assistant" w:hAnsi="Assistant" w:cs="Assistant"/>
                <w:sz w:val="18"/>
                <w:szCs w:val="18"/>
                <w:rtl/>
              </w:rPr>
            </w:pPr>
          </w:p>
        </w:tc>
        <w:tc>
          <w:tcPr>
            <w:tcW w:w="1902" w:type="dxa"/>
          </w:tcPr>
          <w:p w14:paraId="42F2F07B"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בית שמש</w:t>
            </w:r>
          </w:p>
        </w:tc>
        <w:tc>
          <w:tcPr>
            <w:tcW w:w="1276" w:type="dxa"/>
          </w:tcPr>
          <w:p w14:paraId="7D0087A8" w14:textId="77777777" w:rsidR="00817399" w:rsidRPr="002F2BC5" w:rsidRDefault="00817399" w:rsidP="00B14D2A">
            <w:pPr>
              <w:spacing w:line="269" w:lineRule="auto"/>
              <w:jc w:val="center"/>
              <w:rPr>
                <w:rFonts w:ascii="Assistant" w:hAnsi="Assistant" w:cs="Assistant"/>
                <w:sz w:val="18"/>
                <w:szCs w:val="18"/>
                <w:rtl/>
              </w:rPr>
            </w:pPr>
          </w:p>
        </w:tc>
        <w:tc>
          <w:tcPr>
            <w:tcW w:w="1697" w:type="dxa"/>
          </w:tcPr>
          <w:p w14:paraId="1861243B" w14:textId="77777777" w:rsidR="00817399" w:rsidRPr="002F2BC5" w:rsidRDefault="00817399" w:rsidP="00B14D2A">
            <w:pPr>
              <w:spacing w:line="269" w:lineRule="auto"/>
              <w:rPr>
                <w:rFonts w:ascii="Assistant" w:hAnsi="Assistant" w:cs="Assistant"/>
                <w:sz w:val="18"/>
                <w:szCs w:val="18"/>
                <w:rtl/>
              </w:rPr>
            </w:pPr>
            <w:r w:rsidRPr="002F2BC5">
              <w:rPr>
                <w:rFonts w:ascii="Assistant" w:hAnsi="Assistant" w:cs="Assistant"/>
                <w:sz w:val="18"/>
                <w:szCs w:val="18"/>
                <w:rtl/>
              </w:rPr>
              <w:t xml:space="preserve">שיבלי </w:t>
            </w:r>
            <w:r w:rsidRPr="002F2BC5">
              <w:rPr>
                <w:rFonts w:ascii="Assistant" w:hAnsi="Assistant" w:cs="Assistant" w:hint="cs"/>
                <w:sz w:val="18"/>
                <w:szCs w:val="18"/>
                <w:rtl/>
              </w:rPr>
              <w:t xml:space="preserve">- </w:t>
            </w:r>
            <w:r w:rsidRPr="002F2BC5">
              <w:rPr>
                <w:rFonts w:ascii="Assistant" w:hAnsi="Assistant" w:cs="Assistant"/>
                <w:sz w:val="18"/>
                <w:szCs w:val="18"/>
                <w:rtl/>
              </w:rPr>
              <w:t>אום אל</w:t>
            </w:r>
            <w:r w:rsidRPr="002F2BC5">
              <w:rPr>
                <w:rFonts w:ascii="Assistant" w:hAnsi="Assistant" w:cs="Assistant" w:hint="cs"/>
                <w:sz w:val="18"/>
                <w:szCs w:val="18"/>
                <w:rtl/>
              </w:rPr>
              <w:t xml:space="preserve"> </w:t>
            </w:r>
            <w:r w:rsidRPr="002F2BC5">
              <w:rPr>
                <w:rFonts w:ascii="Assistant" w:hAnsi="Assistant" w:cs="Assistant"/>
                <w:sz w:val="18"/>
                <w:szCs w:val="18"/>
                <w:rtl/>
              </w:rPr>
              <w:t>-</w:t>
            </w:r>
            <w:r w:rsidRPr="002F2BC5">
              <w:rPr>
                <w:rFonts w:ascii="Assistant" w:hAnsi="Assistant" w:cs="Assistant" w:hint="cs"/>
                <w:sz w:val="18"/>
                <w:szCs w:val="18"/>
                <w:rtl/>
              </w:rPr>
              <w:t xml:space="preserve"> </w:t>
            </w:r>
            <w:r w:rsidRPr="002F2BC5">
              <w:rPr>
                <w:rFonts w:ascii="Assistant" w:hAnsi="Assistant" w:cs="Assistant"/>
                <w:sz w:val="18"/>
                <w:szCs w:val="18"/>
                <w:rtl/>
              </w:rPr>
              <w:t>ר'נם</w:t>
            </w:r>
          </w:p>
          <w:p w14:paraId="61B7A9FF" w14:textId="77777777" w:rsidR="00817399" w:rsidRPr="002F2BC5" w:rsidRDefault="00817399" w:rsidP="00B14D2A">
            <w:pPr>
              <w:spacing w:line="269" w:lineRule="auto"/>
              <w:jc w:val="center"/>
              <w:rPr>
                <w:rFonts w:ascii="Assistant" w:hAnsi="Assistant" w:cs="Assistant"/>
                <w:sz w:val="18"/>
                <w:szCs w:val="18"/>
                <w:rtl/>
              </w:rPr>
            </w:pPr>
            <w:r w:rsidRPr="002F2BC5">
              <w:rPr>
                <w:rFonts w:ascii="Assistant" w:hAnsi="Assistant" w:cs="Assistant" w:hint="cs"/>
                <w:sz w:val="18"/>
                <w:szCs w:val="18"/>
                <w:rtl/>
              </w:rPr>
              <w:t>מרכז א'</w:t>
            </w:r>
          </w:p>
        </w:tc>
      </w:tr>
    </w:tbl>
    <w:p w14:paraId="7CDE8EA1" w14:textId="77777777" w:rsidR="00817399" w:rsidRPr="002F2BC5" w:rsidRDefault="00817399" w:rsidP="00817399">
      <w:pPr>
        <w:spacing w:line="269" w:lineRule="auto"/>
        <w:rPr>
          <w:rtl/>
        </w:rPr>
      </w:pPr>
    </w:p>
    <w:p w14:paraId="0112BC2A" w14:textId="77777777" w:rsidR="00817399" w:rsidRPr="002F2BC5" w:rsidRDefault="00817399" w:rsidP="00817399">
      <w:pPr>
        <w:pStyle w:val="4"/>
        <w:spacing w:before="0" w:line="269" w:lineRule="auto"/>
        <w:rPr>
          <w:rtl/>
        </w:rPr>
      </w:pPr>
      <w:bookmarkStart w:id="1675" w:name="_Toc189072265"/>
      <w:bookmarkStart w:id="1676" w:name="_Toc191987100"/>
      <w:bookmarkStart w:id="1677" w:name="_Toc191891401"/>
      <w:bookmarkStart w:id="1678" w:name="_Toc192093155"/>
      <w:bookmarkStart w:id="1679" w:name="_Toc193110628"/>
      <w:bookmarkStart w:id="1680" w:name="_Toc192612863"/>
      <w:bookmarkStart w:id="1681" w:name="_Toc192778835"/>
      <w:bookmarkStart w:id="1682" w:name="_Toc198312307"/>
      <w:bookmarkStart w:id="1683" w:name="_Toc198312786"/>
      <w:bookmarkStart w:id="1684" w:name="_Toc200636813"/>
      <w:bookmarkStart w:id="1685" w:name="_Toc200636952"/>
      <w:bookmarkStart w:id="1686" w:name="_Toc200439812"/>
      <w:bookmarkStart w:id="1687" w:name="_Toc200439950"/>
      <w:bookmarkStart w:id="1688" w:name="_Toc201241055"/>
      <w:bookmarkStart w:id="1689" w:name="_Toc192784389"/>
      <w:bookmarkStart w:id="1690" w:name="_Toc201759375"/>
      <w:bookmarkStart w:id="1691" w:name="_Toc203488011"/>
      <w:r w:rsidRPr="002F2BC5">
        <w:rPr>
          <w:rFonts w:hint="cs"/>
          <w:rtl/>
        </w:rPr>
        <w:t xml:space="preserve">מעורבות משטרת ישראל באיתורם של המעורבים באלימות </w:t>
      </w:r>
      <w:bookmarkEnd w:id="1675"/>
      <w:r w:rsidRPr="002F2BC5">
        <w:rPr>
          <w:rFonts w:hint="cs"/>
          <w:rtl/>
        </w:rPr>
        <w:t>בין בני זוג ובהפנייתם לטיפול</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46C94C88" w14:textId="77777777" w:rsidR="00817399" w:rsidRPr="002F2BC5" w:rsidRDefault="00817399" w:rsidP="00817399">
      <w:pPr>
        <w:spacing w:line="269" w:lineRule="auto"/>
        <w:rPr>
          <w:rtl/>
        </w:rPr>
      </w:pPr>
    </w:p>
    <w:p w14:paraId="3389DCDE" w14:textId="77777777" w:rsidR="00817399" w:rsidRPr="002F2BC5" w:rsidRDefault="00817399" w:rsidP="00817399">
      <w:pPr>
        <w:spacing w:line="269" w:lineRule="auto"/>
        <w:rPr>
          <w:rtl/>
        </w:rPr>
      </w:pPr>
      <w:r w:rsidRPr="002F2BC5">
        <w:rPr>
          <w:rFonts w:hint="cs"/>
          <w:rtl/>
        </w:rPr>
        <w:t>משטרת ישראל, הנמנית עם מערכת אכיפת החוק, משמשת לעיתים כקו ההגנה הראשון עבור נפגעי אלימות במשפחה, משמעשה האלימות עולה כדי עבירה פלילית. לנוכח חומרתה היתרה של תופעת האלימות במשפחה ומורכבות הטיפול בה, ולנוכח ההשפעה הרבה המיוחסת לאופן הטיפול של המשטרה בתלונות אלו על האפשרות שמתלוננים יחזרו בהם מתלונתם, הוכר הצורך במתן מענה ייעודי ומותאם בתחום זה בתחנות המשטרה</w:t>
      </w:r>
      <w:r w:rsidRPr="002F2BC5">
        <w:rPr>
          <w:rStyle w:val="af9"/>
          <w:rtl/>
        </w:rPr>
        <w:footnoteReference w:id="334"/>
      </w:r>
      <w:r w:rsidRPr="002F2BC5">
        <w:rPr>
          <w:rFonts w:hint="cs"/>
          <w:rtl/>
        </w:rPr>
        <w:t xml:space="preserve">. נוסף על התפקיד שממלאת במקרים אלה המשטרה במישור האכיפה הפלילית, נקודת המפגש הראשונה של נפגעי האלימות במשפחה ושל הפוגעים עם מערכת אכיפת החוק יש בה משום הזדמנות לרתימתם להליך טיפולי בקהילה, שכן בנקודת זמן זו למעורבים מודעות גבוהה </w:t>
      </w:r>
      <w:r w:rsidRPr="002F2BC5">
        <w:rPr>
          <w:rtl/>
        </w:rPr>
        <w:t xml:space="preserve">לקיומה של </w:t>
      </w:r>
      <w:r w:rsidRPr="002F2BC5">
        <w:rPr>
          <w:rFonts w:hint="eastAsia"/>
          <w:rtl/>
        </w:rPr>
        <w:t>בעיה</w:t>
      </w:r>
      <w:r w:rsidRPr="002F2BC5">
        <w:rPr>
          <w:rStyle w:val="af9"/>
          <w:rtl/>
        </w:rPr>
        <w:footnoteReference w:id="335"/>
      </w:r>
      <w:r w:rsidRPr="002F2BC5">
        <w:rPr>
          <w:rtl/>
        </w:rPr>
        <w:t>.</w:t>
      </w:r>
      <w:r w:rsidRPr="002F2BC5">
        <w:rPr>
          <w:rFonts w:hint="cs"/>
          <w:rtl/>
        </w:rPr>
        <w:t xml:space="preserve"> מסיבה זו קיימת חשיבות רבה לביסוס ממשקי עבודה ורצף טיפולי בין תחנות המשטרה לבין גורמי הטיפול בתחום האלימות במשפחה בקהילה. שהרי מעורבות מערכת אכיפת החוק בהתמודדות עם תופעת האלימות במשפחה, כמו בכל תופעה אחרת המצויה ברף הענישה הפלילית, מתאפיינת מעצם טיבה בטיפול בביטוייה החיצוניים של התופעה בלבד ולא בגורמי השורש שלה</w:t>
      </w:r>
      <w:r w:rsidRPr="002F2BC5">
        <w:rPr>
          <w:rStyle w:val="af9"/>
          <w:rtl/>
        </w:rPr>
        <w:footnoteReference w:id="336"/>
      </w:r>
      <w:r w:rsidRPr="002F2BC5">
        <w:rPr>
          <w:rFonts w:hint="cs"/>
          <w:rtl/>
        </w:rPr>
        <w:t xml:space="preserve">. </w:t>
      </w:r>
    </w:p>
    <w:p w14:paraId="4AEAFF53" w14:textId="77777777" w:rsidR="00817399" w:rsidRPr="002F2BC5" w:rsidRDefault="00817399" w:rsidP="00817399">
      <w:pPr>
        <w:spacing w:line="269" w:lineRule="auto"/>
        <w:rPr>
          <w:rtl/>
        </w:rPr>
      </w:pPr>
    </w:p>
    <w:p w14:paraId="3451E25A" w14:textId="77777777" w:rsidR="00817399" w:rsidRPr="002F2BC5" w:rsidRDefault="00817399" w:rsidP="00817399">
      <w:pPr>
        <w:spacing w:line="269" w:lineRule="auto"/>
        <w:rPr>
          <w:rtl/>
        </w:rPr>
      </w:pPr>
      <w:r w:rsidRPr="002F2BC5">
        <w:rPr>
          <w:rFonts w:hint="cs"/>
          <w:rtl/>
        </w:rPr>
        <w:t xml:space="preserve">בביקורת הקודמת נבדק המענה הייעודי בתחום האלימות במשפחה שניתן בתוך תחנות המשטרה בהקשר זה וכן נבדקו היבטים מסוימים בממשקי העבודה בין תחנות המשטרה למחלקות </w:t>
      </w:r>
      <w:r w:rsidRPr="002F2BC5">
        <w:rPr>
          <w:rFonts w:hint="cs"/>
          <w:rtl/>
        </w:rPr>
        <w:lastRenderedPageBreak/>
        <w:t>לשירותים חברתיים ברשויות המקומיות ולמרכזים לטיפול ומניעת אלימות במשפחה בכל הנוגע להעברת מידע ושמירה על הרצף הטיפולי. נושאים אלו מוסדרים בחלקם בנוהל שקבעה משטרת ישראל בנושא "הטיפול המשטרתי בעבירות אלימות במשפחה" (נוהל הטיפול המשטרתי בעבירות אלימות במשפחה)</w:t>
      </w:r>
      <w:r w:rsidRPr="002F2BC5">
        <w:rPr>
          <w:rStyle w:val="af9"/>
          <w:rtl/>
        </w:rPr>
        <w:footnoteReference w:id="337"/>
      </w:r>
      <w:r w:rsidRPr="002F2BC5">
        <w:rPr>
          <w:rFonts w:hint="cs"/>
          <w:rtl/>
        </w:rPr>
        <w:t xml:space="preserve"> וכן בנוהל משותף למשטרת ישראל ולמשרד הרווחה בנושא "</w:t>
      </w:r>
      <w:r w:rsidRPr="002F2BC5">
        <w:rPr>
          <w:rtl/>
        </w:rPr>
        <w:t>טיוב התיאום בין משרד הרווחה והשירותים החברתיים ומשטרת ישראל בתחום אלימות במשפחה בדגש על נשים בסיכון גבוה</w:t>
      </w:r>
      <w:r w:rsidRPr="002F2BC5">
        <w:rPr>
          <w:rFonts w:hint="cs"/>
          <w:rtl/>
        </w:rPr>
        <w:t>" (להלן - נוהל טיוב)</w:t>
      </w:r>
      <w:r w:rsidRPr="002F2BC5">
        <w:rPr>
          <w:rStyle w:val="af9"/>
          <w:rtl/>
        </w:rPr>
        <w:footnoteReference w:id="338"/>
      </w:r>
      <w:r w:rsidRPr="002F2BC5">
        <w:rPr>
          <w:rFonts w:hint="cs"/>
          <w:rtl/>
        </w:rPr>
        <w:t>. להלן יפורטו ממצאי המעקב בנושאים אלו.</w:t>
      </w:r>
    </w:p>
    <w:p w14:paraId="4465704F" w14:textId="77777777" w:rsidR="00817399" w:rsidRPr="002F2BC5" w:rsidRDefault="00817399" w:rsidP="00817399">
      <w:pPr>
        <w:spacing w:line="269" w:lineRule="auto"/>
        <w:rPr>
          <w:rtl/>
        </w:rPr>
      </w:pPr>
    </w:p>
    <w:p w14:paraId="029269D5" w14:textId="77777777" w:rsidR="00817399" w:rsidRPr="002F2BC5" w:rsidRDefault="00817399" w:rsidP="00817399">
      <w:pPr>
        <w:pStyle w:val="50"/>
        <w:spacing w:line="269" w:lineRule="auto"/>
        <w:rPr>
          <w:rtl/>
        </w:rPr>
      </w:pPr>
      <w:bookmarkStart w:id="1692" w:name="_Toc189072266"/>
      <w:bookmarkStart w:id="1693" w:name="_Toc191987101"/>
      <w:bookmarkStart w:id="1694" w:name="_Toc192093156"/>
      <w:bookmarkStart w:id="1695" w:name="_Toc193110629"/>
      <w:bookmarkStart w:id="1696" w:name="_Toc192612864"/>
      <w:bookmarkStart w:id="1697" w:name="_Toc198312787"/>
      <w:bookmarkStart w:id="1698" w:name="_Toc200636953"/>
      <w:bookmarkStart w:id="1699" w:name="_Toc200439951"/>
      <w:bookmarkStart w:id="1700" w:name="_Toc201241056"/>
      <w:r w:rsidRPr="002F2BC5">
        <w:rPr>
          <w:rFonts w:hint="cs"/>
          <w:rtl/>
        </w:rPr>
        <w:t>המענה הייעודי בתחום האלימות במשפחה בתוך תחנות המשטרה</w:t>
      </w:r>
      <w:bookmarkEnd w:id="1692"/>
      <w:bookmarkEnd w:id="1693"/>
      <w:bookmarkEnd w:id="1694"/>
      <w:bookmarkEnd w:id="1695"/>
      <w:bookmarkEnd w:id="1696"/>
      <w:bookmarkEnd w:id="1697"/>
      <w:bookmarkEnd w:id="1698"/>
      <w:bookmarkEnd w:id="1699"/>
      <w:bookmarkEnd w:id="1700"/>
    </w:p>
    <w:p w14:paraId="45F2CFC5" w14:textId="77777777" w:rsidR="00817399" w:rsidRPr="002F2BC5" w:rsidRDefault="00817399" w:rsidP="00817399">
      <w:pPr>
        <w:spacing w:line="269" w:lineRule="auto"/>
        <w:rPr>
          <w:rtl/>
        </w:rPr>
      </w:pPr>
    </w:p>
    <w:p w14:paraId="0F1985AC" w14:textId="77777777" w:rsidR="00817399" w:rsidRPr="002F2BC5" w:rsidRDefault="00817399" w:rsidP="00817399">
      <w:pPr>
        <w:spacing w:line="269" w:lineRule="auto"/>
        <w:rPr>
          <w:rtl/>
        </w:rPr>
      </w:pPr>
      <w:r w:rsidRPr="002F2BC5">
        <w:rPr>
          <w:rFonts w:hint="cs"/>
          <w:rtl/>
        </w:rPr>
        <w:t>במהלך סוף שנות התשעים של המאה ה-20 הקימה לראשונה משטרת ישראל מערך חוקרים מיוחד בעל הכשרה ייעודית לטיפול בעבירות של אלימות בין בני זוג (להלן - מערך החוקרים המיוחד או חוקרי האלימות במשפחה)</w:t>
      </w:r>
      <w:r w:rsidRPr="002F2BC5">
        <w:rPr>
          <w:rStyle w:val="af9"/>
          <w:rtl/>
        </w:rPr>
        <w:footnoteReference w:id="339"/>
      </w:r>
      <w:r w:rsidRPr="002F2BC5">
        <w:rPr>
          <w:rFonts w:hint="cs"/>
          <w:rtl/>
        </w:rPr>
        <w:t>. כעבור שני עשורים, בשנת 2018, החלו לפעול בתחנות משטרה מסוימות, לצד מערך חוקרי האלימות במשפחה, יחידות ייעודיות האמונות על הטיפול בעבירות בתוך המשפחה (להלן - מחלקי משפחה). יחידות אלו כוללות קצין, חוקרים ועובד סוציאלי (להלן גם עו"ס מחלקי משפחה), שתפקידם לתכלל את המענה המשטרתי בכל הנוגע לעבירות המתרחשות בתוך התא המשפחתי במטרה להגביר את מועילות הטיפול המשטרתי בעבירות אלו</w:t>
      </w:r>
      <w:r w:rsidRPr="002F2BC5">
        <w:rPr>
          <w:rStyle w:val="af9"/>
          <w:rtl/>
        </w:rPr>
        <w:footnoteReference w:id="340"/>
      </w:r>
      <w:r w:rsidRPr="002F2BC5">
        <w:rPr>
          <w:rFonts w:hint="cs"/>
          <w:rtl/>
        </w:rPr>
        <w:t>.</w:t>
      </w:r>
    </w:p>
    <w:p w14:paraId="6129DE71" w14:textId="77777777" w:rsidR="00817399" w:rsidRPr="002F2BC5" w:rsidRDefault="00817399" w:rsidP="00817399">
      <w:pPr>
        <w:spacing w:line="269" w:lineRule="auto"/>
        <w:rPr>
          <w:rtl/>
        </w:rPr>
      </w:pPr>
    </w:p>
    <w:p w14:paraId="1E476F6B" w14:textId="77777777" w:rsidR="00817399" w:rsidRPr="002F2BC5" w:rsidRDefault="00817399" w:rsidP="00817399">
      <w:pPr>
        <w:spacing w:line="269" w:lineRule="auto"/>
        <w:rPr>
          <w:rtl/>
        </w:rPr>
      </w:pPr>
      <w:bookmarkStart w:id="1701" w:name="_Toc191987102"/>
      <w:r w:rsidRPr="002F2BC5">
        <w:rPr>
          <w:rStyle w:val="70"/>
          <w:rFonts w:hint="cs"/>
          <w:rtl/>
        </w:rPr>
        <w:t>הביקורת הקודמת:</w:t>
      </w:r>
      <w:bookmarkEnd w:id="1701"/>
      <w:r w:rsidRPr="002F2BC5">
        <w:rPr>
          <w:rStyle w:val="70"/>
          <w:rFonts w:hint="cs"/>
          <w:rtl/>
        </w:rPr>
        <w:t xml:space="preserve"> </w:t>
      </w:r>
      <w:r w:rsidRPr="002F2BC5">
        <w:rPr>
          <w:rFonts w:hint="cs"/>
          <w:rtl/>
        </w:rPr>
        <w:t>בשנת 2019 נפתחו ב-83 תחנות המשטרה שהיו פרוסות ברחבי הארץ כ-23,000 תיקי חקירה בגין עבירות אלימות בין בני זוג, וכרבע מהם (כ-5,700 תיקי חקירה) נפתחו בגין עבירות אלימות בין בני זוג במגזר הלא-יהודי. הועלה כי על אף היקף תיקי החקירה שנפתחו בגין עבירות אלו, מבין כלל חוקרי המשטרה שנמנו עם מערך החוקרים המיוחד, כ</w:t>
      </w:r>
      <w:r w:rsidRPr="002F2BC5">
        <w:rPr>
          <w:rtl/>
        </w:rPr>
        <w:t>-21%</w:t>
      </w:r>
      <w:r w:rsidRPr="002F2BC5">
        <w:rPr>
          <w:rFonts w:hint="cs"/>
          <w:rtl/>
        </w:rPr>
        <w:t xml:space="preserve"> מהם (38 מתוך 180) לא השתתפו בהכשרה ייעודית בנושא, העוסקת, בין היתר, בהיבטים של רגישות תרבותית להתמודדות עם התופעה. </w:t>
      </w:r>
    </w:p>
    <w:p w14:paraId="358A1198" w14:textId="77777777" w:rsidR="00817399" w:rsidRPr="002F2BC5" w:rsidRDefault="00817399" w:rsidP="00817399">
      <w:pPr>
        <w:spacing w:line="269" w:lineRule="auto"/>
        <w:rPr>
          <w:rtl/>
        </w:rPr>
      </w:pPr>
    </w:p>
    <w:p w14:paraId="0CD1D721" w14:textId="77777777" w:rsidR="00817399" w:rsidRPr="002F2BC5" w:rsidRDefault="00817399" w:rsidP="00817399">
      <w:pPr>
        <w:spacing w:line="269" w:lineRule="auto"/>
        <w:rPr>
          <w:rtl/>
        </w:rPr>
      </w:pPr>
      <w:r w:rsidRPr="002F2BC5">
        <w:rPr>
          <w:rFonts w:hint="cs"/>
          <w:rtl/>
        </w:rPr>
        <w:t>משרד מבקר המדינה המליץ בביקורת הקודמת למשטרת ישראל להשלים את הכשרתם הייעודית של כלל חוקרי המשטרה הנמנים עם מערך חוקרי האלימות במשפחה.</w:t>
      </w:r>
    </w:p>
    <w:p w14:paraId="6936B778" w14:textId="77777777" w:rsidR="00817399" w:rsidRPr="002F2BC5" w:rsidRDefault="00817399" w:rsidP="00817399">
      <w:pPr>
        <w:spacing w:line="269" w:lineRule="auto"/>
        <w:rPr>
          <w:rtl/>
        </w:rPr>
      </w:pPr>
    </w:p>
    <w:p w14:paraId="7329766B" w14:textId="77777777" w:rsidR="00817399" w:rsidRPr="002F2BC5" w:rsidRDefault="00817399" w:rsidP="00817399">
      <w:pPr>
        <w:spacing w:line="269" w:lineRule="auto"/>
        <w:rPr>
          <w:rtl/>
        </w:rPr>
      </w:pPr>
      <w:r w:rsidRPr="002F2BC5">
        <w:rPr>
          <w:rFonts w:hint="cs"/>
          <w:rtl/>
        </w:rPr>
        <w:t xml:space="preserve">משטרת ישראל מסרה בתשובתה לביקורת הקודמת מפברואר 2021 כי צפויות להתקיים הכשרות בתחום האלימות במשפחה במהלך שנת 2021, וכן כי היא פועלת לגיוס חוקרים דוברי שפות מגוונות למערך החקירות בכלל ולמערך האלימות במשפחה בפרט. </w:t>
      </w:r>
    </w:p>
    <w:p w14:paraId="18B0E26E" w14:textId="77777777" w:rsidR="00817399" w:rsidRPr="002F2BC5" w:rsidRDefault="00817399" w:rsidP="00817399">
      <w:pPr>
        <w:spacing w:line="269" w:lineRule="auto"/>
        <w:rPr>
          <w:rtl/>
        </w:rPr>
      </w:pPr>
    </w:p>
    <w:p w14:paraId="54EB5DAB" w14:textId="77777777" w:rsidR="00817399" w:rsidRPr="002F2BC5" w:rsidRDefault="00817399" w:rsidP="00817399">
      <w:pPr>
        <w:spacing w:line="269" w:lineRule="auto"/>
        <w:rPr>
          <w:b/>
          <w:bCs/>
          <w:rtl/>
        </w:rPr>
      </w:pPr>
      <w:bookmarkStart w:id="1702" w:name="_Toc191987103"/>
      <w:r w:rsidRPr="002F2BC5">
        <w:rPr>
          <w:rStyle w:val="70"/>
          <w:rFonts w:hint="cs"/>
          <w:rtl/>
        </w:rPr>
        <w:t>ביקורת המעקב:</w:t>
      </w:r>
      <w:bookmarkEnd w:id="1702"/>
      <w:r w:rsidRPr="002F2BC5">
        <w:rPr>
          <w:rStyle w:val="70"/>
          <w:rFonts w:hint="cs"/>
          <w:rtl/>
        </w:rPr>
        <w:t xml:space="preserve"> </w:t>
      </w:r>
      <w:r w:rsidRPr="002F2BC5">
        <w:rPr>
          <w:rFonts w:hint="cs"/>
          <w:rtl/>
        </w:rPr>
        <w:t>לפי נתוני משטרת ישראל לשנת 2022, קרוב למחצית מתיקי החקירה בגין עבירות אלימות גופנית או איומים נפתחו בגין עבירות שבוצעו בתוך התא המשפחתי (29,863 מתוך 71,919, שהם כ-42%)</w:t>
      </w:r>
      <w:r w:rsidRPr="002F2BC5">
        <w:rPr>
          <w:rStyle w:val="af9"/>
          <w:rtl/>
        </w:rPr>
        <w:footnoteReference w:id="341"/>
      </w:r>
      <w:r w:rsidRPr="002F2BC5">
        <w:rPr>
          <w:rFonts w:hint="cs"/>
          <w:rtl/>
        </w:rPr>
        <w:t xml:space="preserve">. רובם הגדול של תיקי החקירה שנפתחו בשנה זו בגין עבירות אלימות במשפחה עסקו באלימות בין בני זוג (24,336 מתוך 29,863, שהם כ-81%). במועד סיום ביקורת המעקב, בדצמבר 2024, כלל מערך חוקרי האלימות במשפחה במשטרה </w:t>
      </w:r>
      <w:r w:rsidRPr="002F2BC5">
        <w:rPr>
          <w:rtl/>
        </w:rPr>
        <w:t>168</w:t>
      </w:r>
      <w:r w:rsidRPr="002F2BC5">
        <w:rPr>
          <w:rFonts w:hint="cs"/>
          <w:rtl/>
        </w:rPr>
        <w:t xml:space="preserve"> חוקרים.</w:t>
      </w:r>
    </w:p>
    <w:p w14:paraId="64753C71" w14:textId="77777777" w:rsidR="00817399" w:rsidRPr="002F2BC5" w:rsidRDefault="00817399" w:rsidP="00817399">
      <w:pPr>
        <w:spacing w:line="269" w:lineRule="auto"/>
        <w:rPr>
          <w:b/>
          <w:bCs/>
          <w:rtl/>
        </w:rPr>
      </w:pPr>
      <w:r w:rsidRPr="002F2BC5">
        <w:rPr>
          <w:rFonts w:hint="cs"/>
          <w:b/>
          <w:bCs/>
          <w:rtl/>
        </w:rPr>
        <w:lastRenderedPageBreak/>
        <w:t xml:space="preserve">הועלה כי </w:t>
      </w:r>
      <w:r w:rsidRPr="002F2BC5">
        <w:rPr>
          <w:rFonts w:hint="eastAsia"/>
          <w:b/>
          <w:bCs/>
          <w:rtl/>
        </w:rPr>
        <w:t>כ</w:t>
      </w:r>
      <w:r w:rsidRPr="002F2BC5">
        <w:rPr>
          <w:b/>
          <w:bCs/>
          <w:rtl/>
        </w:rPr>
        <w:t xml:space="preserve">-27% (46 </w:t>
      </w:r>
      <w:r w:rsidRPr="002F2BC5">
        <w:rPr>
          <w:rFonts w:hint="eastAsia"/>
          <w:b/>
          <w:bCs/>
          <w:rtl/>
        </w:rPr>
        <w:t>מתוך</w:t>
      </w:r>
      <w:r w:rsidRPr="002F2BC5">
        <w:rPr>
          <w:b/>
          <w:bCs/>
          <w:rtl/>
        </w:rPr>
        <w:t xml:space="preserve"> 168)</w:t>
      </w:r>
      <w:r w:rsidRPr="002F2BC5">
        <w:rPr>
          <w:rFonts w:hint="cs"/>
          <w:b/>
          <w:bCs/>
          <w:rtl/>
        </w:rPr>
        <w:t xml:space="preserve"> מחוקרי האלימות במשפחה במשטרת ישראל שנמנו עם מערך חוקרי האלימות במשפחה במועד סיום ביקורת המעקב, בדצמבר 2024, לא השתתפו בהכשרה ייעודית בתחום האלימות במשפחה (הכשרה ייעודית בעבירות אלימות במשפחה או הכשרה אחודה של מחלקי משפחה המאגדת בתוכה, לצד תחום האלימות במשפחה, גם את הטיפול בעבירות מין וכן בעבירות כלפי קטינים, חסרי ישע ואנשים עם מוגבלות). כמחצית מחוקרי המשטרה שלא השתתפו בהכשרה ייעודית כאמור הוצבו בתפקיד במהלך שנת 2024.</w:t>
      </w:r>
    </w:p>
    <w:p w14:paraId="009C944B" w14:textId="77777777" w:rsidR="00817399" w:rsidRPr="002F2BC5" w:rsidRDefault="00817399" w:rsidP="00817399">
      <w:pPr>
        <w:spacing w:line="269" w:lineRule="auto"/>
        <w:rPr>
          <w:rtl/>
        </w:rPr>
      </w:pPr>
    </w:p>
    <w:p w14:paraId="11F1C18A" w14:textId="77777777" w:rsidR="00817399" w:rsidRPr="002F2BC5" w:rsidRDefault="00817399" w:rsidP="00817399">
      <w:pPr>
        <w:spacing w:line="269" w:lineRule="auto"/>
        <w:rPr>
          <w:rtl/>
        </w:rPr>
      </w:pPr>
      <w:r w:rsidRPr="002F2BC5">
        <w:rPr>
          <w:rFonts w:hint="cs"/>
          <w:rtl/>
        </w:rPr>
        <w:t>משטרת ישראל מסרה במהלך ביקורת המעקב כי מערך חוקרי המשטרה בתחום האלימות במשפחה הוא דינמי וחלים בו שינויים, בשל הצטרפות של חוקרים למערך או עזיבה שלהם גם בשל פרישה. עוד מסרה משטרת ישראל כי ייתכן ש</w:t>
      </w:r>
      <w:r w:rsidRPr="002F2BC5">
        <w:rPr>
          <w:rtl/>
        </w:rPr>
        <w:t>ישנם חוקרים נוספים הנמנים ע</w:t>
      </w:r>
      <w:r w:rsidRPr="002F2BC5">
        <w:rPr>
          <w:rFonts w:hint="cs"/>
          <w:rtl/>
        </w:rPr>
        <w:t>ם</w:t>
      </w:r>
      <w:r w:rsidRPr="002F2BC5">
        <w:rPr>
          <w:rtl/>
        </w:rPr>
        <w:t xml:space="preserve"> מערך האלימות במשפחה</w:t>
      </w:r>
      <w:r w:rsidRPr="002F2BC5">
        <w:rPr>
          <w:rFonts w:hint="cs"/>
          <w:rtl/>
        </w:rPr>
        <w:t>,</w:t>
      </w:r>
      <w:r w:rsidRPr="002F2BC5">
        <w:rPr>
          <w:rtl/>
        </w:rPr>
        <w:t xml:space="preserve"> אולם </w:t>
      </w:r>
      <w:r w:rsidRPr="002F2BC5">
        <w:rPr>
          <w:rFonts w:hint="cs"/>
          <w:rtl/>
        </w:rPr>
        <w:t xml:space="preserve">הם </w:t>
      </w:r>
      <w:r w:rsidRPr="002F2BC5">
        <w:rPr>
          <w:rtl/>
        </w:rPr>
        <w:t>אינם מסווגים ככאלו ברישומיה</w:t>
      </w:r>
      <w:r w:rsidRPr="002F2BC5">
        <w:rPr>
          <w:rFonts w:hint="cs"/>
          <w:rtl/>
        </w:rPr>
        <w:t>,</w:t>
      </w:r>
      <w:r w:rsidRPr="002F2BC5">
        <w:rPr>
          <w:rtl/>
        </w:rPr>
        <w:t xml:space="preserve"> </w:t>
      </w:r>
      <w:r w:rsidRPr="002F2BC5">
        <w:rPr>
          <w:rFonts w:hint="cs"/>
          <w:rtl/>
        </w:rPr>
        <w:t>ובימים אלה היא מקיימת אפוא עבודת מטה במטרה למפות ולסווג את כלל חוקרי המשטרה הנמנים עם מערך זה.</w:t>
      </w:r>
    </w:p>
    <w:p w14:paraId="029A78C5" w14:textId="77777777" w:rsidR="00817399" w:rsidRPr="002F2BC5" w:rsidRDefault="00817399" w:rsidP="00817399">
      <w:pPr>
        <w:spacing w:line="269" w:lineRule="auto"/>
        <w:rPr>
          <w:rtl/>
        </w:rPr>
      </w:pPr>
    </w:p>
    <w:p w14:paraId="7B17CDEE" w14:textId="77777777" w:rsidR="00817399" w:rsidRPr="002F2BC5" w:rsidRDefault="00817399" w:rsidP="00817399">
      <w:pPr>
        <w:pStyle w:val="afffffff9"/>
        <w:spacing w:line="269" w:lineRule="auto"/>
        <w:rPr>
          <w:rtl/>
        </w:rPr>
      </w:pPr>
      <w:bookmarkStart w:id="1703" w:name="_Toc191987104"/>
      <w:bookmarkStart w:id="1704" w:name="_Toc192093157"/>
      <w:bookmarkStart w:id="1705" w:name="_Toc192612865"/>
      <w:bookmarkStart w:id="1706" w:name="_Toc198312308"/>
      <w:bookmarkStart w:id="1707" w:name="_Toc198312788"/>
      <w:bookmarkStart w:id="1708" w:name="_Toc200636954"/>
      <w:bookmarkStart w:id="1709" w:name="_Toc200439952"/>
      <w:bookmarkStart w:id="1710" w:name="_Toc201241057"/>
      <w:r w:rsidRPr="002F2BC5">
        <w:rPr>
          <w:rFonts w:hint="cs"/>
          <w:rtl/>
        </w:rPr>
        <w:t>הביקורת הקודמת העלתה כי כ-21%</w:t>
      </w:r>
      <w:r w:rsidRPr="002F2BC5">
        <w:rPr>
          <w:rtl/>
        </w:rPr>
        <w:t xml:space="preserve"> </w:t>
      </w:r>
      <w:r w:rsidRPr="002F2BC5">
        <w:rPr>
          <w:rFonts w:hint="eastAsia"/>
          <w:rtl/>
        </w:rPr>
        <w:t>מבין</w:t>
      </w:r>
      <w:r w:rsidRPr="002F2BC5">
        <w:rPr>
          <w:rtl/>
        </w:rPr>
        <w:t xml:space="preserve"> כלל חוקרי </w:t>
      </w:r>
      <w:r w:rsidRPr="002F2BC5">
        <w:rPr>
          <w:rFonts w:hint="cs"/>
          <w:rtl/>
        </w:rPr>
        <w:t>האלימות במשפחה במשטרת ישראל</w:t>
      </w:r>
      <w:r w:rsidRPr="002F2BC5">
        <w:rPr>
          <w:rtl/>
        </w:rPr>
        <w:t xml:space="preserve"> שנמנו עם מערך </w:t>
      </w:r>
      <w:r w:rsidRPr="002F2BC5">
        <w:rPr>
          <w:rFonts w:hint="cs"/>
          <w:rtl/>
        </w:rPr>
        <w:t>האלימות במשפחה</w:t>
      </w:r>
      <w:r w:rsidRPr="002F2BC5">
        <w:rPr>
          <w:rtl/>
        </w:rPr>
        <w:t xml:space="preserve"> (38 מתוך 180) לא השתתפו בהכשרה ייעודית </w:t>
      </w:r>
      <w:r w:rsidRPr="002F2BC5">
        <w:rPr>
          <w:rFonts w:hint="eastAsia"/>
          <w:rtl/>
        </w:rPr>
        <w:t>לטיפול</w:t>
      </w:r>
      <w:r w:rsidRPr="002F2BC5">
        <w:rPr>
          <w:rtl/>
        </w:rPr>
        <w:t xml:space="preserve"> </w:t>
      </w:r>
      <w:r w:rsidRPr="002F2BC5">
        <w:rPr>
          <w:rFonts w:hint="eastAsia"/>
          <w:rtl/>
        </w:rPr>
        <w:t>בעבירות</w:t>
      </w:r>
      <w:r w:rsidRPr="002F2BC5">
        <w:rPr>
          <w:rtl/>
        </w:rPr>
        <w:t xml:space="preserve"> </w:t>
      </w:r>
      <w:r w:rsidRPr="002F2BC5">
        <w:rPr>
          <w:rFonts w:hint="eastAsia"/>
          <w:rtl/>
        </w:rPr>
        <w:t>של</w:t>
      </w:r>
      <w:r w:rsidRPr="002F2BC5">
        <w:rPr>
          <w:rtl/>
        </w:rPr>
        <w:t xml:space="preserve"> </w:t>
      </w:r>
      <w:r w:rsidRPr="002F2BC5">
        <w:rPr>
          <w:rFonts w:hint="eastAsia"/>
          <w:rtl/>
        </w:rPr>
        <w:t>אלימות</w:t>
      </w:r>
      <w:r w:rsidRPr="002F2BC5">
        <w:rPr>
          <w:rtl/>
        </w:rPr>
        <w:t xml:space="preserve"> </w:t>
      </w:r>
      <w:r w:rsidRPr="002F2BC5">
        <w:rPr>
          <w:rFonts w:hint="eastAsia"/>
          <w:rtl/>
        </w:rPr>
        <w:t>בין</w:t>
      </w:r>
      <w:r w:rsidRPr="002F2BC5">
        <w:rPr>
          <w:rtl/>
        </w:rPr>
        <w:t xml:space="preserve"> </w:t>
      </w:r>
      <w:r w:rsidRPr="002F2BC5">
        <w:rPr>
          <w:rFonts w:hint="eastAsia"/>
          <w:rtl/>
        </w:rPr>
        <w:t>בני</w:t>
      </w:r>
      <w:r w:rsidRPr="002F2BC5">
        <w:rPr>
          <w:rtl/>
        </w:rPr>
        <w:t xml:space="preserve"> </w:t>
      </w:r>
      <w:r w:rsidRPr="002F2BC5">
        <w:rPr>
          <w:rFonts w:hint="eastAsia"/>
          <w:rtl/>
        </w:rPr>
        <w:t>זוג</w:t>
      </w:r>
      <w:r w:rsidRPr="002F2BC5">
        <w:rPr>
          <w:rtl/>
        </w:rPr>
        <w:t>.</w:t>
      </w:r>
      <w:r w:rsidRPr="002F2BC5">
        <w:rPr>
          <w:rFonts w:hint="cs"/>
          <w:rtl/>
        </w:rPr>
        <w:t xml:space="preserve"> בביקורת המעקב הועלה כי הליקוי לא תוקן וכי </w:t>
      </w:r>
      <w:r w:rsidRPr="002F2BC5">
        <w:rPr>
          <w:rFonts w:hint="eastAsia"/>
          <w:rtl/>
        </w:rPr>
        <w:t>כ</w:t>
      </w:r>
      <w:r w:rsidRPr="002F2BC5">
        <w:rPr>
          <w:rtl/>
        </w:rPr>
        <w:t xml:space="preserve">-27% (46 </w:t>
      </w:r>
      <w:r w:rsidRPr="002F2BC5">
        <w:rPr>
          <w:rFonts w:hint="eastAsia"/>
          <w:rtl/>
        </w:rPr>
        <w:t>מתוך</w:t>
      </w:r>
      <w:r w:rsidRPr="002F2BC5">
        <w:rPr>
          <w:rtl/>
        </w:rPr>
        <w:t xml:space="preserve"> 168)</w:t>
      </w:r>
      <w:r w:rsidRPr="002F2BC5">
        <w:rPr>
          <w:rFonts w:hint="cs"/>
          <w:rtl/>
        </w:rPr>
        <w:t xml:space="preserve"> מחוקרי האלימות במשפחה במשטרת ישראל שנמנו עם מערך חוקרי האלימות במשפחה במועד סיום ביקורת המעקב, בדצמבר 2024, לא השתתפו בהכשרה ייעודית כאמור.</w:t>
      </w:r>
      <w:bookmarkEnd w:id="1703"/>
      <w:bookmarkEnd w:id="1704"/>
      <w:bookmarkEnd w:id="1705"/>
      <w:bookmarkEnd w:id="1706"/>
      <w:bookmarkEnd w:id="1707"/>
      <w:bookmarkEnd w:id="1708"/>
      <w:bookmarkEnd w:id="1709"/>
      <w:bookmarkEnd w:id="1710"/>
    </w:p>
    <w:p w14:paraId="5B441A09" w14:textId="77777777" w:rsidR="00817399" w:rsidRPr="002F2BC5" w:rsidRDefault="00817399" w:rsidP="00817399">
      <w:pPr>
        <w:spacing w:line="269" w:lineRule="auto"/>
        <w:rPr>
          <w:rtl/>
        </w:rPr>
      </w:pPr>
    </w:p>
    <w:p w14:paraId="5EA7BA16" w14:textId="77777777" w:rsidR="00817399" w:rsidRPr="002F2BC5" w:rsidRDefault="00817399" w:rsidP="00817399">
      <w:pPr>
        <w:spacing w:line="269" w:lineRule="auto"/>
        <w:rPr>
          <w:rtl/>
        </w:rPr>
      </w:pPr>
      <w:r w:rsidRPr="002F2BC5">
        <w:rPr>
          <w:rFonts w:hint="cs"/>
          <w:rtl/>
        </w:rPr>
        <w:t>משטרת ישראל מסרה בתשובתה כי במהלך כל שנה היא מקיימת שתי השתלמויות בנושא מחלקי משפחה וכי היא מבצעת בקרה, כדי שבהשתלמויות אלו ישובצו חוקרים שטרם השתתפו בהן.</w:t>
      </w:r>
    </w:p>
    <w:p w14:paraId="639AD0A1" w14:textId="77777777" w:rsidR="00817399" w:rsidRPr="002F2BC5" w:rsidRDefault="00817399" w:rsidP="00817399">
      <w:pPr>
        <w:spacing w:line="269" w:lineRule="auto"/>
        <w:rPr>
          <w:rtl/>
        </w:rPr>
      </w:pPr>
    </w:p>
    <w:p w14:paraId="4542AD3E" w14:textId="77777777" w:rsidR="00817399" w:rsidRPr="002F2BC5" w:rsidRDefault="00817399" w:rsidP="00817399">
      <w:pPr>
        <w:pStyle w:val="afffffffa"/>
        <w:spacing w:line="269" w:lineRule="auto"/>
        <w:rPr>
          <w:rtl/>
        </w:rPr>
      </w:pPr>
      <w:bookmarkStart w:id="1711" w:name="_Toc192093158"/>
      <w:bookmarkStart w:id="1712" w:name="_Toc191987105"/>
      <w:bookmarkStart w:id="1713" w:name="_Toc192612866"/>
      <w:bookmarkStart w:id="1714" w:name="_Toc198312309"/>
      <w:bookmarkStart w:id="1715" w:name="_Toc198312789"/>
      <w:bookmarkStart w:id="1716" w:name="_Toc200636955"/>
      <w:bookmarkStart w:id="1717" w:name="_Toc200439953"/>
      <w:bookmarkStart w:id="1718" w:name="_Toc201241058"/>
      <w:r w:rsidRPr="002F2BC5">
        <w:rPr>
          <w:rFonts w:hint="cs"/>
          <w:rtl/>
        </w:rPr>
        <w:t>על משטרת ישראל להשלים את מיפוי מערך חוקרי האלימות במשפחה תוך המשך בקרה מתמדת על ההכשרות הייעודיות שבהן משתתפים החוקרים הנמנים עם המערך. זאת כדי להבטיח כי כלל החוקרים האמונים על מתן מענה ייעודי בתחום האלימות במשפחה יהיו בעלי הכשרה מתאימה לכך בסמוך ככל האפשר למועד כניסתם לתפקיד.</w:t>
      </w:r>
      <w:bookmarkEnd w:id="1711"/>
      <w:bookmarkEnd w:id="1712"/>
      <w:bookmarkEnd w:id="1713"/>
      <w:bookmarkEnd w:id="1714"/>
      <w:bookmarkEnd w:id="1715"/>
      <w:bookmarkEnd w:id="1716"/>
      <w:bookmarkEnd w:id="1717"/>
      <w:bookmarkEnd w:id="1718"/>
    </w:p>
    <w:p w14:paraId="29FD0DEC" w14:textId="77777777" w:rsidR="00817399" w:rsidRPr="002F2BC5" w:rsidRDefault="00817399" w:rsidP="00817399">
      <w:pPr>
        <w:spacing w:line="269" w:lineRule="auto"/>
        <w:rPr>
          <w:rtl/>
        </w:rPr>
      </w:pPr>
    </w:p>
    <w:p w14:paraId="6C0BEDE0"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20B18DBB" w14:textId="77777777" w:rsidR="00817399" w:rsidRPr="002F2BC5" w:rsidRDefault="00817399" w:rsidP="00817399">
      <w:pPr>
        <w:pStyle w:val="afffffff7"/>
        <w:spacing w:before="0" w:line="269" w:lineRule="auto"/>
        <w:rPr>
          <w:rtl/>
        </w:rPr>
      </w:pPr>
      <w:bookmarkStart w:id="1719" w:name="_Toc198312310"/>
      <w:bookmarkStart w:id="1720" w:name="_Toc198312790"/>
      <w:bookmarkStart w:id="1721" w:name="_Toc189072267"/>
      <w:r w:rsidRPr="002F2BC5">
        <w:rPr>
          <w:noProof/>
        </w:rPr>
        <w:drawing>
          <wp:inline distT="0" distB="0" distL="0" distR="0" wp14:anchorId="0A2FE0A3" wp14:editId="69C98F26">
            <wp:extent cx="4324350" cy="933450"/>
            <wp:effectExtent l="0" t="0" r="0" b="0"/>
            <wp:docPr id="42"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719"/>
      <w:bookmarkEnd w:id="1720"/>
    </w:p>
    <w:p w14:paraId="56971360" w14:textId="77777777" w:rsidR="00817399" w:rsidRPr="002F2BC5" w:rsidRDefault="00817399" w:rsidP="00817399">
      <w:pPr>
        <w:spacing w:line="269" w:lineRule="auto"/>
        <w:rPr>
          <w:rtl/>
        </w:rPr>
      </w:pPr>
    </w:p>
    <w:p w14:paraId="7CCF3EE9" w14:textId="77777777" w:rsidR="00817399" w:rsidRPr="002F2BC5" w:rsidRDefault="00817399" w:rsidP="00817399">
      <w:pPr>
        <w:pStyle w:val="50"/>
        <w:spacing w:line="269" w:lineRule="auto"/>
        <w:rPr>
          <w:rtl/>
        </w:rPr>
      </w:pPr>
      <w:bookmarkStart w:id="1722" w:name="_Toc189072268"/>
      <w:bookmarkStart w:id="1723" w:name="_Toc191987106"/>
      <w:bookmarkStart w:id="1724" w:name="_Toc192093159"/>
      <w:bookmarkStart w:id="1725" w:name="_Toc193110630"/>
      <w:bookmarkStart w:id="1726" w:name="_Toc192612867"/>
      <w:bookmarkStart w:id="1727" w:name="_Toc198312791"/>
      <w:bookmarkStart w:id="1728" w:name="_Toc200636956"/>
      <w:bookmarkStart w:id="1729" w:name="_Toc200439954"/>
      <w:bookmarkStart w:id="1730" w:name="_Toc201241059"/>
      <w:bookmarkEnd w:id="1721"/>
      <w:r w:rsidRPr="002F2BC5">
        <w:rPr>
          <w:rFonts w:hint="cs"/>
          <w:rtl/>
        </w:rPr>
        <w:t>הקשר בין תחנות המשטרה לבין המחלקות לשירותים חברתיים והמרכזים לטיפול ומניעת אלימות במשפחה</w:t>
      </w:r>
      <w:r w:rsidRPr="002F2BC5">
        <w:rPr>
          <w:rStyle w:val="af9"/>
          <w:rtl/>
        </w:rPr>
        <w:footnoteReference w:id="342"/>
      </w:r>
      <w:bookmarkEnd w:id="1722"/>
      <w:bookmarkEnd w:id="1723"/>
      <w:bookmarkEnd w:id="1724"/>
      <w:bookmarkEnd w:id="1725"/>
      <w:bookmarkEnd w:id="1726"/>
      <w:bookmarkEnd w:id="1727"/>
      <w:bookmarkEnd w:id="1728"/>
      <w:bookmarkEnd w:id="1729"/>
      <w:bookmarkEnd w:id="1730"/>
      <w:r w:rsidRPr="002F2BC5">
        <w:rPr>
          <w:rFonts w:hint="cs"/>
          <w:rtl/>
        </w:rPr>
        <w:t xml:space="preserve"> </w:t>
      </w:r>
    </w:p>
    <w:p w14:paraId="35AD6635" w14:textId="77777777" w:rsidR="00817399" w:rsidRPr="002F2BC5" w:rsidRDefault="00817399" w:rsidP="00817399">
      <w:pPr>
        <w:spacing w:line="269" w:lineRule="auto"/>
        <w:rPr>
          <w:rtl/>
        </w:rPr>
      </w:pPr>
    </w:p>
    <w:p w14:paraId="5836D8F1" w14:textId="77777777" w:rsidR="00817399" w:rsidRPr="002F2BC5" w:rsidRDefault="00817399" w:rsidP="00817399">
      <w:pPr>
        <w:spacing w:line="269" w:lineRule="auto"/>
        <w:rPr>
          <w:rtl/>
        </w:rPr>
      </w:pPr>
      <w:r w:rsidRPr="002F2BC5">
        <w:rPr>
          <w:rFonts w:hint="cs"/>
          <w:rtl/>
        </w:rPr>
        <w:t>מתחילת המאה ה-21 מפעיל משרד הרווחה את תוכנית "עו"ס משטרה", בשיתוף עם מדור נפגעי עבירה במשטרת ישראל והרשות לביטחון קהילתי, האחראית להפעלת התוכנית בחברה הערבית</w:t>
      </w:r>
      <w:r w:rsidRPr="002F2BC5">
        <w:rPr>
          <w:rStyle w:val="af9"/>
          <w:rtl/>
        </w:rPr>
        <w:footnoteReference w:id="343"/>
      </w:r>
      <w:r w:rsidRPr="002F2BC5">
        <w:rPr>
          <w:rFonts w:hint="cs"/>
          <w:rtl/>
        </w:rPr>
        <w:t xml:space="preserve">. התוכנית נועדה לחזק את ממשקי העבודה והרצף הטיפולי בין תחנות המשטרה לבין שירותי הטיפול והמניעה בתחום האלימות במשפחה הניתנים בקהילה; להעניק למעורבים במקרי </w:t>
      </w:r>
      <w:r w:rsidRPr="002F2BC5">
        <w:rPr>
          <w:rFonts w:hint="cs"/>
          <w:rtl/>
        </w:rPr>
        <w:lastRenderedPageBreak/>
        <w:t>אלימות במשפחה טיפול בסמוך ככל האפשר למועד הגשת התלונה במשטרה; וכן לסייע ברתימה לטיפול של כלל המעורבים במקרי האלימות במשפחה - גברים, נשים וילדים</w:t>
      </w:r>
      <w:r w:rsidRPr="002F2BC5">
        <w:rPr>
          <w:rStyle w:val="af9"/>
          <w:rtl/>
        </w:rPr>
        <w:footnoteReference w:id="344"/>
      </w:r>
      <w:r w:rsidRPr="002F2BC5">
        <w:rPr>
          <w:rFonts w:hint="cs"/>
          <w:rtl/>
        </w:rPr>
        <w:t>.</w:t>
      </w:r>
    </w:p>
    <w:p w14:paraId="4B2D7FA6" w14:textId="77777777" w:rsidR="00817399" w:rsidRPr="002F2BC5" w:rsidRDefault="00817399" w:rsidP="00817399">
      <w:pPr>
        <w:spacing w:line="269" w:lineRule="auto"/>
        <w:rPr>
          <w:rtl/>
        </w:rPr>
      </w:pPr>
    </w:p>
    <w:p w14:paraId="2B86E4F0" w14:textId="77777777" w:rsidR="00817399" w:rsidRPr="002F2BC5" w:rsidRDefault="00817399" w:rsidP="00817399">
      <w:pPr>
        <w:spacing w:line="269" w:lineRule="auto"/>
        <w:rPr>
          <w:rtl/>
        </w:rPr>
      </w:pPr>
      <w:r w:rsidRPr="002F2BC5">
        <w:rPr>
          <w:rFonts w:hint="cs"/>
          <w:rtl/>
        </w:rPr>
        <w:t>על פי הוראות התע"ס, במסגרת תוכנית עו"ס משטרה אמור עובד סוציאלי ייעודי (להלן - עו"ס משטרה) לשהות בתחנת המשטרה שאליה הוא משויך "מספר פעמים בשבוע, בשעות המתואמות עם הגורמים המתאימים בתחנת המשטרה", אך מקום עבודתו הקבוע הוא במרכז לטיפול ומניעת אלימות במשפחה. במהלך השהות בתחנת המשטרה, העובד הסוציאלי אמור לקבל עדכון מחוקרי המשטרה בנוגע לתיקים שנפתחו בתחום האלימות בין בני זוג, לערוך מיון ראשוני של התיקים וכן לזמן את נפגע העבירה ואת הפוגע לאינטייק ראשוני בתחנת המשטרה או במרכז לטיפול ומניעת אלימות במשפחה במטרה לנסות ולרתום אותם לטיפול</w:t>
      </w:r>
      <w:r w:rsidRPr="002F2BC5">
        <w:rPr>
          <w:rStyle w:val="af9"/>
          <w:rtl/>
        </w:rPr>
        <w:footnoteReference w:id="345"/>
      </w:r>
      <w:r w:rsidRPr="002F2BC5">
        <w:rPr>
          <w:rFonts w:hint="cs"/>
          <w:rtl/>
        </w:rPr>
        <w:t>. ברשויות מקומיות מהחברה הערבית, שבהן מופעלת התוכנית במימון הרשות לביטחון קהילתי, מקום מושבו הקבוע של עו"ס משטרה הוא בתחנת המשטרה שאליה הוא משויך.</w:t>
      </w:r>
    </w:p>
    <w:p w14:paraId="710998A9" w14:textId="77777777" w:rsidR="00817399" w:rsidRPr="002F2BC5" w:rsidRDefault="00817399" w:rsidP="00817399">
      <w:pPr>
        <w:spacing w:line="269" w:lineRule="auto"/>
        <w:rPr>
          <w:rtl/>
        </w:rPr>
      </w:pPr>
    </w:p>
    <w:p w14:paraId="1832848E" w14:textId="77777777" w:rsidR="00817399" w:rsidRPr="002F2BC5" w:rsidRDefault="00817399" w:rsidP="00817399">
      <w:pPr>
        <w:spacing w:line="269" w:lineRule="auto"/>
        <w:rPr>
          <w:rtl/>
        </w:rPr>
      </w:pPr>
      <w:r w:rsidRPr="002F2BC5">
        <w:rPr>
          <w:rFonts w:hint="cs"/>
          <w:rtl/>
        </w:rPr>
        <w:t>בשנת 2017, לאור הצלחת התוכנית ושביעות הרצון ממנה, המליצה ועדת המנכ"לים על הרחבת התוכנית תוך גיבוש תפיסת ניהול אחידה המייצגת את משרד הרווחה</w:t>
      </w:r>
      <w:r w:rsidRPr="002F2BC5">
        <w:rPr>
          <w:rStyle w:val="af9"/>
          <w:rtl/>
        </w:rPr>
        <w:footnoteReference w:id="346"/>
      </w:r>
      <w:r w:rsidRPr="002F2BC5">
        <w:rPr>
          <w:rFonts w:hint="cs"/>
          <w:rtl/>
        </w:rPr>
        <w:t>. להלן יפורטו ממצאי ביקורת המעקב בכל הנוגע לפריסה הגיאוגרפית של התוכנית ותרומתה לרתימה של נשים וגברים לטיפול, וכן יפורטו ממצאי הביקורת הנוכחית בכל הנוגע לתורת ההפעלה של התוכנית.</w:t>
      </w:r>
    </w:p>
    <w:p w14:paraId="65140A7C" w14:textId="77777777" w:rsidR="00817399" w:rsidRPr="002F2BC5" w:rsidRDefault="00817399" w:rsidP="00817399">
      <w:pPr>
        <w:spacing w:line="269" w:lineRule="auto"/>
        <w:rPr>
          <w:rtl/>
        </w:rPr>
      </w:pPr>
    </w:p>
    <w:p w14:paraId="4CE31B27" w14:textId="77777777" w:rsidR="00817399" w:rsidRPr="002F2BC5" w:rsidRDefault="00817399" w:rsidP="00817399">
      <w:pPr>
        <w:pStyle w:val="6"/>
        <w:spacing w:line="269" w:lineRule="auto"/>
        <w:rPr>
          <w:rtl/>
        </w:rPr>
      </w:pPr>
      <w:bookmarkStart w:id="1731" w:name="_Ref187656397"/>
      <w:bookmarkStart w:id="1732" w:name="_Toc189072269"/>
      <w:bookmarkStart w:id="1733" w:name="_Toc191987107"/>
      <w:bookmarkStart w:id="1734" w:name="_Toc193110631"/>
      <w:r w:rsidRPr="002F2BC5">
        <w:rPr>
          <w:rFonts w:hint="cs"/>
          <w:rtl/>
        </w:rPr>
        <w:t>הפריסה הגיאוגרפית של תוכנית עו"ס משטרה</w:t>
      </w:r>
      <w:bookmarkEnd w:id="1731"/>
      <w:bookmarkEnd w:id="1732"/>
      <w:bookmarkEnd w:id="1733"/>
      <w:bookmarkEnd w:id="1734"/>
    </w:p>
    <w:p w14:paraId="3F95746B" w14:textId="77777777" w:rsidR="00817399" w:rsidRPr="002F2BC5" w:rsidRDefault="00817399" w:rsidP="00817399">
      <w:pPr>
        <w:spacing w:line="269" w:lineRule="auto"/>
        <w:rPr>
          <w:rtl/>
        </w:rPr>
      </w:pPr>
    </w:p>
    <w:p w14:paraId="63A01120" w14:textId="77777777" w:rsidR="00817399" w:rsidRPr="002F2BC5" w:rsidRDefault="00817399" w:rsidP="00817399">
      <w:pPr>
        <w:spacing w:line="269" w:lineRule="auto"/>
        <w:rPr>
          <w:rtl/>
        </w:rPr>
      </w:pPr>
      <w:bookmarkStart w:id="1735" w:name="_Toc191987108"/>
      <w:r w:rsidRPr="002F2BC5">
        <w:rPr>
          <w:rStyle w:val="70"/>
          <w:rFonts w:hint="cs"/>
          <w:rtl/>
        </w:rPr>
        <w:t>הביקורת הקודמת:</w:t>
      </w:r>
      <w:bookmarkEnd w:id="1735"/>
      <w:r w:rsidRPr="002F2BC5">
        <w:rPr>
          <w:rStyle w:val="70"/>
          <w:rFonts w:hint="cs"/>
          <w:rtl/>
        </w:rPr>
        <w:t xml:space="preserve"> </w:t>
      </w:r>
      <w:r w:rsidRPr="002F2BC5">
        <w:rPr>
          <w:rFonts w:hint="cs"/>
          <w:rtl/>
        </w:rPr>
        <w:t>נמצא כי על אף המלצתה של ועדת המנכ"לים, תוכנית עו"ס משטרה הופעלה בשנת 2019 ב-46 רשויות מקומיות בלבד: משרד הרווחה מימן את הפעלת התוכנית ב-32 מרכזים לטיפול ומניעת אלימות במשפחה ברשויות מקומיות עם אוכלוסייה יהודית או מעורבת, והרשות לביטחון קהילתי מימנה הקצאת 11</w:t>
      </w:r>
      <w:r w:rsidRPr="002F2BC5">
        <w:rPr>
          <w:rtl/>
        </w:rPr>
        <w:t xml:space="preserve"> </w:t>
      </w:r>
      <w:r w:rsidRPr="002F2BC5">
        <w:rPr>
          <w:rFonts w:hint="cs"/>
          <w:rtl/>
        </w:rPr>
        <w:t xml:space="preserve">משרות ברשויות מקומיות מהחברה הערבית ו-3 משרות ברשויות מקומיות מהחברה היהודית. </w:t>
      </w:r>
    </w:p>
    <w:p w14:paraId="0EBDD3D1" w14:textId="77777777" w:rsidR="00817399" w:rsidRPr="002F2BC5" w:rsidRDefault="00817399" w:rsidP="00817399">
      <w:pPr>
        <w:spacing w:line="269" w:lineRule="auto"/>
        <w:rPr>
          <w:rtl/>
        </w:rPr>
      </w:pPr>
    </w:p>
    <w:p w14:paraId="2373AE94" w14:textId="77777777" w:rsidR="00817399" w:rsidRPr="002F2BC5" w:rsidRDefault="00817399" w:rsidP="00817399">
      <w:pPr>
        <w:spacing w:line="269" w:lineRule="auto"/>
        <w:rPr>
          <w:rtl/>
        </w:rPr>
      </w:pPr>
      <w:r w:rsidRPr="002F2BC5">
        <w:rPr>
          <w:rFonts w:hint="cs"/>
          <w:rtl/>
        </w:rPr>
        <w:t xml:space="preserve">עוד העלתה הביקורת הקודמת כי בעיריית </w:t>
      </w:r>
      <w:r w:rsidRPr="002F2BC5">
        <w:rPr>
          <w:rFonts w:hint="cs"/>
          <w:b/>
          <w:bCs/>
          <w:rtl/>
        </w:rPr>
        <w:t>יבנה</w:t>
      </w:r>
      <w:r w:rsidRPr="002F2BC5">
        <w:rPr>
          <w:rFonts w:hint="cs"/>
          <w:rtl/>
        </w:rPr>
        <w:t xml:space="preserve">, במועצה מקומית </w:t>
      </w:r>
      <w:r w:rsidRPr="002F2BC5">
        <w:rPr>
          <w:rFonts w:hint="cs"/>
          <w:b/>
          <w:bCs/>
          <w:rtl/>
        </w:rPr>
        <w:t>קדימה-צורן</w:t>
      </w:r>
      <w:r w:rsidRPr="002F2BC5">
        <w:rPr>
          <w:rFonts w:hint="cs"/>
          <w:rtl/>
        </w:rPr>
        <w:t xml:space="preserve"> ובמועצות האזוריות </w:t>
      </w:r>
      <w:r w:rsidRPr="002F2BC5">
        <w:rPr>
          <w:rFonts w:hint="cs"/>
          <w:b/>
          <w:bCs/>
          <w:rtl/>
        </w:rPr>
        <w:t>דרום השרון</w:t>
      </w:r>
      <w:r w:rsidRPr="002F2BC5">
        <w:rPr>
          <w:rFonts w:hint="cs"/>
          <w:rtl/>
        </w:rPr>
        <w:t xml:space="preserve"> ו</w:t>
      </w:r>
      <w:r w:rsidRPr="002F2BC5">
        <w:rPr>
          <w:rFonts w:hint="cs"/>
          <w:b/>
          <w:bCs/>
          <w:rtl/>
        </w:rPr>
        <w:t>מטה יהודה</w:t>
      </w:r>
      <w:r w:rsidRPr="002F2BC5">
        <w:rPr>
          <w:rFonts w:hint="cs"/>
          <w:rtl/>
        </w:rPr>
        <w:t xml:space="preserve"> לא הופעלה תוכנית עו"ס משטרה, ומרשויות אלו נמסר כי </w:t>
      </w:r>
      <w:r w:rsidRPr="002F2BC5">
        <w:rPr>
          <w:rtl/>
        </w:rPr>
        <w:t xml:space="preserve">עו"ס </w:t>
      </w:r>
      <w:r w:rsidRPr="002F2BC5">
        <w:rPr>
          <w:rFonts w:hint="cs"/>
          <w:rtl/>
        </w:rPr>
        <w:t>ה</w:t>
      </w:r>
      <w:r w:rsidRPr="002F2BC5">
        <w:rPr>
          <w:rtl/>
        </w:rPr>
        <w:t>משטרה של ה</w:t>
      </w:r>
      <w:r w:rsidRPr="002F2BC5">
        <w:rPr>
          <w:rFonts w:hint="cs"/>
          <w:rtl/>
        </w:rPr>
        <w:t>רשות המקומית הסמוכה לא</w:t>
      </w:r>
      <w:r w:rsidRPr="002F2BC5">
        <w:rPr>
          <w:rtl/>
        </w:rPr>
        <w:t xml:space="preserve"> קיים קשר עם המחלק</w:t>
      </w:r>
      <w:r w:rsidRPr="002F2BC5">
        <w:rPr>
          <w:rFonts w:hint="cs"/>
          <w:rtl/>
        </w:rPr>
        <w:t>ה</w:t>
      </w:r>
      <w:r w:rsidRPr="002F2BC5">
        <w:rPr>
          <w:rtl/>
        </w:rPr>
        <w:t xml:space="preserve"> </w:t>
      </w:r>
      <w:r w:rsidRPr="002F2BC5">
        <w:rPr>
          <w:rFonts w:hint="cs"/>
          <w:rtl/>
        </w:rPr>
        <w:t xml:space="preserve">לשירותים חברתיים שלהן. גם </w:t>
      </w:r>
      <w:r w:rsidRPr="002F2BC5">
        <w:rPr>
          <w:rtl/>
        </w:rPr>
        <w:t xml:space="preserve">עיריית </w:t>
      </w:r>
      <w:r w:rsidRPr="002F2BC5">
        <w:rPr>
          <w:b/>
          <w:bCs/>
          <w:rtl/>
        </w:rPr>
        <w:t xml:space="preserve">בית שמש </w:t>
      </w:r>
      <w:r w:rsidRPr="002F2BC5">
        <w:rPr>
          <w:rFonts w:hint="cs"/>
          <w:rtl/>
        </w:rPr>
        <w:t>מסרה אז כי מקרי</w:t>
      </w:r>
      <w:r w:rsidRPr="002F2BC5">
        <w:rPr>
          <w:rtl/>
        </w:rPr>
        <w:t xml:space="preserve"> אלימות במשפחה </w:t>
      </w:r>
      <w:r w:rsidRPr="002F2BC5">
        <w:rPr>
          <w:rFonts w:hint="cs"/>
          <w:rtl/>
        </w:rPr>
        <w:t>שהתרחשו</w:t>
      </w:r>
      <w:r w:rsidRPr="002F2BC5">
        <w:rPr>
          <w:rtl/>
        </w:rPr>
        <w:t xml:space="preserve"> ב</w:t>
      </w:r>
      <w:r w:rsidRPr="002F2BC5">
        <w:rPr>
          <w:rFonts w:hint="cs"/>
          <w:rtl/>
        </w:rPr>
        <w:t xml:space="preserve">מועצה האזורית הסמוכה </w:t>
      </w:r>
      <w:r w:rsidRPr="002F2BC5">
        <w:rPr>
          <w:b/>
          <w:bCs/>
          <w:rtl/>
        </w:rPr>
        <w:t>מטה יהודה</w:t>
      </w:r>
      <w:r w:rsidRPr="002F2BC5">
        <w:rPr>
          <w:rtl/>
        </w:rPr>
        <w:t xml:space="preserve"> </w:t>
      </w:r>
      <w:r w:rsidRPr="002F2BC5">
        <w:rPr>
          <w:rFonts w:hint="cs"/>
          <w:rtl/>
        </w:rPr>
        <w:t>לא הועברו</w:t>
      </w:r>
      <w:r w:rsidRPr="002F2BC5">
        <w:rPr>
          <w:rtl/>
        </w:rPr>
        <w:t xml:space="preserve"> </w:t>
      </w:r>
      <w:r w:rsidRPr="002F2BC5">
        <w:rPr>
          <w:rFonts w:hint="eastAsia"/>
          <w:rtl/>
        </w:rPr>
        <w:t>לעו</w:t>
      </w:r>
      <w:r w:rsidRPr="002F2BC5">
        <w:rPr>
          <w:rtl/>
        </w:rPr>
        <w:t xml:space="preserve">"ס </w:t>
      </w:r>
      <w:r w:rsidRPr="002F2BC5">
        <w:rPr>
          <w:rFonts w:hint="eastAsia"/>
          <w:rtl/>
        </w:rPr>
        <w:t>משטרה</w:t>
      </w:r>
      <w:r w:rsidRPr="002F2BC5">
        <w:rPr>
          <w:rtl/>
        </w:rPr>
        <w:t xml:space="preserve"> </w:t>
      </w:r>
      <w:r w:rsidRPr="002F2BC5">
        <w:rPr>
          <w:rFonts w:hint="cs"/>
          <w:rtl/>
        </w:rPr>
        <w:t xml:space="preserve">שהועסק במרכז של עיריית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לטיפול ומניעת אלימות במשפחה. </w:t>
      </w:r>
    </w:p>
    <w:p w14:paraId="27FD1957" w14:textId="77777777" w:rsidR="00817399" w:rsidRPr="002F2BC5" w:rsidRDefault="00817399" w:rsidP="00817399">
      <w:pPr>
        <w:spacing w:line="269" w:lineRule="auto"/>
        <w:rPr>
          <w:rtl/>
        </w:rPr>
      </w:pPr>
    </w:p>
    <w:p w14:paraId="33C1F393"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ולמשטרת ישראל לבחון את הרחבת תוכנית עו"ס משטרה לרשויות מקומיות נוספות בזיקה להיקף הנזקקים בהן. עוד הומלץ כי בכלל תחנות המשטרה והמרכזים שבהן מופעלת התוכנית יינתן מענה אזורי, על פי מתווה התוכנית בחברה הערבית שמפעילה הרשות לביטחון קהילתי.</w:t>
      </w:r>
    </w:p>
    <w:p w14:paraId="32AA277E" w14:textId="77777777" w:rsidR="00817399" w:rsidRPr="002F2BC5" w:rsidRDefault="00817399" w:rsidP="00817399">
      <w:pPr>
        <w:spacing w:line="269" w:lineRule="auto"/>
        <w:rPr>
          <w:rtl/>
        </w:rPr>
      </w:pPr>
    </w:p>
    <w:p w14:paraId="44B9E57D" w14:textId="77777777" w:rsidR="00817399" w:rsidRPr="002F2BC5" w:rsidRDefault="00817399" w:rsidP="00817399">
      <w:pPr>
        <w:spacing w:line="269" w:lineRule="auto"/>
        <w:rPr>
          <w:rtl/>
        </w:rPr>
      </w:pPr>
      <w:r w:rsidRPr="002F2BC5">
        <w:rPr>
          <w:rFonts w:hint="cs"/>
          <w:rtl/>
        </w:rPr>
        <w:t xml:space="preserve">משטרת ישראל מסרה בתשובתה לביקורת הקודמת מפברואר 2021 כי הביעה את עמדתה החיובית הנחרצת לגבי הצורך בהרחבת תוכנית עו"ס משטרה. אשר לרשויות מקומיות שבהן לא מופעלת התוכנית מסרה משטרת ישראל כי במחלקות לשירותים חברתיים ברשויות אלו מתקיימים דרך שגרה דיונים בעניינן של נשים בסיכון גבוה על פי נוהל טיוב. משרד הרווחה מסר בתשובתו מפברואר 2021 כי מספר היישובים שבהם הופעלה התוכנית הוגדל בעקבות המלצות ועדת רוזנבאום, וכי בכוונתו לפעול להרחבת התוכנית כך שתופעל בכ-30 יישובים נוספים. עוד הוסיף משרד הרווחה כי יפעל במידת האפשר לשלב עו"ס משטרה בכל תחנות המשטרה ובכל המרכזים לטיפול ומניעת אלימות במשפחה. </w:t>
      </w:r>
    </w:p>
    <w:p w14:paraId="2AA5C8A6" w14:textId="77777777" w:rsidR="00817399" w:rsidRPr="002F2BC5" w:rsidRDefault="00817399" w:rsidP="00817399">
      <w:pPr>
        <w:spacing w:line="269" w:lineRule="auto"/>
        <w:rPr>
          <w:rtl/>
        </w:rPr>
      </w:pPr>
      <w:r w:rsidRPr="002F2BC5">
        <w:rPr>
          <w:rFonts w:hint="cs"/>
          <w:rtl/>
        </w:rPr>
        <w:lastRenderedPageBreak/>
        <w:t>עיריית</w:t>
      </w:r>
      <w:r w:rsidRPr="002F2BC5">
        <w:rPr>
          <w:rtl/>
        </w:rPr>
        <w:t xml:space="preserve"> </w:t>
      </w:r>
      <w:r w:rsidRPr="002F2BC5">
        <w:rPr>
          <w:b/>
          <w:bCs/>
          <w:rtl/>
        </w:rPr>
        <w:t>יבנה</w:t>
      </w:r>
      <w:r w:rsidRPr="002F2BC5">
        <w:rPr>
          <w:rFonts w:hint="cs"/>
          <w:rtl/>
        </w:rPr>
        <w:t xml:space="preserve"> מסרה בתשובתה מפברואר 2021 כי היא מקיימת קשר רציף עם המשטרה בכל הקשור לנשים מאוימות וכי קיימות שגרות עבודה קבועות, אף כי הרשות המקומית אינה נכללת בתוכנית עו"ס משטרה.</w:t>
      </w:r>
    </w:p>
    <w:p w14:paraId="350F52C9" w14:textId="77777777" w:rsidR="00817399" w:rsidRPr="002F2BC5" w:rsidRDefault="00817399" w:rsidP="00817399">
      <w:pPr>
        <w:spacing w:line="269" w:lineRule="auto"/>
        <w:rPr>
          <w:rtl/>
        </w:rPr>
      </w:pPr>
    </w:p>
    <w:p w14:paraId="27E7B1A0" w14:textId="77777777" w:rsidR="00817399" w:rsidRPr="002F2BC5" w:rsidRDefault="00817399" w:rsidP="00817399">
      <w:pPr>
        <w:spacing w:line="269" w:lineRule="auto"/>
        <w:rPr>
          <w:rtl/>
        </w:rPr>
      </w:pPr>
      <w:bookmarkStart w:id="1736" w:name="_Toc191987109"/>
      <w:r w:rsidRPr="002F2BC5">
        <w:rPr>
          <w:rStyle w:val="70"/>
          <w:rFonts w:hint="cs"/>
          <w:rtl/>
        </w:rPr>
        <w:t>ביקורת המעקב:</w:t>
      </w:r>
      <w:bookmarkEnd w:id="1736"/>
      <w:r w:rsidRPr="002F2BC5">
        <w:rPr>
          <w:rStyle w:val="70"/>
          <w:rFonts w:hint="cs"/>
          <w:rtl/>
        </w:rPr>
        <w:t xml:space="preserve"> </w:t>
      </w:r>
      <w:r w:rsidRPr="002F2BC5">
        <w:rPr>
          <w:rFonts w:hint="cs"/>
          <w:rtl/>
        </w:rPr>
        <w:t>בין השנים 2020 ל-2023 הורחבה תוכנית עו"ס משטרה והתווספו לה עשרות רשויות מקומיות נוספות. בשנת 2023 הוקצו תקנים במסגרת התוכנית ל-100 רשויות מקומיות: ל-80 רשויות מקומיות הוקצו תקנים במימון משרד הרווחה, ול-18 רשויות נוספות מהחברה הערבית הוקצו תקנים במימון הרשות לביטחון קהילתי. נכון למועד סיום הביקורת, בדצמבר 2024, הוקצו 73 תקנים במימון משרד הרווחה ל-83 רשויות מקומיות. כמו כן, נכון למועד האמור, הוקצו 27 תקנים מלאים (100% משרה) במימון הרשות לביטחון קהילתי, שאמורים לתת מענה לכ-90 רשויות מקומיות מהחברה הערבית</w:t>
      </w:r>
      <w:r w:rsidRPr="002F2BC5">
        <w:rPr>
          <w:rStyle w:val="af9"/>
          <w:rtl/>
        </w:rPr>
        <w:footnoteReference w:id="347"/>
      </w:r>
      <w:r w:rsidRPr="002F2BC5">
        <w:rPr>
          <w:rFonts w:hint="cs"/>
          <w:rtl/>
        </w:rPr>
        <w:t xml:space="preserve">. יצוין כי לחמש רשויות מקומיות הוקצו בד בבד תקנים הן במימון משרד הרווחה והן במימון הרשות לביטחון קהילתי (העיריות </w:t>
      </w:r>
      <w:r w:rsidRPr="002F2BC5">
        <w:rPr>
          <w:rFonts w:hint="eastAsia"/>
          <w:b/>
          <w:bCs/>
          <w:rtl/>
        </w:rPr>
        <w:t>טייבה</w:t>
      </w:r>
      <w:r w:rsidRPr="002F2BC5">
        <w:rPr>
          <w:rFonts w:hint="cs"/>
          <w:rtl/>
        </w:rPr>
        <w:t xml:space="preserve">, </w:t>
      </w:r>
      <w:r w:rsidRPr="002F2BC5">
        <w:rPr>
          <w:rFonts w:hint="eastAsia"/>
          <w:b/>
          <w:bCs/>
          <w:rtl/>
        </w:rPr>
        <w:t>טירה</w:t>
      </w:r>
      <w:r w:rsidRPr="002F2BC5">
        <w:rPr>
          <w:rFonts w:hint="cs"/>
          <w:rtl/>
        </w:rPr>
        <w:t xml:space="preserve">, </w:t>
      </w:r>
      <w:r w:rsidRPr="002F2BC5">
        <w:rPr>
          <w:rFonts w:hint="eastAsia"/>
          <w:b/>
          <w:bCs/>
          <w:rtl/>
        </w:rPr>
        <w:t>כפר</w:t>
      </w:r>
      <w:r w:rsidRPr="002F2BC5">
        <w:rPr>
          <w:b/>
          <w:bCs/>
          <w:rtl/>
        </w:rPr>
        <w:t xml:space="preserve"> </w:t>
      </w:r>
      <w:r w:rsidRPr="002F2BC5">
        <w:rPr>
          <w:rFonts w:hint="eastAsia"/>
          <w:b/>
          <w:bCs/>
          <w:rtl/>
        </w:rPr>
        <w:t>קאסם</w:t>
      </w:r>
      <w:r w:rsidRPr="002F2BC5">
        <w:rPr>
          <w:rFonts w:hint="cs"/>
          <w:rtl/>
        </w:rPr>
        <w:t xml:space="preserve">, </w:t>
      </w:r>
      <w:r w:rsidRPr="002F2BC5">
        <w:rPr>
          <w:rFonts w:hint="eastAsia"/>
          <w:b/>
          <w:bCs/>
          <w:rtl/>
        </w:rPr>
        <w:t>מ</w:t>
      </w:r>
      <w:r w:rsidRPr="002F2BC5">
        <w:rPr>
          <w:rFonts w:hint="cs"/>
          <w:b/>
          <w:bCs/>
          <w:rtl/>
        </w:rPr>
        <w:t>ר'</w:t>
      </w:r>
      <w:r w:rsidRPr="002F2BC5">
        <w:rPr>
          <w:rFonts w:hint="eastAsia"/>
          <w:b/>
          <w:bCs/>
          <w:rtl/>
        </w:rPr>
        <w:t>אר</w:t>
      </w:r>
      <w:r w:rsidRPr="002F2BC5">
        <w:rPr>
          <w:b/>
          <w:bCs/>
          <w:rtl/>
        </w:rPr>
        <w:t xml:space="preserve"> </w:t>
      </w:r>
      <w:r w:rsidRPr="002F2BC5">
        <w:rPr>
          <w:rFonts w:hint="cs"/>
          <w:rtl/>
        </w:rPr>
        <w:t>ו</w:t>
      </w:r>
      <w:r w:rsidRPr="002F2BC5">
        <w:rPr>
          <w:rFonts w:hint="eastAsia"/>
          <w:b/>
          <w:bCs/>
          <w:rtl/>
        </w:rPr>
        <w:t>נצרת</w:t>
      </w:r>
      <w:r w:rsidRPr="002F2BC5">
        <w:rPr>
          <w:rFonts w:hint="cs"/>
          <w:rtl/>
        </w:rPr>
        <w:t>).</w:t>
      </w:r>
    </w:p>
    <w:p w14:paraId="7E962156" w14:textId="77777777" w:rsidR="00817399" w:rsidRPr="002F2BC5" w:rsidRDefault="00817399" w:rsidP="00817399">
      <w:pPr>
        <w:spacing w:line="269" w:lineRule="auto"/>
        <w:rPr>
          <w:rtl/>
        </w:rPr>
      </w:pPr>
    </w:p>
    <w:p w14:paraId="6089D4C1" w14:textId="77777777" w:rsidR="00817399" w:rsidRPr="002F2BC5" w:rsidRDefault="00817399" w:rsidP="00817399">
      <w:pPr>
        <w:spacing w:line="269" w:lineRule="auto"/>
        <w:rPr>
          <w:rtl/>
        </w:rPr>
      </w:pPr>
      <w:r w:rsidRPr="002F2BC5">
        <w:rPr>
          <w:rFonts w:hint="eastAsia"/>
          <w:rtl/>
        </w:rPr>
        <w:t>במסגרת</w:t>
      </w:r>
      <w:r w:rsidRPr="002F2BC5">
        <w:rPr>
          <w:rtl/>
        </w:rPr>
        <w:t xml:space="preserve"> </w:t>
      </w:r>
      <w:r w:rsidRPr="002F2BC5">
        <w:rPr>
          <w:rFonts w:hint="eastAsia"/>
          <w:rtl/>
        </w:rPr>
        <w:t>הביקורת</w:t>
      </w:r>
      <w:r w:rsidRPr="002F2BC5">
        <w:rPr>
          <w:rtl/>
        </w:rPr>
        <w:t xml:space="preserve"> </w:t>
      </w:r>
      <w:r w:rsidRPr="002F2BC5">
        <w:rPr>
          <w:rFonts w:hint="eastAsia"/>
          <w:rtl/>
        </w:rPr>
        <w:t>הנוכחית</w:t>
      </w:r>
      <w:r w:rsidRPr="002F2BC5">
        <w:rPr>
          <w:rtl/>
        </w:rPr>
        <w:t xml:space="preserve"> </w:t>
      </w:r>
      <w:r w:rsidRPr="002F2BC5">
        <w:rPr>
          <w:rFonts w:hint="eastAsia"/>
          <w:rtl/>
        </w:rPr>
        <w:t>נבדק</w:t>
      </w:r>
      <w:r w:rsidRPr="002F2BC5">
        <w:rPr>
          <w:rtl/>
        </w:rPr>
        <w:t xml:space="preserve"> </w:t>
      </w:r>
      <w:r w:rsidRPr="002F2BC5">
        <w:rPr>
          <w:rFonts w:hint="eastAsia"/>
          <w:rtl/>
        </w:rPr>
        <w:t>גם</w:t>
      </w:r>
      <w:r w:rsidRPr="002F2BC5">
        <w:rPr>
          <w:rtl/>
        </w:rPr>
        <w:t xml:space="preserve"> </w:t>
      </w:r>
      <w:r w:rsidRPr="002F2BC5">
        <w:rPr>
          <w:rFonts w:hint="eastAsia"/>
          <w:rtl/>
        </w:rPr>
        <w:t>איוש</w:t>
      </w:r>
      <w:r w:rsidRPr="002F2BC5">
        <w:rPr>
          <w:rtl/>
        </w:rPr>
        <w:t xml:space="preserve"> </w:t>
      </w:r>
      <w:r w:rsidRPr="002F2BC5">
        <w:rPr>
          <w:rFonts w:hint="eastAsia"/>
          <w:rtl/>
        </w:rPr>
        <w:t>התקנים</w:t>
      </w:r>
      <w:r w:rsidRPr="002F2BC5">
        <w:rPr>
          <w:rtl/>
        </w:rPr>
        <w:t xml:space="preserve"> </w:t>
      </w:r>
      <w:r w:rsidRPr="002F2BC5">
        <w:rPr>
          <w:rFonts w:hint="eastAsia"/>
          <w:rtl/>
        </w:rPr>
        <w:t>שהוקצו</w:t>
      </w:r>
      <w:r w:rsidRPr="002F2BC5">
        <w:rPr>
          <w:rtl/>
        </w:rPr>
        <w:t xml:space="preserve"> </w:t>
      </w:r>
      <w:r w:rsidRPr="002F2BC5">
        <w:rPr>
          <w:rFonts w:hint="eastAsia"/>
          <w:rtl/>
        </w:rPr>
        <w:t>לטובת</w:t>
      </w:r>
      <w:r w:rsidRPr="002F2BC5">
        <w:rPr>
          <w:rtl/>
        </w:rPr>
        <w:t xml:space="preserve"> </w:t>
      </w:r>
      <w:r w:rsidRPr="002F2BC5">
        <w:rPr>
          <w:rFonts w:hint="eastAsia"/>
          <w:rtl/>
        </w:rPr>
        <w:t>הפעלת</w:t>
      </w:r>
      <w:r w:rsidRPr="002F2BC5">
        <w:rPr>
          <w:rtl/>
        </w:rPr>
        <w:t xml:space="preserve"> </w:t>
      </w:r>
      <w:r w:rsidRPr="002F2BC5">
        <w:rPr>
          <w:rFonts w:hint="eastAsia"/>
          <w:rtl/>
        </w:rPr>
        <w:t>תוכנית</w:t>
      </w:r>
      <w:r w:rsidRPr="002F2BC5">
        <w:rPr>
          <w:rtl/>
        </w:rPr>
        <w:t xml:space="preserve"> </w:t>
      </w:r>
      <w:r w:rsidRPr="002F2BC5">
        <w:rPr>
          <w:rFonts w:hint="eastAsia"/>
          <w:rtl/>
        </w:rPr>
        <w:t>עו</w:t>
      </w:r>
      <w:r w:rsidRPr="002F2BC5">
        <w:rPr>
          <w:rtl/>
        </w:rPr>
        <w:t xml:space="preserve">"ס </w:t>
      </w:r>
      <w:r w:rsidRPr="002F2BC5">
        <w:rPr>
          <w:rFonts w:hint="eastAsia"/>
          <w:rtl/>
        </w:rPr>
        <w:t>משטרה</w:t>
      </w:r>
      <w:r w:rsidRPr="002F2BC5">
        <w:rPr>
          <w:rtl/>
        </w:rPr>
        <w:t xml:space="preserve"> </w:t>
      </w:r>
      <w:r w:rsidRPr="002F2BC5">
        <w:rPr>
          <w:rFonts w:hint="eastAsia"/>
          <w:rtl/>
        </w:rPr>
        <w:t>במימון</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ובמימון</w:t>
      </w:r>
      <w:r w:rsidRPr="002F2BC5">
        <w:rPr>
          <w:rtl/>
        </w:rPr>
        <w:t xml:space="preserve"> </w:t>
      </w:r>
      <w:r w:rsidRPr="002F2BC5">
        <w:rPr>
          <w:rFonts w:hint="eastAsia"/>
          <w:rtl/>
        </w:rPr>
        <w:t>הרשות</w:t>
      </w:r>
      <w:r w:rsidRPr="002F2BC5">
        <w:rPr>
          <w:rtl/>
        </w:rPr>
        <w:t xml:space="preserve"> </w:t>
      </w:r>
      <w:r w:rsidRPr="002F2BC5">
        <w:rPr>
          <w:rFonts w:hint="eastAsia"/>
          <w:rtl/>
        </w:rPr>
        <w:t>לביטחון</w:t>
      </w:r>
      <w:r w:rsidRPr="002F2BC5">
        <w:rPr>
          <w:rtl/>
        </w:rPr>
        <w:t xml:space="preserve"> </w:t>
      </w:r>
      <w:r w:rsidRPr="002F2BC5">
        <w:rPr>
          <w:rFonts w:hint="eastAsia"/>
          <w:rtl/>
        </w:rPr>
        <w:t>קהילתי</w:t>
      </w:r>
      <w:r w:rsidRPr="002F2BC5">
        <w:rPr>
          <w:rtl/>
        </w:rPr>
        <w:t xml:space="preserve">. </w:t>
      </w:r>
    </w:p>
    <w:p w14:paraId="22B3DB56" w14:textId="77777777" w:rsidR="00817399" w:rsidRPr="002F2BC5" w:rsidRDefault="00817399" w:rsidP="00817399">
      <w:pPr>
        <w:spacing w:line="269" w:lineRule="auto"/>
        <w:rPr>
          <w:rtl/>
        </w:rPr>
      </w:pPr>
    </w:p>
    <w:p w14:paraId="68F2494F" w14:textId="77777777" w:rsidR="00817399" w:rsidRPr="002F2BC5" w:rsidRDefault="00817399" w:rsidP="00817399">
      <w:pPr>
        <w:spacing w:line="269" w:lineRule="auto"/>
        <w:rPr>
          <w:b/>
          <w:bCs/>
          <w:rtl/>
        </w:rPr>
      </w:pPr>
      <w:r w:rsidRPr="002F2BC5">
        <w:rPr>
          <w:rFonts w:hint="cs"/>
          <w:b/>
          <w:bCs/>
          <w:rtl/>
        </w:rPr>
        <w:t xml:space="preserve">נמצא כי מתוך כלל התקנים שהוקצו לטובת הפעלת התוכנית במימון משרד הרווחה, </w:t>
      </w:r>
      <w:r w:rsidRPr="002F2BC5">
        <w:rPr>
          <w:rFonts w:hint="eastAsia"/>
          <w:b/>
          <w:bCs/>
          <w:rtl/>
        </w:rPr>
        <w:t>כ</w:t>
      </w:r>
      <w:r w:rsidRPr="002F2BC5">
        <w:rPr>
          <w:b/>
          <w:bCs/>
          <w:rtl/>
        </w:rPr>
        <w:t>-24%</w:t>
      </w:r>
      <w:r w:rsidRPr="002F2BC5">
        <w:rPr>
          <w:rFonts w:hint="cs"/>
          <w:b/>
          <w:bCs/>
          <w:rtl/>
        </w:rPr>
        <w:t xml:space="preserve"> מהם לא היו מאוישים במועד סיום ביקורת המעקב, בדצמבר 2024 (17.6 מתוך 73 תקנים). כך, בכ-20% מהרשויות המקומיות שנכללו בתוכנית במועד זה (17 מתוך 83) לא אויש התקן. מבין התקנים במימון הרשות לביטחון קהילתי, במועד סיום ביקורת המעקב לא אוישו כ-41% מהתקנים (11 מתוך 27), ושני תקנים היו בהליכי מכרז לקראת איושם.</w:t>
      </w:r>
    </w:p>
    <w:p w14:paraId="31F33816" w14:textId="77777777" w:rsidR="00817399" w:rsidRPr="002F2BC5" w:rsidRDefault="00817399" w:rsidP="00817399">
      <w:pPr>
        <w:spacing w:line="269" w:lineRule="auto"/>
        <w:rPr>
          <w:rtl/>
        </w:rPr>
      </w:pPr>
    </w:p>
    <w:p w14:paraId="5ABB7C68" w14:textId="77777777" w:rsidR="00817399" w:rsidRPr="002F2BC5" w:rsidRDefault="00817399" w:rsidP="00817399">
      <w:pPr>
        <w:spacing w:line="269" w:lineRule="auto"/>
        <w:rPr>
          <w:b/>
          <w:bCs/>
          <w:rtl/>
        </w:rPr>
      </w:pPr>
      <w:r w:rsidRPr="002F2BC5">
        <w:rPr>
          <w:rFonts w:hint="cs"/>
          <w:rtl/>
        </w:rPr>
        <w:t>משרד הרווחה מסר במהלך ביקורת המעקב, בדצמבר 2024, כי קיים קושי לאייש תקני כוח אדם של עובדים סוציאליים, ובכלל זה במסגרת תוכנית עו"ס משטרה, וכי הקושי לאייש את התקנים גדול יותר כאשר מדובר על תקן חדש שהוקצה, בשונה מאיוש של תקן קיים על רקע תחלופת כוח אדם.</w:t>
      </w:r>
      <w:r w:rsidRPr="002F2BC5">
        <w:rPr>
          <w:rFonts w:hint="cs"/>
          <w:b/>
          <w:bCs/>
          <w:rtl/>
        </w:rPr>
        <w:t xml:space="preserve"> </w:t>
      </w:r>
      <w:r w:rsidRPr="002F2BC5">
        <w:rPr>
          <w:rFonts w:hint="cs"/>
          <w:rtl/>
        </w:rPr>
        <w:t>אשר לתקנים במימון הרשות לביטחון קהילתי הועלה כי בשנים 2022 ו-2023 התווספו 12 תקנים במימונה, אולם בשל הבחירות ברשויות המקומיות ומלחמת חרבות ברזל מרבית התקנים החדשים טרם אוישו. יש לציין כי החל משנת 2021 הרשות לביטחון קהילתי פועלת כדי להסדיר את העסקתם של העובדים הסוציאליים במסגרת התוכנית באשכולות האזוריים</w:t>
      </w:r>
      <w:r w:rsidRPr="002F2BC5">
        <w:rPr>
          <w:rStyle w:val="af9"/>
          <w:rtl/>
        </w:rPr>
        <w:footnoteReference w:id="348"/>
      </w:r>
      <w:r w:rsidRPr="002F2BC5">
        <w:rPr>
          <w:rFonts w:hint="cs"/>
          <w:rtl/>
        </w:rPr>
        <w:t>, כדי להבטיח את תנאי שכרם ובפרט את עצמאותם המקצועית.</w:t>
      </w:r>
    </w:p>
    <w:p w14:paraId="65A08882" w14:textId="77777777" w:rsidR="00817399" w:rsidRPr="002F2BC5" w:rsidRDefault="00817399" w:rsidP="00817399">
      <w:pPr>
        <w:spacing w:line="269" w:lineRule="auto"/>
        <w:rPr>
          <w:rtl/>
        </w:rPr>
      </w:pPr>
    </w:p>
    <w:p w14:paraId="5AA1BE30" w14:textId="77777777" w:rsidR="00817399" w:rsidRPr="002F2BC5" w:rsidRDefault="00817399" w:rsidP="00817399">
      <w:pPr>
        <w:spacing w:line="269" w:lineRule="auto"/>
        <w:rPr>
          <w:b/>
          <w:bCs/>
          <w:rtl/>
        </w:rPr>
      </w:pPr>
      <w:r w:rsidRPr="002F2BC5">
        <w:rPr>
          <w:rFonts w:hint="eastAsia"/>
          <w:b/>
          <w:bCs/>
          <w:rtl/>
        </w:rPr>
        <w:t>הביקורת</w:t>
      </w:r>
      <w:r w:rsidRPr="002F2BC5">
        <w:rPr>
          <w:b/>
          <w:bCs/>
          <w:rtl/>
        </w:rPr>
        <w:t xml:space="preserve"> </w:t>
      </w:r>
      <w:r w:rsidRPr="002F2BC5">
        <w:rPr>
          <w:rFonts w:hint="eastAsia"/>
          <w:b/>
          <w:bCs/>
          <w:rtl/>
        </w:rPr>
        <w:t>הנוכחית</w:t>
      </w:r>
      <w:r w:rsidRPr="002F2BC5">
        <w:rPr>
          <w:b/>
          <w:bCs/>
          <w:rtl/>
        </w:rPr>
        <w:t xml:space="preserve"> </w:t>
      </w:r>
      <w:r w:rsidRPr="002F2BC5">
        <w:rPr>
          <w:rFonts w:hint="eastAsia"/>
          <w:b/>
          <w:bCs/>
          <w:rtl/>
        </w:rPr>
        <w:t>העלתה</w:t>
      </w:r>
      <w:r w:rsidRPr="002F2BC5">
        <w:rPr>
          <w:b/>
          <w:bCs/>
          <w:rtl/>
        </w:rPr>
        <w:t xml:space="preserve"> עוד כי מבין הרשויות המקומיות מהחברה היהודית שבהן לא הופעלה התוכנית במימון משרד הרווחה, היו 8 </w:t>
      </w:r>
      <w:r w:rsidRPr="002F2BC5">
        <w:rPr>
          <w:rFonts w:hint="eastAsia"/>
          <w:b/>
          <w:bCs/>
          <w:rtl/>
        </w:rPr>
        <w:t>רשויות</w:t>
      </w:r>
      <w:r w:rsidRPr="002F2BC5">
        <w:rPr>
          <w:b/>
          <w:bCs/>
          <w:rtl/>
        </w:rPr>
        <w:t xml:space="preserve"> מקומיות שבתחומן פועל מרכז לטיפול ומניעת אלימות במשפחה, מתגוררים בהן מעל ל-20,000 תושבים ומספר תיקי החקירה בעבירות אלימות במשפחה או </w:t>
      </w:r>
      <w:r w:rsidRPr="002F2BC5">
        <w:rPr>
          <w:rFonts w:hint="eastAsia"/>
          <w:b/>
          <w:bCs/>
          <w:rtl/>
        </w:rPr>
        <w:t>שמספר</w:t>
      </w:r>
      <w:r w:rsidRPr="002F2BC5">
        <w:rPr>
          <w:b/>
          <w:bCs/>
          <w:rtl/>
        </w:rPr>
        <w:t xml:space="preserve"> תיקי החקירה בעבירות אלו ל-1,000 תושבים היו גבוהים מהחציון הארצי. </w:t>
      </w:r>
      <w:r w:rsidRPr="002F2BC5">
        <w:rPr>
          <w:rFonts w:hint="eastAsia"/>
          <w:b/>
          <w:bCs/>
          <w:rtl/>
        </w:rPr>
        <w:t>ב</w:t>
      </w:r>
      <w:r w:rsidRPr="002F2BC5">
        <w:rPr>
          <w:b/>
          <w:bCs/>
          <w:rtl/>
        </w:rPr>
        <w:t>-</w:t>
      </w:r>
      <w:r w:rsidRPr="002F2BC5">
        <w:rPr>
          <w:rFonts w:hint="cs"/>
          <w:b/>
          <w:bCs/>
          <w:rtl/>
        </w:rPr>
        <w:t>4</w:t>
      </w:r>
      <w:r w:rsidRPr="002F2BC5">
        <w:rPr>
          <w:b/>
          <w:bCs/>
          <w:rtl/>
        </w:rPr>
        <w:t xml:space="preserve"> </w:t>
      </w:r>
      <w:r w:rsidRPr="002F2BC5">
        <w:rPr>
          <w:rFonts w:hint="eastAsia"/>
          <w:b/>
          <w:bCs/>
          <w:rtl/>
        </w:rPr>
        <w:t>מהרשויות</w:t>
      </w:r>
      <w:r w:rsidRPr="002F2BC5">
        <w:rPr>
          <w:b/>
          <w:bCs/>
          <w:rtl/>
        </w:rPr>
        <w:t xml:space="preserve"> הללו גם מספר תיקי החקירה בעבירות אלימות במשפחה וגם מספר תיקי החקירה בעבירות אלו ל-1,000 תושבים היו גבוהים מהחציון הארצי. </w:t>
      </w:r>
    </w:p>
    <w:p w14:paraId="0A0A24E9" w14:textId="77777777" w:rsidR="00817399" w:rsidRPr="002F2BC5" w:rsidRDefault="00817399" w:rsidP="00817399">
      <w:pPr>
        <w:spacing w:line="269" w:lineRule="auto"/>
        <w:rPr>
          <w:rtl/>
        </w:rPr>
      </w:pPr>
    </w:p>
    <w:p w14:paraId="4236C095" w14:textId="2DC4CD22" w:rsidR="00817399" w:rsidRPr="002F2BC5" w:rsidRDefault="00817399" w:rsidP="00817399">
      <w:pPr>
        <w:spacing w:line="269" w:lineRule="auto"/>
        <w:rPr>
          <w:rtl/>
        </w:rPr>
      </w:pPr>
      <w:r w:rsidRPr="002F2BC5">
        <w:rPr>
          <w:rFonts w:hint="cs"/>
          <w:rtl/>
        </w:rPr>
        <w:t>מאפייני הרשויות המקומיות הללו מוצגים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Ref185256146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16</w:t>
      </w:r>
      <w:r w:rsidRPr="002F2BC5">
        <w:rPr>
          <w:rtl/>
        </w:rPr>
        <w:fldChar w:fldCharType="end"/>
      </w:r>
      <w:r w:rsidRPr="002F2BC5">
        <w:rPr>
          <w:rFonts w:hint="cs"/>
          <w:rtl/>
        </w:rPr>
        <w:t xml:space="preserve"> שלהלן.</w:t>
      </w:r>
    </w:p>
    <w:p w14:paraId="4986E7F9" w14:textId="77777777" w:rsidR="00817399" w:rsidRPr="002F2BC5" w:rsidRDefault="00817399" w:rsidP="00817399">
      <w:pPr>
        <w:pStyle w:val="a0"/>
        <w:spacing w:line="269" w:lineRule="auto"/>
        <w:rPr>
          <w:rtl/>
        </w:rPr>
      </w:pPr>
      <w:bookmarkStart w:id="1737" w:name="_Ref185256146"/>
      <w:bookmarkStart w:id="1738" w:name="_Toc192674061"/>
      <w:r w:rsidRPr="002F2BC5">
        <w:rPr>
          <w:b w:val="0"/>
          <w:bCs w:val="0"/>
          <w:rtl/>
        </w:rPr>
        <w:lastRenderedPageBreak/>
        <w:t>:</w:t>
      </w:r>
      <w:r w:rsidRPr="002F2BC5">
        <w:rPr>
          <w:rFonts w:hint="cs"/>
          <w:rtl/>
        </w:rPr>
        <w:t xml:space="preserve"> מאפיינים נבחרים של רשויות מקומיות שבהן מופעל מרכז לטיפול </w:t>
      </w:r>
      <w:r w:rsidRPr="002F2BC5">
        <w:rPr>
          <w:rtl/>
        </w:rPr>
        <w:br/>
      </w:r>
      <w:r w:rsidRPr="002F2BC5">
        <w:rPr>
          <w:rFonts w:hint="cs"/>
          <w:rtl/>
        </w:rPr>
        <w:t>ומניעת אלימות במשפחה אך לא מופעלת תוכנית עו"ס משטרה</w:t>
      </w:r>
      <w:bookmarkEnd w:id="1737"/>
      <w:r w:rsidRPr="002F2BC5">
        <w:rPr>
          <w:rFonts w:hint="cs"/>
          <w:rtl/>
        </w:rPr>
        <w:t>, 2022</w:t>
      </w:r>
      <w:bookmarkEnd w:id="1738"/>
    </w:p>
    <w:p w14:paraId="577E1F1C" w14:textId="77777777" w:rsidR="00817399" w:rsidRPr="002F2BC5" w:rsidRDefault="00817399" w:rsidP="00817399">
      <w:pPr>
        <w:pStyle w:val="afffffff4"/>
        <w:bidi/>
        <w:spacing w:before="0" w:after="0" w:line="269" w:lineRule="auto"/>
      </w:pPr>
      <w:r w:rsidRPr="002F2BC5">
        <w:rPr>
          <w:noProof/>
        </w:rPr>
        <w:drawing>
          <wp:inline distT="0" distB="0" distL="0" distR="0" wp14:anchorId="74859F03" wp14:editId="453219BF">
            <wp:extent cx="5220335" cy="2190115"/>
            <wp:effectExtent l="0" t="0" r="0" b="635"/>
            <wp:docPr id="2052770964" name="תמונה 205277096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20335" cy="2190115"/>
                    </a:xfrm>
                    <a:prstGeom prst="rect">
                      <a:avLst/>
                    </a:prstGeom>
                  </pic:spPr>
                </pic:pic>
              </a:graphicData>
            </a:graphic>
          </wp:inline>
        </w:drawing>
      </w:r>
    </w:p>
    <w:p w14:paraId="1C7C6558" w14:textId="77777777" w:rsidR="00817399" w:rsidRPr="002F2BC5" w:rsidRDefault="00817399" w:rsidP="00817399">
      <w:pPr>
        <w:pStyle w:val="afffffff1"/>
        <w:bidi/>
        <w:spacing w:line="269" w:lineRule="auto"/>
        <w:rPr>
          <w:rtl/>
        </w:rPr>
      </w:pPr>
      <w:r w:rsidRPr="002F2BC5">
        <w:rPr>
          <w:rFonts w:hint="cs"/>
          <w:rtl/>
        </w:rPr>
        <w:t xml:space="preserve">לפי נתוני הלמ"ס על מספר התושבים, המדד החברתי-כלכלי, מדד הפריפריאליות ורמת החרדיות ברשויות המקומיות לשנת 2022, סיווג משרד הפנים של הרשויות המקומיות שהיה ידוע במועד סיום הביקורת ונתוני משטרת ישראל על מספר תיקי החקירה בעבירות אלימות במשפחה שנפתחו בשנת 2022, בעיבוד משרד מבקר המדינה. </w:t>
      </w:r>
    </w:p>
    <w:p w14:paraId="6B489138" w14:textId="77777777" w:rsidR="00817399" w:rsidRPr="002F2BC5" w:rsidRDefault="00817399" w:rsidP="00817399">
      <w:pPr>
        <w:spacing w:line="269" w:lineRule="auto"/>
        <w:rPr>
          <w:rtl/>
        </w:rPr>
      </w:pPr>
    </w:p>
    <w:p w14:paraId="59F810A5" w14:textId="2C9DB95D" w:rsidR="00817399" w:rsidRPr="002F2BC5" w:rsidRDefault="00817399" w:rsidP="00817399">
      <w:pPr>
        <w:spacing w:line="269" w:lineRule="auto"/>
        <w:rPr>
          <w:rtl/>
        </w:rPr>
      </w:pPr>
      <w:r w:rsidRPr="002F2BC5">
        <w:rPr>
          <w:rFonts w:hint="cs"/>
          <w:b/>
          <w:bCs/>
          <w:rtl/>
        </w:rPr>
        <w:t>מ</w:t>
      </w:r>
      <w:r w:rsidRPr="002F2BC5">
        <w:rPr>
          <w:b/>
          <w:bCs/>
          <w:rtl/>
        </w:rPr>
        <w:fldChar w:fldCharType="begin"/>
      </w:r>
      <w:r w:rsidRPr="002F2BC5">
        <w:rPr>
          <w:b/>
          <w:bCs/>
          <w:rtl/>
        </w:rPr>
        <w:instrText xml:space="preserve"> </w:instrText>
      </w:r>
      <w:r w:rsidRPr="002F2BC5">
        <w:rPr>
          <w:rFonts w:hint="cs"/>
          <w:b/>
          <w:bCs/>
        </w:rPr>
        <w:instrText>REF</w:instrText>
      </w:r>
      <w:r w:rsidRPr="002F2BC5">
        <w:rPr>
          <w:rFonts w:hint="cs"/>
          <w:b/>
          <w:bCs/>
          <w:rtl/>
        </w:rPr>
        <w:instrText xml:space="preserve"> _</w:instrText>
      </w:r>
      <w:r w:rsidRPr="002F2BC5">
        <w:rPr>
          <w:rFonts w:hint="cs"/>
          <w:b/>
          <w:bCs/>
        </w:rPr>
        <w:instrText>Ref185256146 \r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16</w:t>
      </w:r>
      <w:r w:rsidRPr="002F2BC5">
        <w:rPr>
          <w:b/>
          <w:bCs/>
          <w:rtl/>
        </w:rPr>
        <w:fldChar w:fldCharType="end"/>
      </w:r>
      <w:r w:rsidRPr="002F2BC5">
        <w:rPr>
          <w:rFonts w:hint="cs"/>
          <w:b/>
          <w:bCs/>
          <w:rtl/>
        </w:rPr>
        <w:t xml:space="preserve"> עולה כי על אף הצורך בהפעלת תוכנית עו"ס משטרה ברשויות מקומיות נוספות, בין בשל מספר תיקי החקירה בגין עבירות אלימות במשפחה ברשויות אלו ובין בשל מספר תיקי החקירה ל-1,000 תושבים, רשויות אלו אינן נכללות בתוכנית עו"ס משטרה, אף כי פועל בתחומן מרכז לטיפול ומניעת אלימות במשפחה.</w:t>
      </w:r>
      <w:r w:rsidRPr="002F2BC5">
        <w:rPr>
          <w:b/>
          <w:bCs/>
          <w:rtl/>
        </w:rPr>
        <w:t xml:space="preserve"> </w:t>
      </w:r>
      <w:r w:rsidRPr="002F2BC5">
        <w:rPr>
          <w:rFonts w:hint="eastAsia"/>
          <w:b/>
          <w:bCs/>
          <w:rtl/>
        </w:rPr>
        <w:t>כך</w:t>
      </w:r>
      <w:r w:rsidRPr="002F2BC5">
        <w:rPr>
          <w:b/>
          <w:bCs/>
          <w:rtl/>
        </w:rPr>
        <w:t xml:space="preserve"> לדוגמה, </w:t>
      </w:r>
      <w:r w:rsidRPr="002F2BC5">
        <w:rPr>
          <w:rFonts w:hint="eastAsia"/>
          <w:b/>
          <w:bCs/>
          <w:rtl/>
        </w:rPr>
        <w:t>מספר</w:t>
      </w:r>
      <w:r w:rsidRPr="002F2BC5">
        <w:rPr>
          <w:b/>
          <w:bCs/>
          <w:rtl/>
        </w:rPr>
        <w:t xml:space="preserve"> תיקי החקירה בגין עבירות אלימות במשפחה </w:t>
      </w:r>
      <w:r w:rsidRPr="002F2BC5">
        <w:rPr>
          <w:rFonts w:hint="eastAsia"/>
          <w:b/>
          <w:bCs/>
          <w:rtl/>
        </w:rPr>
        <w:t>שנפתחו</w:t>
      </w:r>
      <w:r w:rsidRPr="002F2BC5">
        <w:rPr>
          <w:b/>
          <w:bCs/>
          <w:rtl/>
        </w:rPr>
        <w:t xml:space="preserve"> בשנת 2022 </w:t>
      </w:r>
      <w:r w:rsidRPr="002F2BC5">
        <w:rPr>
          <w:rFonts w:hint="eastAsia"/>
          <w:b/>
          <w:bCs/>
          <w:rtl/>
        </w:rPr>
        <w:t>בעיריות</w:t>
      </w:r>
      <w:r w:rsidRPr="002F2BC5">
        <w:rPr>
          <w:b/>
          <w:bCs/>
          <w:rtl/>
        </w:rPr>
        <w:t xml:space="preserve"> </w:t>
      </w:r>
      <w:r w:rsidRPr="002F2BC5">
        <w:rPr>
          <w:rFonts w:hint="eastAsia"/>
          <w:b/>
          <w:bCs/>
          <w:rtl/>
        </w:rPr>
        <w:t>אור</w:t>
      </w:r>
      <w:r w:rsidRPr="002F2BC5">
        <w:rPr>
          <w:b/>
          <w:bCs/>
          <w:rtl/>
        </w:rPr>
        <w:t xml:space="preserve"> </w:t>
      </w:r>
      <w:r w:rsidRPr="002F2BC5">
        <w:rPr>
          <w:rFonts w:hint="eastAsia"/>
          <w:b/>
          <w:bCs/>
          <w:rtl/>
        </w:rPr>
        <w:t>עקיבא</w:t>
      </w:r>
      <w:r w:rsidRPr="002F2BC5">
        <w:rPr>
          <w:b/>
          <w:bCs/>
          <w:rtl/>
        </w:rPr>
        <w:t xml:space="preserve"> (81 תיקי חקירה), </w:t>
      </w:r>
      <w:r w:rsidRPr="002F2BC5">
        <w:rPr>
          <w:rFonts w:hint="eastAsia"/>
          <w:b/>
          <w:bCs/>
          <w:rtl/>
        </w:rPr>
        <w:t>אריאל</w:t>
      </w:r>
      <w:r w:rsidRPr="002F2BC5">
        <w:rPr>
          <w:b/>
          <w:bCs/>
          <w:rtl/>
        </w:rPr>
        <w:t xml:space="preserve"> (43 תיקי חקירה)</w:t>
      </w:r>
      <w:r w:rsidRPr="002F2BC5">
        <w:rPr>
          <w:rFonts w:hint="cs"/>
          <w:b/>
          <w:bCs/>
          <w:rtl/>
        </w:rPr>
        <w:t xml:space="preserve">, </w:t>
      </w:r>
      <w:r w:rsidRPr="002F2BC5">
        <w:rPr>
          <w:b/>
          <w:bCs/>
          <w:rtl/>
        </w:rPr>
        <w:t xml:space="preserve">נשר (47 תיקי חקירה) </w:t>
      </w:r>
      <w:r w:rsidRPr="002F2BC5">
        <w:rPr>
          <w:rFonts w:hint="cs"/>
          <w:b/>
          <w:bCs/>
          <w:rtl/>
        </w:rPr>
        <w:t xml:space="preserve">וקריית שמונה (70 תיקי חקירה) </w:t>
      </w:r>
      <w:r w:rsidRPr="002F2BC5">
        <w:rPr>
          <w:rFonts w:hint="eastAsia"/>
          <w:b/>
          <w:bCs/>
          <w:rtl/>
        </w:rPr>
        <w:t>היה</w:t>
      </w:r>
      <w:r w:rsidRPr="002F2BC5">
        <w:rPr>
          <w:b/>
          <w:bCs/>
          <w:rtl/>
        </w:rPr>
        <w:t xml:space="preserve"> </w:t>
      </w:r>
      <w:r w:rsidRPr="002F2BC5">
        <w:rPr>
          <w:rFonts w:hint="eastAsia"/>
          <w:b/>
          <w:bCs/>
          <w:rtl/>
        </w:rPr>
        <w:t>גבוה</w:t>
      </w:r>
      <w:r w:rsidRPr="002F2BC5">
        <w:rPr>
          <w:b/>
          <w:bCs/>
          <w:rtl/>
        </w:rPr>
        <w:t xml:space="preserve"> </w:t>
      </w:r>
      <w:r w:rsidRPr="002F2BC5">
        <w:rPr>
          <w:rFonts w:hint="eastAsia"/>
          <w:b/>
          <w:bCs/>
          <w:rtl/>
        </w:rPr>
        <w:t>מהחציון</w:t>
      </w:r>
      <w:r w:rsidRPr="002F2BC5">
        <w:rPr>
          <w:b/>
          <w:bCs/>
          <w:rtl/>
        </w:rPr>
        <w:t xml:space="preserve"> </w:t>
      </w:r>
      <w:r w:rsidRPr="002F2BC5">
        <w:rPr>
          <w:rFonts w:hint="eastAsia"/>
          <w:b/>
          <w:bCs/>
          <w:rtl/>
        </w:rPr>
        <w:t>הכלל</w:t>
      </w:r>
      <w:r w:rsidRPr="002F2BC5">
        <w:rPr>
          <w:b/>
          <w:bCs/>
          <w:rtl/>
        </w:rPr>
        <w:t xml:space="preserve"> </w:t>
      </w:r>
      <w:r w:rsidRPr="002F2BC5">
        <w:rPr>
          <w:rFonts w:hint="eastAsia"/>
          <w:b/>
          <w:bCs/>
          <w:rtl/>
        </w:rPr>
        <w:t>ארצי</w:t>
      </w:r>
      <w:r w:rsidRPr="002F2BC5">
        <w:rPr>
          <w:b/>
          <w:bCs/>
          <w:rtl/>
        </w:rPr>
        <w:t xml:space="preserve"> (</w:t>
      </w:r>
      <w:r w:rsidRPr="002F2BC5">
        <w:rPr>
          <w:rFonts w:hint="cs"/>
          <w:b/>
          <w:bCs/>
          <w:rtl/>
        </w:rPr>
        <w:t>24</w:t>
      </w:r>
      <w:r w:rsidRPr="002F2BC5">
        <w:rPr>
          <w:b/>
          <w:bCs/>
          <w:rtl/>
        </w:rPr>
        <w:t xml:space="preserve"> תיקי חקירה) וברשויות אלו גם מספר תיקי החקירה ב</w:t>
      </w:r>
      <w:r w:rsidRPr="002F2BC5">
        <w:rPr>
          <w:rFonts w:hint="eastAsia"/>
          <w:b/>
          <w:bCs/>
          <w:rtl/>
        </w:rPr>
        <w:t>גין</w:t>
      </w:r>
      <w:r w:rsidRPr="002F2BC5">
        <w:rPr>
          <w:b/>
          <w:bCs/>
          <w:rtl/>
        </w:rPr>
        <w:t xml:space="preserve"> </w:t>
      </w:r>
      <w:r w:rsidRPr="002F2BC5">
        <w:rPr>
          <w:rFonts w:hint="eastAsia"/>
          <w:b/>
          <w:bCs/>
          <w:rtl/>
        </w:rPr>
        <w:t>עבירות</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במשפחה</w:t>
      </w:r>
      <w:r w:rsidRPr="002F2BC5">
        <w:rPr>
          <w:b/>
          <w:bCs/>
          <w:rtl/>
        </w:rPr>
        <w:t xml:space="preserve"> (3.9, 2.1</w:t>
      </w:r>
      <w:r w:rsidRPr="002F2BC5">
        <w:rPr>
          <w:rFonts w:hint="cs"/>
          <w:b/>
          <w:bCs/>
          <w:rtl/>
        </w:rPr>
        <w:t xml:space="preserve">, </w:t>
      </w:r>
      <w:r w:rsidRPr="002F2BC5">
        <w:rPr>
          <w:b/>
          <w:bCs/>
          <w:rtl/>
        </w:rPr>
        <w:t xml:space="preserve">2 </w:t>
      </w:r>
      <w:r w:rsidRPr="002F2BC5">
        <w:rPr>
          <w:rFonts w:hint="cs"/>
          <w:b/>
          <w:bCs/>
          <w:rtl/>
        </w:rPr>
        <w:t xml:space="preserve">ו-3.1 </w:t>
      </w:r>
      <w:r w:rsidRPr="002F2BC5">
        <w:rPr>
          <w:rFonts w:hint="eastAsia"/>
          <w:b/>
          <w:bCs/>
          <w:rtl/>
        </w:rPr>
        <w:t>תיקי</w:t>
      </w:r>
      <w:r w:rsidRPr="002F2BC5">
        <w:rPr>
          <w:b/>
          <w:bCs/>
          <w:rtl/>
        </w:rPr>
        <w:t xml:space="preserve"> </w:t>
      </w:r>
      <w:r w:rsidRPr="002F2BC5">
        <w:rPr>
          <w:rFonts w:hint="eastAsia"/>
          <w:b/>
          <w:bCs/>
          <w:rtl/>
        </w:rPr>
        <w:t>חקירה</w:t>
      </w:r>
      <w:r w:rsidRPr="002F2BC5">
        <w:rPr>
          <w:b/>
          <w:bCs/>
          <w:rtl/>
        </w:rPr>
        <w:t xml:space="preserve"> </w:t>
      </w:r>
      <w:r w:rsidRPr="002F2BC5">
        <w:rPr>
          <w:rFonts w:hint="eastAsia"/>
          <w:b/>
          <w:bCs/>
          <w:rtl/>
        </w:rPr>
        <w:t>ל</w:t>
      </w:r>
      <w:r w:rsidRPr="002F2BC5">
        <w:rPr>
          <w:b/>
          <w:bCs/>
          <w:rtl/>
        </w:rPr>
        <w:t xml:space="preserve">-1,000 </w:t>
      </w:r>
      <w:r w:rsidRPr="002F2BC5">
        <w:rPr>
          <w:rFonts w:hint="eastAsia"/>
          <w:b/>
          <w:bCs/>
          <w:rtl/>
        </w:rPr>
        <w:t>תושבים</w:t>
      </w:r>
      <w:r w:rsidRPr="002F2BC5">
        <w:rPr>
          <w:b/>
          <w:bCs/>
          <w:rtl/>
        </w:rPr>
        <w:t xml:space="preserve">) </w:t>
      </w:r>
      <w:r w:rsidRPr="002F2BC5">
        <w:rPr>
          <w:rFonts w:hint="eastAsia"/>
          <w:b/>
          <w:bCs/>
          <w:rtl/>
        </w:rPr>
        <w:t>היה</w:t>
      </w:r>
      <w:r w:rsidRPr="002F2BC5">
        <w:rPr>
          <w:b/>
          <w:bCs/>
          <w:rtl/>
        </w:rPr>
        <w:t xml:space="preserve"> </w:t>
      </w:r>
      <w:r w:rsidRPr="002F2BC5">
        <w:rPr>
          <w:rFonts w:hint="eastAsia"/>
          <w:b/>
          <w:bCs/>
          <w:rtl/>
        </w:rPr>
        <w:t>גבוה</w:t>
      </w:r>
      <w:r w:rsidRPr="002F2BC5">
        <w:rPr>
          <w:b/>
          <w:bCs/>
          <w:rtl/>
        </w:rPr>
        <w:t xml:space="preserve"> </w:t>
      </w:r>
      <w:r w:rsidRPr="002F2BC5">
        <w:rPr>
          <w:rFonts w:hint="eastAsia"/>
          <w:b/>
          <w:bCs/>
          <w:rtl/>
        </w:rPr>
        <w:t>מהחציון</w:t>
      </w:r>
      <w:r w:rsidRPr="002F2BC5">
        <w:rPr>
          <w:b/>
          <w:bCs/>
          <w:rtl/>
        </w:rPr>
        <w:t xml:space="preserve"> </w:t>
      </w:r>
      <w:r w:rsidRPr="002F2BC5">
        <w:rPr>
          <w:rFonts w:hint="eastAsia"/>
          <w:b/>
          <w:bCs/>
          <w:rtl/>
        </w:rPr>
        <w:t>הכללי</w:t>
      </w:r>
      <w:r w:rsidRPr="002F2BC5">
        <w:rPr>
          <w:b/>
          <w:bCs/>
          <w:rtl/>
        </w:rPr>
        <w:t xml:space="preserve"> </w:t>
      </w:r>
      <w:r w:rsidRPr="002F2BC5">
        <w:rPr>
          <w:rFonts w:hint="eastAsia"/>
          <w:b/>
          <w:bCs/>
          <w:rtl/>
        </w:rPr>
        <w:t>ארצי</w:t>
      </w:r>
      <w:r w:rsidRPr="002F2BC5">
        <w:rPr>
          <w:b/>
          <w:bCs/>
          <w:rtl/>
        </w:rPr>
        <w:t xml:space="preserve"> (1.5 </w:t>
      </w:r>
      <w:r w:rsidRPr="002F2BC5">
        <w:rPr>
          <w:rFonts w:hint="eastAsia"/>
          <w:b/>
          <w:bCs/>
          <w:rtl/>
        </w:rPr>
        <w:t>תיקי</w:t>
      </w:r>
      <w:r w:rsidRPr="002F2BC5">
        <w:rPr>
          <w:b/>
          <w:bCs/>
          <w:rtl/>
        </w:rPr>
        <w:t xml:space="preserve"> </w:t>
      </w:r>
      <w:r w:rsidRPr="002F2BC5">
        <w:rPr>
          <w:rFonts w:hint="eastAsia"/>
          <w:b/>
          <w:bCs/>
          <w:rtl/>
        </w:rPr>
        <w:t>חקירה</w:t>
      </w:r>
      <w:r w:rsidRPr="002F2BC5">
        <w:rPr>
          <w:b/>
          <w:bCs/>
          <w:rtl/>
        </w:rPr>
        <w:t xml:space="preserve"> </w:t>
      </w:r>
      <w:r w:rsidRPr="002F2BC5">
        <w:rPr>
          <w:rFonts w:hint="eastAsia"/>
          <w:b/>
          <w:bCs/>
          <w:rtl/>
        </w:rPr>
        <w:t>ל</w:t>
      </w:r>
      <w:r w:rsidRPr="002F2BC5">
        <w:rPr>
          <w:b/>
          <w:bCs/>
          <w:rtl/>
        </w:rPr>
        <w:t xml:space="preserve">-1,000 </w:t>
      </w:r>
      <w:r w:rsidRPr="002F2BC5">
        <w:rPr>
          <w:rFonts w:hint="eastAsia"/>
          <w:b/>
          <w:bCs/>
          <w:rtl/>
        </w:rPr>
        <w:t>תושבים</w:t>
      </w:r>
      <w:r w:rsidRPr="002F2BC5">
        <w:rPr>
          <w:b/>
          <w:bCs/>
          <w:rtl/>
        </w:rPr>
        <w:t>).</w:t>
      </w:r>
    </w:p>
    <w:p w14:paraId="1CA37B29" w14:textId="77777777" w:rsidR="00817399" w:rsidRPr="002F2BC5" w:rsidRDefault="00817399" w:rsidP="00817399">
      <w:pPr>
        <w:spacing w:line="269" w:lineRule="auto"/>
        <w:rPr>
          <w:rtl/>
        </w:rPr>
      </w:pPr>
    </w:p>
    <w:p w14:paraId="46B898FA" w14:textId="77777777" w:rsidR="00817399" w:rsidRPr="002F2BC5" w:rsidRDefault="00817399" w:rsidP="00817399">
      <w:pPr>
        <w:spacing w:line="269" w:lineRule="auto"/>
        <w:rPr>
          <w:rtl/>
        </w:rPr>
      </w:pPr>
      <w:r w:rsidRPr="002F2BC5">
        <w:rPr>
          <w:rFonts w:hint="cs"/>
          <w:rtl/>
        </w:rPr>
        <w:t>יצוין כי נתונים על מספר ההפניות החדשות שהתקבלו במרכזים לטיפול ומניעת אלימות במשפחה מתחנות המשטרה לא היו זמינים באופן מלא במועד סיום ביקורת המעקב, בדצמבר 2024. נתונים אלו נאספים באופן ידני, וביקורת המעקב העלתה כי לא היו מלאים דיים ומהימנים</w:t>
      </w:r>
      <w:r w:rsidRPr="002F2BC5">
        <w:rPr>
          <w:rStyle w:val="af9"/>
          <w:rtl/>
        </w:rPr>
        <w:footnoteReference w:id="349"/>
      </w:r>
      <w:r w:rsidRPr="002F2BC5">
        <w:rPr>
          <w:rFonts w:hint="cs"/>
          <w:rtl/>
        </w:rPr>
        <w:t xml:space="preserve">. היעדרם של נתונים זמינים עלול להקשות על ניהול בקרה שוטפת ושיטתית בנוגע ליעילותה ומועילותה של תוכנית עו"ס משטרה בחיזוק ממשקי העבודה </w:t>
      </w:r>
      <w:r w:rsidRPr="002F2BC5">
        <w:rPr>
          <w:rFonts w:hint="eastAsia"/>
          <w:rtl/>
        </w:rPr>
        <w:t>והרצף</w:t>
      </w:r>
      <w:r w:rsidRPr="002F2BC5">
        <w:rPr>
          <w:rtl/>
        </w:rPr>
        <w:t xml:space="preserve"> </w:t>
      </w:r>
      <w:r w:rsidRPr="002F2BC5">
        <w:rPr>
          <w:rFonts w:hint="eastAsia"/>
          <w:rtl/>
        </w:rPr>
        <w:t>הטיפולי</w:t>
      </w:r>
      <w:r w:rsidRPr="002F2BC5">
        <w:rPr>
          <w:rtl/>
        </w:rPr>
        <w:t xml:space="preserve"> </w:t>
      </w:r>
      <w:r w:rsidRPr="002F2BC5">
        <w:rPr>
          <w:rFonts w:hint="eastAsia"/>
          <w:rtl/>
        </w:rPr>
        <w:t>בין</w:t>
      </w:r>
      <w:r w:rsidRPr="002F2BC5">
        <w:rPr>
          <w:rtl/>
        </w:rPr>
        <w:t xml:space="preserve"> </w:t>
      </w:r>
      <w:r w:rsidRPr="002F2BC5">
        <w:rPr>
          <w:rFonts w:hint="eastAsia"/>
          <w:rtl/>
        </w:rPr>
        <w:t>תחנות</w:t>
      </w:r>
      <w:r w:rsidRPr="002F2BC5">
        <w:rPr>
          <w:rtl/>
        </w:rPr>
        <w:t xml:space="preserve"> </w:t>
      </w:r>
      <w:r w:rsidRPr="002F2BC5">
        <w:rPr>
          <w:rFonts w:hint="eastAsia"/>
          <w:rtl/>
        </w:rPr>
        <w:t>המשטרה</w:t>
      </w:r>
      <w:r w:rsidRPr="002F2BC5">
        <w:rPr>
          <w:rtl/>
        </w:rPr>
        <w:t xml:space="preserve"> </w:t>
      </w:r>
      <w:r w:rsidRPr="002F2BC5">
        <w:rPr>
          <w:rFonts w:hint="cs"/>
          <w:rtl/>
        </w:rPr>
        <w:t>ל</w:t>
      </w:r>
      <w:r w:rsidRPr="002F2BC5">
        <w:rPr>
          <w:rFonts w:hint="eastAsia"/>
          <w:rtl/>
        </w:rPr>
        <w:t>בין</w:t>
      </w:r>
      <w:r w:rsidRPr="002F2BC5">
        <w:rPr>
          <w:rtl/>
        </w:rPr>
        <w:t xml:space="preserve"> </w:t>
      </w:r>
      <w:r w:rsidRPr="002F2BC5">
        <w:rPr>
          <w:rFonts w:hint="eastAsia"/>
          <w:rtl/>
        </w:rPr>
        <w:t>שירותי</w:t>
      </w:r>
      <w:r w:rsidRPr="002F2BC5">
        <w:rPr>
          <w:rtl/>
        </w:rPr>
        <w:t xml:space="preserve"> </w:t>
      </w:r>
      <w:r w:rsidRPr="002F2BC5">
        <w:rPr>
          <w:rFonts w:hint="eastAsia"/>
          <w:rtl/>
        </w:rPr>
        <w:t>הטיפול</w:t>
      </w:r>
      <w:r w:rsidRPr="002F2BC5">
        <w:rPr>
          <w:rtl/>
        </w:rPr>
        <w:t xml:space="preserve"> </w:t>
      </w:r>
      <w:r w:rsidRPr="002F2BC5">
        <w:rPr>
          <w:rFonts w:hint="eastAsia"/>
          <w:rtl/>
        </w:rPr>
        <w:t>והמניעה</w:t>
      </w:r>
      <w:r w:rsidRPr="002F2BC5">
        <w:rPr>
          <w:rtl/>
        </w:rPr>
        <w:t xml:space="preserve"> </w:t>
      </w:r>
      <w:r w:rsidRPr="002F2BC5">
        <w:rPr>
          <w:rFonts w:hint="eastAsia"/>
          <w:rtl/>
        </w:rPr>
        <w:t>בתחום</w:t>
      </w:r>
      <w:r w:rsidRPr="002F2BC5">
        <w:rPr>
          <w:rtl/>
        </w:rPr>
        <w:t xml:space="preserve"> </w:t>
      </w:r>
      <w:r w:rsidRPr="002F2BC5">
        <w:rPr>
          <w:rFonts w:hint="eastAsia"/>
          <w:rtl/>
        </w:rPr>
        <w:t>האלימות</w:t>
      </w:r>
      <w:r w:rsidRPr="002F2BC5">
        <w:rPr>
          <w:rtl/>
        </w:rPr>
        <w:t xml:space="preserve"> </w:t>
      </w:r>
      <w:r w:rsidRPr="002F2BC5">
        <w:rPr>
          <w:rFonts w:hint="eastAsia"/>
          <w:rtl/>
        </w:rPr>
        <w:t>במשפחה</w:t>
      </w:r>
      <w:r w:rsidRPr="002F2BC5">
        <w:rPr>
          <w:rtl/>
        </w:rPr>
        <w:t xml:space="preserve"> </w:t>
      </w:r>
      <w:r w:rsidRPr="002F2BC5">
        <w:rPr>
          <w:rFonts w:hint="eastAsia"/>
          <w:rtl/>
        </w:rPr>
        <w:t>הניתנים</w:t>
      </w:r>
      <w:r w:rsidRPr="002F2BC5">
        <w:rPr>
          <w:rtl/>
        </w:rPr>
        <w:t xml:space="preserve"> </w:t>
      </w:r>
      <w:r w:rsidRPr="002F2BC5">
        <w:rPr>
          <w:rFonts w:hint="eastAsia"/>
          <w:rtl/>
        </w:rPr>
        <w:t>בקהילה</w:t>
      </w:r>
      <w:r w:rsidRPr="002F2BC5">
        <w:rPr>
          <w:rFonts w:hint="cs"/>
          <w:rtl/>
        </w:rPr>
        <w:t xml:space="preserve"> וברתימתם לטיפול של נפגעי אלימות במשפחה ושל הפוגעים. כן הוא עלול להקשות על ניהול בקרה בנוגע לתפקודם של העובדים הסוציאליים המועסקים במסגרת התוכנית. לניהול הבקרה על תפקודם של העובדים הסוציאליים חשיבות רבה במיוחד, שכן הפיקוח על המרכזים ככלל אינו מתייחס באופן נפרד ופרטני לעבודתם של העובדים הסוציאליים המועסקים במסגרת התוכנית</w:t>
      </w:r>
      <w:r w:rsidRPr="002F2BC5">
        <w:rPr>
          <w:rStyle w:val="af9"/>
          <w:rtl/>
        </w:rPr>
        <w:footnoteReference w:id="350"/>
      </w:r>
      <w:r w:rsidRPr="002F2BC5">
        <w:rPr>
          <w:rFonts w:hint="cs"/>
          <w:rtl/>
        </w:rPr>
        <w:t>.</w:t>
      </w:r>
    </w:p>
    <w:p w14:paraId="32D19ACB" w14:textId="77777777" w:rsidR="00817399" w:rsidRPr="002F2BC5" w:rsidRDefault="00817399" w:rsidP="00817399">
      <w:pPr>
        <w:spacing w:line="269" w:lineRule="auto"/>
        <w:rPr>
          <w:rtl/>
        </w:rPr>
      </w:pPr>
    </w:p>
    <w:p w14:paraId="2E2C2DC5" w14:textId="77777777" w:rsidR="00817399" w:rsidRPr="002F2BC5" w:rsidRDefault="00817399" w:rsidP="00817399">
      <w:pPr>
        <w:spacing w:line="269" w:lineRule="auto"/>
        <w:rPr>
          <w:rtl/>
        </w:rPr>
      </w:pPr>
      <w:r w:rsidRPr="002F2BC5">
        <w:rPr>
          <w:rFonts w:hint="cs"/>
          <w:rtl/>
        </w:rPr>
        <w:t xml:space="preserve">נוסף על המלצתה של ועדת המנכ"לים משנת 2017 על הרחבת תוכנית עו"ס משטרה המליצה ועדת המנכ"לים גם על הצבת מוקדן משטרה ייעודי במוקד הסיוע הארצי של משרד הרווחה כדי להבטיח מענה ראשוני מקיף לפונים למוקד בתחום האלימות במשפחה. </w:t>
      </w:r>
    </w:p>
    <w:p w14:paraId="6FE4B81A" w14:textId="77777777" w:rsidR="00817399" w:rsidRPr="002F2BC5" w:rsidRDefault="00817399" w:rsidP="00817399">
      <w:pPr>
        <w:spacing w:line="269" w:lineRule="auto"/>
        <w:rPr>
          <w:rtl/>
        </w:rPr>
      </w:pPr>
    </w:p>
    <w:p w14:paraId="3477BFF9" w14:textId="77777777" w:rsidR="00817399" w:rsidRPr="002F2BC5" w:rsidRDefault="00817399" w:rsidP="00817399">
      <w:pPr>
        <w:spacing w:line="269" w:lineRule="auto"/>
        <w:rPr>
          <w:b/>
          <w:bCs/>
          <w:rtl/>
        </w:rPr>
      </w:pPr>
      <w:r w:rsidRPr="002F2BC5">
        <w:rPr>
          <w:rFonts w:hint="eastAsia"/>
          <w:b/>
          <w:bCs/>
          <w:rtl/>
        </w:rPr>
        <w:lastRenderedPageBreak/>
        <w:t>הביקורת</w:t>
      </w:r>
      <w:r w:rsidRPr="002F2BC5">
        <w:rPr>
          <w:b/>
          <w:bCs/>
          <w:rtl/>
        </w:rPr>
        <w:t xml:space="preserve"> </w:t>
      </w:r>
      <w:r w:rsidRPr="002F2BC5">
        <w:rPr>
          <w:rFonts w:hint="eastAsia"/>
          <w:b/>
          <w:bCs/>
          <w:rtl/>
        </w:rPr>
        <w:t>הנוכחית</w:t>
      </w:r>
      <w:r w:rsidRPr="002F2BC5">
        <w:rPr>
          <w:b/>
          <w:bCs/>
          <w:rtl/>
        </w:rPr>
        <w:t xml:space="preserve"> העלתה כי בהמשך הוחלט </w:t>
      </w:r>
      <w:r w:rsidRPr="002F2BC5">
        <w:rPr>
          <w:rFonts w:hint="eastAsia"/>
          <w:b/>
          <w:bCs/>
          <w:rtl/>
        </w:rPr>
        <w:t>לוותר</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הצבת</w:t>
      </w:r>
      <w:r w:rsidRPr="002F2BC5">
        <w:rPr>
          <w:b/>
          <w:bCs/>
          <w:rtl/>
        </w:rPr>
        <w:t xml:space="preserve"> מוקדן משטרה ייעודי במוקד הסיוע הארצי </w:t>
      </w:r>
      <w:r w:rsidRPr="002F2BC5">
        <w:rPr>
          <w:rFonts w:hint="eastAsia"/>
          <w:b/>
          <w:bCs/>
          <w:rtl/>
        </w:rPr>
        <w:t>ולהעדיף</w:t>
      </w:r>
      <w:r w:rsidRPr="002F2BC5">
        <w:rPr>
          <w:b/>
          <w:bCs/>
          <w:rtl/>
        </w:rPr>
        <w:t xml:space="preserve"> </w:t>
      </w:r>
      <w:r w:rsidRPr="002F2BC5">
        <w:rPr>
          <w:rFonts w:hint="eastAsia"/>
          <w:b/>
          <w:bCs/>
          <w:rtl/>
        </w:rPr>
        <w:t>פיתוח</w:t>
      </w:r>
      <w:r w:rsidRPr="002F2BC5">
        <w:rPr>
          <w:b/>
          <w:bCs/>
          <w:rtl/>
        </w:rPr>
        <w:t xml:space="preserve"> ממשק ממוחשב בין מוקד הסיוע הארצי של משרד הרווחה </w:t>
      </w:r>
      <w:r w:rsidRPr="002F2BC5">
        <w:rPr>
          <w:rFonts w:hint="eastAsia"/>
          <w:b/>
          <w:bCs/>
          <w:rtl/>
        </w:rPr>
        <w:t>לבין</w:t>
      </w:r>
      <w:r w:rsidRPr="002F2BC5">
        <w:rPr>
          <w:b/>
          <w:bCs/>
          <w:rtl/>
        </w:rPr>
        <w:t xml:space="preserve"> מוקד 100 של משטרת ישראל. עם זאת, גם המלצה זו במתכונתה המעודכנת לא יושמה.</w:t>
      </w:r>
    </w:p>
    <w:p w14:paraId="710C771D" w14:textId="77777777" w:rsidR="00817399" w:rsidRPr="002F2BC5" w:rsidRDefault="00817399" w:rsidP="00817399">
      <w:pPr>
        <w:spacing w:line="269" w:lineRule="auto"/>
        <w:rPr>
          <w:rtl/>
        </w:rPr>
      </w:pPr>
    </w:p>
    <w:p w14:paraId="06429491" w14:textId="77777777" w:rsidR="00817399" w:rsidRPr="002F2BC5" w:rsidRDefault="00817399" w:rsidP="00817399">
      <w:pPr>
        <w:pStyle w:val="afffffff9"/>
        <w:spacing w:line="269" w:lineRule="auto"/>
        <w:rPr>
          <w:rtl/>
        </w:rPr>
      </w:pPr>
      <w:bookmarkStart w:id="1739" w:name="_Toc198312311"/>
      <w:bookmarkStart w:id="1740" w:name="_Toc198312792"/>
      <w:bookmarkStart w:id="1741" w:name="_Toc200636957"/>
      <w:bookmarkStart w:id="1742" w:name="_Toc200439955"/>
      <w:bookmarkStart w:id="1743" w:name="_Toc201241060"/>
      <w:bookmarkStart w:id="1744" w:name="_Toc191987110"/>
      <w:bookmarkStart w:id="1745" w:name="_Toc192093160"/>
      <w:bookmarkStart w:id="1746" w:name="_Toc192612868"/>
      <w:r w:rsidRPr="002F2BC5">
        <w:rPr>
          <w:rFonts w:hint="eastAsia"/>
          <w:rtl/>
        </w:rPr>
        <w:t>הביקורת</w:t>
      </w:r>
      <w:r w:rsidRPr="002F2BC5">
        <w:rPr>
          <w:rtl/>
        </w:rPr>
        <w:t xml:space="preserve"> הקודמת העלתה כי </w:t>
      </w:r>
      <w:r w:rsidRPr="002F2BC5">
        <w:rPr>
          <w:rFonts w:hint="eastAsia"/>
          <w:rtl/>
        </w:rPr>
        <w:t>על</w:t>
      </w:r>
      <w:r w:rsidRPr="002F2BC5">
        <w:rPr>
          <w:rtl/>
        </w:rPr>
        <w:t xml:space="preserve"> </w:t>
      </w:r>
      <w:r w:rsidRPr="002F2BC5">
        <w:rPr>
          <w:rFonts w:hint="eastAsia"/>
          <w:rtl/>
        </w:rPr>
        <w:t>אף</w:t>
      </w:r>
      <w:r w:rsidRPr="002F2BC5">
        <w:rPr>
          <w:rtl/>
        </w:rPr>
        <w:t xml:space="preserve"> </w:t>
      </w:r>
      <w:r w:rsidRPr="002F2BC5">
        <w:rPr>
          <w:rFonts w:hint="eastAsia"/>
          <w:rtl/>
        </w:rPr>
        <w:t>המלצתה</w:t>
      </w:r>
      <w:r w:rsidRPr="002F2BC5">
        <w:rPr>
          <w:rtl/>
        </w:rPr>
        <w:t xml:space="preserve"> </w:t>
      </w:r>
      <w:r w:rsidRPr="002F2BC5">
        <w:rPr>
          <w:rFonts w:hint="eastAsia"/>
          <w:rtl/>
        </w:rPr>
        <w:t>של</w:t>
      </w:r>
      <w:r w:rsidRPr="002F2BC5">
        <w:rPr>
          <w:rtl/>
        </w:rPr>
        <w:t xml:space="preserve"> </w:t>
      </w:r>
      <w:r w:rsidRPr="002F2BC5">
        <w:rPr>
          <w:rFonts w:hint="eastAsia"/>
          <w:rtl/>
        </w:rPr>
        <w:t>ועדת</w:t>
      </w:r>
      <w:r w:rsidRPr="002F2BC5">
        <w:rPr>
          <w:rtl/>
        </w:rPr>
        <w:t xml:space="preserve"> </w:t>
      </w:r>
      <w:r w:rsidRPr="002F2BC5">
        <w:rPr>
          <w:rFonts w:hint="eastAsia"/>
          <w:rtl/>
        </w:rPr>
        <w:t>המנכ</w:t>
      </w:r>
      <w:r w:rsidRPr="002F2BC5">
        <w:rPr>
          <w:rtl/>
        </w:rPr>
        <w:t xml:space="preserve">"לים, </w:t>
      </w:r>
      <w:r w:rsidRPr="002F2BC5">
        <w:rPr>
          <w:rFonts w:hint="eastAsia"/>
          <w:rtl/>
        </w:rPr>
        <w:t>תוכנית</w:t>
      </w:r>
      <w:r w:rsidRPr="002F2BC5">
        <w:rPr>
          <w:rtl/>
        </w:rPr>
        <w:t xml:space="preserve"> </w:t>
      </w:r>
      <w:r w:rsidRPr="002F2BC5">
        <w:rPr>
          <w:rFonts w:hint="eastAsia"/>
          <w:rtl/>
        </w:rPr>
        <w:t>עו</w:t>
      </w:r>
      <w:r w:rsidRPr="002F2BC5">
        <w:rPr>
          <w:rtl/>
        </w:rPr>
        <w:t xml:space="preserve">"ס </w:t>
      </w:r>
      <w:r w:rsidRPr="002F2BC5">
        <w:rPr>
          <w:rFonts w:hint="eastAsia"/>
          <w:rtl/>
        </w:rPr>
        <w:t>משטרה</w:t>
      </w:r>
      <w:r w:rsidRPr="002F2BC5">
        <w:rPr>
          <w:rtl/>
        </w:rPr>
        <w:t xml:space="preserve"> </w:t>
      </w:r>
      <w:r w:rsidRPr="002F2BC5">
        <w:rPr>
          <w:rFonts w:hint="eastAsia"/>
          <w:rtl/>
        </w:rPr>
        <w:t>הופעלה</w:t>
      </w:r>
      <w:r w:rsidRPr="002F2BC5">
        <w:rPr>
          <w:rtl/>
        </w:rPr>
        <w:t xml:space="preserve"> </w:t>
      </w:r>
      <w:r w:rsidRPr="002F2BC5">
        <w:rPr>
          <w:rFonts w:hint="eastAsia"/>
          <w:rtl/>
        </w:rPr>
        <w:t>בשנת</w:t>
      </w:r>
      <w:r w:rsidRPr="002F2BC5">
        <w:rPr>
          <w:rtl/>
        </w:rPr>
        <w:t xml:space="preserve"> 2019 </w:t>
      </w:r>
      <w:r w:rsidRPr="002F2BC5">
        <w:rPr>
          <w:rFonts w:hint="eastAsia"/>
          <w:rtl/>
        </w:rPr>
        <w:t>ב</w:t>
      </w:r>
      <w:r w:rsidRPr="002F2BC5">
        <w:rPr>
          <w:rtl/>
        </w:rPr>
        <w:t xml:space="preserve">-46 </w:t>
      </w:r>
      <w:r w:rsidRPr="002F2BC5">
        <w:rPr>
          <w:rFonts w:hint="eastAsia"/>
          <w:rtl/>
        </w:rPr>
        <w:t>רשויות</w:t>
      </w:r>
      <w:r w:rsidRPr="002F2BC5">
        <w:rPr>
          <w:rtl/>
        </w:rPr>
        <w:t xml:space="preserve"> </w:t>
      </w:r>
      <w:r w:rsidRPr="002F2BC5">
        <w:rPr>
          <w:rFonts w:hint="eastAsia"/>
          <w:rtl/>
        </w:rPr>
        <w:t>מקומיות</w:t>
      </w:r>
      <w:r w:rsidRPr="002F2BC5">
        <w:rPr>
          <w:rtl/>
        </w:rPr>
        <w:t xml:space="preserve"> </w:t>
      </w:r>
      <w:r w:rsidRPr="002F2BC5">
        <w:rPr>
          <w:rFonts w:hint="eastAsia"/>
          <w:rtl/>
        </w:rPr>
        <w:t>בלבד</w:t>
      </w:r>
      <w:r w:rsidRPr="002F2BC5">
        <w:rPr>
          <w:rtl/>
        </w:rPr>
        <w:t xml:space="preserve">. בביקורת המעקב </w:t>
      </w:r>
      <w:r w:rsidRPr="002F2BC5">
        <w:rPr>
          <w:rFonts w:hint="eastAsia"/>
          <w:rtl/>
        </w:rPr>
        <w:t>הועלה</w:t>
      </w:r>
      <w:r w:rsidRPr="002F2BC5">
        <w:rPr>
          <w:rtl/>
        </w:rPr>
        <w:t xml:space="preserve"> כי הליקוי תוקן </w:t>
      </w:r>
      <w:r w:rsidRPr="002F2BC5">
        <w:rPr>
          <w:rFonts w:hint="eastAsia"/>
          <w:rtl/>
        </w:rPr>
        <w:t>במידה</w:t>
      </w:r>
      <w:r w:rsidRPr="002F2BC5">
        <w:rPr>
          <w:rtl/>
        </w:rPr>
        <w:t xml:space="preserve"> </w:t>
      </w:r>
      <w:r w:rsidRPr="002F2BC5">
        <w:rPr>
          <w:rFonts w:hint="eastAsia"/>
          <w:rtl/>
        </w:rPr>
        <w:t>חלקית</w:t>
      </w:r>
      <w:r w:rsidRPr="002F2BC5">
        <w:rPr>
          <w:rtl/>
        </w:rPr>
        <w:t xml:space="preserve">. אומנם </w:t>
      </w:r>
      <w:r w:rsidRPr="002F2BC5">
        <w:rPr>
          <w:rFonts w:hint="eastAsia"/>
          <w:rtl/>
        </w:rPr>
        <w:t>בין</w:t>
      </w:r>
      <w:r w:rsidRPr="002F2BC5">
        <w:rPr>
          <w:rtl/>
        </w:rPr>
        <w:t xml:space="preserve"> </w:t>
      </w:r>
      <w:r w:rsidRPr="002F2BC5">
        <w:rPr>
          <w:rFonts w:hint="eastAsia"/>
          <w:rtl/>
        </w:rPr>
        <w:t>השנים</w:t>
      </w:r>
      <w:r w:rsidRPr="002F2BC5">
        <w:rPr>
          <w:rtl/>
        </w:rPr>
        <w:t xml:space="preserve"> 2020 </w:t>
      </w:r>
      <w:r w:rsidRPr="002F2BC5">
        <w:rPr>
          <w:rFonts w:hint="eastAsia"/>
          <w:rtl/>
        </w:rPr>
        <w:t>ל</w:t>
      </w:r>
      <w:r w:rsidRPr="002F2BC5">
        <w:rPr>
          <w:rtl/>
        </w:rPr>
        <w:t xml:space="preserve">-2023 </w:t>
      </w:r>
      <w:r w:rsidRPr="002F2BC5">
        <w:rPr>
          <w:rFonts w:hint="eastAsia"/>
          <w:rtl/>
        </w:rPr>
        <w:t>הורחבה</w:t>
      </w:r>
      <w:r w:rsidRPr="002F2BC5">
        <w:rPr>
          <w:rtl/>
        </w:rPr>
        <w:t xml:space="preserve"> </w:t>
      </w:r>
      <w:r w:rsidRPr="002F2BC5">
        <w:rPr>
          <w:rFonts w:hint="eastAsia"/>
          <w:rtl/>
        </w:rPr>
        <w:t>תוכנית</w:t>
      </w:r>
      <w:r w:rsidRPr="002F2BC5">
        <w:rPr>
          <w:rtl/>
        </w:rPr>
        <w:t xml:space="preserve"> </w:t>
      </w:r>
      <w:r w:rsidRPr="002F2BC5">
        <w:rPr>
          <w:rFonts w:hint="eastAsia"/>
          <w:rtl/>
        </w:rPr>
        <w:t>עו</w:t>
      </w:r>
      <w:r w:rsidRPr="002F2BC5">
        <w:rPr>
          <w:rtl/>
        </w:rPr>
        <w:t xml:space="preserve">"ס </w:t>
      </w:r>
      <w:r w:rsidRPr="002F2BC5">
        <w:rPr>
          <w:rFonts w:hint="eastAsia"/>
          <w:rtl/>
        </w:rPr>
        <w:t>משטרה</w:t>
      </w:r>
      <w:r w:rsidRPr="002F2BC5">
        <w:rPr>
          <w:rtl/>
        </w:rPr>
        <w:t xml:space="preserve"> </w:t>
      </w:r>
      <w:r w:rsidRPr="002F2BC5">
        <w:rPr>
          <w:rFonts w:hint="eastAsia"/>
          <w:rtl/>
        </w:rPr>
        <w:t>והתווספו</w:t>
      </w:r>
      <w:r w:rsidRPr="002F2BC5">
        <w:rPr>
          <w:rtl/>
        </w:rPr>
        <w:t xml:space="preserve"> </w:t>
      </w:r>
      <w:r w:rsidRPr="002F2BC5">
        <w:rPr>
          <w:rFonts w:hint="eastAsia"/>
          <w:rtl/>
        </w:rPr>
        <w:t>לה</w:t>
      </w:r>
      <w:r w:rsidRPr="002F2BC5">
        <w:rPr>
          <w:rtl/>
        </w:rPr>
        <w:t xml:space="preserve"> </w:t>
      </w:r>
      <w:r w:rsidRPr="002F2BC5">
        <w:rPr>
          <w:rFonts w:hint="eastAsia"/>
          <w:rtl/>
        </w:rPr>
        <w:t>עשרות</w:t>
      </w:r>
      <w:r w:rsidRPr="002F2BC5">
        <w:rPr>
          <w:rtl/>
        </w:rPr>
        <w:t xml:space="preserve"> </w:t>
      </w:r>
      <w:r w:rsidRPr="002F2BC5">
        <w:rPr>
          <w:rFonts w:hint="eastAsia"/>
          <w:rtl/>
        </w:rPr>
        <w:t>רשויות</w:t>
      </w:r>
      <w:r w:rsidRPr="002F2BC5">
        <w:rPr>
          <w:rtl/>
        </w:rPr>
        <w:t xml:space="preserve"> </w:t>
      </w:r>
      <w:r w:rsidRPr="002F2BC5">
        <w:rPr>
          <w:rFonts w:hint="eastAsia"/>
          <w:rtl/>
        </w:rPr>
        <w:t>מקומיות</w:t>
      </w:r>
      <w:r w:rsidRPr="002F2BC5">
        <w:rPr>
          <w:rtl/>
        </w:rPr>
        <w:t xml:space="preserve">. עם זאת, </w:t>
      </w:r>
      <w:r w:rsidRPr="002F2BC5">
        <w:rPr>
          <w:rFonts w:hint="cs"/>
          <w:rtl/>
        </w:rPr>
        <w:t xml:space="preserve">מתוך כלל התקנים שהוקצו לטובת הפעלת התוכנית במימון משרד הרווחה, </w:t>
      </w:r>
      <w:r w:rsidRPr="002F2BC5">
        <w:rPr>
          <w:rFonts w:hint="eastAsia"/>
          <w:rtl/>
        </w:rPr>
        <w:t>כ</w:t>
      </w:r>
      <w:r w:rsidRPr="002F2BC5">
        <w:rPr>
          <w:rtl/>
        </w:rPr>
        <w:t>-2</w:t>
      </w:r>
      <w:r w:rsidRPr="002F2BC5">
        <w:rPr>
          <w:rFonts w:hint="cs"/>
          <w:rtl/>
        </w:rPr>
        <w:t>4</w:t>
      </w:r>
      <w:r w:rsidRPr="002F2BC5">
        <w:rPr>
          <w:rtl/>
        </w:rPr>
        <w:t>%</w:t>
      </w:r>
      <w:r w:rsidRPr="002F2BC5">
        <w:rPr>
          <w:rFonts w:hint="cs"/>
          <w:rtl/>
        </w:rPr>
        <w:t xml:space="preserve"> מהם לא היו מאוישים במועד סיום הביקורת, בדצמבר 2024 (17.6 מתוך 73 תקנים), ומבין התקנים במימון הרשות לביטחון קהילתי, במועד סיום ביקורת המעקב לא אוישו כ-41% מהתקנים (11 מתוך 27), ושני תקנים היו בהליכי מכרז לקראת איושם</w:t>
      </w:r>
      <w:r w:rsidRPr="002F2BC5">
        <w:rPr>
          <w:rtl/>
        </w:rPr>
        <w:t xml:space="preserve">. </w:t>
      </w:r>
      <w:r w:rsidRPr="002F2BC5">
        <w:rPr>
          <w:rFonts w:hint="cs"/>
          <w:rtl/>
        </w:rPr>
        <w:t>יתרה מזו, הועלה כי על אף הצורך בהפעלת תוכנית עו"ס משטרה ברשויות מקומיות נוספות לנוכח היקף תיקי החקירה בגין עבירות אלימות במשפחה בתחנות המשטרה המשויכות לרשויות הללו, רשויות אלו אינן נכללות בתוכנית עו"ס משטרה, אף כי פועל בתחומן מרכז לטיפול ומניעת אלימות במשפחה.</w:t>
      </w:r>
      <w:bookmarkEnd w:id="1739"/>
      <w:bookmarkEnd w:id="1740"/>
      <w:bookmarkEnd w:id="1741"/>
      <w:bookmarkEnd w:id="1742"/>
      <w:bookmarkEnd w:id="1743"/>
      <w:r w:rsidRPr="002F2BC5">
        <w:rPr>
          <w:rtl/>
        </w:rPr>
        <w:t xml:space="preserve"> </w:t>
      </w:r>
      <w:bookmarkEnd w:id="1744"/>
      <w:bookmarkEnd w:id="1745"/>
      <w:bookmarkEnd w:id="1746"/>
    </w:p>
    <w:p w14:paraId="434A2A0F" w14:textId="77777777" w:rsidR="00817399" w:rsidRPr="002F2BC5" w:rsidRDefault="00817399" w:rsidP="00817399">
      <w:pPr>
        <w:spacing w:line="269" w:lineRule="auto"/>
        <w:rPr>
          <w:rtl/>
        </w:rPr>
      </w:pPr>
    </w:p>
    <w:p w14:paraId="0F3C61CF" w14:textId="77777777" w:rsidR="00817399" w:rsidRPr="002F2BC5" w:rsidRDefault="00817399" w:rsidP="00817399">
      <w:pPr>
        <w:spacing w:line="269" w:lineRule="auto"/>
        <w:rPr>
          <w:rtl/>
        </w:rPr>
      </w:pPr>
      <w:r w:rsidRPr="002F2BC5">
        <w:rPr>
          <w:rFonts w:hint="cs"/>
          <w:rtl/>
        </w:rPr>
        <w:t xml:space="preserve">המועצה האזורית </w:t>
      </w:r>
      <w:r w:rsidRPr="002F2BC5">
        <w:rPr>
          <w:rFonts w:hint="cs"/>
          <w:b/>
          <w:bCs/>
          <w:rtl/>
        </w:rPr>
        <w:t>חבל מודיעין</w:t>
      </w:r>
      <w:r w:rsidRPr="002F2BC5">
        <w:rPr>
          <w:rFonts w:hint="cs"/>
          <w:rtl/>
        </w:rPr>
        <w:t xml:space="preserve"> מסרה בתשובתה מאפריל 2025 כי הוצע לה בעבר להיכלל בתוכנית עו"ס משטרה, אך לאחר בחינה מעמיקה בשיתוף </w:t>
      </w:r>
      <w:r w:rsidRPr="002F2BC5">
        <w:rPr>
          <w:rFonts w:hint="eastAsia"/>
          <w:rtl/>
        </w:rPr>
        <w:t>עם</w:t>
      </w:r>
      <w:r w:rsidRPr="002F2BC5">
        <w:rPr>
          <w:rFonts w:hint="cs"/>
          <w:rtl/>
        </w:rPr>
        <w:t xml:space="preserve"> משרד הרווחה הוחלט לבסוף ש</w:t>
      </w:r>
      <w:r w:rsidRPr="002F2BC5">
        <w:rPr>
          <w:rFonts w:hint="eastAsia"/>
          <w:rtl/>
        </w:rPr>
        <w:t>היא</w:t>
      </w:r>
      <w:r w:rsidRPr="002F2BC5">
        <w:rPr>
          <w:rFonts w:hint="cs"/>
          <w:rtl/>
        </w:rPr>
        <w:t xml:space="preserve"> לא תיכלל בתוכנית. זאת לנוכח הפיזור הגיאוגרפי של יישובי המועצה ושיוכה לארבע תחנות משטרה שונות, נסיבות המקשות על תכלול ממשקי העבודה במסגרת התוכנית באמצעות בעל תפקיד אחד. עיריית </w:t>
      </w:r>
      <w:r w:rsidRPr="002F2BC5">
        <w:rPr>
          <w:rFonts w:hint="cs"/>
          <w:b/>
          <w:bCs/>
          <w:rtl/>
        </w:rPr>
        <w:t>אריאל</w:t>
      </w:r>
      <w:r w:rsidRPr="002F2BC5">
        <w:rPr>
          <w:rFonts w:hint="cs"/>
          <w:rtl/>
        </w:rPr>
        <w:t xml:space="preserve"> מסרה בתשובתה מאפריל 2025 כי קיים צורך בהכללתה בתוכנית עו"ס משטרה כדי לחזק את ממשקי העבודה הקיימים עם תחנת המשטרה ולתרום </w:t>
      </w:r>
      <w:r w:rsidRPr="002F2BC5">
        <w:rPr>
          <w:rFonts w:hint="eastAsia"/>
          <w:rtl/>
        </w:rPr>
        <w:t>לביטחון</w:t>
      </w:r>
      <w:r w:rsidRPr="002F2BC5">
        <w:rPr>
          <w:rFonts w:hint="cs"/>
          <w:rtl/>
        </w:rPr>
        <w:t xml:space="preserve"> התושבים ולרווחתם. העירי</w:t>
      </w:r>
      <w:r w:rsidRPr="002F2BC5">
        <w:rPr>
          <w:rFonts w:hint="eastAsia"/>
          <w:rtl/>
        </w:rPr>
        <w:t>ות</w:t>
      </w:r>
      <w:r w:rsidRPr="002F2BC5">
        <w:rPr>
          <w:rtl/>
        </w:rPr>
        <w:t xml:space="preserve"> </w:t>
      </w:r>
      <w:r w:rsidRPr="002F2BC5">
        <w:rPr>
          <w:rFonts w:hint="eastAsia"/>
          <w:b/>
          <w:bCs/>
          <w:rtl/>
        </w:rPr>
        <w:t>אור</w:t>
      </w:r>
      <w:r w:rsidRPr="002F2BC5">
        <w:rPr>
          <w:b/>
          <w:bCs/>
          <w:rtl/>
        </w:rPr>
        <w:t xml:space="preserve"> </w:t>
      </w:r>
      <w:r w:rsidRPr="002F2BC5">
        <w:rPr>
          <w:rFonts w:hint="eastAsia"/>
          <w:b/>
          <w:bCs/>
          <w:rtl/>
        </w:rPr>
        <w:t>עקיבא</w:t>
      </w:r>
      <w:r w:rsidRPr="002F2BC5">
        <w:rPr>
          <w:rtl/>
        </w:rPr>
        <w:t xml:space="preserve"> </w:t>
      </w:r>
      <w:r w:rsidRPr="002F2BC5">
        <w:rPr>
          <w:rFonts w:hint="eastAsia"/>
          <w:rtl/>
        </w:rPr>
        <w:t>ו</w:t>
      </w:r>
      <w:r w:rsidRPr="002F2BC5">
        <w:rPr>
          <w:rFonts w:hint="eastAsia"/>
          <w:b/>
          <w:bCs/>
          <w:rtl/>
        </w:rPr>
        <w:t>נשר</w:t>
      </w:r>
      <w:r w:rsidRPr="002F2BC5">
        <w:rPr>
          <w:rFonts w:hint="cs"/>
          <w:rtl/>
        </w:rPr>
        <w:t xml:space="preserve"> מסר</w:t>
      </w:r>
      <w:r w:rsidRPr="002F2BC5">
        <w:rPr>
          <w:rFonts w:hint="eastAsia"/>
          <w:rtl/>
        </w:rPr>
        <w:t>ו</w:t>
      </w:r>
      <w:r w:rsidRPr="002F2BC5">
        <w:rPr>
          <w:rtl/>
        </w:rPr>
        <w:t xml:space="preserve"> בתשוב</w:t>
      </w:r>
      <w:r w:rsidRPr="002F2BC5">
        <w:rPr>
          <w:rFonts w:hint="eastAsia"/>
          <w:rtl/>
        </w:rPr>
        <w:t>ו</w:t>
      </w:r>
      <w:r w:rsidRPr="002F2BC5">
        <w:rPr>
          <w:rFonts w:hint="cs"/>
          <w:rtl/>
        </w:rPr>
        <w:t>ת</w:t>
      </w:r>
      <w:r w:rsidRPr="002F2BC5">
        <w:rPr>
          <w:rFonts w:hint="eastAsia"/>
          <w:rtl/>
        </w:rPr>
        <w:t>י</w:t>
      </w:r>
      <w:r w:rsidRPr="002F2BC5">
        <w:rPr>
          <w:rFonts w:hint="cs"/>
          <w:rtl/>
        </w:rPr>
        <w:t>ה</w:t>
      </w:r>
      <w:r w:rsidRPr="002F2BC5">
        <w:rPr>
          <w:rFonts w:hint="eastAsia"/>
          <w:rtl/>
        </w:rPr>
        <w:t>ן</w:t>
      </w:r>
      <w:r w:rsidRPr="002F2BC5">
        <w:rPr>
          <w:rFonts w:hint="cs"/>
          <w:rtl/>
        </w:rPr>
        <w:t xml:space="preserve"> כי אומנם</w:t>
      </w:r>
      <w:r w:rsidRPr="002F2BC5">
        <w:rPr>
          <w:rtl/>
        </w:rPr>
        <w:t xml:space="preserve"> אינ</w:t>
      </w:r>
      <w:r w:rsidRPr="002F2BC5">
        <w:rPr>
          <w:rFonts w:hint="eastAsia"/>
          <w:rtl/>
        </w:rPr>
        <w:t>ן</w:t>
      </w:r>
      <w:r w:rsidRPr="002F2BC5">
        <w:rPr>
          <w:rFonts w:hint="cs"/>
          <w:rtl/>
        </w:rPr>
        <w:t xml:space="preserve"> נכלל</w:t>
      </w:r>
      <w:r w:rsidRPr="002F2BC5">
        <w:rPr>
          <w:rFonts w:hint="eastAsia"/>
          <w:rtl/>
        </w:rPr>
        <w:t>ו</w:t>
      </w:r>
      <w:r w:rsidRPr="002F2BC5">
        <w:rPr>
          <w:rFonts w:hint="cs"/>
          <w:rtl/>
        </w:rPr>
        <w:t>ת בתוכנית</w:t>
      </w:r>
      <w:r w:rsidRPr="002F2BC5">
        <w:rPr>
          <w:rtl/>
        </w:rPr>
        <w:t xml:space="preserve">, </w:t>
      </w:r>
      <w:r w:rsidRPr="002F2BC5">
        <w:rPr>
          <w:rFonts w:hint="eastAsia"/>
          <w:rtl/>
        </w:rPr>
        <w:t>אך</w:t>
      </w:r>
      <w:r w:rsidRPr="002F2BC5">
        <w:rPr>
          <w:rtl/>
        </w:rPr>
        <w:t xml:space="preserve"> </w:t>
      </w:r>
      <w:r w:rsidRPr="002F2BC5">
        <w:rPr>
          <w:rFonts w:hint="eastAsia"/>
          <w:rtl/>
        </w:rPr>
        <w:t>מתקיים</w:t>
      </w:r>
      <w:r w:rsidRPr="002F2BC5">
        <w:rPr>
          <w:rtl/>
        </w:rPr>
        <w:t xml:space="preserve"> שיתוף פעולה בין </w:t>
      </w:r>
      <w:r w:rsidRPr="002F2BC5">
        <w:rPr>
          <w:rFonts w:hint="eastAsia"/>
          <w:rtl/>
        </w:rPr>
        <w:t>המרכז</w:t>
      </w:r>
      <w:r w:rsidRPr="002F2BC5">
        <w:rPr>
          <w:rtl/>
        </w:rPr>
        <w:t xml:space="preserve"> </w:t>
      </w:r>
      <w:r w:rsidRPr="002F2BC5">
        <w:rPr>
          <w:rFonts w:hint="eastAsia"/>
          <w:rtl/>
        </w:rPr>
        <w:t>שבהפעלתן</w:t>
      </w:r>
      <w:r w:rsidRPr="002F2BC5">
        <w:rPr>
          <w:rtl/>
        </w:rPr>
        <w:t xml:space="preserve"> </w:t>
      </w:r>
      <w:r w:rsidRPr="002F2BC5">
        <w:rPr>
          <w:rFonts w:hint="eastAsia"/>
          <w:rtl/>
        </w:rPr>
        <w:t>ובין</w:t>
      </w:r>
      <w:r w:rsidRPr="002F2BC5">
        <w:rPr>
          <w:rFonts w:hint="cs"/>
          <w:rtl/>
        </w:rPr>
        <w:t xml:space="preserve"> עו"ס משטרה שמעסיקה רשות מקומית אחרת ומשויך לתחנת המשטרה </w:t>
      </w:r>
      <w:r w:rsidRPr="002F2BC5">
        <w:rPr>
          <w:rFonts w:hint="eastAsia"/>
          <w:rtl/>
        </w:rPr>
        <w:t>שבמרחב</w:t>
      </w:r>
      <w:r w:rsidRPr="002F2BC5">
        <w:rPr>
          <w:rtl/>
        </w:rPr>
        <w:t xml:space="preserve"> </w:t>
      </w:r>
      <w:r w:rsidRPr="002F2BC5">
        <w:rPr>
          <w:rFonts w:hint="eastAsia"/>
          <w:rtl/>
        </w:rPr>
        <w:t>שלהן</w:t>
      </w:r>
      <w:r w:rsidRPr="002F2BC5">
        <w:rPr>
          <w:rFonts w:hint="cs"/>
          <w:rtl/>
        </w:rPr>
        <w:t xml:space="preserve">. </w:t>
      </w:r>
      <w:r w:rsidRPr="002F2BC5">
        <w:rPr>
          <w:rFonts w:hint="eastAsia"/>
          <w:rtl/>
        </w:rPr>
        <w:t>עיריית</w:t>
      </w:r>
      <w:r w:rsidRPr="002F2BC5">
        <w:rPr>
          <w:rtl/>
        </w:rPr>
        <w:t xml:space="preserve"> נשר </w:t>
      </w:r>
      <w:r w:rsidRPr="002F2BC5">
        <w:rPr>
          <w:rFonts w:hint="eastAsia"/>
          <w:rtl/>
        </w:rPr>
        <w:t>הוסיפה</w:t>
      </w:r>
      <w:r w:rsidRPr="002F2BC5">
        <w:rPr>
          <w:rtl/>
        </w:rPr>
        <w:t xml:space="preserve"> </w:t>
      </w:r>
      <w:r w:rsidRPr="002F2BC5">
        <w:rPr>
          <w:rFonts w:hint="cs"/>
          <w:rtl/>
        </w:rPr>
        <w:t xml:space="preserve">כי </w:t>
      </w:r>
      <w:r w:rsidRPr="002F2BC5">
        <w:rPr>
          <w:rFonts w:hint="eastAsia"/>
          <w:rtl/>
        </w:rPr>
        <w:t>בעבר</w:t>
      </w:r>
      <w:r w:rsidRPr="002F2BC5">
        <w:rPr>
          <w:rtl/>
        </w:rPr>
        <w:t xml:space="preserve"> הוצע </w:t>
      </w:r>
      <w:r w:rsidRPr="002F2BC5">
        <w:rPr>
          <w:rFonts w:hint="eastAsia"/>
          <w:rtl/>
        </w:rPr>
        <w:t>להקצות</w:t>
      </w:r>
      <w:r w:rsidRPr="002F2BC5">
        <w:rPr>
          <w:rtl/>
        </w:rPr>
        <w:t xml:space="preserve"> לה תקן עו"ס משטרה</w:t>
      </w:r>
      <w:r w:rsidRPr="002F2BC5">
        <w:rPr>
          <w:rFonts w:hint="cs"/>
          <w:rtl/>
        </w:rPr>
        <w:t>,</w:t>
      </w:r>
      <w:r w:rsidRPr="002F2BC5">
        <w:rPr>
          <w:rtl/>
        </w:rPr>
        <w:t xml:space="preserve"> והיא אף הביעה את רצונה העקרוני בכך, אך התקן טרם הוקצה לה.</w:t>
      </w:r>
    </w:p>
    <w:p w14:paraId="1A810C4E" w14:textId="77777777" w:rsidR="00817399" w:rsidRPr="002F2BC5" w:rsidRDefault="00817399" w:rsidP="00817399">
      <w:pPr>
        <w:spacing w:line="269" w:lineRule="auto"/>
        <w:rPr>
          <w:rtl/>
        </w:rPr>
      </w:pPr>
    </w:p>
    <w:p w14:paraId="63C1D876"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ביתר עילית</w:t>
      </w:r>
      <w:r w:rsidRPr="002F2BC5">
        <w:rPr>
          <w:rFonts w:hint="cs"/>
          <w:rtl/>
        </w:rPr>
        <w:t xml:space="preserve"> מסרה בתשובתה מאפריל 2025 כי בעבר הועסק בעירייה עו"ס משטרה ללא תקן ייעודי, וכי נכון למועד מתן התשובה היא איננה מעסיקה עו"ס משטרה בתקן ייעודי, אך מקיימת קשרי עבודה שוטפים והדוקים עם עו"ס מחלק המשפחה בתחנת המשטרה הסמוכה. עוד הוסיפה כי לתפיסתה מתכונת עבודה זו, שבה העובד הסוציאלי מועסק על ידי המשטרה ולא על ידי העירייה, ובפרט שהוא אדם חרדי תושב העיר, יעילה יותר, וכי מסיבה זו תקן עו"ס המשטרה שיועד לעיריית ביתר עילית הוסב לרשות מקומית אחרת. </w:t>
      </w:r>
    </w:p>
    <w:p w14:paraId="1E9A15B0" w14:textId="77777777" w:rsidR="00817399" w:rsidRPr="002F2BC5" w:rsidRDefault="00817399" w:rsidP="00817399">
      <w:pPr>
        <w:spacing w:line="269" w:lineRule="auto"/>
        <w:rPr>
          <w:rtl/>
        </w:rPr>
      </w:pPr>
    </w:p>
    <w:p w14:paraId="183ECD38" w14:textId="77777777" w:rsidR="00817399" w:rsidRPr="002F2BC5" w:rsidRDefault="00817399" w:rsidP="00817399">
      <w:pPr>
        <w:spacing w:line="269" w:lineRule="auto"/>
        <w:rPr>
          <w:rtl/>
        </w:rPr>
      </w:pPr>
      <w:r w:rsidRPr="002F2BC5">
        <w:rPr>
          <w:rFonts w:hint="cs"/>
          <w:rtl/>
        </w:rPr>
        <w:t xml:space="preserve">משטרת ישראל מסרה בתשובתה כי המלצתה של ועדת המנכ"לים להציב מוקדן משטרה ייעודי במוקד הסיוע הארצי של משרד הרווחה עוררה קשיים משפטיים ואופרטיביים. עוד הוסיפה כי לא הובאה לבחינתה האפשרות לפתח ממשק ממוחשב בין </w:t>
      </w:r>
      <w:r w:rsidRPr="002F2BC5">
        <w:rPr>
          <w:rtl/>
        </w:rPr>
        <w:t>מוקד הסיוע הארצי של משרד הרווחה לבין מוקד 100 של משטרת ישראל</w:t>
      </w:r>
      <w:r w:rsidRPr="002F2BC5">
        <w:rPr>
          <w:rFonts w:hint="cs"/>
          <w:rtl/>
        </w:rPr>
        <w:t>, אך אם תועבר אליה פנייה בעניין היא תבחן אותה. לצד זאת נמסר כי למן הקמתם בשנים האחרונות של מחלקי המשפחה, העובדים הסוציאליים בהם מקיימים קשר רציף עם מטה משרד הרווחה ועם גורמי הרווחה המקומיים וכן עם נשים בסיכון גבוה שהגישו תלונה במשטרה ועם נשים בסיכון שבעניינן התקבל דיווח מגורמי הרווחה.</w:t>
      </w:r>
    </w:p>
    <w:p w14:paraId="3C538D60" w14:textId="77777777" w:rsidR="00817399" w:rsidRPr="002F2BC5" w:rsidRDefault="00817399" w:rsidP="00817399">
      <w:pPr>
        <w:spacing w:line="269" w:lineRule="auto"/>
        <w:rPr>
          <w:rtl/>
        </w:rPr>
      </w:pPr>
    </w:p>
    <w:p w14:paraId="6C635FE8" w14:textId="77777777" w:rsidR="00817399" w:rsidRPr="002F2BC5" w:rsidRDefault="00817399" w:rsidP="00817399">
      <w:pPr>
        <w:pStyle w:val="afffffffa"/>
        <w:spacing w:line="269" w:lineRule="auto"/>
        <w:rPr>
          <w:rtl/>
        </w:rPr>
      </w:pPr>
      <w:bookmarkStart w:id="1747" w:name="_Toc191987111"/>
      <w:bookmarkStart w:id="1748" w:name="_Toc192093161"/>
      <w:bookmarkStart w:id="1749" w:name="_Toc192612869"/>
      <w:bookmarkStart w:id="1750" w:name="_Toc198312312"/>
      <w:bookmarkStart w:id="1751" w:name="_Toc198312793"/>
      <w:bookmarkStart w:id="1752" w:name="_Toc200636958"/>
      <w:bookmarkStart w:id="1753" w:name="_Toc200439956"/>
      <w:bookmarkStart w:id="1754" w:name="_Toc201241061"/>
      <w:r w:rsidRPr="002F2BC5">
        <w:rPr>
          <w:rFonts w:hint="cs"/>
          <w:rtl/>
        </w:rPr>
        <w:t>מומלץ למשרד הרווחה לפעול להסרת החסמים לאיוש התקנים במסגרת תוכנית עו"ס משטרה, בכלל זה בכל הקשור למועד העברת התקציב לרשויות המקומיות לצורך כך</w:t>
      </w:r>
      <w:r w:rsidRPr="002F2BC5">
        <w:rPr>
          <w:rStyle w:val="af9"/>
          <w:rtl/>
        </w:rPr>
        <w:footnoteReference w:id="351"/>
      </w:r>
      <w:r w:rsidRPr="002F2BC5">
        <w:rPr>
          <w:rFonts w:hint="cs"/>
          <w:rtl/>
        </w:rPr>
        <w:t xml:space="preserve">, ולהקפיד על מעקב ובקרה שיטתיים אחר מספר ההפניות למרכזים לטיפול ומניעת אלימות במשפחה מתחנות המשטרה. זאת כדי להבטיח כי בכלל הרשויות המקומיות שהוחלט לכלול בתוכנית, התוכנית אכן פועלת ומשיגה את יעדיה. עוד מומלץ למשרד הרווחה לוודא שהקריטריונים שקבע לצורך </w:t>
      </w:r>
      <w:r w:rsidRPr="002F2BC5">
        <w:rPr>
          <w:rFonts w:hint="cs"/>
          <w:rtl/>
        </w:rPr>
        <w:lastRenderedPageBreak/>
        <w:t>הכללת הרשויות המקומיות בתוכנית עו"ס משטרה אכן מביאים בחשבון את כלל מאפייניהן וצורכיהן של הרשויות המקומיות, ובכלל זה, מספר תיקי החקירה בעבירות אלו שנפתחו ברשויות המקומיות והיחס שבין מספר התושבים למספר תיקי החקירה</w:t>
      </w:r>
      <w:r w:rsidRPr="002F2BC5">
        <w:rPr>
          <w:rtl/>
        </w:rPr>
        <w:t>.</w:t>
      </w:r>
      <w:r w:rsidRPr="002F2BC5">
        <w:rPr>
          <w:rFonts w:hint="cs"/>
          <w:rtl/>
        </w:rPr>
        <w:t xml:space="preserve"> בתוך כך מומלץ כי יובאו בחשבון גם נתונים על הפניות למרכזים לטיפול ומניעת אלימות במשפחה מהמשטרה וכן חלקן של ההפניות הללו מכלל ההפניות למרכזים.</w:t>
      </w:r>
      <w:bookmarkEnd w:id="1747"/>
      <w:bookmarkEnd w:id="1748"/>
      <w:bookmarkEnd w:id="1749"/>
      <w:r w:rsidRPr="002F2BC5">
        <w:rPr>
          <w:rFonts w:hint="cs"/>
          <w:rtl/>
        </w:rPr>
        <w:t xml:space="preserve"> לצד זאת מומלץ למשרד הרווחה להבטיח כי מודל הפעלתה של התוכנית יותאם באופן שתתאפשר הפעלתה המיטבית גם ברשויות מקומיות המשתייכות לכמה תחנות משטרה וברשויות מקומיות המשתייכות לתחנות משטרה שבהן פועל מחלק משפחה.</w:t>
      </w:r>
      <w:bookmarkEnd w:id="1750"/>
      <w:bookmarkEnd w:id="1751"/>
      <w:bookmarkEnd w:id="1752"/>
      <w:bookmarkEnd w:id="1753"/>
      <w:bookmarkEnd w:id="1754"/>
    </w:p>
    <w:p w14:paraId="3B6344C9" w14:textId="77777777" w:rsidR="00817399" w:rsidRPr="002F2BC5" w:rsidRDefault="00817399" w:rsidP="00817399">
      <w:pPr>
        <w:spacing w:line="269" w:lineRule="auto"/>
        <w:rPr>
          <w:rtl/>
        </w:rPr>
      </w:pPr>
    </w:p>
    <w:p w14:paraId="6A52B672" w14:textId="77777777" w:rsidR="00817399" w:rsidRPr="002F2BC5" w:rsidRDefault="00817399" w:rsidP="00817399">
      <w:pPr>
        <w:spacing w:line="269" w:lineRule="auto"/>
        <w:rPr>
          <w:rtl/>
        </w:rPr>
      </w:pPr>
      <w:r w:rsidRPr="002F2BC5">
        <w:rPr>
          <w:rFonts w:hint="cs"/>
          <w:rtl/>
        </w:rPr>
        <w:t>משרד הרווחה מסר בתשובתו כי חלה עלייה הדרגתית ב</w:t>
      </w:r>
      <w:r w:rsidRPr="002F2BC5">
        <w:rPr>
          <w:rtl/>
        </w:rPr>
        <w:t xml:space="preserve">איוש </w:t>
      </w:r>
      <w:r w:rsidRPr="002F2BC5">
        <w:rPr>
          <w:rFonts w:hint="cs"/>
          <w:rtl/>
        </w:rPr>
        <w:t xml:space="preserve">התקנים, </w:t>
      </w:r>
      <w:r w:rsidRPr="002F2BC5">
        <w:rPr>
          <w:rtl/>
        </w:rPr>
        <w:t xml:space="preserve">וזאת </w:t>
      </w:r>
      <w:r w:rsidRPr="002F2BC5">
        <w:rPr>
          <w:rFonts w:hint="cs"/>
          <w:rtl/>
        </w:rPr>
        <w:t xml:space="preserve">חרף </w:t>
      </w:r>
      <w:r w:rsidRPr="002F2BC5">
        <w:rPr>
          <w:rtl/>
        </w:rPr>
        <w:t>הקושי הרב בגיוס עובדים</w:t>
      </w:r>
      <w:r w:rsidRPr="002F2BC5">
        <w:rPr>
          <w:rFonts w:hint="cs"/>
          <w:rtl/>
        </w:rPr>
        <w:t xml:space="preserve"> </w:t>
      </w:r>
      <w:r w:rsidRPr="002F2BC5">
        <w:rPr>
          <w:rtl/>
        </w:rPr>
        <w:t>סוציאליים בכלל ובתחום מורכב זה בפרט.</w:t>
      </w:r>
    </w:p>
    <w:p w14:paraId="022E350B" w14:textId="77777777" w:rsidR="00817399" w:rsidRPr="002F2BC5" w:rsidRDefault="00817399" w:rsidP="00817399">
      <w:pPr>
        <w:spacing w:line="269" w:lineRule="auto"/>
        <w:rPr>
          <w:rtl/>
        </w:rPr>
      </w:pPr>
    </w:p>
    <w:p w14:paraId="41B5A39D" w14:textId="77777777" w:rsidR="00817399" w:rsidRPr="002F2BC5" w:rsidRDefault="00817399" w:rsidP="00817399">
      <w:pPr>
        <w:spacing w:line="269" w:lineRule="auto"/>
        <w:rPr>
          <w:rtl/>
        </w:rPr>
      </w:pPr>
      <w:r w:rsidRPr="002F2BC5">
        <w:rPr>
          <w:rFonts w:hint="cs"/>
          <w:rtl/>
        </w:rPr>
        <w:t xml:space="preserve">המשרד לביטחון לאומי מסר בתשובתו כי הקושי באיוש התקנים במסגרת תוכנית עו"ס משטרה שבמימונו נובע בעיקרו מעיתוי אישור תקציב המדינה וכפועל יוצא מעיתוי העברתו לרשויות המקומיות, ולנוכח המורכבות של פרסום מכרזים לאיוש התקנים בסמוך לסיום שנת התקציב. עוד מסר, כפי שמסר גם במהלך ביקורת המעקב, שכחלק ממהלך רוחבי שהוא מקדם, הוא פועל נמרצות מול משרד הפנים להסדרת העסקתם של העובדים הסוציאליים שבמימונו באשכולות האזוריים, מהלך שצפוי לסייע בהליך קליטתם של עובדים סוציאליים חדשים ואיוש התקנים שהוקצו. </w:t>
      </w:r>
    </w:p>
    <w:p w14:paraId="705295DA" w14:textId="77777777" w:rsidR="00817399" w:rsidRPr="002F2BC5" w:rsidRDefault="00817399" w:rsidP="00817399">
      <w:pPr>
        <w:spacing w:line="269" w:lineRule="auto"/>
        <w:rPr>
          <w:rtl/>
        </w:rPr>
      </w:pPr>
    </w:p>
    <w:p w14:paraId="2B4BB88B"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2F37927" w14:textId="77777777" w:rsidR="00817399" w:rsidRPr="002F2BC5" w:rsidRDefault="00817399" w:rsidP="00817399">
      <w:pPr>
        <w:pStyle w:val="afffffff7"/>
        <w:spacing w:before="0" w:line="269" w:lineRule="auto"/>
        <w:rPr>
          <w:rtl/>
        </w:rPr>
      </w:pPr>
      <w:bookmarkStart w:id="1755" w:name="_Toc198312313"/>
      <w:bookmarkStart w:id="1756" w:name="_Toc198312794"/>
      <w:bookmarkStart w:id="1757" w:name="_Toc189072270"/>
      <w:r w:rsidRPr="002F2BC5">
        <w:rPr>
          <w:noProof/>
          <w:sz w:val="24"/>
        </w:rPr>
        <w:drawing>
          <wp:inline distT="0" distB="0" distL="0" distR="0" wp14:anchorId="2E127E58" wp14:editId="1685B429">
            <wp:extent cx="4324350" cy="933450"/>
            <wp:effectExtent l="0" t="0" r="0" b="0"/>
            <wp:docPr id="2052770951" name="תמונה 205277095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1056"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755"/>
      <w:bookmarkEnd w:id="1756"/>
    </w:p>
    <w:bookmarkEnd w:id="1757"/>
    <w:p w14:paraId="217B79AD" w14:textId="77777777" w:rsidR="00817399" w:rsidRPr="002F2BC5" w:rsidRDefault="00817399" w:rsidP="00817399">
      <w:pPr>
        <w:spacing w:line="269" w:lineRule="auto"/>
        <w:rPr>
          <w:rtl/>
        </w:rPr>
      </w:pPr>
    </w:p>
    <w:p w14:paraId="18F7B7A5" w14:textId="77777777" w:rsidR="00817399" w:rsidRPr="002F2BC5" w:rsidRDefault="00817399" w:rsidP="00817399">
      <w:pPr>
        <w:pStyle w:val="6"/>
        <w:spacing w:line="269" w:lineRule="auto"/>
        <w:rPr>
          <w:rtl/>
        </w:rPr>
      </w:pPr>
      <w:bookmarkStart w:id="1758" w:name="_Toc189072271"/>
      <w:bookmarkStart w:id="1759" w:name="_Toc191987112"/>
      <w:bookmarkStart w:id="1760" w:name="_Toc193110632"/>
      <w:r w:rsidRPr="002F2BC5">
        <w:rPr>
          <w:rFonts w:hint="cs"/>
          <w:rtl/>
        </w:rPr>
        <w:t>תרומת תוכנית עו"ס משטרה לרתימה של נשים וגברים לטיפול</w:t>
      </w:r>
      <w:bookmarkEnd w:id="1758"/>
      <w:bookmarkEnd w:id="1759"/>
      <w:bookmarkEnd w:id="1760"/>
    </w:p>
    <w:p w14:paraId="724CE797" w14:textId="77777777" w:rsidR="00817399" w:rsidRPr="002F2BC5" w:rsidRDefault="00817399" w:rsidP="00817399">
      <w:pPr>
        <w:spacing w:line="269" w:lineRule="auto"/>
        <w:rPr>
          <w:rtl/>
        </w:rPr>
      </w:pPr>
    </w:p>
    <w:p w14:paraId="0B5D83F8" w14:textId="77777777" w:rsidR="00817399" w:rsidRPr="002F2BC5" w:rsidRDefault="00817399" w:rsidP="00817399">
      <w:pPr>
        <w:spacing w:line="269" w:lineRule="auto"/>
        <w:rPr>
          <w:rtl/>
        </w:rPr>
      </w:pPr>
      <w:bookmarkStart w:id="1761" w:name="_Toc191987113"/>
      <w:r w:rsidRPr="002F2BC5">
        <w:rPr>
          <w:rStyle w:val="70"/>
          <w:rFonts w:hint="cs"/>
          <w:rtl/>
        </w:rPr>
        <w:t>הביקורת הקודמת:</w:t>
      </w:r>
      <w:bookmarkEnd w:id="1761"/>
      <w:r w:rsidRPr="002F2BC5">
        <w:rPr>
          <w:rStyle w:val="70"/>
          <w:rFonts w:hint="cs"/>
          <w:rtl/>
        </w:rPr>
        <w:t xml:space="preserve"> </w:t>
      </w:r>
      <w:r w:rsidRPr="002F2BC5">
        <w:rPr>
          <w:rFonts w:hint="cs"/>
          <w:rtl/>
        </w:rPr>
        <w:t xml:space="preserve">לפי נתוני משרד הרווחה לשנת 2019, כ-6,500 גברים ונשים הופנו מ-23 תחנות המשטרה שבהן הופעלה תוכנית עו"ס משטרה לטיפול במרכזים לטיפול ומניעת אלימות במשפחה - לכ-4,500 מהם נעשה אינטייק. עם זאת, אף שכמחצית מהמופנים למרכזים היו גברים (3,200 מתוך 6,500), בקרב המופנים שנעשה להם אינטייק היה שיעורם של הגברים כ-29% בלבד. יתרה מזו, רק כ-10% מהגברים שהוגשה תלונה נגדם בתחנות המשטרה האמורות </w:t>
      </w:r>
      <w:r w:rsidRPr="002F2BC5">
        <w:rPr>
          <w:rtl/>
        </w:rPr>
        <w:t>השתלבו בשנת 2019</w:t>
      </w:r>
      <w:r w:rsidRPr="002F2BC5">
        <w:rPr>
          <w:rFonts w:hint="cs"/>
          <w:rtl/>
        </w:rPr>
        <w:t xml:space="preserve"> בטיפול</w:t>
      </w:r>
      <w:r w:rsidRPr="002F2BC5">
        <w:rPr>
          <w:rStyle w:val="af9"/>
          <w:rtl/>
        </w:rPr>
        <w:footnoteReference w:id="352"/>
      </w:r>
      <w:r w:rsidRPr="002F2BC5">
        <w:rPr>
          <w:rFonts w:hint="cs"/>
          <w:rtl/>
        </w:rPr>
        <w:t>.</w:t>
      </w:r>
    </w:p>
    <w:p w14:paraId="1D9C7B2A" w14:textId="77777777" w:rsidR="00817399" w:rsidRPr="002F2BC5" w:rsidRDefault="00817399" w:rsidP="00817399">
      <w:pPr>
        <w:spacing w:line="269" w:lineRule="auto"/>
        <w:rPr>
          <w:rtl/>
        </w:rPr>
      </w:pPr>
    </w:p>
    <w:p w14:paraId="172DCB55" w14:textId="77777777" w:rsidR="00817399" w:rsidRPr="002F2BC5" w:rsidRDefault="00817399" w:rsidP="00817399">
      <w:pPr>
        <w:spacing w:line="269" w:lineRule="auto"/>
        <w:rPr>
          <w:rtl/>
        </w:rPr>
      </w:pPr>
      <w:bookmarkStart w:id="1762" w:name="_Toc191987114"/>
      <w:r w:rsidRPr="002F2BC5">
        <w:rPr>
          <w:rStyle w:val="70"/>
          <w:rFonts w:hint="cs"/>
          <w:rtl/>
        </w:rPr>
        <w:t>ביקורת המעקב:</w:t>
      </w:r>
      <w:bookmarkEnd w:id="1762"/>
      <w:r w:rsidRPr="002F2BC5">
        <w:rPr>
          <w:rStyle w:val="70"/>
          <w:rFonts w:hint="cs"/>
          <w:rtl/>
        </w:rPr>
        <w:t xml:space="preserve"> </w:t>
      </w:r>
      <w:r w:rsidRPr="002F2BC5">
        <w:rPr>
          <w:rFonts w:hint="cs"/>
          <w:rtl/>
        </w:rPr>
        <w:t>לפי נתוני משרד הרווחה, בשנת 2020 הופעלה תוכנית עו"ס משטרה ב-47 רשויות מקומיות, והופנו במסגרתה 9,345 מקרי אלימות במשפחה לעו"ס משטרה; בשנת 2021 הופעלה התוכנית ב-49 רשויות מקומיות, והופנו במסגרתה 9,210 מקרי אלימות במשפחה לעו"ס משטרה; בשנת 2022 הופעלה התוכנית ב-51 רשויות מקומיות, והופנו במסגרתה כ-8,000 מקרי אלימות במשפחה לעו"ס משטרה; ובשנת 2023 הופעלה התוכנית בכ-100 רשויות מקומיות, והופנו במסגרתה 8,861 מקרי אלימות במשפחה לעו"ס משטרה.</w:t>
      </w:r>
      <w:r w:rsidRPr="002F2BC5">
        <w:rPr>
          <w:rFonts w:hint="cs"/>
          <w:b/>
          <w:bCs/>
          <w:rtl/>
        </w:rPr>
        <w:t xml:space="preserve"> </w:t>
      </w:r>
    </w:p>
    <w:p w14:paraId="52DE43E2" w14:textId="77777777" w:rsidR="00817399" w:rsidRPr="002F2BC5" w:rsidRDefault="00817399" w:rsidP="00817399">
      <w:pPr>
        <w:spacing w:line="269" w:lineRule="auto"/>
        <w:rPr>
          <w:rtl/>
        </w:rPr>
      </w:pPr>
    </w:p>
    <w:p w14:paraId="33DF244C" w14:textId="77777777" w:rsidR="00817399" w:rsidRPr="002F2BC5" w:rsidRDefault="00817399" w:rsidP="00817399">
      <w:pPr>
        <w:spacing w:line="269" w:lineRule="auto"/>
        <w:rPr>
          <w:b/>
          <w:bCs/>
          <w:rtl/>
        </w:rPr>
      </w:pPr>
      <w:r w:rsidRPr="002F2BC5">
        <w:rPr>
          <w:rFonts w:hint="cs"/>
          <w:b/>
          <w:bCs/>
          <w:rtl/>
        </w:rPr>
        <w:t xml:space="preserve">נמצא כי </w:t>
      </w:r>
      <w:bookmarkStart w:id="1763" w:name="_Hlk192068050"/>
      <w:r w:rsidRPr="002F2BC5">
        <w:rPr>
          <w:rFonts w:hint="eastAsia"/>
          <w:b/>
          <w:bCs/>
          <w:rtl/>
        </w:rPr>
        <w:t>לצד</w:t>
      </w:r>
      <w:r w:rsidRPr="002F2BC5">
        <w:rPr>
          <w:b/>
          <w:bCs/>
          <w:rtl/>
        </w:rPr>
        <w:t xml:space="preserve"> </w:t>
      </w:r>
      <w:r w:rsidRPr="002F2BC5">
        <w:rPr>
          <w:rFonts w:hint="eastAsia"/>
          <w:b/>
          <w:bCs/>
          <w:rtl/>
        </w:rPr>
        <w:t>עלייה</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כ</w:t>
      </w:r>
      <w:r w:rsidRPr="002F2BC5">
        <w:rPr>
          <w:b/>
          <w:bCs/>
          <w:rtl/>
        </w:rPr>
        <w:t xml:space="preserve">-36% </w:t>
      </w:r>
      <w:r w:rsidRPr="002F2BC5">
        <w:rPr>
          <w:rFonts w:hint="eastAsia"/>
          <w:b/>
          <w:bCs/>
          <w:rtl/>
        </w:rPr>
        <w:t>במספרם</w:t>
      </w:r>
      <w:r w:rsidRPr="002F2BC5">
        <w:rPr>
          <w:b/>
          <w:bCs/>
          <w:rtl/>
        </w:rPr>
        <w:t xml:space="preserve"> של הנשים והגברים שהופנו במסגרת תוכנית עו"ס משטרה לטיפול (מכ-6,500 </w:t>
      </w:r>
      <w:r w:rsidRPr="002F2BC5">
        <w:rPr>
          <w:rFonts w:hint="eastAsia"/>
          <w:b/>
          <w:bCs/>
          <w:rtl/>
        </w:rPr>
        <w:t>בשנת</w:t>
      </w:r>
      <w:r w:rsidRPr="002F2BC5">
        <w:rPr>
          <w:b/>
          <w:bCs/>
          <w:rtl/>
        </w:rPr>
        <w:t xml:space="preserve"> 2019 </w:t>
      </w:r>
      <w:r w:rsidRPr="002F2BC5">
        <w:rPr>
          <w:rFonts w:hint="eastAsia"/>
          <w:b/>
          <w:bCs/>
          <w:rtl/>
        </w:rPr>
        <w:t>ל</w:t>
      </w:r>
      <w:r w:rsidRPr="002F2BC5">
        <w:rPr>
          <w:b/>
          <w:bCs/>
          <w:rtl/>
        </w:rPr>
        <w:t xml:space="preserve">-8,861 בשנת 2023) </w:t>
      </w:r>
      <w:r w:rsidRPr="002F2BC5">
        <w:rPr>
          <w:rFonts w:hint="eastAsia"/>
          <w:b/>
          <w:bCs/>
          <w:rtl/>
        </w:rPr>
        <w:t>חלה</w:t>
      </w:r>
      <w:r w:rsidRPr="002F2BC5">
        <w:rPr>
          <w:b/>
          <w:bCs/>
          <w:rtl/>
        </w:rPr>
        <w:t xml:space="preserve"> </w:t>
      </w:r>
      <w:r w:rsidRPr="002F2BC5">
        <w:rPr>
          <w:rFonts w:hint="cs"/>
          <w:b/>
          <w:bCs/>
          <w:rtl/>
        </w:rPr>
        <w:t xml:space="preserve">גם </w:t>
      </w:r>
      <w:r w:rsidRPr="002F2BC5">
        <w:rPr>
          <w:rFonts w:hint="eastAsia"/>
          <w:b/>
          <w:bCs/>
          <w:rtl/>
        </w:rPr>
        <w:t>עלייה</w:t>
      </w:r>
      <w:r w:rsidRPr="002F2BC5">
        <w:rPr>
          <w:b/>
          <w:bCs/>
          <w:rtl/>
        </w:rPr>
        <w:t xml:space="preserve"> </w:t>
      </w:r>
      <w:r w:rsidRPr="002F2BC5">
        <w:rPr>
          <w:rFonts w:hint="eastAsia"/>
          <w:b/>
          <w:bCs/>
          <w:rtl/>
        </w:rPr>
        <w:t>של</w:t>
      </w:r>
      <w:r w:rsidRPr="002F2BC5">
        <w:rPr>
          <w:b/>
          <w:bCs/>
          <w:rtl/>
        </w:rPr>
        <w:t xml:space="preserve"> כ-60% </w:t>
      </w:r>
      <w:r w:rsidRPr="002F2BC5">
        <w:rPr>
          <w:rFonts w:hint="eastAsia"/>
          <w:b/>
          <w:bCs/>
          <w:rtl/>
        </w:rPr>
        <w:t>במספרם</w:t>
      </w:r>
      <w:r w:rsidRPr="002F2BC5">
        <w:rPr>
          <w:b/>
          <w:bCs/>
          <w:rtl/>
        </w:rPr>
        <w:t xml:space="preserve"> של הנשים והגברים שנעשה להם </w:t>
      </w:r>
      <w:r w:rsidRPr="002F2BC5">
        <w:rPr>
          <w:rFonts w:hint="eastAsia"/>
          <w:b/>
          <w:bCs/>
          <w:rtl/>
        </w:rPr>
        <w:t>אינטייק</w:t>
      </w:r>
      <w:r w:rsidRPr="002F2BC5">
        <w:rPr>
          <w:b/>
          <w:bCs/>
          <w:rtl/>
        </w:rPr>
        <w:t xml:space="preserve"> לאחר שהופנו </w:t>
      </w:r>
      <w:r w:rsidRPr="002F2BC5">
        <w:rPr>
          <w:rFonts w:hint="eastAsia"/>
          <w:b/>
          <w:bCs/>
          <w:rtl/>
        </w:rPr>
        <w:t>לטיפול</w:t>
      </w:r>
      <w:r w:rsidRPr="002F2BC5">
        <w:rPr>
          <w:b/>
          <w:bCs/>
          <w:rtl/>
        </w:rPr>
        <w:t xml:space="preserve"> </w:t>
      </w:r>
      <w:r w:rsidRPr="002F2BC5">
        <w:rPr>
          <w:rFonts w:hint="eastAsia"/>
          <w:b/>
          <w:bCs/>
          <w:rtl/>
        </w:rPr>
        <w:t>כאמור</w:t>
      </w:r>
      <w:r w:rsidRPr="002F2BC5">
        <w:rPr>
          <w:b/>
          <w:bCs/>
          <w:rtl/>
        </w:rPr>
        <w:t xml:space="preserve"> (מכ-4,500 </w:t>
      </w:r>
      <w:r w:rsidRPr="002F2BC5">
        <w:rPr>
          <w:rFonts w:hint="eastAsia"/>
          <w:b/>
          <w:bCs/>
          <w:rtl/>
        </w:rPr>
        <w:t>בשנת</w:t>
      </w:r>
      <w:r w:rsidRPr="002F2BC5">
        <w:rPr>
          <w:b/>
          <w:bCs/>
          <w:rtl/>
        </w:rPr>
        <w:t xml:space="preserve"> 2019 </w:t>
      </w:r>
      <w:r w:rsidRPr="002F2BC5">
        <w:rPr>
          <w:rFonts w:hint="eastAsia"/>
          <w:b/>
          <w:bCs/>
          <w:rtl/>
        </w:rPr>
        <w:t>ל</w:t>
      </w:r>
      <w:r w:rsidRPr="002F2BC5">
        <w:rPr>
          <w:b/>
          <w:bCs/>
          <w:rtl/>
        </w:rPr>
        <w:t xml:space="preserve">-7,208 </w:t>
      </w:r>
      <w:r w:rsidRPr="002F2BC5">
        <w:rPr>
          <w:rFonts w:hint="eastAsia"/>
          <w:b/>
          <w:bCs/>
          <w:rtl/>
        </w:rPr>
        <w:t>בשנת</w:t>
      </w:r>
      <w:r w:rsidRPr="002F2BC5">
        <w:rPr>
          <w:b/>
          <w:bCs/>
          <w:rtl/>
        </w:rPr>
        <w:t xml:space="preserve"> 2023). </w:t>
      </w:r>
      <w:r w:rsidRPr="002F2BC5">
        <w:rPr>
          <w:rFonts w:hint="eastAsia"/>
          <w:b/>
          <w:bCs/>
          <w:rtl/>
        </w:rPr>
        <w:t>עם</w:t>
      </w:r>
      <w:r w:rsidRPr="002F2BC5">
        <w:rPr>
          <w:b/>
          <w:bCs/>
          <w:rtl/>
        </w:rPr>
        <w:t xml:space="preserve"> זאת, </w:t>
      </w:r>
      <w:r w:rsidRPr="002F2BC5">
        <w:rPr>
          <w:rFonts w:hint="cs"/>
          <w:b/>
          <w:bCs/>
          <w:rtl/>
        </w:rPr>
        <w:t xml:space="preserve">שיעורם של הגברים שנעשה להם אינטייק על ידי עו"ס משטרה </w:t>
      </w:r>
      <w:r w:rsidRPr="002F2BC5">
        <w:rPr>
          <w:rFonts w:hint="cs"/>
          <w:b/>
          <w:bCs/>
          <w:rtl/>
        </w:rPr>
        <w:lastRenderedPageBreak/>
        <w:t xml:space="preserve">מתוך כלל הגברים והנשים שנעשה להם אינטייק (כ-32%, 2,304 גברים) נותר נמוך משיעור זה בקרב הנשים (כ-68%, 4,904 נשים). </w:t>
      </w:r>
      <w:r w:rsidRPr="002F2BC5">
        <w:rPr>
          <w:rFonts w:hint="eastAsia"/>
          <w:b/>
          <w:bCs/>
          <w:rtl/>
        </w:rPr>
        <w:t>בביקורת</w:t>
      </w:r>
      <w:r w:rsidRPr="002F2BC5">
        <w:rPr>
          <w:b/>
          <w:bCs/>
          <w:rtl/>
        </w:rPr>
        <w:t xml:space="preserve"> </w:t>
      </w:r>
      <w:r w:rsidRPr="002F2BC5">
        <w:rPr>
          <w:rFonts w:hint="cs"/>
          <w:b/>
          <w:bCs/>
          <w:rtl/>
        </w:rPr>
        <w:t>הנוכחית</w:t>
      </w:r>
      <w:r w:rsidRPr="002F2BC5">
        <w:rPr>
          <w:b/>
          <w:bCs/>
          <w:rtl/>
        </w:rPr>
        <w:t xml:space="preserve"> </w:t>
      </w:r>
      <w:r w:rsidRPr="002F2BC5">
        <w:rPr>
          <w:rFonts w:hint="eastAsia"/>
          <w:b/>
          <w:bCs/>
          <w:rtl/>
        </w:rPr>
        <w:t>גם</w:t>
      </w:r>
      <w:r w:rsidRPr="002F2BC5">
        <w:rPr>
          <w:b/>
          <w:bCs/>
          <w:rtl/>
        </w:rPr>
        <w:t xml:space="preserve"> </w:t>
      </w:r>
      <w:r w:rsidRPr="002F2BC5">
        <w:rPr>
          <w:rFonts w:hint="eastAsia"/>
          <w:b/>
          <w:bCs/>
          <w:rtl/>
        </w:rPr>
        <w:t>נמצא</w:t>
      </w:r>
      <w:r w:rsidRPr="002F2BC5">
        <w:rPr>
          <w:b/>
          <w:bCs/>
          <w:rtl/>
        </w:rPr>
        <w:t xml:space="preserve"> </w:t>
      </w:r>
      <w:r w:rsidRPr="002F2BC5">
        <w:rPr>
          <w:rFonts w:hint="eastAsia"/>
          <w:b/>
          <w:bCs/>
          <w:rtl/>
        </w:rPr>
        <w:t>כי</w:t>
      </w:r>
      <w:r w:rsidRPr="002F2BC5">
        <w:rPr>
          <w:rFonts w:hint="cs"/>
          <w:b/>
          <w:bCs/>
          <w:rtl/>
        </w:rPr>
        <w:t xml:space="preserve"> בקרב הנשים והגברים שנעשה להם אינטייק בשנת 2023, שיעורן של הנשים שהמשיכו בטיפול לאחר האינטייק מתוך כלל הנשים שנעשה להן אינטייק (כ-32%, 1,588 מתוך 4,904) היה כמעט כפול משיעור הגברים שהמשיכו בטיפול לאחר האינטייק כאמור (כ-18%, 412 מתוך 2,304). </w:t>
      </w:r>
      <w:bookmarkEnd w:id="1763"/>
    </w:p>
    <w:p w14:paraId="1280405E" w14:textId="77777777" w:rsidR="00817399" w:rsidRPr="002F2BC5" w:rsidRDefault="00817399" w:rsidP="00817399">
      <w:pPr>
        <w:spacing w:line="269" w:lineRule="auto"/>
        <w:rPr>
          <w:rtl/>
        </w:rPr>
      </w:pPr>
    </w:p>
    <w:p w14:paraId="5D3217EF" w14:textId="5CFBC1D3" w:rsidR="00817399" w:rsidRPr="002F2BC5" w:rsidRDefault="00817399" w:rsidP="00817399">
      <w:pPr>
        <w:spacing w:line="269" w:lineRule="auto"/>
        <w:rPr>
          <w:rtl/>
        </w:rPr>
      </w:pPr>
      <w:r w:rsidRPr="002F2BC5">
        <w:rPr>
          <w:rFonts w:hint="cs"/>
          <w:rtl/>
        </w:rPr>
        <w:t>הנתונים על ההתפלגות המגדרית בקרב מי שנעשה להם אינטייק על ידי עו"ס משטרה ומי שהמשיך בטיפול לאחר האינטייק הראשוני בשנת 2023 מוצגים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Ref187232503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21</w:t>
      </w:r>
      <w:r w:rsidRPr="002F2BC5">
        <w:rPr>
          <w:rtl/>
        </w:rPr>
        <w:fldChar w:fldCharType="end"/>
      </w:r>
      <w:r w:rsidRPr="002F2BC5">
        <w:rPr>
          <w:rFonts w:hint="cs"/>
          <w:rtl/>
        </w:rPr>
        <w:t xml:space="preserve"> שלהלן.</w:t>
      </w:r>
    </w:p>
    <w:p w14:paraId="65CD1818" w14:textId="77777777" w:rsidR="00817399" w:rsidRPr="002F2BC5" w:rsidRDefault="00817399" w:rsidP="00817399">
      <w:pPr>
        <w:spacing w:line="269" w:lineRule="auto"/>
        <w:rPr>
          <w:rtl/>
        </w:rPr>
      </w:pPr>
    </w:p>
    <w:p w14:paraId="08223C9F" w14:textId="77777777" w:rsidR="00817399" w:rsidRPr="002F2BC5" w:rsidRDefault="00817399" w:rsidP="00817399">
      <w:pPr>
        <w:pStyle w:val="a9"/>
        <w:spacing w:line="269" w:lineRule="auto"/>
      </w:pPr>
      <w:bookmarkStart w:id="1764" w:name="_Toc192672913"/>
      <w:bookmarkStart w:id="1765" w:name="_Ref187232503"/>
      <w:r w:rsidRPr="002F2BC5">
        <w:rPr>
          <w:rFonts w:hint="cs"/>
          <w:rtl/>
        </w:rPr>
        <w:t xml:space="preserve">: </w:t>
      </w:r>
      <w:r w:rsidRPr="002F2BC5">
        <w:rPr>
          <w:b w:val="0"/>
          <w:bCs/>
          <w:rtl/>
        </w:rPr>
        <w:t xml:space="preserve">ההתפלגות המגדרית בקרב </w:t>
      </w:r>
      <w:r w:rsidRPr="002F2BC5">
        <w:rPr>
          <w:rFonts w:hint="cs"/>
          <w:b w:val="0"/>
          <w:bCs/>
          <w:rtl/>
        </w:rPr>
        <w:t>מופנים לטיפול</w:t>
      </w:r>
      <w:r w:rsidRPr="002F2BC5">
        <w:rPr>
          <w:b w:val="0"/>
          <w:bCs/>
          <w:rtl/>
        </w:rPr>
        <w:t xml:space="preserve"> על ידי עו"ס משטרה </w:t>
      </w:r>
      <w:r w:rsidRPr="002F2BC5">
        <w:rPr>
          <w:b w:val="0"/>
          <w:bCs/>
          <w:rtl/>
        </w:rPr>
        <w:br/>
        <w:t>ו</w:t>
      </w:r>
      <w:r w:rsidRPr="002F2BC5">
        <w:rPr>
          <w:rFonts w:hint="cs"/>
          <w:b w:val="0"/>
          <w:bCs/>
          <w:rtl/>
        </w:rPr>
        <w:t xml:space="preserve">בקרב </w:t>
      </w:r>
      <w:r w:rsidRPr="002F2BC5">
        <w:rPr>
          <w:b w:val="0"/>
          <w:bCs/>
          <w:rtl/>
        </w:rPr>
        <w:t>מ</w:t>
      </w:r>
      <w:r w:rsidRPr="002F2BC5">
        <w:rPr>
          <w:rFonts w:hint="cs"/>
          <w:b w:val="0"/>
          <w:bCs/>
          <w:rtl/>
        </w:rPr>
        <w:t>ופנים לטיפול</w:t>
      </w:r>
      <w:r w:rsidRPr="002F2BC5">
        <w:rPr>
          <w:b w:val="0"/>
          <w:bCs/>
          <w:rtl/>
        </w:rPr>
        <w:t xml:space="preserve"> שהמשי</w:t>
      </w:r>
      <w:r w:rsidRPr="002F2BC5">
        <w:rPr>
          <w:rFonts w:hint="cs"/>
          <w:b w:val="0"/>
          <w:bCs/>
          <w:rtl/>
        </w:rPr>
        <w:t>כו</w:t>
      </w:r>
      <w:r w:rsidRPr="002F2BC5">
        <w:rPr>
          <w:b w:val="0"/>
          <w:bCs/>
          <w:rtl/>
        </w:rPr>
        <w:t xml:space="preserve"> ב</w:t>
      </w:r>
      <w:r w:rsidRPr="002F2BC5">
        <w:rPr>
          <w:rFonts w:hint="cs"/>
          <w:b w:val="0"/>
          <w:bCs/>
          <w:rtl/>
        </w:rPr>
        <w:t>ו</w:t>
      </w:r>
      <w:r w:rsidRPr="002F2BC5">
        <w:rPr>
          <w:b w:val="0"/>
          <w:bCs/>
          <w:rtl/>
        </w:rPr>
        <w:t xml:space="preserve"> לאחר </w:t>
      </w:r>
      <w:r w:rsidRPr="002F2BC5">
        <w:rPr>
          <w:rFonts w:hint="cs"/>
          <w:b w:val="0"/>
          <w:bCs/>
          <w:rtl/>
        </w:rPr>
        <w:t>שהופנו לראשונה, 2023</w:t>
      </w:r>
      <w:bookmarkEnd w:id="1764"/>
    </w:p>
    <w:bookmarkEnd w:id="1765"/>
    <w:p w14:paraId="247C4275" w14:textId="77777777" w:rsidR="00817399" w:rsidRPr="002F2BC5" w:rsidRDefault="00817399" w:rsidP="00817399">
      <w:pPr>
        <w:pStyle w:val="afffffff4"/>
        <w:bidi/>
        <w:spacing w:before="0" w:after="0" w:line="269" w:lineRule="auto"/>
        <w:rPr>
          <w:b/>
          <w:bCs/>
        </w:rPr>
      </w:pPr>
      <w:r w:rsidRPr="002F2BC5">
        <w:rPr>
          <w:noProof/>
          <w:szCs w:val="20"/>
          <w:rtl/>
        </w:rPr>
        <w:drawing>
          <wp:inline distT="0" distB="0" distL="0" distR="0" wp14:anchorId="225D5998" wp14:editId="7242E7BE">
            <wp:extent cx="4953000" cy="3016250"/>
            <wp:effectExtent l="0" t="0" r="0" b="0"/>
            <wp:docPr id="2052770973" name="תמונה 205277097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0" cy="3016250"/>
                    </a:xfrm>
                    <a:prstGeom prst="rect">
                      <a:avLst/>
                    </a:prstGeom>
                    <a:noFill/>
                    <a:ln>
                      <a:noFill/>
                    </a:ln>
                  </pic:spPr>
                </pic:pic>
              </a:graphicData>
            </a:graphic>
          </wp:inline>
        </w:drawing>
      </w:r>
    </w:p>
    <w:p w14:paraId="4E0E39CD" w14:textId="77777777" w:rsidR="00817399" w:rsidRPr="002F2BC5" w:rsidRDefault="00817399" w:rsidP="00817399">
      <w:pPr>
        <w:pStyle w:val="afffffff1"/>
        <w:bidi/>
        <w:spacing w:line="269" w:lineRule="auto"/>
        <w:rPr>
          <w:rtl/>
        </w:rPr>
      </w:pPr>
      <w:r w:rsidRPr="002F2BC5">
        <w:rPr>
          <w:rFonts w:hint="cs"/>
          <w:rtl/>
        </w:rPr>
        <w:t>לפי נתוני משרד הרווחה לשנת 2023, בעיבוד משרד מבקר המדינה.</w:t>
      </w:r>
    </w:p>
    <w:p w14:paraId="12CC4943" w14:textId="77777777" w:rsidR="00817399" w:rsidRPr="002F2BC5" w:rsidRDefault="00817399" w:rsidP="00817399">
      <w:pPr>
        <w:spacing w:line="269" w:lineRule="auto"/>
        <w:rPr>
          <w:rtl/>
        </w:rPr>
      </w:pPr>
    </w:p>
    <w:p w14:paraId="4223565F" w14:textId="77777777" w:rsidR="00817399" w:rsidRPr="002F2BC5" w:rsidRDefault="00817399" w:rsidP="00817399">
      <w:pPr>
        <w:spacing w:line="269" w:lineRule="auto"/>
        <w:rPr>
          <w:rtl/>
        </w:rPr>
      </w:pPr>
      <w:r w:rsidRPr="002F2BC5">
        <w:rPr>
          <w:rFonts w:hint="cs"/>
          <w:rtl/>
        </w:rPr>
        <w:t xml:space="preserve">במסגרת הביקורת הנוכחית נבדק גם אם הכשרתו של עו"ס משטרה לתפקיד כוללת התאמות ייעודיות לטיפול בגברים. </w:t>
      </w:r>
    </w:p>
    <w:p w14:paraId="60B55BD8" w14:textId="77777777" w:rsidR="00817399" w:rsidRPr="002F2BC5" w:rsidRDefault="00817399" w:rsidP="00817399">
      <w:pPr>
        <w:spacing w:line="269" w:lineRule="auto"/>
        <w:rPr>
          <w:rtl/>
        </w:rPr>
      </w:pPr>
    </w:p>
    <w:p w14:paraId="28914570" w14:textId="77777777" w:rsidR="00817399" w:rsidRPr="002F2BC5" w:rsidRDefault="00817399" w:rsidP="00817399">
      <w:pPr>
        <w:spacing w:line="269" w:lineRule="auto"/>
        <w:rPr>
          <w:b/>
          <w:bCs/>
          <w:rtl/>
        </w:rPr>
      </w:pPr>
      <w:r w:rsidRPr="002F2BC5">
        <w:rPr>
          <w:rFonts w:hint="eastAsia"/>
          <w:b/>
          <w:bCs/>
          <w:rtl/>
        </w:rPr>
        <w:t>הועלה</w:t>
      </w:r>
      <w:r w:rsidRPr="002F2BC5">
        <w:rPr>
          <w:b/>
          <w:bCs/>
          <w:rtl/>
        </w:rPr>
        <w:t xml:space="preserve"> כי מאז שנת 2022 לא התקיימו במשרד הרווחה הכשרות ייעודיות </w:t>
      </w:r>
      <w:r w:rsidRPr="002F2BC5">
        <w:rPr>
          <w:rFonts w:hint="eastAsia"/>
          <w:b/>
          <w:bCs/>
          <w:rtl/>
        </w:rPr>
        <w:t>לעובדים</w:t>
      </w:r>
      <w:r w:rsidRPr="002F2BC5">
        <w:rPr>
          <w:b/>
          <w:bCs/>
          <w:rtl/>
        </w:rPr>
        <w:t xml:space="preserve"> סוציאליים המועסקים במסגרת תוכנית </w:t>
      </w:r>
      <w:r w:rsidRPr="002F2BC5">
        <w:rPr>
          <w:rFonts w:hint="eastAsia"/>
          <w:b/>
          <w:bCs/>
          <w:rtl/>
        </w:rPr>
        <w:t>עו</w:t>
      </w:r>
      <w:r w:rsidRPr="002F2BC5">
        <w:rPr>
          <w:b/>
          <w:bCs/>
          <w:rtl/>
        </w:rPr>
        <w:t xml:space="preserve">"ס משטרה, אף כי מאז </w:t>
      </w:r>
      <w:r w:rsidRPr="002F2BC5">
        <w:rPr>
          <w:rFonts w:hint="eastAsia"/>
          <w:b/>
          <w:bCs/>
          <w:rtl/>
        </w:rPr>
        <w:t>אותה</w:t>
      </w:r>
      <w:r w:rsidRPr="002F2BC5">
        <w:rPr>
          <w:b/>
          <w:bCs/>
          <w:rtl/>
        </w:rPr>
        <w:t xml:space="preserve"> </w:t>
      </w:r>
      <w:r w:rsidRPr="002F2BC5">
        <w:rPr>
          <w:rFonts w:hint="eastAsia"/>
          <w:b/>
          <w:bCs/>
          <w:rtl/>
        </w:rPr>
        <w:t>השנה</w:t>
      </w:r>
      <w:r w:rsidRPr="002F2BC5">
        <w:rPr>
          <w:b/>
          <w:bCs/>
          <w:rtl/>
        </w:rPr>
        <w:t xml:space="preserve"> ועד מועד סיום הביקורת, בדצמבר 2024, נקלטו לתפקיד עשרות עובדים סוציאליים חדשים לנוכח הרחבתה של התוכנית לרשויות מקומיות נוספות. </w:t>
      </w:r>
      <w:r w:rsidRPr="002F2BC5">
        <w:rPr>
          <w:rFonts w:hint="eastAsia"/>
          <w:b/>
          <w:bCs/>
          <w:rtl/>
        </w:rPr>
        <w:t>משכך</w:t>
      </w:r>
      <w:r w:rsidRPr="002F2BC5">
        <w:rPr>
          <w:b/>
          <w:bCs/>
          <w:rtl/>
        </w:rPr>
        <w:t xml:space="preserve"> </w:t>
      </w:r>
      <w:r w:rsidRPr="002F2BC5">
        <w:rPr>
          <w:rFonts w:hint="eastAsia"/>
          <w:b/>
          <w:bCs/>
          <w:rtl/>
        </w:rPr>
        <w:t>גם</w:t>
      </w:r>
      <w:r w:rsidRPr="002F2BC5">
        <w:rPr>
          <w:b/>
          <w:bCs/>
          <w:rtl/>
        </w:rPr>
        <w:t xml:space="preserve"> </w:t>
      </w:r>
      <w:r w:rsidRPr="002F2BC5">
        <w:rPr>
          <w:rFonts w:hint="eastAsia"/>
          <w:b/>
          <w:bCs/>
          <w:rtl/>
        </w:rPr>
        <w:t>לא</w:t>
      </w:r>
      <w:r w:rsidRPr="002F2BC5">
        <w:rPr>
          <w:b/>
          <w:bCs/>
          <w:rtl/>
        </w:rPr>
        <w:t xml:space="preserve"> </w:t>
      </w:r>
      <w:r w:rsidRPr="002F2BC5">
        <w:rPr>
          <w:rFonts w:hint="eastAsia"/>
          <w:b/>
          <w:bCs/>
          <w:rtl/>
        </w:rPr>
        <w:t>ניתנה</w:t>
      </w:r>
      <w:r w:rsidRPr="002F2BC5">
        <w:rPr>
          <w:b/>
          <w:bCs/>
          <w:rtl/>
        </w:rPr>
        <w:t xml:space="preserve"> </w:t>
      </w:r>
      <w:r w:rsidRPr="002F2BC5">
        <w:rPr>
          <w:rFonts w:hint="eastAsia"/>
          <w:b/>
          <w:bCs/>
          <w:rtl/>
        </w:rPr>
        <w:t>לעובדים</w:t>
      </w:r>
      <w:r w:rsidRPr="002F2BC5">
        <w:rPr>
          <w:b/>
          <w:bCs/>
          <w:rtl/>
        </w:rPr>
        <w:t xml:space="preserve"> </w:t>
      </w:r>
      <w:r w:rsidRPr="002F2BC5">
        <w:rPr>
          <w:rFonts w:hint="eastAsia"/>
          <w:b/>
          <w:bCs/>
          <w:rtl/>
        </w:rPr>
        <w:t>הסוציאליים</w:t>
      </w:r>
      <w:r w:rsidRPr="002F2BC5">
        <w:rPr>
          <w:b/>
          <w:bCs/>
          <w:rtl/>
        </w:rPr>
        <w:t xml:space="preserve"> </w:t>
      </w:r>
      <w:r w:rsidRPr="002F2BC5">
        <w:rPr>
          <w:rFonts w:hint="eastAsia"/>
          <w:b/>
          <w:bCs/>
          <w:rtl/>
        </w:rPr>
        <w:t>הללו</w:t>
      </w:r>
      <w:r w:rsidRPr="002F2BC5">
        <w:rPr>
          <w:b/>
          <w:bCs/>
          <w:rtl/>
        </w:rPr>
        <w:t xml:space="preserve"> </w:t>
      </w:r>
      <w:r w:rsidRPr="002F2BC5">
        <w:rPr>
          <w:rFonts w:hint="eastAsia"/>
          <w:b/>
          <w:bCs/>
          <w:rtl/>
        </w:rPr>
        <w:t>שנכנסו</w:t>
      </w:r>
      <w:r w:rsidRPr="002F2BC5">
        <w:rPr>
          <w:b/>
          <w:bCs/>
          <w:rtl/>
        </w:rPr>
        <w:t xml:space="preserve"> </w:t>
      </w:r>
      <w:r w:rsidRPr="002F2BC5">
        <w:rPr>
          <w:rFonts w:hint="eastAsia"/>
          <w:b/>
          <w:bCs/>
          <w:rtl/>
        </w:rPr>
        <w:t>לתפקידם</w:t>
      </w:r>
      <w:r w:rsidRPr="002F2BC5">
        <w:rPr>
          <w:b/>
          <w:bCs/>
          <w:rtl/>
        </w:rPr>
        <w:t xml:space="preserve"> </w:t>
      </w:r>
      <w:r w:rsidRPr="002F2BC5">
        <w:rPr>
          <w:rFonts w:hint="eastAsia"/>
          <w:b/>
          <w:bCs/>
          <w:rtl/>
        </w:rPr>
        <w:t>בעקבות</w:t>
      </w:r>
      <w:r w:rsidRPr="002F2BC5">
        <w:rPr>
          <w:b/>
          <w:bCs/>
          <w:rtl/>
        </w:rPr>
        <w:t xml:space="preserve"> </w:t>
      </w:r>
      <w:r w:rsidRPr="002F2BC5">
        <w:rPr>
          <w:rFonts w:hint="eastAsia"/>
          <w:b/>
          <w:bCs/>
          <w:rtl/>
        </w:rPr>
        <w:t>הרחבת</w:t>
      </w:r>
      <w:r w:rsidRPr="002F2BC5">
        <w:rPr>
          <w:b/>
          <w:bCs/>
          <w:rtl/>
        </w:rPr>
        <w:t xml:space="preserve"> </w:t>
      </w:r>
      <w:r w:rsidRPr="002F2BC5">
        <w:rPr>
          <w:rFonts w:hint="eastAsia"/>
          <w:b/>
          <w:bCs/>
          <w:rtl/>
        </w:rPr>
        <w:t>התוכנית</w:t>
      </w:r>
      <w:r w:rsidRPr="002F2BC5">
        <w:rPr>
          <w:b/>
          <w:bCs/>
          <w:rtl/>
        </w:rPr>
        <w:t xml:space="preserve"> </w:t>
      </w:r>
      <w:r w:rsidRPr="002F2BC5">
        <w:rPr>
          <w:rFonts w:hint="eastAsia"/>
          <w:b/>
          <w:bCs/>
          <w:rtl/>
        </w:rPr>
        <w:t>לרשויות</w:t>
      </w:r>
      <w:r w:rsidRPr="002F2BC5">
        <w:rPr>
          <w:b/>
          <w:bCs/>
          <w:rtl/>
        </w:rPr>
        <w:t xml:space="preserve"> </w:t>
      </w:r>
      <w:r w:rsidRPr="002F2BC5">
        <w:rPr>
          <w:rFonts w:hint="eastAsia"/>
          <w:b/>
          <w:bCs/>
          <w:rtl/>
        </w:rPr>
        <w:t>מקומיות</w:t>
      </w:r>
      <w:r w:rsidRPr="002F2BC5">
        <w:rPr>
          <w:b/>
          <w:bCs/>
          <w:rtl/>
        </w:rPr>
        <w:t xml:space="preserve"> </w:t>
      </w:r>
      <w:r w:rsidRPr="002F2BC5">
        <w:rPr>
          <w:rFonts w:hint="eastAsia"/>
          <w:b/>
          <w:bCs/>
          <w:rtl/>
        </w:rPr>
        <w:t>נוספות</w:t>
      </w:r>
      <w:r w:rsidRPr="002F2BC5">
        <w:rPr>
          <w:b/>
          <w:bCs/>
          <w:rtl/>
        </w:rPr>
        <w:t xml:space="preserve"> </w:t>
      </w:r>
      <w:r w:rsidRPr="002F2BC5">
        <w:rPr>
          <w:rFonts w:hint="eastAsia"/>
          <w:b/>
          <w:bCs/>
          <w:rtl/>
        </w:rPr>
        <w:t>או</w:t>
      </w:r>
      <w:r w:rsidRPr="002F2BC5">
        <w:rPr>
          <w:b/>
          <w:bCs/>
          <w:rtl/>
        </w:rPr>
        <w:t xml:space="preserve"> </w:t>
      </w:r>
      <w:r w:rsidRPr="002F2BC5">
        <w:rPr>
          <w:rFonts w:hint="eastAsia"/>
          <w:b/>
          <w:bCs/>
          <w:rtl/>
        </w:rPr>
        <w:t>בעקבות</w:t>
      </w:r>
      <w:r w:rsidRPr="002F2BC5">
        <w:rPr>
          <w:b/>
          <w:bCs/>
          <w:rtl/>
        </w:rPr>
        <w:t xml:space="preserve"> </w:t>
      </w:r>
      <w:r w:rsidRPr="002F2BC5">
        <w:rPr>
          <w:rFonts w:hint="eastAsia"/>
          <w:b/>
          <w:bCs/>
          <w:rtl/>
        </w:rPr>
        <w:t>תחלופת</w:t>
      </w:r>
      <w:r w:rsidRPr="002F2BC5">
        <w:rPr>
          <w:b/>
          <w:bCs/>
          <w:rtl/>
        </w:rPr>
        <w:t xml:space="preserve"> כוח אדם </w:t>
      </w:r>
      <w:r w:rsidRPr="002F2BC5">
        <w:rPr>
          <w:rFonts w:hint="eastAsia"/>
          <w:b/>
          <w:bCs/>
          <w:rtl/>
        </w:rPr>
        <w:t>הכשרה</w:t>
      </w:r>
      <w:r w:rsidRPr="002F2BC5">
        <w:rPr>
          <w:b/>
          <w:bCs/>
          <w:rtl/>
        </w:rPr>
        <w:t xml:space="preserve"> </w:t>
      </w:r>
      <w:r w:rsidRPr="002F2BC5">
        <w:rPr>
          <w:rFonts w:hint="eastAsia"/>
          <w:b/>
          <w:bCs/>
          <w:rtl/>
        </w:rPr>
        <w:t>ייעודית</w:t>
      </w:r>
      <w:r w:rsidRPr="002F2BC5">
        <w:rPr>
          <w:b/>
          <w:bCs/>
          <w:rtl/>
        </w:rPr>
        <w:t xml:space="preserve"> </w:t>
      </w:r>
      <w:r w:rsidRPr="002F2BC5">
        <w:rPr>
          <w:rFonts w:hint="eastAsia"/>
          <w:b/>
          <w:bCs/>
          <w:rtl/>
        </w:rPr>
        <w:t>באבחון</w:t>
      </w:r>
      <w:r w:rsidRPr="002F2BC5">
        <w:rPr>
          <w:b/>
          <w:bCs/>
          <w:rtl/>
        </w:rPr>
        <w:t xml:space="preserve"> </w:t>
      </w:r>
      <w:r w:rsidRPr="002F2BC5">
        <w:rPr>
          <w:rFonts w:hint="eastAsia"/>
          <w:b/>
          <w:bCs/>
          <w:rtl/>
        </w:rPr>
        <w:t>ובעבודה</w:t>
      </w:r>
      <w:r w:rsidRPr="002F2BC5">
        <w:rPr>
          <w:b/>
          <w:bCs/>
          <w:rtl/>
        </w:rPr>
        <w:t xml:space="preserve"> </w:t>
      </w:r>
      <w:r w:rsidRPr="002F2BC5">
        <w:rPr>
          <w:rFonts w:hint="eastAsia"/>
          <w:b/>
          <w:bCs/>
          <w:rtl/>
        </w:rPr>
        <w:t>קצרת</w:t>
      </w:r>
      <w:r w:rsidRPr="002F2BC5">
        <w:rPr>
          <w:b/>
          <w:bCs/>
          <w:rtl/>
        </w:rPr>
        <w:t xml:space="preserve"> </w:t>
      </w:r>
      <w:r w:rsidRPr="002F2BC5">
        <w:rPr>
          <w:rFonts w:hint="eastAsia"/>
          <w:b/>
          <w:bCs/>
          <w:rtl/>
        </w:rPr>
        <w:t>טווח</w:t>
      </w:r>
      <w:r w:rsidRPr="002F2BC5">
        <w:rPr>
          <w:b/>
          <w:bCs/>
          <w:rtl/>
        </w:rPr>
        <w:t xml:space="preserve"> </w:t>
      </w:r>
      <w:r w:rsidRPr="002F2BC5">
        <w:rPr>
          <w:rFonts w:hint="eastAsia"/>
          <w:b/>
          <w:bCs/>
          <w:rtl/>
        </w:rPr>
        <w:t>המותאמת</w:t>
      </w:r>
      <w:r w:rsidRPr="002F2BC5">
        <w:rPr>
          <w:b/>
          <w:bCs/>
          <w:rtl/>
        </w:rPr>
        <w:t xml:space="preserve"> </w:t>
      </w:r>
      <w:r w:rsidRPr="002F2BC5">
        <w:rPr>
          <w:rFonts w:hint="eastAsia"/>
          <w:b/>
          <w:bCs/>
          <w:rtl/>
        </w:rPr>
        <w:t>באופן</w:t>
      </w:r>
      <w:r w:rsidRPr="002F2BC5">
        <w:rPr>
          <w:b/>
          <w:bCs/>
          <w:rtl/>
        </w:rPr>
        <w:t xml:space="preserve"> </w:t>
      </w:r>
      <w:r w:rsidRPr="002F2BC5">
        <w:rPr>
          <w:rFonts w:hint="eastAsia"/>
          <w:b/>
          <w:bCs/>
          <w:rtl/>
        </w:rPr>
        <w:t>ייחודי</w:t>
      </w:r>
      <w:r w:rsidRPr="002F2BC5">
        <w:rPr>
          <w:b/>
          <w:bCs/>
          <w:rtl/>
        </w:rPr>
        <w:t xml:space="preserve"> </w:t>
      </w:r>
      <w:r w:rsidRPr="002F2BC5">
        <w:rPr>
          <w:rFonts w:hint="eastAsia"/>
          <w:b/>
          <w:bCs/>
          <w:rtl/>
        </w:rPr>
        <w:t>למטופלים</w:t>
      </w:r>
      <w:r w:rsidRPr="002F2BC5">
        <w:rPr>
          <w:b/>
          <w:bCs/>
          <w:rtl/>
        </w:rPr>
        <w:t xml:space="preserve"> </w:t>
      </w:r>
      <w:r w:rsidRPr="002F2BC5">
        <w:rPr>
          <w:rFonts w:hint="eastAsia"/>
          <w:b/>
          <w:bCs/>
          <w:rtl/>
        </w:rPr>
        <w:t>גברים</w:t>
      </w:r>
      <w:r w:rsidRPr="002F2BC5">
        <w:rPr>
          <w:b/>
          <w:bCs/>
          <w:rtl/>
        </w:rPr>
        <w:t xml:space="preserve"> (</w:t>
      </w:r>
      <w:r w:rsidRPr="002F2BC5">
        <w:rPr>
          <w:rFonts w:hint="eastAsia"/>
          <w:b/>
          <w:bCs/>
          <w:rtl/>
        </w:rPr>
        <w:t>טיפול</w:t>
      </w:r>
      <w:r w:rsidRPr="002F2BC5">
        <w:rPr>
          <w:b/>
          <w:bCs/>
          <w:rtl/>
        </w:rPr>
        <w:t xml:space="preserve"> </w:t>
      </w:r>
      <w:r w:rsidRPr="002F2BC5">
        <w:rPr>
          <w:rFonts w:hint="eastAsia"/>
          <w:b/>
          <w:bCs/>
          <w:rtl/>
        </w:rPr>
        <w:t>רגיש</w:t>
      </w:r>
      <w:r w:rsidRPr="002F2BC5">
        <w:rPr>
          <w:b/>
          <w:bCs/>
          <w:rtl/>
        </w:rPr>
        <w:t xml:space="preserve"> </w:t>
      </w:r>
      <w:r w:rsidRPr="002F2BC5">
        <w:rPr>
          <w:rFonts w:hint="eastAsia"/>
          <w:b/>
          <w:bCs/>
          <w:rtl/>
        </w:rPr>
        <w:t>מגדר</w:t>
      </w:r>
      <w:r w:rsidRPr="002F2BC5">
        <w:rPr>
          <w:b/>
          <w:bCs/>
          <w:rtl/>
        </w:rPr>
        <w:t xml:space="preserve">). </w:t>
      </w:r>
    </w:p>
    <w:p w14:paraId="6821969A" w14:textId="77777777" w:rsidR="00817399" w:rsidRPr="002F2BC5" w:rsidRDefault="00817399" w:rsidP="00817399">
      <w:pPr>
        <w:spacing w:line="269" w:lineRule="auto"/>
        <w:rPr>
          <w:rtl/>
        </w:rPr>
      </w:pPr>
    </w:p>
    <w:p w14:paraId="6B9B85A2" w14:textId="77777777" w:rsidR="00817399" w:rsidRPr="002F2BC5" w:rsidRDefault="00817399" w:rsidP="00817399">
      <w:pPr>
        <w:spacing w:line="269" w:lineRule="auto"/>
        <w:rPr>
          <w:rtl/>
        </w:rPr>
      </w:pPr>
      <w:r w:rsidRPr="002F2BC5">
        <w:rPr>
          <w:rFonts w:hint="cs"/>
          <w:rtl/>
        </w:rPr>
        <w:t>לצד זאת הועלה כי יום עיון מקצועי שערך משרד הרווחה, בשיתוף משטרת ישראל והרשות לביטחון קהילתי, לאחר סיום ביקורת המעקב במהלך ינואר 2025, והיה מיועד לעו"ס משטרה, התמקד בין השאר ברתימה של גברים לטיפול. משרד הרווחה מסר במהלך ביקורת המעקב, בינואר 2025, כי בכוונתו לקיים מפגשים נוספים לחיזוק והטמעת מודל העבודה של עו"ס משטרה, הן ברמת המחוזות והן ברמה הארצית.</w:t>
      </w:r>
    </w:p>
    <w:p w14:paraId="48628313" w14:textId="77777777" w:rsidR="00817399" w:rsidRPr="002F2BC5" w:rsidRDefault="00817399" w:rsidP="00817399">
      <w:pPr>
        <w:spacing w:line="269" w:lineRule="auto"/>
        <w:rPr>
          <w:rtl/>
        </w:rPr>
      </w:pPr>
    </w:p>
    <w:p w14:paraId="064B470C" w14:textId="77777777" w:rsidR="00817399" w:rsidRPr="002F2BC5" w:rsidRDefault="00817399" w:rsidP="00817399">
      <w:pPr>
        <w:pStyle w:val="afffffff9"/>
        <w:spacing w:line="269" w:lineRule="auto"/>
        <w:rPr>
          <w:rtl/>
        </w:rPr>
      </w:pPr>
      <w:bookmarkStart w:id="1766" w:name="_Toc191987115"/>
      <w:bookmarkStart w:id="1767" w:name="_Toc192093162"/>
      <w:bookmarkStart w:id="1768" w:name="_Toc192612870"/>
      <w:bookmarkStart w:id="1769" w:name="_Toc198312314"/>
      <w:bookmarkStart w:id="1770" w:name="_Toc198312795"/>
      <w:bookmarkStart w:id="1771" w:name="_Toc200636959"/>
      <w:bookmarkStart w:id="1772" w:name="_Toc200439957"/>
      <w:bookmarkStart w:id="1773" w:name="_Toc201241062"/>
      <w:bookmarkStart w:id="1774" w:name="_Hlk192068100"/>
      <w:r w:rsidRPr="002F2BC5">
        <w:rPr>
          <w:rtl/>
        </w:rPr>
        <w:t xml:space="preserve">הביקורת הקודמת העלתה כי אף שכמחצית מהמופנים למרכזים </w:t>
      </w:r>
      <w:r w:rsidRPr="002F2BC5">
        <w:rPr>
          <w:rFonts w:hint="cs"/>
          <w:rtl/>
        </w:rPr>
        <w:t xml:space="preserve">לטיפול ומניעת אלימות במשפחה במסגרת תוכנית עו"ס משטרה </w:t>
      </w:r>
      <w:r w:rsidRPr="002F2BC5">
        <w:rPr>
          <w:rtl/>
        </w:rPr>
        <w:t xml:space="preserve">היו גברים (3,200 מתוך 6,500), בקרב המופנים שנעשה </w:t>
      </w:r>
      <w:r w:rsidRPr="002F2BC5">
        <w:rPr>
          <w:rtl/>
        </w:rPr>
        <w:lastRenderedPageBreak/>
        <w:t xml:space="preserve">להם אינטייק היה שיעורם של הגברים כ-29% בלבד. </w:t>
      </w:r>
      <w:r w:rsidRPr="002F2BC5">
        <w:rPr>
          <w:rFonts w:hint="cs"/>
          <w:rtl/>
        </w:rPr>
        <w:t xml:space="preserve">ביקורת המעקב העלתה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לא</w:t>
      </w:r>
      <w:r w:rsidRPr="002F2BC5">
        <w:rPr>
          <w:rtl/>
        </w:rPr>
        <w:t xml:space="preserve"> </w:t>
      </w:r>
      <w:r w:rsidRPr="002F2BC5">
        <w:rPr>
          <w:rFonts w:hint="eastAsia"/>
          <w:rtl/>
        </w:rPr>
        <w:t>תוקן</w:t>
      </w:r>
      <w:r w:rsidRPr="002F2BC5">
        <w:rPr>
          <w:rFonts w:hint="cs"/>
          <w:rtl/>
        </w:rPr>
        <w:t>. אומנם בין השנים 2019 - 2023 חלה</w:t>
      </w:r>
      <w:r w:rsidRPr="002F2BC5">
        <w:rPr>
          <w:rtl/>
        </w:rPr>
        <w:t xml:space="preserve"> עלייה של כ-36% במספרם של הנשים והגברים שהופנו במסגרת תוכנית עו"ס משטרה לטיפול </w:t>
      </w:r>
      <w:r w:rsidRPr="002F2BC5">
        <w:rPr>
          <w:rFonts w:hint="cs"/>
          <w:rtl/>
        </w:rPr>
        <w:t xml:space="preserve">ושל כ-60% </w:t>
      </w:r>
      <w:r w:rsidRPr="002F2BC5">
        <w:rPr>
          <w:rtl/>
        </w:rPr>
        <w:t xml:space="preserve">במספרם של הנשים והגברים שנעשה להם אינטייק לאחר שהופנו לטיפול כאמור. </w:t>
      </w:r>
      <w:r w:rsidRPr="002F2BC5">
        <w:rPr>
          <w:rFonts w:hint="cs"/>
          <w:rtl/>
        </w:rPr>
        <w:t>עם זאת,</w:t>
      </w:r>
      <w:r w:rsidRPr="002F2BC5">
        <w:rPr>
          <w:rFonts w:hint="cs"/>
          <w:b w:val="0"/>
          <w:bCs w:val="0"/>
          <w:rtl/>
        </w:rPr>
        <w:t xml:space="preserve"> </w:t>
      </w:r>
      <w:r w:rsidRPr="002F2BC5">
        <w:rPr>
          <w:rFonts w:hint="cs"/>
          <w:rtl/>
        </w:rPr>
        <w:t>שיעורם של הגברים שנעשה להם אינטייק על ידי עו"ס משטרה מתוך כלל הגברים והנשים שנעשה להם אינטייק (כ-32%) נותר נמוך משיעור זה בקרב הנשים (כ-68%). הביקורת הנוכחית העלתה עוד כי שיעורן של הנשים שהמשיכו בטיפול לאחר האינטייק מתוך כלל הנשים שנעשה להן אינטייק בשנת 2023 (כ-32%) היה כמעט כפול משיעור זה בקרב הגברים (כ-18%)</w:t>
      </w:r>
      <w:r w:rsidRPr="002F2BC5">
        <w:rPr>
          <w:rtl/>
        </w:rPr>
        <w:t xml:space="preserve">. </w:t>
      </w:r>
      <w:r w:rsidRPr="002F2BC5">
        <w:rPr>
          <w:rFonts w:hint="cs"/>
          <w:rtl/>
        </w:rPr>
        <w:t>עוד הועלה</w:t>
      </w:r>
      <w:r w:rsidRPr="002F2BC5">
        <w:rPr>
          <w:rtl/>
        </w:rPr>
        <w:t xml:space="preserve"> </w:t>
      </w:r>
      <w:r w:rsidRPr="002F2BC5">
        <w:rPr>
          <w:rFonts w:hint="cs"/>
          <w:rtl/>
        </w:rPr>
        <w:t xml:space="preserve">בביקורת הנוכחית </w:t>
      </w:r>
      <w:r w:rsidRPr="002F2BC5">
        <w:rPr>
          <w:rtl/>
        </w:rPr>
        <w:t xml:space="preserve">כי מאז שנת 2022 לא התקיימו במשרד הרווחה הכשרות ייעודיות </w:t>
      </w:r>
      <w:r w:rsidRPr="002F2BC5">
        <w:rPr>
          <w:rFonts w:hint="eastAsia"/>
          <w:rtl/>
        </w:rPr>
        <w:t>לעובדים</w:t>
      </w:r>
      <w:r w:rsidRPr="002F2BC5">
        <w:rPr>
          <w:rtl/>
        </w:rPr>
        <w:t xml:space="preserve"> סוציאליים המועסקים במסגרת תוכנית </w:t>
      </w:r>
      <w:r w:rsidRPr="002F2BC5">
        <w:rPr>
          <w:rFonts w:hint="eastAsia"/>
          <w:rtl/>
        </w:rPr>
        <w:t>עו</w:t>
      </w:r>
      <w:r w:rsidRPr="002F2BC5">
        <w:rPr>
          <w:rtl/>
        </w:rPr>
        <w:t>"ס משטרה</w:t>
      </w:r>
      <w:r w:rsidRPr="002F2BC5">
        <w:rPr>
          <w:rFonts w:hint="cs"/>
          <w:rtl/>
        </w:rPr>
        <w:t xml:space="preserve"> ובכלל זה הכשרות </w:t>
      </w:r>
      <w:r w:rsidRPr="002F2BC5">
        <w:rPr>
          <w:rtl/>
        </w:rPr>
        <w:t xml:space="preserve">באבחון ובעבודה קצרת טווח </w:t>
      </w:r>
      <w:r w:rsidRPr="002F2BC5">
        <w:rPr>
          <w:rFonts w:hint="eastAsia"/>
          <w:rtl/>
        </w:rPr>
        <w:t>המותאמ</w:t>
      </w:r>
      <w:r w:rsidRPr="002F2BC5">
        <w:rPr>
          <w:rFonts w:hint="cs"/>
          <w:rtl/>
        </w:rPr>
        <w:t>ו</w:t>
      </w:r>
      <w:r w:rsidRPr="002F2BC5">
        <w:rPr>
          <w:rFonts w:hint="eastAsia"/>
          <w:rtl/>
        </w:rPr>
        <w:t>ת</w:t>
      </w:r>
      <w:r w:rsidRPr="002F2BC5">
        <w:rPr>
          <w:rtl/>
        </w:rPr>
        <w:t xml:space="preserve"> </w:t>
      </w:r>
      <w:r w:rsidRPr="002F2BC5">
        <w:rPr>
          <w:rFonts w:hint="eastAsia"/>
          <w:rtl/>
        </w:rPr>
        <w:t>באופן</w:t>
      </w:r>
      <w:r w:rsidRPr="002F2BC5">
        <w:rPr>
          <w:rtl/>
        </w:rPr>
        <w:t xml:space="preserve"> </w:t>
      </w:r>
      <w:r w:rsidRPr="002F2BC5">
        <w:rPr>
          <w:rFonts w:hint="eastAsia"/>
          <w:rtl/>
        </w:rPr>
        <w:t>ייחודי</w:t>
      </w:r>
      <w:r w:rsidRPr="002F2BC5">
        <w:rPr>
          <w:rtl/>
        </w:rPr>
        <w:t xml:space="preserve"> </w:t>
      </w:r>
      <w:r w:rsidRPr="002F2BC5">
        <w:rPr>
          <w:rFonts w:hint="eastAsia"/>
          <w:rtl/>
        </w:rPr>
        <w:t>למטופלים</w:t>
      </w:r>
      <w:r w:rsidRPr="002F2BC5">
        <w:rPr>
          <w:rtl/>
        </w:rPr>
        <w:t xml:space="preserve"> </w:t>
      </w:r>
      <w:r w:rsidRPr="002F2BC5">
        <w:rPr>
          <w:rFonts w:hint="eastAsia"/>
          <w:rtl/>
        </w:rPr>
        <w:t>גברים</w:t>
      </w:r>
      <w:r w:rsidRPr="002F2BC5">
        <w:rPr>
          <w:rtl/>
        </w:rPr>
        <w:t xml:space="preserve"> (</w:t>
      </w:r>
      <w:r w:rsidRPr="002F2BC5">
        <w:rPr>
          <w:rFonts w:hint="eastAsia"/>
          <w:rtl/>
        </w:rPr>
        <w:t>טיפול</w:t>
      </w:r>
      <w:r w:rsidRPr="002F2BC5">
        <w:rPr>
          <w:rtl/>
        </w:rPr>
        <w:t xml:space="preserve"> </w:t>
      </w:r>
      <w:r w:rsidRPr="002F2BC5">
        <w:rPr>
          <w:rFonts w:hint="eastAsia"/>
          <w:rtl/>
        </w:rPr>
        <w:t>רגיש</w:t>
      </w:r>
      <w:r w:rsidRPr="002F2BC5">
        <w:rPr>
          <w:rtl/>
        </w:rPr>
        <w:t xml:space="preserve"> </w:t>
      </w:r>
      <w:r w:rsidRPr="002F2BC5">
        <w:rPr>
          <w:rFonts w:hint="eastAsia"/>
          <w:rtl/>
        </w:rPr>
        <w:t>מגדר</w:t>
      </w:r>
      <w:r w:rsidRPr="002F2BC5">
        <w:rPr>
          <w:rtl/>
        </w:rPr>
        <w:t>)</w:t>
      </w:r>
      <w:r w:rsidRPr="002F2BC5">
        <w:rPr>
          <w:rFonts w:hint="cs"/>
          <w:rtl/>
        </w:rPr>
        <w:t>.</w:t>
      </w:r>
      <w:bookmarkEnd w:id="1766"/>
      <w:bookmarkEnd w:id="1767"/>
      <w:bookmarkEnd w:id="1768"/>
      <w:bookmarkEnd w:id="1769"/>
      <w:bookmarkEnd w:id="1770"/>
      <w:bookmarkEnd w:id="1771"/>
      <w:bookmarkEnd w:id="1772"/>
      <w:bookmarkEnd w:id="1773"/>
    </w:p>
    <w:bookmarkEnd w:id="1774"/>
    <w:p w14:paraId="10F1545B" w14:textId="77777777" w:rsidR="00817399" w:rsidRPr="002F2BC5" w:rsidRDefault="00817399" w:rsidP="00817399">
      <w:pPr>
        <w:spacing w:line="269" w:lineRule="auto"/>
        <w:rPr>
          <w:rtl/>
        </w:rPr>
      </w:pPr>
    </w:p>
    <w:p w14:paraId="153DD4FE" w14:textId="77777777" w:rsidR="00817399" w:rsidRPr="002F2BC5" w:rsidRDefault="00817399" w:rsidP="00817399">
      <w:pPr>
        <w:pStyle w:val="afffffffa"/>
        <w:spacing w:line="269" w:lineRule="auto"/>
        <w:rPr>
          <w:rtl/>
        </w:rPr>
      </w:pPr>
      <w:bookmarkStart w:id="1775" w:name="_Toc191987116"/>
      <w:bookmarkStart w:id="1776" w:name="_Toc192093163"/>
      <w:bookmarkStart w:id="1777" w:name="_Toc192612871"/>
      <w:bookmarkStart w:id="1778" w:name="_Toc198312315"/>
      <w:bookmarkStart w:id="1779" w:name="_Toc198312796"/>
      <w:bookmarkStart w:id="1780" w:name="_Toc200636960"/>
      <w:bookmarkStart w:id="1781" w:name="_Toc200439958"/>
      <w:bookmarkStart w:id="1782" w:name="_Toc201241063"/>
      <w:r w:rsidRPr="002F2BC5">
        <w:rPr>
          <w:rFonts w:hint="cs"/>
          <w:rtl/>
        </w:rPr>
        <w:t>מומלץ למשרד הרווחה לנתח את היקף הפניות המתקבלות במרכזים לטיפול ומניעת אלימות במשפחה ברשויות המקומיות שבהן מופעלת תוכנית עו"ס משטרה ואת ההשפעה לאורך זמן של הרחבת התוכנית ומספר הרשויות המקומיות הנכללות בה על היקף הפניות האמורות. עוד מומלץ למשרד הרווחה להקפיד שתינתן הכשרה ייעודית לעו"ס משטרה, בסמוך ככל האפשר למועד כניסתו לתפקיד, כדי שיוכל למלא את תפקידו באופן המיטבי וברמה המקצועית הנדרשת. בתוך כך מומלץ למשרד הרווחה לפעול להגדלת מספר הגברים שנעשה להם אינטייק ומהם מספר הגברים הממשיכים בטיפול, בין השאר תוך שימת דגש על הכשרה ייעודית לעו"ס משטרה באבחון ובעבודה קצרת טווח רגישת מגדר.</w:t>
      </w:r>
      <w:bookmarkEnd w:id="1775"/>
      <w:bookmarkEnd w:id="1776"/>
      <w:bookmarkEnd w:id="1777"/>
      <w:bookmarkEnd w:id="1778"/>
      <w:bookmarkEnd w:id="1779"/>
      <w:bookmarkEnd w:id="1780"/>
      <w:bookmarkEnd w:id="1781"/>
      <w:bookmarkEnd w:id="1782"/>
    </w:p>
    <w:p w14:paraId="0020D504" w14:textId="77777777" w:rsidR="00817399" w:rsidRPr="002F2BC5" w:rsidRDefault="00817399" w:rsidP="00817399">
      <w:pPr>
        <w:spacing w:line="269" w:lineRule="auto"/>
        <w:rPr>
          <w:rtl/>
        </w:rPr>
      </w:pPr>
    </w:p>
    <w:p w14:paraId="0698AB89" w14:textId="77777777" w:rsidR="00817399" w:rsidRPr="002F2BC5" w:rsidRDefault="00817399" w:rsidP="00817399">
      <w:pPr>
        <w:spacing w:line="269" w:lineRule="auto"/>
      </w:pPr>
      <w:r w:rsidRPr="002F2BC5">
        <w:rPr>
          <w:rFonts w:hint="cs"/>
          <w:rtl/>
        </w:rPr>
        <w:t xml:space="preserve">משטרת ישראל מסרה בתשובתה כי בהתאם לנוהל הטיפול המשטרתי בעבירות אלימות במשפחה, היא מפנה לגורמי הרווחה קורבנות עבירה וחשודים - נשים וגברים - לעיתים גם בהיעדר הסכמתו של קורבן העבירה (בין השאר אם מדובר בעבירה חמורה או אם לבני הזוג ילדים מתחת לגיל 14). משרד הרווחה מסר בתשובתו כי הוא מקפיד על קיום </w:t>
      </w:r>
      <w:r w:rsidRPr="002F2BC5">
        <w:rPr>
          <w:rtl/>
        </w:rPr>
        <w:t xml:space="preserve">הכשרות </w:t>
      </w:r>
      <w:r w:rsidRPr="002F2BC5">
        <w:rPr>
          <w:rFonts w:hint="cs"/>
          <w:rtl/>
        </w:rPr>
        <w:t>י</w:t>
      </w:r>
      <w:r w:rsidRPr="002F2BC5">
        <w:rPr>
          <w:rtl/>
        </w:rPr>
        <w:t>יעודיות לעו"ס משטרה</w:t>
      </w:r>
      <w:r w:rsidRPr="002F2BC5">
        <w:rPr>
          <w:rFonts w:hint="cs"/>
          <w:rtl/>
        </w:rPr>
        <w:t xml:space="preserve"> חרף</w:t>
      </w:r>
      <w:r w:rsidRPr="002F2BC5">
        <w:rPr>
          <w:rtl/>
        </w:rPr>
        <w:t xml:space="preserve"> מספר</w:t>
      </w:r>
      <w:r w:rsidRPr="002F2BC5">
        <w:rPr>
          <w:rFonts w:hint="cs"/>
          <w:rtl/>
        </w:rPr>
        <w:t>ם</w:t>
      </w:r>
      <w:r w:rsidRPr="002F2BC5">
        <w:rPr>
          <w:rtl/>
        </w:rPr>
        <w:t xml:space="preserve"> </w:t>
      </w:r>
      <w:r w:rsidRPr="002F2BC5">
        <w:rPr>
          <w:rFonts w:hint="cs"/>
          <w:rtl/>
        </w:rPr>
        <w:t xml:space="preserve">המצומצם </w:t>
      </w:r>
      <w:r w:rsidRPr="002F2BC5">
        <w:rPr>
          <w:rtl/>
        </w:rPr>
        <w:t>של המשתתפים</w:t>
      </w:r>
      <w:r w:rsidRPr="002F2BC5">
        <w:rPr>
          <w:rFonts w:hint="cs"/>
          <w:rtl/>
        </w:rPr>
        <w:t>,</w:t>
      </w:r>
      <w:r w:rsidRPr="002F2BC5">
        <w:rPr>
          <w:rtl/>
        </w:rPr>
        <w:t xml:space="preserve"> </w:t>
      </w:r>
      <w:r w:rsidRPr="002F2BC5">
        <w:rPr>
          <w:rFonts w:hint="cs"/>
          <w:rtl/>
        </w:rPr>
        <w:t xml:space="preserve">בהן וכי </w:t>
      </w:r>
      <w:r w:rsidRPr="002F2BC5">
        <w:rPr>
          <w:rtl/>
        </w:rPr>
        <w:t>הכשרה</w:t>
      </w:r>
      <w:r w:rsidRPr="002F2BC5">
        <w:rPr>
          <w:rFonts w:hint="cs"/>
          <w:rtl/>
        </w:rPr>
        <w:t xml:space="preserve"> חדשה</w:t>
      </w:r>
      <w:r w:rsidRPr="002F2BC5">
        <w:rPr>
          <w:rtl/>
        </w:rPr>
        <w:t xml:space="preserve"> נפתחה בתחילת שנת 2025.</w:t>
      </w:r>
    </w:p>
    <w:p w14:paraId="29F95946" w14:textId="77777777" w:rsidR="00817399" w:rsidRPr="002F2BC5" w:rsidRDefault="00817399" w:rsidP="00817399">
      <w:pPr>
        <w:spacing w:line="269" w:lineRule="auto"/>
        <w:rPr>
          <w:rtl/>
        </w:rPr>
      </w:pPr>
    </w:p>
    <w:p w14:paraId="5DE2A49C"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5AD1E7F3" w14:textId="77777777" w:rsidR="00817399" w:rsidRPr="002F2BC5" w:rsidRDefault="00817399" w:rsidP="00817399">
      <w:pPr>
        <w:pStyle w:val="afffffff7"/>
        <w:spacing w:before="0" w:line="269" w:lineRule="auto"/>
        <w:rPr>
          <w:rtl/>
        </w:rPr>
      </w:pPr>
      <w:bookmarkStart w:id="1783" w:name="_Toc198312316"/>
      <w:bookmarkStart w:id="1784" w:name="_Toc198312797"/>
      <w:bookmarkStart w:id="1785" w:name="_Toc189072272"/>
      <w:r w:rsidRPr="002F2BC5">
        <w:rPr>
          <w:noProof/>
        </w:rPr>
        <w:drawing>
          <wp:inline distT="0" distB="0" distL="0" distR="0" wp14:anchorId="0BC167D3" wp14:editId="15B8D09D">
            <wp:extent cx="4324350" cy="933450"/>
            <wp:effectExtent l="0" t="0" r="0" b="0"/>
            <wp:docPr id="44"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783"/>
      <w:bookmarkEnd w:id="1784"/>
    </w:p>
    <w:bookmarkEnd w:id="1785"/>
    <w:p w14:paraId="41BC2D65" w14:textId="77777777" w:rsidR="00817399" w:rsidRPr="002F2BC5" w:rsidRDefault="00817399" w:rsidP="00817399">
      <w:pPr>
        <w:spacing w:line="269" w:lineRule="auto"/>
        <w:rPr>
          <w:rtl/>
        </w:rPr>
      </w:pPr>
    </w:p>
    <w:p w14:paraId="6B26468B" w14:textId="77777777" w:rsidR="00817399" w:rsidRPr="002F2BC5" w:rsidRDefault="00817399" w:rsidP="00817399">
      <w:pPr>
        <w:pStyle w:val="6"/>
        <w:spacing w:line="269" w:lineRule="auto"/>
      </w:pPr>
      <w:bookmarkStart w:id="1786" w:name="_Toc189072273"/>
      <w:bookmarkStart w:id="1787" w:name="_Toc191987117"/>
      <w:bookmarkStart w:id="1788" w:name="_Toc193110633"/>
      <w:r w:rsidRPr="002F2BC5">
        <w:rPr>
          <w:rFonts w:hint="cs"/>
          <w:rtl/>
        </w:rPr>
        <w:t>תורת ההפעלה של תוכנית עו"ס משטרה</w:t>
      </w:r>
      <w:bookmarkEnd w:id="1786"/>
      <w:bookmarkEnd w:id="1787"/>
      <w:bookmarkEnd w:id="1788"/>
    </w:p>
    <w:p w14:paraId="366D2DF2" w14:textId="77777777" w:rsidR="00817399" w:rsidRPr="002F2BC5" w:rsidRDefault="00817399" w:rsidP="00817399">
      <w:pPr>
        <w:spacing w:line="269" w:lineRule="auto"/>
        <w:rPr>
          <w:rtl/>
        </w:rPr>
      </w:pPr>
    </w:p>
    <w:p w14:paraId="158862AD" w14:textId="77777777" w:rsidR="00817399" w:rsidRPr="002F2BC5" w:rsidRDefault="00817399" w:rsidP="00817399">
      <w:pPr>
        <w:spacing w:line="269" w:lineRule="auto"/>
        <w:rPr>
          <w:rtl/>
        </w:rPr>
      </w:pPr>
      <w:bookmarkStart w:id="1789" w:name="_Toc191987118"/>
      <w:r w:rsidRPr="002F2BC5">
        <w:rPr>
          <w:rStyle w:val="70"/>
          <w:rFonts w:hint="cs"/>
          <w:rtl/>
        </w:rPr>
        <w:t>הנושא המפורט להלן נבדק לראשונה במסגרת ביקורת זו:</w:t>
      </w:r>
      <w:bookmarkEnd w:id="1789"/>
      <w:r w:rsidRPr="002F2BC5">
        <w:rPr>
          <w:rStyle w:val="70"/>
          <w:rFonts w:hint="cs"/>
          <w:rtl/>
        </w:rPr>
        <w:t xml:space="preserve"> </w:t>
      </w:r>
      <w:r w:rsidRPr="002F2BC5">
        <w:rPr>
          <w:rFonts w:hint="cs"/>
          <w:rtl/>
        </w:rPr>
        <w:t>בספטמבר 2021 פורסמו ממצאי מחקר פיילוט (הרצה) למדידת תוכנית עו"ס משטרה. המחקר נועד לשמש בסיס למערכת ממוחשבת למדידת תוצאות שוטפות של תוכנית זו ושל תוכניות קצרות טווח אחרות בתחום האלימות במשפחה</w:t>
      </w:r>
      <w:r w:rsidRPr="002F2BC5">
        <w:rPr>
          <w:rStyle w:val="af9"/>
          <w:rtl/>
        </w:rPr>
        <w:footnoteReference w:id="353"/>
      </w:r>
      <w:r w:rsidRPr="002F2BC5">
        <w:rPr>
          <w:rFonts w:hint="cs"/>
          <w:rtl/>
        </w:rPr>
        <w:t xml:space="preserve">. בשנת 2022 פורסמו ממצאי מחקר נוסף שנועד </w:t>
      </w:r>
      <w:r w:rsidRPr="002F2BC5">
        <w:rPr>
          <w:rtl/>
        </w:rPr>
        <w:t xml:space="preserve">לבחון את מידת השגת התוצאות של התוכנית באמצעות כלי </w:t>
      </w:r>
      <w:r w:rsidRPr="002F2BC5">
        <w:rPr>
          <w:rFonts w:hint="cs"/>
          <w:rtl/>
        </w:rPr>
        <w:t>ייעודי שפותח לצורך כך וכן לתקף את הכלי בטרם הטמעתו</w:t>
      </w:r>
      <w:r w:rsidRPr="002F2BC5">
        <w:rPr>
          <w:rtl/>
        </w:rPr>
        <w:t>.</w:t>
      </w:r>
      <w:r w:rsidRPr="002F2BC5">
        <w:rPr>
          <w:rFonts w:hint="cs"/>
          <w:rtl/>
        </w:rPr>
        <w:t xml:space="preserve"> במסגרת המחקר משנת 2022 נשלח </w:t>
      </w:r>
      <w:r w:rsidRPr="002F2BC5">
        <w:rPr>
          <w:rtl/>
        </w:rPr>
        <w:t xml:space="preserve">שאלון </w:t>
      </w:r>
      <w:r w:rsidRPr="002F2BC5">
        <w:rPr>
          <w:rFonts w:hint="cs"/>
          <w:rtl/>
        </w:rPr>
        <w:t xml:space="preserve">ל-45 </w:t>
      </w:r>
      <w:r w:rsidRPr="002F2BC5">
        <w:rPr>
          <w:rtl/>
        </w:rPr>
        <w:t xml:space="preserve">עובדים </w:t>
      </w:r>
      <w:r w:rsidRPr="002F2BC5">
        <w:rPr>
          <w:rFonts w:hint="cs"/>
          <w:rtl/>
        </w:rPr>
        <w:t xml:space="preserve">סוציאליים שהועסקו באותו הזמן בתפקיד עו"ס משטרה, וכן </w:t>
      </w:r>
      <w:r w:rsidRPr="002F2BC5">
        <w:rPr>
          <w:rtl/>
        </w:rPr>
        <w:t>נערכה קבוצת מיקוד עם ארבע עו</w:t>
      </w:r>
      <w:r w:rsidRPr="002F2BC5">
        <w:rPr>
          <w:rFonts w:hint="cs"/>
          <w:rtl/>
        </w:rPr>
        <w:t xml:space="preserve">בדות סוציאליות. </w:t>
      </w:r>
    </w:p>
    <w:p w14:paraId="2C3E3E72" w14:textId="77777777" w:rsidR="00817399" w:rsidRPr="002F2BC5" w:rsidRDefault="00817399" w:rsidP="00817399">
      <w:pPr>
        <w:spacing w:line="269" w:lineRule="auto"/>
        <w:rPr>
          <w:rtl/>
        </w:rPr>
      </w:pPr>
    </w:p>
    <w:p w14:paraId="6AEE6CB5" w14:textId="77777777" w:rsidR="00817399" w:rsidRPr="002F2BC5" w:rsidRDefault="00817399" w:rsidP="00817399">
      <w:pPr>
        <w:spacing w:line="269" w:lineRule="auto"/>
        <w:rPr>
          <w:rtl/>
        </w:rPr>
      </w:pPr>
      <w:r w:rsidRPr="002F2BC5">
        <w:rPr>
          <w:rFonts w:hint="cs"/>
          <w:rtl/>
        </w:rPr>
        <w:t>ממצאי המחקר משנת 2022 הצביעו על כך</w:t>
      </w:r>
      <w:r w:rsidRPr="002F2BC5">
        <w:rPr>
          <w:rtl/>
        </w:rPr>
        <w:t xml:space="preserve"> </w:t>
      </w:r>
      <w:r w:rsidRPr="002F2BC5">
        <w:rPr>
          <w:rFonts w:hint="cs"/>
          <w:rtl/>
        </w:rPr>
        <w:t>ש</w:t>
      </w:r>
      <w:r w:rsidRPr="002F2BC5">
        <w:rPr>
          <w:rtl/>
        </w:rPr>
        <w:t>ישנה שונות רבה ב</w:t>
      </w:r>
      <w:r w:rsidRPr="002F2BC5">
        <w:rPr>
          <w:rFonts w:hint="cs"/>
          <w:rtl/>
        </w:rPr>
        <w:t>אופן הפעלת התוכנית בכל הקשור להגדרת תפקיד עו"ס משטרה וביצועו בפועל - בין עובדים שהעסקתם ממומנת על ידי משרד הרווחה לעובדים שהעסקתם ממומנת על ידי הרשות לביטחון קהילתי</w:t>
      </w:r>
      <w:r w:rsidRPr="002F2BC5">
        <w:rPr>
          <w:rtl/>
        </w:rPr>
        <w:t xml:space="preserve">. </w:t>
      </w:r>
      <w:r w:rsidRPr="002F2BC5">
        <w:rPr>
          <w:rFonts w:hint="cs"/>
          <w:rtl/>
        </w:rPr>
        <w:t xml:space="preserve">על פי האמור במחקר, </w:t>
      </w:r>
      <w:r w:rsidRPr="002F2BC5">
        <w:rPr>
          <w:rtl/>
        </w:rPr>
        <w:lastRenderedPageBreak/>
        <w:t>הדבר אינו מתבטא רק במיקום הפיזי שבו הם עובדים</w:t>
      </w:r>
      <w:r w:rsidRPr="002F2BC5">
        <w:rPr>
          <w:rFonts w:hint="cs"/>
          <w:rtl/>
        </w:rPr>
        <w:t>,</w:t>
      </w:r>
      <w:r w:rsidRPr="002F2BC5">
        <w:rPr>
          <w:rtl/>
        </w:rPr>
        <w:t xml:space="preserve"> אלא משליך </w:t>
      </w:r>
      <w:r w:rsidRPr="002F2BC5">
        <w:rPr>
          <w:rFonts w:hint="cs"/>
          <w:rtl/>
        </w:rPr>
        <w:t xml:space="preserve">גם </w:t>
      </w:r>
      <w:r w:rsidRPr="002F2BC5">
        <w:rPr>
          <w:rtl/>
        </w:rPr>
        <w:t>על תפיסת התפקיד ומטרותיו, על אופי העבודה היו</w:t>
      </w:r>
      <w:r w:rsidRPr="002F2BC5">
        <w:rPr>
          <w:rFonts w:hint="cs"/>
          <w:rtl/>
        </w:rPr>
        <w:t>ם-</w:t>
      </w:r>
      <w:r w:rsidRPr="002F2BC5">
        <w:rPr>
          <w:rtl/>
        </w:rPr>
        <w:t>יומית</w:t>
      </w:r>
      <w:r w:rsidRPr="002F2BC5">
        <w:rPr>
          <w:rFonts w:hint="cs"/>
          <w:rtl/>
        </w:rPr>
        <w:t xml:space="preserve">, </w:t>
      </w:r>
      <w:r w:rsidRPr="002F2BC5">
        <w:rPr>
          <w:rtl/>
        </w:rPr>
        <w:t>על שיטות העבודה</w:t>
      </w:r>
      <w:r w:rsidRPr="002F2BC5">
        <w:rPr>
          <w:rFonts w:hint="cs"/>
          <w:rtl/>
        </w:rPr>
        <w:t xml:space="preserve"> ועל הממשקים</w:t>
      </w:r>
      <w:r w:rsidRPr="002F2BC5">
        <w:rPr>
          <w:rtl/>
        </w:rPr>
        <w:t xml:space="preserve"> ושיתופי הפעולה עם </w:t>
      </w:r>
      <w:r w:rsidRPr="002F2BC5">
        <w:rPr>
          <w:rFonts w:hint="cs"/>
          <w:rtl/>
        </w:rPr>
        <w:t>גורמים נוספים</w:t>
      </w:r>
      <w:r w:rsidRPr="002F2BC5">
        <w:rPr>
          <w:rtl/>
        </w:rPr>
        <w:t xml:space="preserve">. </w:t>
      </w:r>
      <w:r w:rsidRPr="002F2BC5">
        <w:rPr>
          <w:rFonts w:hint="cs"/>
          <w:rtl/>
        </w:rPr>
        <w:t>עוד עולה מממצאי המחקר כי האופן שבו נחשפו העובדים למדיניות ולנוהלי העבודה במסגרת התוכנית לא היה אחיד - מבין העובדים שהשתתפו במחקר היו אף שהשיבו שכלל לא נחשפו לנהלים</w:t>
      </w:r>
      <w:r w:rsidRPr="002F2BC5">
        <w:rPr>
          <w:rStyle w:val="af9"/>
          <w:rtl/>
        </w:rPr>
        <w:footnoteReference w:id="354"/>
      </w:r>
      <w:r w:rsidRPr="002F2BC5">
        <w:rPr>
          <w:rFonts w:hint="cs"/>
          <w:rtl/>
        </w:rPr>
        <w:t>.</w:t>
      </w:r>
    </w:p>
    <w:p w14:paraId="57CD5F07" w14:textId="77777777" w:rsidR="00817399" w:rsidRPr="002F2BC5" w:rsidRDefault="00817399" w:rsidP="00817399">
      <w:pPr>
        <w:spacing w:line="269" w:lineRule="auto"/>
        <w:rPr>
          <w:rtl/>
        </w:rPr>
      </w:pPr>
    </w:p>
    <w:p w14:paraId="7CC3725F" w14:textId="77777777" w:rsidR="00817399" w:rsidRPr="002F2BC5" w:rsidRDefault="00817399" w:rsidP="00817399">
      <w:pPr>
        <w:spacing w:line="269" w:lineRule="auto"/>
        <w:rPr>
          <w:rtl/>
        </w:rPr>
      </w:pPr>
      <w:r w:rsidRPr="002F2BC5">
        <w:rPr>
          <w:rFonts w:hint="cs"/>
          <w:rtl/>
        </w:rPr>
        <w:t xml:space="preserve">מממצאי המחקר עלה כי מתוך 45 העובדים הסוציאליים שאליהם נשלח השאלון במסגרת המחקר, 26 בלבד השיבו על השאלון. עורכי המחקר ציינו כי </w:t>
      </w:r>
      <w:r w:rsidRPr="002F2BC5">
        <w:rPr>
          <w:rtl/>
        </w:rPr>
        <w:t>שיעורי ה</w:t>
      </w:r>
      <w:r w:rsidRPr="002F2BC5">
        <w:rPr>
          <w:rFonts w:hint="cs"/>
          <w:rtl/>
        </w:rPr>
        <w:t>היענות</w:t>
      </w:r>
      <w:r w:rsidRPr="002F2BC5">
        <w:rPr>
          <w:rtl/>
        </w:rPr>
        <w:t xml:space="preserve"> הנמוכים </w:t>
      </w:r>
      <w:r w:rsidRPr="002F2BC5">
        <w:rPr>
          <w:rFonts w:hint="cs"/>
          <w:rtl/>
        </w:rPr>
        <w:t>עשויים</w:t>
      </w:r>
      <w:r w:rsidRPr="002F2BC5">
        <w:rPr>
          <w:rtl/>
        </w:rPr>
        <w:t xml:space="preserve"> </w:t>
      </w:r>
      <w:r w:rsidRPr="002F2BC5">
        <w:rPr>
          <w:rFonts w:hint="cs"/>
          <w:rtl/>
        </w:rPr>
        <w:t xml:space="preserve">ללמד על </w:t>
      </w:r>
      <w:r w:rsidRPr="002F2BC5">
        <w:rPr>
          <w:rtl/>
        </w:rPr>
        <w:t>היעדרה של תורת עבודה המדגישה תכנון, מעקב ומדידת תוצאות</w:t>
      </w:r>
      <w:r w:rsidRPr="002F2BC5">
        <w:rPr>
          <w:rFonts w:hint="cs"/>
          <w:rtl/>
        </w:rPr>
        <w:t xml:space="preserve"> כמו גם </w:t>
      </w:r>
      <w:r w:rsidRPr="002F2BC5">
        <w:rPr>
          <w:rtl/>
        </w:rPr>
        <w:t xml:space="preserve">על קשיים במשילות. </w:t>
      </w:r>
      <w:r w:rsidRPr="002F2BC5">
        <w:rPr>
          <w:rFonts w:hint="cs"/>
          <w:rtl/>
        </w:rPr>
        <w:t>זאת בין השאר על רקע ההפעלה של התוכנית בו בזמן על ידי משרד הרווחה והרשות לביטחון קהילתי</w:t>
      </w:r>
      <w:r w:rsidRPr="002F2BC5">
        <w:rPr>
          <w:rtl/>
        </w:rPr>
        <w:t>.</w:t>
      </w:r>
      <w:r w:rsidRPr="002F2BC5">
        <w:rPr>
          <w:rFonts w:hint="cs"/>
          <w:rtl/>
        </w:rPr>
        <w:t xml:space="preserve"> עורכי המחקר המליצו בהקשר זה על פיתוח והטמעה </w:t>
      </w:r>
      <w:r w:rsidRPr="002F2BC5">
        <w:rPr>
          <w:rtl/>
        </w:rPr>
        <w:t xml:space="preserve">בקרב העובדים </w:t>
      </w:r>
      <w:r w:rsidRPr="002F2BC5">
        <w:rPr>
          <w:rFonts w:hint="cs"/>
          <w:rtl/>
        </w:rPr>
        <w:t xml:space="preserve">של </w:t>
      </w:r>
      <w:r w:rsidRPr="002F2BC5">
        <w:rPr>
          <w:rtl/>
        </w:rPr>
        <w:t>תורת עבודה מתוכננת, מתועדת ומוערכת</w:t>
      </w:r>
      <w:r w:rsidRPr="002F2BC5">
        <w:rPr>
          <w:rStyle w:val="af9"/>
          <w:rtl/>
        </w:rPr>
        <w:footnoteReference w:id="355"/>
      </w:r>
      <w:r w:rsidRPr="002F2BC5">
        <w:rPr>
          <w:rtl/>
        </w:rPr>
        <w:t>.</w:t>
      </w:r>
    </w:p>
    <w:p w14:paraId="710796C0" w14:textId="77777777" w:rsidR="00817399" w:rsidRPr="002F2BC5" w:rsidRDefault="00817399" w:rsidP="00817399">
      <w:pPr>
        <w:spacing w:line="269" w:lineRule="auto"/>
        <w:rPr>
          <w:rtl/>
        </w:rPr>
      </w:pPr>
    </w:p>
    <w:p w14:paraId="4B2F47D9" w14:textId="77777777" w:rsidR="00817399" w:rsidRPr="002F2BC5" w:rsidRDefault="00817399" w:rsidP="00817399">
      <w:pPr>
        <w:spacing w:line="269" w:lineRule="auto"/>
        <w:rPr>
          <w:rtl/>
        </w:rPr>
      </w:pPr>
      <w:r w:rsidRPr="002F2BC5">
        <w:rPr>
          <w:rFonts w:hint="cs"/>
          <w:rtl/>
        </w:rPr>
        <w:t>עוד ב</w:t>
      </w:r>
      <w:r w:rsidRPr="002F2BC5">
        <w:rPr>
          <w:rFonts w:hint="eastAsia"/>
          <w:rtl/>
        </w:rPr>
        <w:t>שנת</w:t>
      </w:r>
      <w:r w:rsidRPr="002F2BC5">
        <w:rPr>
          <w:rtl/>
        </w:rPr>
        <w:t xml:space="preserve"> 2012 העיר מבקר המדינה </w:t>
      </w:r>
      <w:r w:rsidRPr="002F2BC5">
        <w:rPr>
          <w:rFonts w:hint="cs"/>
          <w:rtl/>
        </w:rPr>
        <w:t>כי חסרים נוהלי עבודה סדורים להפעלת התוכנית, בין השאר בנוגע לממשקי העבודה בין תחנת המשטרה, לעו"ס משטרה ולמרכז לטיפול ומניעת אלימות במשפחה. גם בביקורת הקודמת עלה כי בכל הנוגע לתדירות ההגעה של עו"ס משטרה לתחנת המשטרה, להסדרת מקום מושבו הקבוע בתחנת המשטרה, לתדירות העברת העדכונים על תיקי חקירה שנפתחו ולאופן העברת העדכונים הללו - נושאים הכרוכים זה בזה</w:t>
      </w:r>
      <w:r w:rsidRPr="002F2BC5">
        <w:rPr>
          <w:rStyle w:val="af9"/>
          <w:rtl/>
        </w:rPr>
        <w:footnoteReference w:id="356"/>
      </w:r>
      <w:r w:rsidRPr="002F2BC5">
        <w:rPr>
          <w:rFonts w:hint="cs"/>
          <w:rtl/>
        </w:rPr>
        <w:t xml:space="preserve"> ושהסדרתם חיונית להבטחת טיפול "בזמן אמת" או בסמוך ככל האפשר לאירועי האלימות - לא נקבעו הנחיות אחידות ומחייבות. כך הועלה כי בחלק מהרשויות המקומיות שנבדקו לא הוקצה מקום עבודה קבוע לעו"ס משטרה, בחלק מהן התקיימו המפגשים בין עו"ס המשטרה לנפגעים או לפוגעים בשיחת טלפון או במרכז לטיפול ומניעת אלימות במשפחה וכי העדכונים הועברו באופן ידני ובתדירות שאינה מספקת, לעיתים גם באמצעות פקס. כך גם במסגרת ביקורת המעקב הועלה כי עלול להתעורר קושי בממשקי העבודה בין תחנות המשטרה ובין המרכזים, גם כאשר מופעלת במרכז תוכנית עו"ס משטרה</w:t>
      </w:r>
      <w:r w:rsidRPr="002F2BC5">
        <w:rPr>
          <w:rStyle w:val="af9"/>
          <w:rtl/>
        </w:rPr>
        <w:footnoteReference w:id="357"/>
      </w:r>
      <w:r w:rsidRPr="002F2BC5">
        <w:rPr>
          <w:rFonts w:hint="cs"/>
          <w:rtl/>
        </w:rPr>
        <w:t>. הביקורת הנוכחית העלתה עוד כי השונות בהסדרת תפקידיהם של העובדים הסוציאליים המועסקים במסגרת תוכנית עו"ס משטרה מתבטאת גם במנגנוני הפיקוח והבקרה על עבודתם וברמת הפירוט של הנתונים הנאספים בנוגע לתפוקותיהם.</w:t>
      </w:r>
    </w:p>
    <w:p w14:paraId="6FE432A9" w14:textId="77777777" w:rsidR="00817399" w:rsidRPr="002F2BC5" w:rsidRDefault="00817399" w:rsidP="00817399">
      <w:pPr>
        <w:spacing w:line="269" w:lineRule="auto"/>
        <w:rPr>
          <w:rtl/>
        </w:rPr>
      </w:pPr>
    </w:p>
    <w:p w14:paraId="20786DA4" w14:textId="23975B50" w:rsidR="00817399" w:rsidRPr="002F2BC5" w:rsidRDefault="00817399" w:rsidP="00817399">
      <w:pPr>
        <w:spacing w:line="269" w:lineRule="auto"/>
        <w:rPr>
          <w:rtl/>
        </w:rPr>
      </w:pPr>
      <w:r w:rsidRPr="002F2BC5">
        <w:rPr>
          <w:rFonts w:hint="cs"/>
          <w:rtl/>
        </w:rPr>
        <w:t>היבטים שונים בהסדרת עבודתו השוטפת של עו"ס משטרה, לפי הגורם המממן, מובאים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Ref185257647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17</w:t>
      </w:r>
      <w:r w:rsidRPr="002F2BC5">
        <w:rPr>
          <w:rtl/>
        </w:rPr>
        <w:fldChar w:fldCharType="end"/>
      </w:r>
      <w:r w:rsidRPr="002F2BC5">
        <w:rPr>
          <w:rFonts w:hint="cs"/>
          <w:rtl/>
        </w:rPr>
        <w:t xml:space="preserve"> שלהלן.</w:t>
      </w:r>
    </w:p>
    <w:p w14:paraId="4712E3F3" w14:textId="77777777" w:rsidR="00817399" w:rsidRPr="002F2BC5" w:rsidRDefault="00817399" w:rsidP="00817399">
      <w:pPr>
        <w:spacing w:line="269" w:lineRule="auto"/>
        <w:rPr>
          <w:rtl/>
        </w:rPr>
      </w:pPr>
    </w:p>
    <w:p w14:paraId="3ABFC409" w14:textId="77777777" w:rsidR="00817399" w:rsidRPr="002F2BC5" w:rsidRDefault="00817399" w:rsidP="00817399">
      <w:pPr>
        <w:pStyle w:val="a0"/>
        <w:spacing w:line="269" w:lineRule="auto"/>
        <w:rPr>
          <w:rtl/>
        </w:rPr>
      </w:pPr>
      <w:bookmarkStart w:id="1790" w:name="_Ref185257647"/>
      <w:bookmarkStart w:id="1791" w:name="_Toc192674062"/>
      <w:r w:rsidRPr="002F2BC5">
        <w:rPr>
          <w:rFonts w:hint="cs"/>
          <w:b w:val="0"/>
          <w:bCs w:val="0"/>
          <w:rtl/>
        </w:rPr>
        <w:lastRenderedPageBreak/>
        <w:t xml:space="preserve">: </w:t>
      </w:r>
      <w:r w:rsidRPr="002F2BC5">
        <w:rPr>
          <w:rFonts w:hint="cs"/>
          <w:rtl/>
        </w:rPr>
        <w:t>הסדרת היבטים שונים בעבודתו השוטפת של עו"ס משטרה, לפי הגורם המממן</w:t>
      </w:r>
      <w:bookmarkEnd w:id="1790"/>
      <w:r w:rsidRPr="002F2BC5">
        <w:rPr>
          <w:rFonts w:hint="cs"/>
          <w:rtl/>
        </w:rPr>
        <w:t>*</w:t>
      </w:r>
      <w:bookmarkEnd w:id="1791"/>
    </w:p>
    <w:p w14:paraId="69D0502E" w14:textId="77777777" w:rsidR="00817399" w:rsidRPr="002F2BC5" w:rsidRDefault="00817399" w:rsidP="00817399">
      <w:pPr>
        <w:pStyle w:val="afffffff4"/>
        <w:bidi/>
        <w:spacing w:before="0" w:after="0" w:line="269" w:lineRule="auto"/>
      </w:pPr>
      <w:r w:rsidRPr="002F2BC5">
        <w:rPr>
          <w:noProof/>
        </w:rPr>
        <w:drawing>
          <wp:inline distT="0" distB="0" distL="0" distR="0" wp14:anchorId="6E27CB08" wp14:editId="07A4F45C">
            <wp:extent cx="5220335" cy="1778000"/>
            <wp:effectExtent l="0" t="0" r="0" b="0"/>
            <wp:docPr id="2052770984" name="תמונה 205277098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20335" cy="1778000"/>
                    </a:xfrm>
                    <a:prstGeom prst="rect">
                      <a:avLst/>
                    </a:prstGeom>
                  </pic:spPr>
                </pic:pic>
              </a:graphicData>
            </a:graphic>
          </wp:inline>
        </w:drawing>
      </w:r>
    </w:p>
    <w:p w14:paraId="77A0D66A" w14:textId="77777777" w:rsidR="00817399" w:rsidRPr="002F2BC5" w:rsidRDefault="00817399" w:rsidP="00817399">
      <w:pPr>
        <w:pStyle w:val="afffffff1"/>
        <w:bidi/>
        <w:spacing w:line="269" w:lineRule="auto"/>
        <w:rPr>
          <w:rtl/>
        </w:rPr>
      </w:pPr>
      <w:r w:rsidRPr="002F2BC5">
        <w:rPr>
          <w:rFonts w:hint="cs"/>
          <w:rtl/>
        </w:rPr>
        <w:t xml:space="preserve">על פי הוראת תע"ס 3.28 </w:t>
      </w:r>
      <w:r w:rsidRPr="002F2BC5">
        <w:rPr>
          <w:rFonts w:hint="eastAsia"/>
          <w:rtl/>
        </w:rPr>
        <w:t>והגדרת</w:t>
      </w:r>
      <w:r w:rsidRPr="002F2BC5">
        <w:rPr>
          <w:rtl/>
        </w:rPr>
        <w:t xml:space="preserve"> </w:t>
      </w:r>
      <w:r w:rsidRPr="002F2BC5">
        <w:rPr>
          <w:rFonts w:hint="eastAsia"/>
          <w:rtl/>
        </w:rPr>
        <w:t>התפקיד</w:t>
      </w:r>
      <w:r w:rsidRPr="002F2BC5">
        <w:rPr>
          <w:rtl/>
        </w:rPr>
        <w:t xml:space="preserve"> </w:t>
      </w:r>
      <w:r w:rsidRPr="002F2BC5">
        <w:rPr>
          <w:rFonts w:hint="eastAsia"/>
          <w:rtl/>
        </w:rPr>
        <w:t>של</w:t>
      </w:r>
      <w:r w:rsidRPr="002F2BC5">
        <w:rPr>
          <w:rtl/>
        </w:rPr>
        <w:t xml:space="preserve"> </w:t>
      </w:r>
      <w:r w:rsidRPr="002F2BC5">
        <w:rPr>
          <w:rFonts w:hint="eastAsia"/>
          <w:rtl/>
        </w:rPr>
        <w:t>עו</w:t>
      </w:r>
      <w:r w:rsidRPr="002F2BC5">
        <w:rPr>
          <w:rtl/>
        </w:rPr>
        <w:t xml:space="preserve">"ס </w:t>
      </w:r>
      <w:r w:rsidRPr="002F2BC5">
        <w:rPr>
          <w:rFonts w:hint="eastAsia"/>
          <w:rtl/>
        </w:rPr>
        <w:t>משטרה</w:t>
      </w:r>
      <w:r w:rsidRPr="002F2BC5">
        <w:rPr>
          <w:rtl/>
        </w:rPr>
        <w:t xml:space="preserve"> </w:t>
      </w:r>
      <w:r w:rsidRPr="002F2BC5">
        <w:rPr>
          <w:rFonts w:hint="eastAsia"/>
          <w:rtl/>
        </w:rPr>
        <w:t>שקבעה</w:t>
      </w:r>
      <w:r w:rsidRPr="002F2BC5">
        <w:rPr>
          <w:rtl/>
        </w:rPr>
        <w:t xml:space="preserve"> הרשות לביטחון קהילתי</w:t>
      </w:r>
      <w:r w:rsidRPr="002F2BC5">
        <w:rPr>
          <w:rFonts w:hint="cs"/>
          <w:rtl/>
        </w:rPr>
        <w:t>, בעיבוד משרד מבקר המדינה.</w:t>
      </w:r>
    </w:p>
    <w:p w14:paraId="704E9B50" w14:textId="77777777" w:rsidR="00817399" w:rsidRPr="002F2BC5" w:rsidRDefault="00817399" w:rsidP="00817399">
      <w:pPr>
        <w:pStyle w:val="afffffff1"/>
        <w:bidi/>
        <w:spacing w:line="269" w:lineRule="auto"/>
        <w:rPr>
          <w:rtl/>
        </w:rPr>
      </w:pPr>
      <w:r w:rsidRPr="002F2BC5">
        <w:rPr>
          <w:rFonts w:hint="cs"/>
          <w:rtl/>
        </w:rPr>
        <w:t>* יש לציין כי ממשק העבודה בין תחנת המשטרה לבין המחלקה לשירותים חברתיים או המרכז לטיפול ומניעת אלימות במשפחה מוסדר בנוהל הטיפול המשטרתי בעבירות אלימות במשפחה, אולם הוא אינו מתייחס באופן ייחודי לתחנת משטרה שבה פועל עו"ס משטרה.</w:t>
      </w:r>
    </w:p>
    <w:p w14:paraId="12A9412E" w14:textId="77777777" w:rsidR="00817399" w:rsidRPr="002F2BC5" w:rsidRDefault="00817399" w:rsidP="00817399">
      <w:pPr>
        <w:spacing w:line="269" w:lineRule="auto"/>
        <w:rPr>
          <w:rtl/>
        </w:rPr>
      </w:pPr>
    </w:p>
    <w:p w14:paraId="02363198" w14:textId="77777777" w:rsidR="00817399" w:rsidRPr="002F2BC5" w:rsidRDefault="00817399" w:rsidP="00817399">
      <w:pPr>
        <w:spacing w:line="269" w:lineRule="auto"/>
        <w:rPr>
          <w:b/>
          <w:bCs/>
          <w:rtl/>
        </w:rPr>
      </w:pPr>
      <w:r w:rsidRPr="002F2BC5">
        <w:rPr>
          <w:rFonts w:hint="cs"/>
          <w:b/>
          <w:bCs/>
          <w:rtl/>
        </w:rPr>
        <w:t>יוצא מן האמור כי נכון למועד סיום הביקורת הנוכחית, בדצמבר 2024, לא קיימת תורת הפעלה אחודה לתוכנית עו"ס משטרה, וכי קיימת שונות בהסדרה בהיבטים שונים, שלהם השלכות על התנהלותם היום-יומית של העובדים הסוציאליים המועסקים במסגרת התוכנית. כך לדוגמה, בעוד שמקום מושבו הקבוע של עו"ס משטרה המועסק במימון הרשות לביטחון קהילתי הוא בתחנת המשטרה ומשום כך הוא נוכח בתחנת המשטרה מדי יום, מקום מושבו הקבוע של עו"ס משטרה המועסק במימון משרד הרווחה הוא במרכז לטיפול ומניעת אלימות במשפחה והוא אינו מחויב להגיע לתחנת המשטרה יותר מפעם אחת במהלך שבוע עבודה.</w:t>
      </w:r>
    </w:p>
    <w:p w14:paraId="74194A50" w14:textId="77777777" w:rsidR="00817399" w:rsidRPr="002F2BC5" w:rsidRDefault="00817399" w:rsidP="00817399">
      <w:pPr>
        <w:spacing w:line="269" w:lineRule="auto"/>
        <w:rPr>
          <w:rtl/>
        </w:rPr>
      </w:pPr>
    </w:p>
    <w:p w14:paraId="0944E4D1" w14:textId="77777777" w:rsidR="00817399" w:rsidRPr="002F2BC5" w:rsidRDefault="00817399" w:rsidP="00817399">
      <w:pPr>
        <w:spacing w:line="269" w:lineRule="auto"/>
        <w:rPr>
          <w:rtl/>
        </w:rPr>
      </w:pPr>
      <w:r w:rsidRPr="002F2BC5">
        <w:rPr>
          <w:rFonts w:hint="cs"/>
          <w:rtl/>
        </w:rPr>
        <w:t xml:space="preserve">הביקורת הנוכחית העלתה עוד כי בחלק מתחנות המשטרה שאליהן משויך עו"ס משטרה פועל בתחנת המשטרה גם מֶחלק משפחה. נכון למועד סיום ביקורת המעקב, בדצמבר 2024, פעלו מחלקי </w:t>
      </w:r>
      <w:r w:rsidRPr="002F2BC5">
        <w:rPr>
          <w:rFonts w:hint="eastAsia"/>
          <w:rtl/>
        </w:rPr>
        <w:t>משפחות</w:t>
      </w:r>
      <w:r w:rsidRPr="002F2BC5">
        <w:rPr>
          <w:rtl/>
        </w:rPr>
        <w:t xml:space="preserve"> </w:t>
      </w:r>
      <w:r w:rsidRPr="002F2BC5">
        <w:rPr>
          <w:rFonts w:hint="eastAsia"/>
          <w:rtl/>
        </w:rPr>
        <w:t>ב</w:t>
      </w:r>
      <w:r w:rsidRPr="002F2BC5">
        <w:rPr>
          <w:rtl/>
        </w:rPr>
        <w:t xml:space="preserve">-31 </w:t>
      </w:r>
      <w:r w:rsidRPr="002F2BC5">
        <w:rPr>
          <w:rFonts w:hint="eastAsia"/>
          <w:rtl/>
        </w:rPr>
        <w:t>תחנות</w:t>
      </w:r>
      <w:r w:rsidRPr="002F2BC5">
        <w:rPr>
          <w:rtl/>
        </w:rPr>
        <w:t xml:space="preserve"> </w:t>
      </w:r>
      <w:r w:rsidRPr="002F2BC5">
        <w:rPr>
          <w:rFonts w:hint="eastAsia"/>
          <w:rtl/>
        </w:rPr>
        <w:t>משטרה</w:t>
      </w:r>
      <w:r w:rsidRPr="002F2BC5">
        <w:rPr>
          <w:rtl/>
        </w:rPr>
        <w:t>,</w:t>
      </w:r>
      <w:r w:rsidRPr="002F2BC5">
        <w:rPr>
          <w:rFonts w:hint="cs"/>
          <w:rtl/>
        </w:rPr>
        <w:t xml:space="preserve"> </w:t>
      </w:r>
      <w:r w:rsidRPr="002F2BC5">
        <w:rPr>
          <w:rFonts w:hint="eastAsia"/>
          <w:rtl/>
        </w:rPr>
        <w:t>וב</w:t>
      </w:r>
      <w:r w:rsidRPr="002F2BC5">
        <w:rPr>
          <w:rtl/>
        </w:rPr>
        <w:t>-20</w:t>
      </w:r>
      <w:r w:rsidRPr="002F2BC5">
        <w:rPr>
          <w:rFonts w:hint="cs"/>
          <w:rtl/>
        </w:rPr>
        <w:t xml:space="preserve"> מתחנות המשטרה הללו משרתו של עו"ס מחלקי משפחה הייתה מאוישת, ובה בעת פעל בתחנת המשטרה גם עו"ס משטרה במימון משרד הרווחה</w:t>
      </w:r>
      <w:r w:rsidRPr="002F2BC5">
        <w:rPr>
          <w:rStyle w:val="af9"/>
          <w:rtl/>
        </w:rPr>
        <w:footnoteReference w:id="358"/>
      </w:r>
      <w:r w:rsidRPr="002F2BC5">
        <w:rPr>
          <w:rFonts w:hint="cs"/>
          <w:rtl/>
        </w:rPr>
        <w:t>. בשלוש תחנות משטרה פעלו בו-זמנית במועד סיום ביקורת המעקב, בדצמבר 2024, עו"ס מחלקי משפחה, עו"ס משטרה במימון משרד הרווחה ועו"ס משטרה במימון הרשות לביטחון קהילתי</w:t>
      </w:r>
      <w:r w:rsidRPr="002F2BC5">
        <w:rPr>
          <w:rStyle w:val="af9"/>
          <w:rtl/>
        </w:rPr>
        <w:footnoteReference w:id="359"/>
      </w:r>
      <w:r w:rsidRPr="002F2BC5">
        <w:rPr>
          <w:rFonts w:hint="cs"/>
          <w:rtl/>
        </w:rPr>
        <w:t xml:space="preserve">. </w:t>
      </w:r>
    </w:p>
    <w:p w14:paraId="330AD2CF" w14:textId="77777777" w:rsidR="00817399" w:rsidRPr="002F2BC5" w:rsidRDefault="00817399" w:rsidP="00817399">
      <w:pPr>
        <w:spacing w:line="269" w:lineRule="auto"/>
        <w:rPr>
          <w:rtl/>
        </w:rPr>
      </w:pPr>
    </w:p>
    <w:p w14:paraId="41462179" w14:textId="77777777" w:rsidR="00817399" w:rsidRPr="002F2BC5" w:rsidRDefault="00817399" w:rsidP="00817399">
      <w:pPr>
        <w:spacing w:line="269" w:lineRule="auto"/>
        <w:rPr>
          <w:rtl/>
        </w:rPr>
      </w:pPr>
      <w:r w:rsidRPr="002F2BC5">
        <w:rPr>
          <w:rFonts w:hint="cs"/>
          <w:rtl/>
        </w:rPr>
        <w:t>בעוד עבודתו של עו"ס משטרה ממוקדת בליווי הנפגע או הפוגע וברתימתו לטיפול בקהילה - לפני הגשת התלונה, בעת הגשת התלונה או לאחר שהיא הוגשה - עבודתו של עו"ס מחלקי משפחה ממוקדת בטיפול המשטרתי בנפגע ובפוגע, וזאת גם בעבירות מסוימות שאינן בתחום האלימות במשפחה</w:t>
      </w:r>
      <w:r w:rsidRPr="002F2BC5">
        <w:rPr>
          <w:rtl/>
        </w:rPr>
        <w:t>.</w:t>
      </w:r>
      <w:r w:rsidRPr="002F2BC5">
        <w:rPr>
          <w:rFonts w:hint="cs"/>
          <w:rtl/>
        </w:rPr>
        <w:t xml:space="preserve"> אף שמאפייני התפקידים הללו אינם זהים, מטבע הדברים, בשעה שפועלים בתחנת המשטרה שני בעלי התפקידים הללו, הדבר מחייב הסדרה ברורה של ממשקי העבודה ביניהם כדי להבטיח את תפקודם המיטבי. </w:t>
      </w:r>
    </w:p>
    <w:p w14:paraId="3A7EE35E" w14:textId="77777777" w:rsidR="00817399" w:rsidRPr="002F2BC5" w:rsidRDefault="00817399" w:rsidP="00817399">
      <w:pPr>
        <w:spacing w:line="269" w:lineRule="auto"/>
        <w:rPr>
          <w:rtl/>
        </w:rPr>
      </w:pPr>
    </w:p>
    <w:p w14:paraId="30E560C5" w14:textId="77777777" w:rsidR="00817399" w:rsidRPr="002F2BC5" w:rsidRDefault="00817399" w:rsidP="00817399">
      <w:pPr>
        <w:pStyle w:val="afffffff9"/>
        <w:spacing w:line="269" w:lineRule="auto"/>
        <w:rPr>
          <w:rtl/>
        </w:rPr>
      </w:pPr>
      <w:bookmarkStart w:id="1792" w:name="_Toc198312317"/>
      <w:bookmarkStart w:id="1793" w:name="_Toc198312798"/>
      <w:bookmarkStart w:id="1794" w:name="_Toc200636961"/>
      <w:bookmarkStart w:id="1795" w:name="_Toc200439959"/>
      <w:bookmarkStart w:id="1796" w:name="_Toc201241064"/>
      <w:bookmarkStart w:id="1797" w:name="_Toc191987119"/>
      <w:bookmarkStart w:id="1798" w:name="_Toc192093164"/>
      <w:bookmarkStart w:id="1799" w:name="_Toc192612872"/>
      <w:r w:rsidRPr="002F2BC5">
        <w:rPr>
          <w:rFonts w:hint="cs"/>
          <w:rtl/>
        </w:rPr>
        <w:t>במועד סיום הביקורת הנוכחית, בדצמבר 2024, בחלוף שש שנים מאז שהחלו לראשונה לפעול מחלקי משפחות בתחנות המשטרה, משטרת ישראל טרם השלימה גיבוש של נוהל עבודה של היחידות הייעודיות הללו. בתוך כך לא הוסדרו, בין שבנוהל משותף למשרד הרווחה ולמשטרת ישראל ובין שבנוהל נפרד של כל אחד מהגופים הללו, ממשקי העבודה בין היחידות הללו ובין המחלקות לשירותים חברתיים והמרכזים לטיפול ומניעת אלימות במשפחה, בפרט כאשר פועלת במרכז תוכנית עו"ס משטרה.</w:t>
      </w:r>
      <w:bookmarkEnd w:id="1792"/>
      <w:bookmarkEnd w:id="1793"/>
      <w:bookmarkEnd w:id="1794"/>
      <w:bookmarkEnd w:id="1795"/>
      <w:bookmarkEnd w:id="1796"/>
      <w:r w:rsidRPr="002F2BC5">
        <w:rPr>
          <w:rFonts w:hint="cs"/>
          <w:rtl/>
        </w:rPr>
        <w:t xml:space="preserve"> </w:t>
      </w:r>
      <w:bookmarkEnd w:id="1797"/>
      <w:bookmarkEnd w:id="1798"/>
      <w:bookmarkEnd w:id="1799"/>
    </w:p>
    <w:p w14:paraId="6ABE3450" w14:textId="77777777" w:rsidR="00817399" w:rsidRPr="002F2BC5" w:rsidRDefault="00817399" w:rsidP="00817399">
      <w:pPr>
        <w:spacing w:line="269" w:lineRule="auto"/>
      </w:pPr>
      <w:r w:rsidRPr="002F2BC5">
        <w:rPr>
          <w:rFonts w:hint="eastAsia"/>
          <w:rtl/>
        </w:rPr>
        <w:lastRenderedPageBreak/>
        <w:t>יש</w:t>
      </w:r>
      <w:r w:rsidRPr="002F2BC5">
        <w:rPr>
          <w:rtl/>
        </w:rPr>
        <w:t xml:space="preserve"> </w:t>
      </w:r>
      <w:r w:rsidRPr="002F2BC5">
        <w:rPr>
          <w:rFonts w:hint="eastAsia"/>
          <w:rtl/>
        </w:rPr>
        <w:t>לציין</w:t>
      </w:r>
      <w:r w:rsidRPr="002F2BC5">
        <w:rPr>
          <w:rtl/>
        </w:rPr>
        <w:t xml:space="preserve"> כי </w:t>
      </w:r>
      <w:r w:rsidRPr="002F2BC5">
        <w:rPr>
          <w:rFonts w:hint="cs"/>
          <w:rtl/>
        </w:rPr>
        <w:t xml:space="preserve">נוהל </w:t>
      </w:r>
      <w:r w:rsidRPr="002F2BC5">
        <w:rPr>
          <w:rFonts w:hint="eastAsia"/>
          <w:rtl/>
        </w:rPr>
        <w:t>הטיפול</w:t>
      </w:r>
      <w:r w:rsidRPr="002F2BC5">
        <w:rPr>
          <w:rtl/>
        </w:rPr>
        <w:t xml:space="preserve"> </w:t>
      </w:r>
      <w:r w:rsidRPr="002F2BC5">
        <w:rPr>
          <w:rFonts w:hint="cs"/>
          <w:rtl/>
        </w:rPr>
        <w:t xml:space="preserve">של המשטרה </w:t>
      </w:r>
      <w:r w:rsidRPr="002F2BC5">
        <w:rPr>
          <w:rFonts w:hint="eastAsia"/>
          <w:rtl/>
        </w:rPr>
        <w:t>בעבירות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cs"/>
          <w:rtl/>
        </w:rPr>
        <w:t xml:space="preserve">כולל הגדרה של תפקיד עו"ס מחלקי משפחה ועו"ס משטרה, </w:t>
      </w:r>
      <w:r w:rsidRPr="002F2BC5">
        <w:rPr>
          <w:rFonts w:hint="eastAsia"/>
          <w:rtl/>
        </w:rPr>
        <w:t>אך</w:t>
      </w:r>
      <w:r w:rsidRPr="002F2BC5">
        <w:rPr>
          <w:rtl/>
        </w:rPr>
        <w:t xml:space="preserve"> הוא אינו </w:t>
      </w:r>
      <w:r w:rsidRPr="002F2BC5">
        <w:rPr>
          <w:rFonts w:hint="cs"/>
          <w:rtl/>
        </w:rPr>
        <w:t>דן ב</w:t>
      </w:r>
      <w:r w:rsidRPr="002F2BC5">
        <w:rPr>
          <w:rtl/>
        </w:rPr>
        <w:t xml:space="preserve">ממשקי העבודה ביניהם, אלא רק </w:t>
      </w:r>
      <w:r w:rsidRPr="002F2BC5">
        <w:rPr>
          <w:rFonts w:hint="cs"/>
          <w:rtl/>
        </w:rPr>
        <w:t>בדבר</w:t>
      </w:r>
      <w:r w:rsidRPr="002F2BC5">
        <w:rPr>
          <w:rtl/>
        </w:rPr>
        <w:t xml:space="preserve"> ממשקי העבודה בינם </w:t>
      </w:r>
      <w:r w:rsidRPr="002F2BC5">
        <w:rPr>
          <w:rFonts w:hint="cs"/>
          <w:rtl/>
        </w:rPr>
        <w:t>ל</w:t>
      </w:r>
      <w:r w:rsidRPr="002F2BC5">
        <w:rPr>
          <w:rtl/>
        </w:rPr>
        <w:t xml:space="preserve">בין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ובינם</w:t>
      </w:r>
      <w:r w:rsidRPr="002F2BC5">
        <w:rPr>
          <w:rtl/>
        </w:rPr>
        <w:t xml:space="preserve"> </w:t>
      </w:r>
      <w:r w:rsidRPr="002F2BC5">
        <w:rPr>
          <w:rFonts w:hint="cs"/>
          <w:rtl/>
        </w:rPr>
        <w:t>ל</w:t>
      </w:r>
      <w:r w:rsidRPr="002F2BC5">
        <w:rPr>
          <w:rFonts w:hint="eastAsia"/>
          <w:rtl/>
        </w:rPr>
        <w:t>בין</w:t>
      </w:r>
      <w:r w:rsidRPr="002F2BC5">
        <w:rPr>
          <w:rtl/>
        </w:rPr>
        <w:t xml:space="preserve"> </w:t>
      </w:r>
      <w:r w:rsidRPr="002F2BC5">
        <w:rPr>
          <w:rFonts w:hint="eastAsia"/>
          <w:rtl/>
        </w:rPr>
        <w:t>המתלונן</w:t>
      </w:r>
      <w:r w:rsidRPr="002F2BC5">
        <w:rPr>
          <w:rtl/>
        </w:rPr>
        <w:t xml:space="preserve"> </w:t>
      </w:r>
      <w:r w:rsidRPr="002F2BC5">
        <w:rPr>
          <w:rFonts w:hint="eastAsia"/>
          <w:rtl/>
        </w:rPr>
        <w:t>או</w:t>
      </w:r>
      <w:r w:rsidRPr="002F2BC5">
        <w:rPr>
          <w:rtl/>
        </w:rPr>
        <w:t xml:space="preserve"> </w:t>
      </w:r>
      <w:r w:rsidRPr="002F2BC5">
        <w:rPr>
          <w:rFonts w:hint="eastAsia"/>
          <w:rtl/>
        </w:rPr>
        <w:t>החשוד</w:t>
      </w:r>
      <w:r w:rsidRPr="002F2BC5">
        <w:rPr>
          <w:rtl/>
        </w:rPr>
        <w:t xml:space="preserve"> </w:t>
      </w:r>
      <w:r w:rsidRPr="002F2BC5">
        <w:rPr>
          <w:rFonts w:hint="eastAsia"/>
          <w:rtl/>
        </w:rPr>
        <w:t>בעבירה</w:t>
      </w:r>
      <w:r w:rsidRPr="002F2BC5">
        <w:rPr>
          <w:rStyle w:val="af9"/>
          <w:rtl/>
        </w:rPr>
        <w:footnoteReference w:id="360"/>
      </w:r>
      <w:r w:rsidRPr="002F2BC5">
        <w:rPr>
          <w:rtl/>
        </w:rPr>
        <w:t>.</w:t>
      </w:r>
      <w:r w:rsidRPr="002F2BC5">
        <w:rPr>
          <w:rFonts w:hint="cs"/>
          <w:rtl/>
        </w:rPr>
        <w:t xml:space="preserve"> במהלך הביקורת הנוכחית מסרה משטרת ישראל כי בעקבות יום עיון משותף לעו"ס מחלקי משפחה ולעו"ס משטרה, שקיים בינואר 2025 משרד הרווחה בשיתוף עימה ועם הרשות לביטחון קהילתי (להלן גם - יום העיון המשותף), התגבשה ההבנה בדבר הצורך בגיבוש נוהל עבודה משותף לבעלי התפקידים הללו.</w:t>
      </w:r>
    </w:p>
    <w:p w14:paraId="1DE9DD99" w14:textId="77777777" w:rsidR="00817399" w:rsidRPr="002F2BC5" w:rsidRDefault="00817399" w:rsidP="00817399">
      <w:pPr>
        <w:spacing w:line="269" w:lineRule="auto"/>
        <w:rPr>
          <w:rtl/>
        </w:rPr>
      </w:pPr>
    </w:p>
    <w:p w14:paraId="2FE6E5B7" w14:textId="77777777" w:rsidR="00817399" w:rsidRPr="002F2BC5" w:rsidRDefault="00817399" w:rsidP="00817399">
      <w:pPr>
        <w:pStyle w:val="afffffffa"/>
        <w:spacing w:line="269" w:lineRule="auto"/>
        <w:rPr>
          <w:rtl/>
        </w:rPr>
      </w:pPr>
      <w:bookmarkStart w:id="1800" w:name="_Toc192093165"/>
      <w:bookmarkStart w:id="1801" w:name="_Toc192612873"/>
      <w:bookmarkStart w:id="1802" w:name="_Toc198312318"/>
      <w:bookmarkStart w:id="1803" w:name="_Toc198312799"/>
      <w:bookmarkStart w:id="1804" w:name="_Toc200636962"/>
      <w:bookmarkStart w:id="1805" w:name="_Toc200439960"/>
      <w:bookmarkStart w:id="1806" w:name="_Toc201241065"/>
      <w:bookmarkStart w:id="1807" w:name="_Toc191987120"/>
      <w:r w:rsidRPr="002F2BC5">
        <w:rPr>
          <w:rFonts w:hint="cs"/>
          <w:rtl/>
        </w:rPr>
        <w:t>משרד מבקר המדינה מציין את משרד הרווחה על הובלת יום העיון המשותף לעו"ס מחלקי משפחה ועו"ס משטרה, בשיתוף משטרת ישראל והרשות לביטחון קהילתי.</w:t>
      </w:r>
      <w:bookmarkEnd w:id="1800"/>
      <w:bookmarkEnd w:id="1801"/>
      <w:bookmarkEnd w:id="1802"/>
      <w:bookmarkEnd w:id="1803"/>
      <w:bookmarkEnd w:id="1804"/>
      <w:bookmarkEnd w:id="1805"/>
      <w:bookmarkEnd w:id="1806"/>
      <w:r w:rsidRPr="002F2BC5">
        <w:rPr>
          <w:rFonts w:hint="cs"/>
          <w:rtl/>
        </w:rPr>
        <w:t xml:space="preserve"> </w:t>
      </w:r>
    </w:p>
    <w:p w14:paraId="48075A9F" w14:textId="77777777" w:rsidR="00817399" w:rsidRPr="002F2BC5" w:rsidRDefault="00817399" w:rsidP="00817399">
      <w:pPr>
        <w:spacing w:line="269" w:lineRule="auto"/>
        <w:rPr>
          <w:rtl/>
        </w:rPr>
      </w:pPr>
    </w:p>
    <w:p w14:paraId="5D2C67FE" w14:textId="77777777" w:rsidR="00817399" w:rsidRPr="002F2BC5" w:rsidRDefault="00817399" w:rsidP="00817399">
      <w:pPr>
        <w:pStyle w:val="afffffffa"/>
        <w:spacing w:line="269" w:lineRule="auto"/>
        <w:rPr>
          <w:rtl/>
        </w:rPr>
      </w:pPr>
      <w:bookmarkStart w:id="1808" w:name="_Toc192093166"/>
      <w:bookmarkStart w:id="1809" w:name="_Toc192612874"/>
      <w:bookmarkStart w:id="1810" w:name="_Toc198312319"/>
      <w:bookmarkStart w:id="1811" w:name="_Toc198312800"/>
      <w:bookmarkStart w:id="1812" w:name="_Toc200636963"/>
      <w:bookmarkStart w:id="1813" w:name="_Toc200439961"/>
      <w:bookmarkStart w:id="1814" w:name="_Toc201241066"/>
      <w:r w:rsidRPr="002F2BC5">
        <w:rPr>
          <w:rFonts w:hint="cs"/>
          <w:rtl/>
        </w:rPr>
        <w:t xml:space="preserve">לצד זאת מומלץ למשרד הרווחה, לרשות לביטחון קהילתי ולמשטרת ישראל לגבש תורת הפעלה סדורה ואחודה, תוך שימת דגש על היבטים של </w:t>
      </w:r>
      <w:r w:rsidRPr="002F2BC5">
        <w:rPr>
          <w:rtl/>
        </w:rPr>
        <w:t>תכנון, מעקב ומדידת תוצאות</w:t>
      </w:r>
      <w:r w:rsidRPr="002F2BC5">
        <w:rPr>
          <w:rFonts w:hint="cs"/>
          <w:rtl/>
        </w:rPr>
        <w:t>, ולפעול להטמעתה באופן שיטתי בקרב העובדים הסוציאליים המועסקים במסגרת תוכנית עו"ס משטרה. מומלץ למשרד הרווחה, לרשות לביטחון קהילתי ולמשטרת ישראל כי בגיבוש תורת ההפעלה יתייחסו גם לממשקי העבודה בין תחנת המשטרה לבין המחלקה לשירותים חברתיים והמרכזים לטיפול ומניעת אלימות במשפחה. הדברים אמורים במצבים שבהם פועלים בתחנת המשטרה מחלקי משפחה וברשות המקומית המשויכת לתחנת משטרה זו פועלת גם תוכנית עו"ס משטרה, כל שכן במקרים שבהם מופעלת באותה הרשות המקומית או באותה תחנת משטרה תוכנית עו"ס משטרה הן במימון משרד הרווחה והן במימון הרשות לביטחון קהילתי</w:t>
      </w:r>
      <w:r w:rsidRPr="002F2BC5">
        <w:rPr>
          <w:rStyle w:val="af9"/>
          <w:b w:val="0"/>
          <w:bCs w:val="0"/>
          <w:rtl/>
        </w:rPr>
        <w:footnoteReference w:id="361"/>
      </w:r>
      <w:r w:rsidRPr="002F2BC5">
        <w:rPr>
          <w:rFonts w:hint="cs"/>
          <w:rtl/>
        </w:rPr>
        <w:t>.</w:t>
      </w:r>
      <w:bookmarkEnd w:id="1807"/>
      <w:bookmarkEnd w:id="1808"/>
      <w:bookmarkEnd w:id="1809"/>
      <w:bookmarkEnd w:id="1810"/>
      <w:bookmarkEnd w:id="1811"/>
      <w:bookmarkEnd w:id="1812"/>
      <w:bookmarkEnd w:id="1813"/>
      <w:bookmarkEnd w:id="1814"/>
    </w:p>
    <w:p w14:paraId="0B9E5A23" w14:textId="77777777" w:rsidR="00817399" w:rsidRPr="002F2BC5" w:rsidRDefault="00817399" w:rsidP="00817399">
      <w:pPr>
        <w:spacing w:line="269" w:lineRule="auto"/>
        <w:rPr>
          <w:rtl/>
        </w:rPr>
      </w:pPr>
    </w:p>
    <w:p w14:paraId="54F4A28B" w14:textId="77777777" w:rsidR="00817399" w:rsidRPr="002F2BC5" w:rsidRDefault="00817399" w:rsidP="00817399">
      <w:pPr>
        <w:spacing w:line="269" w:lineRule="auto"/>
        <w:rPr>
          <w:rtl/>
        </w:rPr>
      </w:pPr>
      <w:r w:rsidRPr="002F2BC5">
        <w:rPr>
          <w:rFonts w:hint="cs"/>
          <w:rtl/>
        </w:rPr>
        <w:t>משרד הרווחה, המשרד לביטחון לאומי ומשטרת ישראל מסרו בתשובותיהם כי הם פועלים במשותף לגיבוש תורת הפעלה אחודה וממשקי עבודה בין עו"ס מחלקי משפחה ועו"ס משטרה. משרד הרווחה והמשרד לביטחון לאומי הוסיפו כי תיאום ממשקי העבודה נעשה במסגרת צוות בין-משרדי, שבו חברים נציגי משרד הרווחה לצד נציגי הרשות לביטחון קהילתי ומשטרת ישראל. משטרת ישראל הוסיפה כי לכשיושלם גיבושה של תורת ההפעלה האחודה, תבחן האפשרות לשלב בה גם מדדי תוצאה. עוד מסרה כי נוהל העבודה של מחלקי משפחה מצוי בתהליכי תיקוף, ולצד זאת ציינה כי עיקר העשייה בכל הקשור לדרכי הטיפול ולממשקי העבודה בתחום האלימות במשפחה מוסדר בנוהל הטיפול המשטרתי בעבירות אלימות במשפחה.</w:t>
      </w:r>
    </w:p>
    <w:p w14:paraId="480C8051" w14:textId="77777777" w:rsidR="00817399" w:rsidRPr="002F2BC5" w:rsidRDefault="00817399" w:rsidP="00817399">
      <w:pPr>
        <w:spacing w:line="269" w:lineRule="auto"/>
        <w:rPr>
          <w:rtl/>
        </w:rPr>
      </w:pPr>
    </w:p>
    <w:p w14:paraId="22A38AC1"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אילת</w:t>
      </w:r>
      <w:r w:rsidRPr="002F2BC5">
        <w:rPr>
          <w:rFonts w:hint="cs"/>
          <w:rtl/>
        </w:rPr>
        <w:t xml:space="preserve"> מסרה בתשובתה כי אומנם עו"ס המשטרה נמנית עם צוות המרכז לטיפול ומניעת אלימות במשפחה וזהו מקום מושבה הקבוע, אך במסגרת תפקידה היא מקיימת קשרי עבודה שוטפים עם מחלק המשפחה בתחנת המשטרה, ובתוך כך מתקיימים מפגשים עיתיים בתחנת המשטרה. עוד ציינה כי במהלך השנה שקדמה למועד מתן התשובה התקיימה עבודה רציפה ומשמעותית של גורמי הטיפול ואכיפת החוק, תוך מתן מענה הולם למעורבים באירועי אלימות זוגית שטופלו במרכז לטיפול ומניעת אלימות במשפחה והגישו גם תלונה במשטרה.</w:t>
      </w:r>
    </w:p>
    <w:p w14:paraId="770ED418" w14:textId="77777777" w:rsidR="00817399" w:rsidRPr="002F2BC5" w:rsidRDefault="00817399" w:rsidP="00817399">
      <w:pPr>
        <w:spacing w:line="269" w:lineRule="auto"/>
        <w:rPr>
          <w:rStyle w:val="70"/>
          <w:rFonts w:eastAsiaTheme="minorHAnsi"/>
          <w:bCs w:val="0"/>
          <w:spacing w:val="0"/>
          <w:rtl/>
        </w:rPr>
      </w:pPr>
    </w:p>
    <w:p w14:paraId="0EEB8F96"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נתניה</w:t>
      </w:r>
      <w:r w:rsidRPr="002F2BC5">
        <w:rPr>
          <w:rFonts w:hint="cs"/>
          <w:rtl/>
        </w:rPr>
        <w:t xml:space="preserve"> מסרה בתשובתה ממאי 2025 כי העובדות הסוציאליות שהיא מעסיקה במסגרת תוכנית עו"ס משטרה מקיימות קשר רציף עם עו"ס מחלק משפחה בתחנת המשטרה בנתניה, וכי בעבודתן המשותפת יש כדי לתרום למתן מענה מקצועי וזמין יותר, בפרט במקרים דחופים. גם עיריית </w:t>
      </w:r>
      <w:r w:rsidRPr="002F2BC5">
        <w:rPr>
          <w:rFonts w:hint="eastAsia"/>
          <w:b/>
          <w:bCs/>
          <w:rtl/>
        </w:rPr>
        <w:t>קריית</w:t>
      </w:r>
      <w:r w:rsidRPr="002F2BC5">
        <w:rPr>
          <w:b/>
          <w:bCs/>
          <w:rtl/>
        </w:rPr>
        <w:t xml:space="preserve"> </w:t>
      </w:r>
      <w:r w:rsidRPr="002F2BC5">
        <w:rPr>
          <w:rFonts w:hint="eastAsia"/>
          <w:b/>
          <w:bCs/>
          <w:rtl/>
        </w:rPr>
        <w:t>גת</w:t>
      </w:r>
      <w:r w:rsidRPr="002F2BC5">
        <w:rPr>
          <w:rFonts w:hint="cs"/>
          <w:rtl/>
        </w:rPr>
        <w:t xml:space="preserve"> מסרה בתשובתה ממאי 2025 כי מתקיים קשר רציף ועקבי בין עו"ס המשטרה שהיא מעסיקה לבין עו"ס מחלק המשפחה בתחנת המשטרה בעיר בזמני שגרה וחירום.</w:t>
      </w:r>
    </w:p>
    <w:p w14:paraId="7DF0327F" w14:textId="77777777" w:rsidR="00817399" w:rsidRPr="002F2BC5" w:rsidRDefault="00817399" w:rsidP="00817399">
      <w:pPr>
        <w:spacing w:line="269" w:lineRule="auto"/>
        <w:rPr>
          <w:rStyle w:val="70"/>
          <w:rtl/>
        </w:rPr>
      </w:pPr>
    </w:p>
    <w:p w14:paraId="02CE3D82" w14:textId="77777777" w:rsidR="00E63213" w:rsidRDefault="00E63213">
      <w:pPr>
        <w:bidi w:val="0"/>
        <w:spacing w:after="200" w:line="276" w:lineRule="auto"/>
        <w:rPr>
          <w:rFonts w:eastAsiaTheme="majorEastAsia"/>
          <w:bCs/>
          <w:szCs w:val="28"/>
          <w:rtl/>
        </w:rPr>
      </w:pPr>
      <w:bookmarkStart w:id="1815" w:name="_Toc189072274"/>
      <w:bookmarkStart w:id="1816" w:name="_Toc191987121"/>
      <w:bookmarkStart w:id="1817" w:name="_Toc191891402"/>
      <w:bookmarkStart w:id="1818" w:name="_Toc192093167"/>
      <w:bookmarkStart w:id="1819" w:name="_Toc193110634"/>
      <w:bookmarkStart w:id="1820" w:name="_Toc192612875"/>
      <w:bookmarkStart w:id="1821" w:name="_Toc192778836"/>
      <w:bookmarkStart w:id="1822" w:name="_Toc198312320"/>
      <w:bookmarkStart w:id="1823" w:name="_Toc198312801"/>
      <w:bookmarkStart w:id="1824" w:name="_Toc200636814"/>
      <w:bookmarkStart w:id="1825" w:name="_Toc200636964"/>
      <w:bookmarkStart w:id="1826" w:name="_Toc200439813"/>
      <w:bookmarkStart w:id="1827" w:name="_Toc200439962"/>
      <w:bookmarkStart w:id="1828" w:name="_Toc201241067"/>
      <w:bookmarkStart w:id="1829" w:name="_Toc192784390"/>
      <w:bookmarkStart w:id="1830" w:name="_Toc201759376"/>
      <w:r>
        <w:rPr>
          <w:rtl/>
        </w:rPr>
        <w:br w:type="page"/>
      </w:r>
    </w:p>
    <w:p w14:paraId="3D1A5202" w14:textId="77777777" w:rsidR="00817399" w:rsidRPr="002F2BC5" w:rsidRDefault="00817399" w:rsidP="00817399">
      <w:pPr>
        <w:pStyle w:val="31"/>
        <w:spacing w:before="0" w:line="269" w:lineRule="auto"/>
        <w:rPr>
          <w:rtl/>
        </w:rPr>
      </w:pPr>
      <w:bookmarkStart w:id="1831" w:name="_Toc203488012"/>
      <w:r w:rsidRPr="002F2BC5">
        <w:rPr>
          <w:rFonts w:hint="cs"/>
          <w:rtl/>
        </w:rPr>
        <w:lastRenderedPageBreak/>
        <w:t>מניעה שלישונית: הגנה ושיקום</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35C8EFE5" w14:textId="77777777" w:rsidR="00817399" w:rsidRPr="002F2BC5" w:rsidRDefault="00817399" w:rsidP="00817399">
      <w:pPr>
        <w:spacing w:line="269" w:lineRule="auto"/>
        <w:rPr>
          <w:rtl/>
        </w:rPr>
      </w:pPr>
      <w:bookmarkStart w:id="1832" w:name="_Toc189072275"/>
      <w:bookmarkStart w:id="1833" w:name="_Toc191987122"/>
      <w:bookmarkStart w:id="1834" w:name="_Toc191891403"/>
      <w:bookmarkStart w:id="1835" w:name="_Toc192093168"/>
      <w:bookmarkStart w:id="1836" w:name="_Toc193110635"/>
      <w:bookmarkStart w:id="1837" w:name="_Toc192612876"/>
      <w:bookmarkStart w:id="1838" w:name="_Toc192778837"/>
      <w:bookmarkStart w:id="1839" w:name="_Toc198312321"/>
      <w:bookmarkStart w:id="1840" w:name="_Toc198312802"/>
      <w:bookmarkStart w:id="1841" w:name="_Toc200636815"/>
      <w:bookmarkStart w:id="1842" w:name="_Toc200636965"/>
      <w:bookmarkStart w:id="1843" w:name="_Toc200439814"/>
      <w:bookmarkStart w:id="1844" w:name="_Toc200439963"/>
      <w:bookmarkStart w:id="1845" w:name="_Toc201241068"/>
      <w:bookmarkStart w:id="1846" w:name="_Toc192784391"/>
      <w:bookmarkStart w:id="1847" w:name="_Toc201759377"/>
    </w:p>
    <w:p w14:paraId="78A7F483" w14:textId="77777777" w:rsidR="00817399" w:rsidRPr="002F2BC5" w:rsidRDefault="00817399" w:rsidP="00817399">
      <w:pPr>
        <w:pStyle w:val="4"/>
        <w:spacing w:before="0" w:line="269" w:lineRule="auto"/>
        <w:rPr>
          <w:rtl/>
        </w:rPr>
      </w:pPr>
      <w:bookmarkStart w:id="1848" w:name="_Toc203488013"/>
      <w:r w:rsidRPr="002F2BC5">
        <w:rPr>
          <w:rFonts w:hint="cs"/>
          <w:rtl/>
        </w:rPr>
        <w:t>הגנה על נפגעי אלימות בין בני זוג ושיקומם</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5E5C3B00" w14:textId="77777777" w:rsidR="00817399" w:rsidRPr="002F2BC5" w:rsidRDefault="00817399" w:rsidP="00817399">
      <w:pPr>
        <w:spacing w:line="269" w:lineRule="auto"/>
        <w:rPr>
          <w:rtl/>
        </w:rPr>
      </w:pPr>
    </w:p>
    <w:p w14:paraId="1350611E" w14:textId="7210A593" w:rsidR="00817399" w:rsidRPr="002F2BC5" w:rsidRDefault="00817399" w:rsidP="00817399">
      <w:pPr>
        <w:spacing w:line="269" w:lineRule="auto"/>
        <w:rPr>
          <w:rtl/>
        </w:rPr>
      </w:pPr>
      <w:r w:rsidRPr="002F2BC5">
        <w:rPr>
          <w:rFonts w:hint="cs"/>
          <w:rtl/>
        </w:rPr>
        <w:t>הזכות של אדם להגנה על חייו, על שלמות גופו ועל כבודו - ובכלל זה זכותו להגנה מפני מעשה אלימות כלפיו מצד בן זוגו, בהיותה זכות יסוד, עשויה להקים לנפגע האלימות המצוי בסכנה חובת פעולה מצד המדינה, כלומר לפעול באופן יזום כדי להגן עליו ולמנוע פגיעה בו ומתוקף כך גם לסייע לו בשיקום חייו לאחר עזיבתו את מקום מגוריו ואת בן המשפחה שנהג כלפיו או כלפי ילדיו באלימות</w:t>
      </w:r>
      <w:r w:rsidRPr="002F2BC5">
        <w:rPr>
          <w:rStyle w:val="af9"/>
          <w:rtl/>
        </w:rPr>
        <w:footnoteReference w:id="362"/>
      </w:r>
      <w:r w:rsidRPr="002F2BC5">
        <w:rPr>
          <w:rFonts w:hint="cs"/>
          <w:rtl/>
        </w:rPr>
        <w:t>. בהוראות הדין ובהוראות רגולטוריות אחרות נקבעו הסדרים המבטאים את מחויבותה של המדינה להגנה על נפגעי אלימות במשפחה, ובכלל זה האפשרות של הוצאת צו הגנה מפני הפוגע לפי החוק למניעת אלימות במשפחה ואכיפתו של הצו; האפשרות לשהות במצבי חירום במסגרת חוץ-ביתית חסויה ולקבל בה הגנה וטיפול (להלן - מקלט או מקלט לנשים נפגעות אלימות), או לשהות במסגרת שיקומית בקהילה לקראת המעבר לחיים עצמאיים (דירת מעבר); וכן האפשרות לקבל תמיכה כלכלית וסיוע חומרי לאחר המעבר לחיים עצמאיים</w:t>
      </w:r>
      <w:r w:rsidRPr="002F2BC5">
        <w:rPr>
          <w:rtl/>
        </w:rPr>
        <w:t>, בין היתר כדי לצמצם את האפשרות</w:t>
      </w:r>
      <w:r w:rsidRPr="002F2BC5">
        <w:rPr>
          <w:rFonts w:hint="cs"/>
          <w:rtl/>
        </w:rPr>
        <w:t xml:space="preserve"> שנפגע אלימות יצטרך</w:t>
      </w:r>
      <w:r w:rsidRPr="002F2BC5">
        <w:rPr>
          <w:rtl/>
        </w:rPr>
        <w:t>, בשל אילוצים כלכליים, לשוב ולהתגורר עם</w:t>
      </w:r>
      <w:r w:rsidRPr="002F2BC5">
        <w:rPr>
          <w:rFonts w:hint="cs"/>
          <w:rtl/>
        </w:rPr>
        <w:t xml:space="preserve"> </w:t>
      </w:r>
      <w:r w:rsidRPr="002F2BC5">
        <w:rPr>
          <w:rtl/>
        </w:rPr>
        <w:t>אותו בן משפחה</w:t>
      </w:r>
      <w:r w:rsidRPr="002F2BC5">
        <w:rPr>
          <w:rStyle w:val="af9"/>
          <w:rtl/>
        </w:rPr>
        <w:t xml:space="preserve"> </w:t>
      </w:r>
      <w:r w:rsidRPr="002F2BC5">
        <w:rPr>
          <w:rFonts w:hint="cs"/>
          <w:rtl/>
        </w:rPr>
        <w:t>שנהג כלפיו או כלפי ילדיו באלימות</w:t>
      </w:r>
      <w:r w:rsidRPr="002F2BC5">
        <w:rPr>
          <w:rStyle w:val="af9"/>
          <w:rtl/>
        </w:rPr>
        <w:footnoteReference w:id="363"/>
      </w:r>
      <w:r w:rsidRPr="002F2BC5">
        <w:rPr>
          <w:rFonts w:hint="cs"/>
          <w:rtl/>
        </w:rPr>
        <w:t xml:space="preserve">. כמו כן מאוגוסט 2021 החל משרד הרווחה להפעיל באופן מדורג מרכזי חירום </w:t>
      </w:r>
      <w:r w:rsidRPr="002F2BC5">
        <w:rPr>
          <w:rtl/>
        </w:rPr>
        <w:t>לטיפול ראשוני בנפגעי אלימות במשפחה (</w:t>
      </w:r>
      <w:r w:rsidRPr="002F2BC5">
        <w:rPr>
          <w:rFonts w:hint="cs"/>
          <w:rtl/>
        </w:rPr>
        <w:t>להלן - מרכזי החירום</w:t>
      </w:r>
      <w:r w:rsidRPr="002F2BC5">
        <w:rPr>
          <w:rtl/>
        </w:rPr>
        <w:t>)</w:t>
      </w:r>
      <w:r w:rsidRPr="002F2BC5">
        <w:rPr>
          <w:rStyle w:val="af9"/>
          <w:rtl/>
        </w:rPr>
        <w:footnoteReference w:id="364"/>
      </w:r>
      <w:r w:rsidRPr="002F2BC5">
        <w:rPr>
          <w:rFonts w:hint="cs"/>
          <w:rtl/>
        </w:rPr>
        <w:t>. מרכזי החירום פועלים באופן רציף שבעה ימים בשבוע, 24 שעות ביממה, ומעניקים סיוע ראשוני באמצעות צוות רב-תחומי, לרבות אפשרות של הלנת חירום קצרת מועד גם למי שאינו מעוניין להיות מוכר בשירותי הרווחה, או שאינו מעוניין בהגשת תלונה במשטרה. דרכי ההגנה והשיקום של נפגעי אלימות בין בני זוג מוצגות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Ref188168403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22</w:t>
      </w:r>
      <w:r w:rsidRPr="002F2BC5">
        <w:rPr>
          <w:rtl/>
        </w:rPr>
        <w:fldChar w:fldCharType="end"/>
      </w:r>
      <w:r w:rsidRPr="002F2BC5">
        <w:rPr>
          <w:rFonts w:hint="cs"/>
          <w:rtl/>
        </w:rPr>
        <w:t xml:space="preserve"> שלהלן.</w:t>
      </w:r>
    </w:p>
    <w:p w14:paraId="0DAA87E1" w14:textId="77777777" w:rsidR="00817399" w:rsidRPr="002F2BC5" w:rsidRDefault="00817399" w:rsidP="00817399">
      <w:pPr>
        <w:spacing w:line="269" w:lineRule="auto"/>
        <w:rPr>
          <w:rtl/>
        </w:rPr>
      </w:pPr>
    </w:p>
    <w:p w14:paraId="622B7D41" w14:textId="77777777" w:rsidR="00817399" w:rsidRPr="002F2BC5" w:rsidRDefault="00817399" w:rsidP="00817399">
      <w:pPr>
        <w:pStyle w:val="a9"/>
        <w:spacing w:line="269" w:lineRule="auto"/>
        <w:rPr>
          <w:rtl/>
        </w:rPr>
      </w:pPr>
      <w:bookmarkStart w:id="1849" w:name="_Ref188168403"/>
      <w:bookmarkStart w:id="1850" w:name="_Toc192672914"/>
      <w:r w:rsidRPr="002F2BC5">
        <w:rPr>
          <w:rFonts w:hint="cs"/>
          <w:rtl/>
        </w:rPr>
        <w:t>:</w:t>
      </w:r>
      <w:bookmarkEnd w:id="1849"/>
      <w:r w:rsidRPr="002F2BC5">
        <w:rPr>
          <w:rFonts w:hint="cs"/>
          <w:rtl/>
        </w:rPr>
        <w:t xml:space="preserve"> </w:t>
      </w:r>
      <w:r w:rsidRPr="002F2BC5">
        <w:rPr>
          <w:b w:val="0"/>
          <w:bCs/>
          <w:rtl/>
        </w:rPr>
        <w:t>דרכי ההגנה והשיקום של נפגעי אלימות בין בני זוג</w:t>
      </w:r>
      <w:bookmarkEnd w:id="1850"/>
      <w:r w:rsidRPr="002F2BC5">
        <w:rPr>
          <w:rFonts w:hint="cs"/>
          <w:rtl/>
        </w:rPr>
        <w:t>*</w:t>
      </w:r>
    </w:p>
    <w:p w14:paraId="3971217F"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5E3F2A0A" wp14:editId="383C9973">
            <wp:extent cx="5220000" cy="1056200"/>
            <wp:effectExtent l="0" t="0" r="0" b="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0000" cy="1056200"/>
                    </a:xfrm>
                    <a:prstGeom prst="rect">
                      <a:avLst/>
                    </a:prstGeom>
                    <a:noFill/>
                  </pic:spPr>
                </pic:pic>
              </a:graphicData>
            </a:graphic>
          </wp:inline>
        </w:drawing>
      </w:r>
    </w:p>
    <w:p w14:paraId="441EDAC8" w14:textId="77777777" w:rsidR="00817399" w:rsidRPr="002F2BC5" w:rsidRDefault="00817399" w:rsidP="00817399">
      <w:pPr>
        <w:pStyle w:val="afffffff1"/>
        <w:bidi/>
        <w:spacing w:line="269" w:lineRule="auto"/>
        <w:rPr>
          <w:rtl/>
        </w:rPr>
      </w:pPr>
      <w:r w:rsidRPr="002F2BC5">
        <w:rPr>
          <w:rFonts w:hint="cs"/>
          <w:rtl/>
        </w:rPr>
        <w:t>על פי מידע שנאסף במהלך ביקורת המעקב, בעיבוד משרד מבקר המדינה.</w:t>
      </w:r>
    </w:p>
    <w:p w14:paraId="6EBBF5BB" w14:textId="77777777" w:rsidR="00817399" w:rsidRPr="002F2BC5" w:rsidRDefault="00817399" w:rsidP="00817399">
      <w:pPr>
        <w:pStyle w:val="afffffff1"/>
        <w:bidi/>
        <w:spacing w:line="269" w:lineRule="auto"/>
        <w:rPr>
          <w:rtl/>
        </w:rPr>
      </w:pPr>
      <w:r w:rsidRPr="002F2BC5">
        <w:rPr>
          <w:rFonts w:hint="cs"/>
          <w:rtl/>
        </w:rPr>
        <w:t>* יובהר כי התרשים מציג רצף של מענים שהמעבר ביניהם גמיש ואינו בהכרח בסדר המוצג. כך לדוגמה, בקשה לצו הגנה ניתן להגיש בכל עת, ללא קשר להימצאות במסגרת טיפולית או לקבלת סיוע חומרי.</w:t>
      </w:r>
    </w:p>
    <w:p w14:paraId="3BCF0749" w14:textId="77777777" w:rsidR="00817399" w:rsidRPr="002F2BC5" w:rsidRDefault="00817399" w:rsidP="00817399">
      <w:pPr>
        <w:spacing w:line="269" w:lineRule="auto"/>
        <w:rPr>
          <w:rtl/>
        </w:rPr>
      </w:pPr>
    </w:p>
    <w:p w14:paraId="10575B35" w14:textId="77777777" w:rsidR="00817399" w:rsidRPr="002F2BC5" w:rsidRDefault="00817399" w:rsidP="00817399">
      <w:pPr>
        <w:spacing w:line="269" w:lineRule="auto"/>
        <w:rPr>
          <w:rtl/>
        </w:rPr>
      </w:pPr>
      <w:r w:rsidRPr="002F2BC5">
        <w:rPr>
          <w:rFonts w:hint="cs"/>
          <w:rtl/>
        </w:rPr>
        <w:t>להלן יפורטו ממצאי הביקורת בנושאים אלו.</w:t>
      </w:r>
    </w:p>
    <w:p w14:paraId="0252B203" w14:textId="77777777" w:rsidR="00817399" w:rsidRPr="002F2BC5" w:rsidRDefault="00817399" w:rsidP="00817399">
      <w:pPr>
        <w:spacing w:line="269" w:lineRule="auto"/>
        <w:rPr>
          <w:rtl/>
        </w:rPr>
      </w:pPr>
    </w:p>
    <w:p w14:paraId="3983C195" w14:textId="77777777" w:rsidR="00A74C4E" w:rsidRDefault="00A74C4E">
      <w:pPr>
        <w:bidi w:val="0"/>
        <w:spacing w:after="200" w:line="276" w:lineRule="auto"/>
        <w:rPr>
          <w:rFonts w:eastAsiaTheme="majorEastAsia"/>
          <w:bCs/>
          <w:spacing w:val="40"/>
          <w:rtl/>
        </w:rPr>
      </w:pPr>
      <w:bookmarkStart w:id="1851" w:name="_Toc189072276"/>
      <w:bookmarkStart w:id="1852" w:name="_Ref190714279"/>
      <w:bookmarkStart w:id="1853" w:name="_Toc191987123"/>
      <w:bookmarkStart w:id="1854" w:name="_Toc192093169"/>
      <w:bookmarkStart w:id="1855" w:name="_Toc193110636"/>
      <w:bookmarkStart w:id="1856" w:name="_Toc192612877"/>
      <w:bookmarkStart w:id="1857" w:name="_Ref197937041"/>
      <w:bookmarkStart w:id="1858" w:name="_Toc198312803"/>
      <w:bookmarkStart w:id="1859" w:name="_Toc200636966"/>
      <w:bookmarkStart w:id="1860" w:name="_Toc200439964"/>
      <w:bookmarkStart w:id="1861" w:name="_Toc201241069"/>
      <w:r>
        <w:rPr>
          <w:rtl/>
        </w:rPr>
        <w:br w:type="page"/>
      </w:r>
    </w:p>
    <w:p w14:paraId="0EA63638" w14:textId="77777777" w:rsidR="00817399" w:rsidRPr="002F2BC5" w:rsidRDefault="00817399" w:rsidP="00817399">
      <w:pPr>
        <w:pStyle w:val="50"/>
        <w:spacing w:line="269" w:lineRule="auto"/>
        <w:rPr>
          <w:rtl/>
        </w:rPr>
      </w:pPr>
      <w:r w:rsidRPr="002F2BC5">
        <w:rPr>
          <w:rFonts w:hint="cs"/>
          <w:rtl/>
        </w:rPr>
        <w:lastRenderedPageBreak/>
        <w:t>אכיפת צווי הגנה באמצעים טכנולוגיים</w:t>
      </w:r>
      <w:r w:rsidRPr="002F2BC5">
        <w:rPr>
          <w:rStyle w:val="af9"/>
          <w:b/>
          <w:bCs w:val="0"/>
          <w:rtl/>
        </w:rPr>
        <w:footnoteReference w:id="365"/>
      </w:r>
      <w:bookmarkEnd w:id="1851"/>
      <w:bookmarkEnd w:id="1852"/>
      <w:bookmarkEnd w:id="1853"/>
      <w:bookmarkEnd w:id="1854"/>
      <w:bookmarkEnd w:id="1855"/>
      <w:bookmarkEnd w:id="1856"/>
      <w:bookmarkEnd w:id="1857"/>
      <w:bookmarkEnd w:id="1858"/>
      <w:bookmarkEnd w:id="1859"/>
      <w:bookmarkEnd w:id="1860"/>
      <w:bookmarkEnd w:id="1861"/>
    </w:p>
    <w:p w14:paraId="197AB898" w14:textId="77777777" w:rsidR="00817399" w:rsidRPr="002F2BC5" w:rsidRDefault="00817399" w:rsidP="00817399">
      <w:pPr>
        <w:spacing w:line="269" w:lineRule="auto"/>
        <w:rPr>
          <w:rtl/>
        </w:rPr>
      </w:pPr>
    </w:p>
    <w:p w14:paraId="1408662E" w14:textId="77777777" w:rsidR="00817399" w:rsidRPr="002F2BC5" w:rsidRDefault="00817399" w:rsidP="00817399">
      <w:pPr>
        <w:spacing w:line="269" w:lineRule="auto"/>
        <w:rPr>
          <w:rtl/>
        </w:rPr>
      </w:pPr>
      <w:r w:rsidRPr="002F2BC5">
        <w:rPr>
          <w:rFonts w:hint="cs"/>
          <w:rtl/>
        </w:rPr>
        <w:t>צו הגנה כנגד בן משפחה אלים, בין שניתן לפי החוק למניעת אלימות במשפחה ובין שניתן מכוח דין אחר, שאינו נאכף, ובכלל זה משלא ננקטות פעולות להבטחת קיום הצו מצד האדם שכנגדו הוא הוצא, עלול שלא להשיג את תכליתו.</w:t>
      </w:r>
      <w:r w:rsidRPr="002F2BC5">
        <w:rPr>
          <w:rtl/>
        </w:rPr>
        <w:t xml:space="preserve"> </w:t>
      </w:r>
      <w:r w:rsidRPr="002F2BC5">
        <w:rPr>
          <w:rFonts w:hint="cs"/>
          <w:rtl/>
        </w:rPr>
        <w:t>בהקשר זה נודעת חשיבות רבה במיוחד לאכיפתו של הצו בזמן אמת וללא דיחוי, ככל האפשר, בלי להטיל את נטל הדיווח של ההפרה על המוגן בצו, שאחרת עלול הדיווח להתקבל בעת ההפרה הלכה למעשה, ופעולות האכיפה יבוצעו למפרע, לאחר שהצו כבר הופר, תוך הימצאותו של המוגן בצו בסכנה לחייו או לשלומו</w:t>
      </w:r>
      <w:r w:rsidRPr="002F2BC5">
        <w:rPr>
          <w:rStyle w:val="af9"/>
          <w:rtl/>
        </w:rPr>
        <w:footnoteReference w:id="366"/>
      </w:r>
      <w:r w:rsidRPr="002F2BC5">
        <w:rPr>
          <w:rFonts w:hint="cs"/>
          <w:rtl/>
        </w:rPr>
        <w:t>.</w:t>
      </w:r>
    </w:p>
    <w:p w14:paraId="2144A6B7" w14:textId="77777777" w:rsidR="00817399" w:rsidRPr="002F2BC5" w:rsidRDefault="00817399" w:rsidP="00817399">
      <w:pPr>
        <w:spacing w:line="269" w:lineRule="auto"/>
        <w:rPr>
          <w:rtl/>
        </w:rPr>
      </w:pPr>
    </w:p>
    <w:p w14:paraId="61BC7034" w14:textId="77777777" w:rsidR="00817399" w:rsidRPr="002F2BC5" w:rsidRDefault="00817399" w:rsidP="00817399">
      <w:pPr>
        <w:spacing w:line="269" w:lineRule="auto"/>
        <w:rPr>
          <w:rtl/>
        </w:rPr>
      </w:pPr>
      <w:bookmarkStart w:id="1862" w:name="_Toc191987124"/>
      <w:r w:rsidRPr="002F2BC5">
        <w:rPr>
          <w:rStyle w:val="70"/>
          <w:rFonts w:hint="cs"/>
          <w:rtl/>
        </w:rPr>
        <w:t>הביקורת הקודמת:</w:t>
      </w:r>
      <w:bookmarkEnd w:id="1862"/>
      <w:r w:rsidRPr="002F2BC5">
        <w:rPr>
          <w:rStyle w:val="70"/>
          <w:rFonts w:hint="cs"/>
          <w:rtl/>
        </w:rPr>
        <w:t xml:space="preserve"> </w:t>
      </w:r>
      <w:r w:rsidRPr="002F2BC5">
        <w:rPr>
          <w:rFonts w:hint="cs"/>
          <w:rtl/>
        </w:rPr>
        <w:t>במועד סיום הביקורת הקודמת, בנובמבר 2020, לא היו בנמצא כלים המאפשרים אכיפה מועילה של צווי הגנה בזמן אמת ואדם שהוצא כנגדו צו הגנה היה עלול להפר את הצו בכל עת מבלי שהייתה קיימת יכולת ממשית להעניק הגנה לאדם המוגן בצו. בביקורת הקודמת הועלה כי ה</w:t>
      </w:r>
      <w:r w:rsidRPr="002F2BC5">
        <w:rPr>
          <w:rFonts w:hint="eastAsia"/>
          <w:rtl/>
        </w:rPr>
        <w:t>משרד</w:t>
      </w:r>
      <w:r w:rsidRPr="002F2BC5">
        <w:rPr>
          <w:rtl/>
        </w:rPr>
        <w:t xml:space="preserve"> </w:t>
      </w:r>
      <w:r w:rsidRPr="002F2BC5">
        <w:rPr>
          <w:rFonts w:hint="eastAsia"/>
          <w:rtl/>
        </w:rPr>
        <w:t>לביטחון</w:t>
      </w:r>
      <w:r w:rsidRPr="002F2BC5">
        <w:rPr>
          <w:rtl/>
        </w:rPr>
        <w:t xml:space="preserve"> </w:t>
      </w:r>
      <w:r w:rsidRPr="002F2BC5">
        <w:rPr>
          <w:rFonts w:hint="cs"/>
          <w:rtl/>
        </w:rPr>
        <w:t>לאומי, בשיתוף משטרת ישראל</w:t>
      </w:r>
      <w:r w:rsidRPr="002F2BC5">
        <w:rPr>
          <w:rtl/>
        </w:rPr>
        <w:t xml:space="preserve"> </w:t>
      </w:r>
      <w:r w:rsidRPr="002F2BC5">
        <w:rPr>
          <w:rFonts w:hint="cs"/>
          <w:rtl/>
        </w:rPr>
        <w:t xml:space="preserve">ומשרד הרווחה, </w:t>
      </w:r>
      <w:r w:rsidRPr="002F2BC5">
        <w:rPr>
          <w:rFonts w:hint="eastAsia"/>
          <w:rtl/>
        </w:rPr>
        <w:t>ו</w:t>
      </w:r>
      <w:r w:rsidRPr="002F2BC5">
        <w:rPr>
          <w:rFonts w:hint="cs"/>
          <w:rtl/>
        </w:rPr>
        <w:t xml:space="preserve">בהובלת </w:t>
      </w:r>
      <w:r w:rsidRPr="002F2BC5">
        <w:rPr>
          <w:rFonts w:hint="eastAsia"/>
          <w:rtl/>
        </w:rPr>
        <w:t>משרד</w:t>
      </w:r>
      <w:r w:rsidRPr="002F2BC5">
        <w:rPr>
          <w:rtl/>
        </w:rPr>
        <w:t xml:space="preserve"> </w:t>
      </w:r>
      <w:r w:rsidRPr="002F2BC5">
        <w:rPr>
          <w:rFonts w:hint="eastAsia"/>
          <w:rtl/>
        </w:rPr>
        <w:t>המשפטים</w:t>
      </w:r>
      <w:r w:rsidRPr="002F2BC5">
        <w:rPr>
          <w:rFonts w:hint="cs"/>
          <w:rtl/>
        </w:rPr>
        <w:t>, גיבשו</w:t>
      </w:r>
      <w:r w:rsidRPr="002F2BC5">
        <w:rPr>
          <w:rtl/>
        </w:rPr>
        <w:t xml:space="preserve"> </w:t>
      </w:r>
      <w:r w:rsidRPr="002F2BC5">
        <w:rPr>
          <w:rFonts w:hint="eastAsia"/>
          <w:rtl/>
        </w:rPr>
        <w:t>שני</w:t>
      </w:r>
      <w:r w:rsidRPr="002F2BC5">
        <w:rPr>
          <w:rtl/>
        </w:rPr>
        <w:t xml:space="preserve"> </w:t>
      </w:r>
      <w:r w:rsidRPr="002F2BC5">
        <w:rPr>
          <w:rFonts w:hint="eastAsia"/>
          <w:rtl/>
        </w:rPr>
        <w:t>תזכירי</w:t>
      </w:r>
      <w:r w:rsidRPr="002F2BC5">
        <w:rPr>
          <w:rtl/>
        </w:rPr>
        <w:t xml:space="preserve"> </w:t>
      </w:r>
      <w:r w:rsidRPr="002F2BC5">
        <w:rPr>
          <w:rFonts w:hint="eastAsia"/>
          <w:rtl/>
        </w:rPr>
        <w:t>חוק</w:t>
      </w:r>
      <w:r w:rsidRPr="002F2BC5">
        <w:rPr>
          <w:rtl/>
        </w:rPr>
        <w:t xml:space="preserve"> </w:t>
      </w:r>
      <w:r w:rsidRPr="002F2BC5">
        <w:rPr>
          <w:rFonts w:hint="cs"/>
          <w:rtl/>
        </w:rPr>
        <w:t>שנועדו להסדיר שימוש באמצעי פיקוח טכנולוגי בעת שחרור בערובה של חשוד בעבירות אלימות במשפחה וכן בעת הגשת בקשה לצו הגנה לפי החוק למניעת אלימות במשפחה</w:t>
      </w:r>
      <w:r w:rsidRPr="002F2BC5">
        <w:rPr>
          <w:rtl/>
        </w:rPr>
        <w:t>.</w:t>
      </w:r>
      <w:r w:rsidRPr="002F2BC5">
        <w:rPr>
          <w:rFonts w:hint="cs"/>
          <w:rtl/>
        </w:rPr>
        <w:t xml:space="preserve"> ניסוי שערכה המשטרה בשנת 2018 באמצעי פיקוח טכנולוגי העלה קשיים במתן מענה בזמן אמת. במועד סיום הביקורת הקודמת טרם נפתרו הקשיים הטכנולוגיים באמצעי הפיקוח הטכנולוגי, וטרם הוחל השימוש בו. עוד נמצא כי המשרד לביטחון לאומי הנחה את משטרת ישראל להשלים עד סוף שנת 2020 את ההליכים לרכישת כלי פיקוח טכנולוגיים יעילים. </w:t>
      </w:r>
    </w:p>
    <w:p w14:paraId="15295DCD" w14:textId="77777777" w:rsidR="00817399" w:rsidRPr="002F2BC5" w:rsidRDefault="00817399" w:rsidP="00817399">
      <w:pPr>
        <w:spacing w:line="269" w:lineRule="auto"/>
        <w:rPr>
          <w:rtl/>
        </w:rPr>
      </w:pPr>
    </w:p>
    <w:p w14:paraId="6F002BF4" w14:textId="77777777" w:rsidR="00817399" w:rsidRPr="002F2BC5" w:rsidRDefault="00817399" w:rsidP="00817399">
      <w:pPr>
        <w:spacing w:line="269" w:lineRule="auto"/>
        <w:rPr>
          <w:rtl/>
        </w:rPr>
      </w:pPr>
      <w:r w:rsidRPr="002F2BC5">
        <w:rPr>
          <w:rFonts w:hint="cs"/>
          <w:rtl/>
        </w:rPr>
        <w:t>משרד מבקר המדינה המליץ למשטרת ישראל בביקורת הקודמת להשלים את רכישת אמצעי הפיקוח הטכנולוגיים ולקדם את הטמעת השימוש בהם.</w:t>
      </w:r>
    </w:p>
    <w:p w14:paraId="74A32F77" w14:textId="77777777" w:rsidR="00817399" w:rsidRPr="002F2BC5" w:rsidRDefault="00817399" w:rsidP="00817399">
      <w:pPr>
        <w:spacing w:line="269" w:lineRule="auto"/>
        <w:rPr>
          <w:rtl/>
        </w:rPr>
      </w:pPr>
    </w:p>
    <w:p w14:paraId="3360E3F0" w14:textId="77777777" w:rsidR="00817399" w:rsidRPr="002F2BC5" w:rsidRDefault="00817399" w:rsidP="00817399">
      <w:pPr>
        <w:spacing w:line="269" w:lineRule="auto"/>
        <w:rPr>
          <w:rtl/>
        </w:rPr>
      </w:pPr>
      <w:r w:rsidRPr="002F2BC5">
        <w:rPr>
          <w:rFonts w:hint="cs"/>
          <w:rtl/>
        </w:rPr>
        <w:t>משטרת ישראל מסרה בתשובתה לביקורת הקודמת מפברואר 2021 כי היא פרסמה בקשה לקבלת מידע כדי לקיים בחינה מחודשת של הטכנולוגיה הקיימת בשוק, ולאחר קבלת המענה לבקשה יוחלט אם לבצע פיילוט נוסף. המשרד לביטחון לאומי מסר בתשובתו מפברואר 2021 כי הוא מקיים מעקב הדוק ועיתי אחר התפתחות עבודת המטה המשטרתית ואחר ההליך המכרזי בנושא.</w:t>
      </w:r>
    </w:p>
    <w:p w14:paraId="271543D5" w14:textId="77777777" w:rsidR="00817399" w:rsidRPr="002F2BC5" w:rsidRDefault="00817399" w:rsidP="00817399">
      <w:pPr>
        <w:spacing w:line="269" w:lineRule="auto"/>
        <w:rPr>
          <w:rtl/>
        </w:rPr>
      </w:pPr>
    </w:p>
    <w:p w14:paraId="75D80D74" w14:textId="77777777" w:rsidR="00817399" w:rsidRPr="002F2BC5" w:rsidRDefault="00817399" w:rsidP="00817399">
      <w:pPr>
        <w:spacing w:line="269" w:lineRule="auto"/>
        <w:rPr>
          <w:rtl/>
        </w:rPr>
      </w:pPr>
      <w:bookmarkStart w:id="1863" w:name="_Toc191987125"/>
      <w:r w:rsidRPr="002F2BC5">
        <w:rPr>
          <w:rStyle w:val="70"/>
          <w:rFonts w:hint="cs"/>
          <w:rtl/>
        </w:rPr>
        <w:t>ביקורת המעקב:</w:t>
      </w:r>
      <w:bookmarkEnd w:id="1863"/>
      <w:r w:rsidRPr="002F2BC5">
        <w:rPr>
          <w:rStyle w:val="70"/>
          <w:rFonts w:hint="cs"/>
          <w:rtl/>
        </w:rPr>
        <w:t xml:space="preserve"> </w:t>
      </w:r>
      <w:r w:rsidRPr="002F2BC5">
        <w:rPr>
          <w:rFonts w:hint="cs"/>
          <w:rtl/>
        </w:rPr>
        <w:t>באוגוסט 2024 נכנס לתוקפו תיקון 19 לחוק למניעת אלימות במשפחה המאפשר פיקוח ואכיפת צו הגנה באמצעי פיקוח טכנולוגיים (</w:t>
      </w:r>
      <w:bookmarkStart w:id="1864" w:name="_Hlk202284028"/>
      <w:r w:rsidRPr="002F2BC5">
        <w:rPr>
          <w:rFonts w:hint="cs"/>
          <w:rtl/>
        </w:rPr>
        <w:t>להלן תיקון 19 לחוק וצו הגנה בתנאי פיקוח טכנולוגי</w:t>
      </w:r>
      <w:bookmarkEnd w:id="1864"/>
      <w:r w:rsidRPr="002F2BC5">
        <w:rPr>
          <w:rFonts w:hint="cs"/>
          <w:rtl/>
        </w:rPr>
        <w:t>)</w:t>
      </w:r>
      <w:r w:rsidRPr="002F2BC5">
        <w:rPr>
          <w:rStyle w:val="af9"/>
          <w:rtl/>
        </w:rPr>
        <w:footnoteReference w:id="367"/>
      </w:r>
      <w:r w:rsidRPr="002F2BC5">
        <w:rPr>
          <w:rFonts w:hint="cs"/>
          <w:rtl/>
        </w:rPr>
        <w:t>. הפיקוח נעשה באמצעים טכנולוגיים המאפשרים "מעקב מרחוק" והתרעה בזמן אמת על כניסת מפוקח בצו לטווח אזהרה וטווח הפרה</w:t>
      </w:r>
      <w:r w:rsidRPr="002F2BC5">
        <w:rPr>
          <w:rStyle w:val="af9"/>
          <w:rtl/>
        </w:rPr>
        <w:footnoteReference w:id="368"/>
      </w:r>
      <w:r w:rsidRPr="002F2BC5">
        <w:rPr>
          <w:rFonts w:hint="cs"/>
          <w:rtl/>
        </w:rPr>
        <w:t>, במתחם מוגדר או בקרבה למוגן בצו, בניגוד לתנאים שנקבעו למפוקח בצו ההגנה. הפיקוח כולל ניטור אחר המפוקח והמוגן, נקיטת פעולות יזומות למניעת הפרה של הצו בדרך של אזהרתם של המפוקח והמוגן בצו מפני חשש להפרת הצו, ובמקרים מתאימים - הזעקת גורמי סיוע למקום הימצאותו של המוגן בצו</w:t>
      </w:r>
      <w:r w:rsidRPr="002F2BC5">
        <w:rPr>
          <w:rStyle w:val="af9"/>
          <w:rtl/>
        </w:rPr>
        <w:footnoteReference w:id="369"/>
      </w:r>
      <w:r w:rsidRPr="002F2BC5">
        <w:rPr>
          <w:rFonts w:hint="cs"/>
          <w:rtl/>
        </w:rPr>
        <w:t>.</w:t>
      </w:r>
    </w:p>
    <w:p w14:paraId="7C891B7D" w14:textId="77777777" w:rsidR="00817399" w:rsidRPr="002F2BC5" w:rsidRDefault="00817399" w:rsidP="00817399">
      <w:pPr>
        <w:spacing w:line="269" w:lineRule="auto"/>
        <w:rPr>
          <w:rtl/>
        </w:rPr>
      </w:pPr>
    </w:p>
    <w:p w14:paraId="32F09075" w14:textId="620DDCE1" w:rsidR="00817399" w:rsidRPr="002F2BC5" w:rsidRDefault="00817399" w:rsidP="00817399">
      <w:pPr>
        <w:spacing w:line="269" w:lineRule="auto"/>
        <w:rPr>
          <w:rtl/>
        </w:rPr>
      </w:pPr>
      <w:r w:rsidRPr="002F2BC5">
        <w:rPr>
          <w:rFonts w:hint="cs"/>
          <w:rtl/>
        </w:rPr>
        <w:lastRenderedPageBreak/>
        <w:t>על פי תיקון 19 לחוק, מתן צו הגנה בתנאי פיקוח טכנולוגי יינתן בהתקיים כמה תנאים מצטברים: ניתנה הסכמתו של בן המשפחה לפיקוח, לרבות לניטור מקום הימצאותו, וכן ניתן לו הסבר על אמצעי הפיקוח ויעילותו ואיסוף המידע על אודותיו; בית המשפט שוכנע בדבר חשש ממשי להפרת צו ההגנה או מסוכנות גבוהה מצד המפוקח בצו; ישנה הרשעה קודמת בעבירת אלימות כהגדרתה בחוק או בעבירה חמורה אחרת, או שהמפוקח כבר הפר בעבר צו הגנה שניתן כנגדו (</w:t>
      </w:r>
      <w:bookmarkStart w:id="1865" w:name="_Hlk202284009"/>
      <w:r w:rsidRPr="002F2BC5">
        <w:rPr>
          <w:rFonts w:hint="cs"/>
          <w:rtl/>
        </w:rPr>
        <w:t>להלן - נסיבות פליליות</w:t>
      </w:r>
      <w:bookmarkEnd w:id="1865"/>
      <w:r w:rsidRPr="002F2BC5">
        <w:rPr>
          <w:rFonts w:hint="cs"/>
          <w:rtl/>
        </w:rPr>
        <w:t>); וכן נעשתה הערכת מסוכנות כאמור בחוק</w:t>
      </w:r>
      <w:r w:rsidRPr="002F2BC5">
        <w:rPr>
          <w:rStyle w:val="af9"/>
          <w:rtl/>
        </w:rPr>
        <w:footnoteReference w:id="370"/>
      </w:r>
      <w:r w:rsidRPr="002F2BC5">
        <w:rPr>
          <w:rFonts w:hint="cs"/>
          <w:rtl/>
        </w:rPr>
        <w:t>. על אף האמור, בית המשפט רשאי, מנימוקים מיוחדים שיירשמו, ליתן צו הגנה בתנאי פיקוח טכנולוגי גם בהיעדר נסיבות פליליות ובהיעדר הערכת מסוכנות כהגדרתה בחוק, ובלבד ששוכנע כי יש סכנה גבוהה וממשית לחייו של בן המשפחה שלהגנתו ניתן או מתבקש צו ההגנה</w:t>
      </w:r>
      <w:r w:rsidRPr="002F2BC5">
        <w:rPr>
          <w:rStyle w:val="af9"/>
          <w:rtl/>
        </w:rPr>
        <w:footnoteReference w:id="371"/>
      </w:r>
      <w:r w:rsidRPr="002F2BC5">
        <w:rPr>
          <w:rFonts w:hint="cs"/>
          <w:rtl/>
        </w:rPr>
        <w:t>. התנאים המצטברים למתן צו הגנה בפיקוח טכנולוגי, כפי שנקבעו בתיקון 19 לחוק למניעת אלימות במשפחה, מוצגים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Ref182742635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23</w:t>
      </w:r>
      <w:r w:rsidRPr="002F2BC5">
        <w:rPr>
          <w:rtl/>
        </w:rPr>
        <w:fldChar w:fldCharType="end"/>
      </w:r>
      <w:r w:rsidRPr="002F2BC5">
        <w:rPr>
          <w:rFonts w:hint="cs"/>
          <w:rtl/>
        </w:rPr>
        <w:t xml:space="preserve"> שלהלן.</w:t>
      </w:r>
    </w:p>
    <w:p w14:paraId="51E2B0B2" w14:textId="77777777" w:rsidR="00817399" w:rsidRPr="002F2BC5" w:rsidRDefault="00817399" w:rsidP="00817399">
      <w:pPr>
        <w:spacing w:line="269" w:lineRule="auto"/>
        <w:rPr>
          <w:rtl/>
        </w:rPr>
      </w:pPr>
    </w:p>
    <w:p w14:paraId="00A16E7D" w14:textId="77777777" w:rsidR="00817399" w:rsidRPr="002F2BC5" w:rsidRDefault="00817399" w:rsidP="00817399">
      <w:pPr>
        <w:pStyle w:val="a9"/>
        <w:spacing w:line="269" w:lineRule="auto"/>
        <w:rPr>
          <w:rtl/>
        </w:rPr>
      </w:pPr>
      <w:bookmarkStart w:id="1866" w:name="_Ref182742635"/>
      <w:bookmarkStart w:id="1867" w:name="_Toc192672915"/>
      <w:r w:rsidRPr="002F2BC5">
        <w:rPr>
          <w:rFonts w:hint="cs"/>
          <w:rtl/>
        </w:rPr>
        <w:t xml:space="preserve">: </w:t>
      </w:r>
      <w:r w:rsidRPr="002F2BC5">
        <w:rPr>
          <w:b w:val="0"/>
          <w:bCs/>
          <w:rtl/>
        </w:rPr>
        <w:t>התנאים המצטברים למתן צו הגנה בפיקוח טכנולוגי</w:t>
      </w:r>
      <w:r w:rsidRPr="002F2BC5">
        <w:rPr>
          <w:rFonts w:hint="cs"/>
          <w:b w:val="0"/>
          <w:bCs/>
          <w:rtl/>
        </w:rPr>
        <w:t xml:space="preserve">, </w:t>
      </w:r>
      <w:r w:rsidRPr="002F2BC5">
        <w:rPr>
          <w:b w:val="0"/>
          <w:bCs/>
          <w:rtl/>
        </w:rPr>
        <w:t>כפי שנקבעו בתיקון 19 לחוק למניעת אלימות</w:t>
      </w:r>
      <w:bookmarkEnd w:id="1866"/>
      <w:r w:rsidRPr="002F2BC5">
        <w:rPr>
          <w:rFonts w:hint="cs"/>
          <w:b w:val="0"/>
          <w:bCs/>
          <w:rtl/>
        </w:rPr>
        <w:t xml:space="preserve"> במשפחה, נכון למועד סיום הביקורת, בדצמבר 2024</w:t>
      </w:r>
      <w:bookmarkEnd w:id="1867"/>
    </w:p>
    <w:p w14:paraId="4C18725F"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07D7A620" wp14:editId="770CC8D4">
            <wp:extent cx="5220335" cy="1695450"/>
            <wp:effectExtent l="0" t="0" r="0" b="0"/>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0335" cy="1695450"/>
                    </a:xfrm>
                    <a:prstGeom prst="rect">
                      <a:avLst/>
                    </a:prstGeom>
                  </pic:spPr>
                </pic:pic>
              </a:graphicData>
            </a:graphic>
          </wp:inline>
        </w:drawing>
      </w:r>
    </w:p>
    <w:p w14:paraId="60E892DC" w14:textId="77777777" w:rsidR="00817399" w:rsidRPr="002F2BC5" w:rsidRDefault="00817399" w:rsidP="00817399">
      <w:pPr>
        <w:pStyle w:val="afffffff1"/>
        <w:bidi/>
        <w:spacing w:line="269" w:lineRule="auto"/>
        <w:rPr>
          <w:rtl/>
        </w:rPr>
      </w:pPr>
      <w:r w:rsidRPr="002F2BC5">
        <w:rPr>
          <w:rFonts w:hint="cs"/>
          <w:rtl/>
        </w:rPr>
        <w:t>על פי סעיף 3ב לחוק למניעת אלימות במשפחה.</w:t>
      </w:r>
    </w:p>
    <w:p w14:paraId="5556D9E3" w14:textId="77777777" w:rsidR="00817399" w:rsidRPr="002F2BC5" w:rsidRDefault="00817399" w:rsidP="00817399">
      <w:pPr>
        <w:pStyle w:val="afffffff1"/>
        <w:bidi/>
        <w:spacing w:line="269" w:lineRule="auto"/>
        <w:rPr>
          <w:rtl/>
        </w:rPr>
      </w:pPr>
      <w:r w:rsidRPr="002F2BC5">
        <w:rPr>
          <w:rFonts w:hint="cs"/>
          <w:rtl/>
        </w:rPr>
        <w:t xml:space="preserve">(*) לפי סעיף 3ב(ה) לחוק למניעת אלימות במשפחה, </w:t>
      </w:r>
      <w:r w:rsidRPr="002F2BC5">
        <w:rPr>
          <w:rtl/>
        </w:rPr>
        <w:t xml:space="preserve">בית המשפט רשאי, מנימוקים מיוחדים שיירשמו, ליתן צו הגנה בתנאי פיקוח טכנולוגי גם בהיעדר נסיבות פליליות ובהיעדר הערכת מסוכנות כהגדרתה בחוק, ובלבד ששוכנע כי יש סכנה גבוהה וממשית לחייו של בן המשפחה שלהגנתו ניתן או מתבקש צו </w:t>
      </w:r>
      <w:r w:rsidRPr="002F2BC5">
        <w:rPr>
          <w:rFonts w:hint="cs"/>
          <w:rtl/>
        </w:rPr>
        <w:t>ה</w:t>
      </w:r>
      <w:r w:rsidRPr="002F2BC5">
        <w:rPr>
          <w:rtl/>
        </w:rPr>
        <w:t>הגנה</w:t>
      </w:r>
      <w:r w:rsidRPr="002F2BC5">
        <w:rPr>
          <w:rFonts w:hint="cs"/>
          <w:rtl/>
        </w:rPr>
        <w:t>.</w:t>
      </w:r>
    </w:p>
    <w:p w14:paraId="7FF1BCBE" w14:textId="77777777" w:rsidR="00817399" w:rsidRPr="002F2BC5" w:rsidRDefault="00817399" w:rsidP="00817399">
      <w:pPr>
        <w:spacing w:line="269" w:lineRule="auto"/>
        <w:rPr>
          <w:rtl/>
        </w:rPr>
      </w:pPr>
    </w:p>
    <w:p w14:paraId="77E2B8B6" w14:textId="77777777" w:rsidR="00817399" w:rsidRPr="002F2BC5" w:rsidRDefault="00817399" w:rsidP="00817399">
      <w:pPr>
        <w:spacing w:line="269" w:lineRule="auto"/>
        <w:rPr>
          <w:rtl/>
        </w:rPr>
      </w:pPr>
      <w:r w:rsidRPr="002F2BC5">
        <w:rPr>
          <w:rFonts w:hint="cs"/>
          <w:rtl/>
        </w:rPr>
        <w:t xml:space="preserve">עוד קובע תיקון 19 לחוק כי בנסיבות שבהן מתקיימים התנאים למתן צו הגנה בתנאי פיקוח טכנולוגי, אך אין בנמצא אמצעי פיקוח טכנולוגי פנוי, רשאי בית המשפט להורות </w:t>
      </w:r>
      <w:r w:rsidRPr="002F2BC5">
        <w:rPr>
          <w:rFonts w:hint="eastAsia"/>
          <w:rtl/>
        </w:rPr>
        <w:t>על</w:t>
      </w:r>
      <w:r w:rsidRPr="002F2BC5">
        <w:rPr>
          <w:rFonts w:hint="cs"/>
          <w:rtl/>
        </w:rPr>
        <w:t xml:space="preserve"> צו הגנה בתנאי פיקוח טכנולוגי מותנה (</w:t>
      </w:r>
      <w:bookmarkStart w:id="1868" w:name="_Hlk202284145"/>
      <w:r w:rsidRPr="002F2BC5">
        <w:rPr>
          <w:rFonts w:hint="cs"/>
          <w:rtl/>
        </w:rPr>
        <w:t>להלן - צו הגנה בתנאי פיקוח טכנולוגי מותנה או צו מותנה</w:t>
      </w:r>
      <w:bookmarkEnd w:id="1868"/>
      <w:r w:rsidRPr="002F2BC5">
        <w:rPr>
          <w:rFonts w:hint="cs"/>
          <w:rtl/>
        </w:rPr>
        <w:t>). אופן הפעלת הצו המותנה יוסדר, לפי האמור בתיקון לחוק, בתקנות שיתקין השר לביטחון לאומי</w:t>
      </w:r>
      <w:r w:rsidRPr="002F2BC5">
        <w:rPr>
          <w:rStyle w:val="af9"/>
          <w:rtl/>
        </w:rPr>
        <w:footnoteReference w:id="372"/>
      </w:r>
      <w:r w:rsidRPr="002F2BC5">
        <w:rPr>
          <w:rFonts w:hint="cs"/>
          <w:rtl/>
        </w:rPr>
        <w:t>.</w:t>
      </w:r>
    </w:p>
    <w:p w14:paraId="4FD50957" w14:textId="77777777" w:rsidR="00817399" w:rsidRPr="002F2BC5" w:rsidRDefault="00817399" w:rsidP="00817399">
      <w:pPr>
        <w:spacing w:line="269" w:lineRule="auto"/>
        <w:rPr>
          <w:rtl/>
        </w:rPr>
      </w:pPr>
    </w:p>
    <w:p w14:paraId="3AD425BF" w14:textId="77777777" w:rsidR="00817399" w:rsidRPr="002F2BC5" w:rsidRDefault="00817399" w:rsidP="00817399">
      <w:pPr>
        <w:spacing w:line="269" w:lineRule="auto"/>
        <w:rPr>
          <w:rtl/>
        </w:rPr>
      </w:pPr>
      <w:r w:rsidRPr="002F2BC5">
        <w:rPr>
          <w:rFonts w:hint="cs"/>
          <w:rtl/>
        </w:rPr>
        <w:t>יצוין כי ועדת רוזנבאום המליצה בהקשר זה בין השאר גם על גיבוש הסדר שלפיו המדינה עצמה, באמצעות הגורמים המוסמכים לכך לפי החוק למניעת אלימות במשפחה</w:t>
      </w:r>
      <w:r w:rsidRPr="002F2BC5">
        <w:rPr>
          <w:rStyle w:val="af9"/>
          <w:rtl/>
        </w:rPr>
        <w:footnoteReference w:id="373"/>
      </w:r>
      <w:r w:rsidRPr="002F2BC5">
        <w:rPr>
          <w:rFonts w:hint="cs"/>
          <w:rtl/>
        </w:rPr>
        <w:t>, תידרש לבחון את הצורך ליזום הליך בקשה לצו הגנה, ובתוך כך לבקש שיינתן בתנאי פיקוח טכנולוגי, אם האסיר העומד לקראת שחרור מצוי ברמת מסוכנות גבוהה והבקשה נדרשת כדי להגן על בן משפחתו</w:t>
      </w:r>
      <w:r w:rsidRPr="002F2BC5">
        <w:rPr>
          <w:rStyle w:val="af9"/>
          <w:rtl/>
        </w:rPr>
        <w:footnoteReference w:id="374"/>
      </w:r>
      <w:r w:rsidRPr="002F2BC5">
        <w:rPr>
          <w:rFonts w:hint="cs"/>
          <w:rtl/>
        </w:rPr>
        <w:t>. גם ועדת המנכ"לים כללה המלצה ברוח זו בתוכנית הפעולה שקבעה</w:t>
      </w:r>
      <w:r w:rsidRPr="002F2BC5">
        <w:rPr>
          <w:rStyle w:val="af9"/>
          <w:rtl/>
        </w:rPr>
        <w:footnoteReference w:id="375"/>
      </w:r>
      <w:r w:rsidRPr="002F2BC5">
        <w:rPr>
          <w:rFonts w:hint="cs"/>
          <w:rtl/>
        </w:rPr>
        <w:t xml:space="preserve">. </w:t>
      </w:r>
    </w:p>
    <w:p w14:paraId="77B8F3BD" w14:textId="77777777" w:rsidR="00817399" w:rsidRPr="002F2BC5" w:rsidRDefault="00817399" w:rsidP="00817399">
      <w:pPr>
        <w:spacing w:line="269" w:lineRule="auto"/>
        <w:rPr>
          <w:rtl/>
        </w:rPr>
      </w:pPr>
    </w:p>
    <w:p w14:paraId="0D6B9452" w14:textId="77777777" w:rsidR="00817399" w:rsidRPr="002F2BC5" w:rsidRDefault="00817399" w:rsidP="00817399">
      <w:pPr>
        <w:spacing w:line="269" w:lineRule="auto"/>
        <w:rPr>
          <w:rtl/>
        </w:rPr>
      </w:pPr>
      <w:r w:rsidRPr="002F2BC5">
        <w:rPr>
          <w:rFonts w:hint="cs"/>
          <w:rtl/>
        </w:rPr>
        <w:t xml:space="preserve">לצד האמור, במסגרת התיקון לחוק נקבעו חובות דיווח עיתיות ומחקר מלווה על יישום ההסדר. על פי התיקון לחוק, השר לביטחון לאומי, שר הרווחה ומנהל בתי המשפט - כל אחד בתחומו - ידווח מדי שנה, בתוך תקופת תוקפה של הוראת השעה, לוועדה לביטחון לאומי של הכנסת על יישום ההסדר לגבי השנה שקדמה למועד הדיווח. בכלל זאת יועבר דיווח על: מספר הבקשות </w:t>
      </w:r>
      <w:r w:rsidRPr="002F2BC5">
        <w:rPr>
          <w:rFonts w:hint="cs"/>
          <w:rtl/>
        </w:rPr>
        <w:lastRenderedPageBreak/>
        <w:t>שהוגשו לצווי הגנה בתנאי פיקוח טכנולוגי שהוגשו לבתי המשפט; מספר הערכות המסוכנות שהוגשו לבתי המשפט; מספר הצווים בתנאי פיקוח טכנולוגי והצווים המותנים שניתנו; וכן מספר ההפרות של צווים כאמור ומספר ההליכים הפליליים שנפתחו בשל הפרתם. נוסף על כך מורה התיקון לחוק כי לא יאוחר משישה חודשים לפני תום תוקפו יוגשו ממצאיו של מחקר מלווה על יישומו. ההנחיה והליווי של המחקר ייעשו בידי ועדת היגוי בין-משרדית שתוקם בראשותו של המדען הראשי במשרד לביטחון לאומי ושיהיו חברים בה נציגי משרד הרווחה, משרד המשפטים, הנהלת בתי המשפט, משטרת ישראל ושירות בתי הסוהר</w:t>
      </w:r>
      <w:r w:rsidRPr="002F2BC5">
        <w:rPr>
          <w:rStyle w:val="af9"/>
          <w:rtl/>
        </w:rPr>
        <w:footnoteReference w:id="376"/>
      </w:r>
      <w:r w:rsidRPr="002F2BC5">
        <w:rPr>
          <w:rFonts w:hint="cs"/>
          <w:rtl/>
        </w:rPr>
        <w:t xml:space="preserve">. </w:t>
      </w:r>
    </w:p>
    <w:p w14:paraId="7325CE99" w14:textId="77777777" w:rsidR="00817399" w:rsidRPr="002F2BC5" w:rsidRDefault="00817399" w:rsidP="00817399">
      <w:pPr>
        <w:spacing w:line="269" w:lineRule="auto"/>
        <w:rPr>
          <w:rtl/>
        </w:rPr>
      </w:pPr>
    </w:p>
    <w:p w14:paraId="0C73C85C" w14:textId="77777777" w:rsidR="00817399" w:rsidRPr="002F2BC5" w:rsidRDefault="00817399" w:rsidP="00817399">
      <w:pPr>
        <w:pStyle w:val="afffffff9"/>
        <w:spacing w:line="269" w:lineRule="auto"/>
        <w:rPr>
          <w:rtl/>
        </w:rPr>
      </w:pPr>
      <w:bookmarkStart w:id="1869" w:name="_Toc191987126"/>
      <w:bookmarkStart w:id="1870" w:name="_Toc192093170"/>
      <w:bookmarkStart w:id="1871" w:name="_Toc192612878"/>
      <w:bookmarkStart w:id="1872" w:name="_Toc198312322"/>
      <w:bookmarkStart w:id="1873" w:name="_Toc198312804"/>
      <w:bookmarkStart w:id="1874" w:name="_Toc200636967"/>
      <w:bookmarkStart w:id="1875" w:name="_Toc200439965"/>
      <w:bookmarkStart w:id="1876" w:name="_Toc201241070"/>
      <w:r w:rsidRPr="002F2BC5">
        <w:rPr>
          <w:rFonts w:hint="cs"/>
          <w:rtl/>
        </w:rPr>
        <w:t xml:space="preserve">במועד סיום הביקורת הקודמת, בנובמבר 2020, לא היו בנמצא כלים המאפשרים אכיפה מועילה של צווי הגנה בזמן אמת. בביקורת המעקב </w:t>
      </w:r>
      <w:r w:rsidRPr="002F2BC5">
        <w:rPr>
          <w:rtl/>
        </w:rPr>
        <w:t xml:space="preserve">הועלה כי הליקוי תוקן במידה רבה. באוגוסט 2024 נכנס לתוקפו תיקון 19 לחוק למניעת אלימות </w:t>
      </w:r>
      <w:r w:rsidRPr="002F2BC5">
        <w:rPr>
          <w:rFonts w:hint="cs"/>
          <w:rtl/>
        </w:rPr>
        <w:t>במשפחה</w:t>
      </w:r>
      <w:r w:rsidRPr="002F2BC5">
        <w:rPr>
          <w:rtl/>
        </w:rPr>
        <w:t xml:space="preserve"> המאפשר פיקוח ואכיפת צו הגנה באמצעי פיקוח טכנולוגיים</w:t>
      </w:r>
      <w:r w:rsidRPr="002F2BC5">
        <w:rPr>
          <w:rFonts w:hint="cs"/>
          <w:rtl/>
        </w:rPr>
        <w:t xml:space="preserve"> וכולל חובות דיווח עיתיות ומחקר מלווה על יישום ההסדר. עם זאת, הביקורת הנוכחית העלתה כי במועד סיומה, בדצמבר 2024, ההיערכות לקראת יישום ההסדר החדש לא הושלמה ובכלל זה לא הושלמה הקמת התשתית הנורמטיבית החיונית ליישום מלא של ההסדר החדש. להלן יובאו ממצאי הביקורת הנוכחית בנושא זה.</w:t>
      </w:r>
      <w:bookmarkEnd w:id="1869"/>
      <w:bookmarkEnd w:id="1870"/>
      <w:bookmarkEnd w:id="1871"/>
      <w:bookmarkEnd w:id="1872"/>
      <w:bookmarkEnd w:id="1873"/>
      <w:bookmarkEnd w:id="1874"/>
      <w:bookmarkEnd w:id="1875"/>
      <w:bookmarkEnd w:id="1876"/>
    </w:p>
    <w:p w14:paraId="50DA1FCD" w14:textId="77777777" w:rsidR="00817399" w:rsidRPr="002F2BC5" w:rsidRDefault="00817399" w:rsidP="00817399">
      <w:pPr>
        <w:spacing w:line="269" w:lineRule="auto"/>
        <w:rPr>
          <w:rtl/>
        </w:rPr>
      </w:pPr>
    </w:p>
    <w:p w14:paraId="5B02E605"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93F32E6" w14:textId="77777777" w:rsidR="00817399" w:rsidRPr="002F2BC5" w:rsidRDefault="00817399" w:rsidP="00817399">
      <w:pPr>
        <w:pStyle w:val="afffffff7"/>
        <w:spacing w:before="0" w:line="269" w:lineRule="auto"/>
        <w:rPr>
          <w:b/>
          <w:bCs/>
          <w:rtl/>
        </w:rPr>
      </w:pPr>
      <w:bookmarkStart w:id="1877" w:name="_Toc198312323"/>
      <w:bookmarkStart w:id="1878" w:name="_Toc198312805"/>
      <w:r w:rsidRPr="002F2BC5">
        <w:rPr>
          <w:noProof/>
        </w:rPr>
        <w:drawing>
          <wp:inline distT="0" distB="0" distL="0" distR="0" wp14:anchorId="4081577D" wp14:editId="3D063498">
            <wp:extent cx="4324350" cy="933450"/>
            <wp:effectExtent l="0" t="0" r="0" b="0"/>
            <wp:docPr id="59"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877"/>
      <w:bookmarkEnd w:id="1878"/>
    </w:p>
    <w:p w14:paraId="2890564E" w14:textId="77777777" w:rsidR="00817399" w:rsidRPr="002F2BC5" w:rsidRDefault="00817399" w:rsidP="00817399">
      <w:pPr>
        <w:spacing w:line="269" w:lineRule="auto"/>
        <w:rPr>
          <w:rtl/>
        </w:rPr>
      </w:pPr>
    </w:p>
    <w:p w14:paraId="444BC361" w14:textId="77777777" w:rsidR="00817399" w:rsidRPr="002F2BC5" w:rsidRDefault="00817399" w:rsidP="00817399">
      <w:pPr>
        <w:spacing w:line="269" w:lineRule="auto"/>
        <w:rPr>
          <w:rtl/>
        </w:rPr>
      </w:pPr>
      <w:r w:rsidRPr="002F2BC5">
        <w:rPr>
          <w:rStyle w:val="70"/>
          <w:rFonts w:hint="cs"/>
          <w:rtl/>
        </w:rPr>
        <w:t>הנושאים המפורטים להלן נבדקו לראשונה במסגרת ביקורת זו:</w:t>
      </w:r>
    </w:p>
    <w:p w14:paraId="2993404C" w14:textId="77777777" w:rsidR="00817399" w:rsidRPr="002F2BC5" w:rsidRDefault="00817399" w:rsidP="00817399">
      <w:pPr>
        <w:spacing w:line="269" w:lineRule="auto"/>
        <w:rPr>
          <w:rtl/>
        </w:rPr>
      </w:pPr>
    </w:p>
    <w:p w14:paraId="11167835" w14:textId="77777777" w:rsidR="00817399" w:rsidRPr="002F2BC5" w:rsidRDefault="00817399" w:rsidP="00817399">
      <w:pPr>
        <w:pStyle w:val="afa"/>
        <w:numPr>
          <w:ilvl w:val="0"/>
          <w:numId w:val="29"/>
        </w:numPr>
        <w:spacing w:line="269" w:lineRule="auto"/>
        <w:rPr>
          <w:rtl/>
        </w:rPr>
      </w:pPr>
      <w:bookmarkStart w:id="1879" w:name="_Toc191987127"/>
      <w:r w:rsidRPr="002F2BC5">
        <w:rPr>
          <w:rStyle w:val="70"/>
          <w:rFonts w:hint="cs"/>
          <w:rtl/>
        </w:rPr>
        <w:t>ההיערכות לקראת יישום תיקון 19 לחוק</w:t>
      </w:r>
      <w:bookmarkEnd w:id="1879"/>
      <w:r w:rsidRPr="002F2BC5">
        <w:rPr>
          <w:rFonts w:hint="cs"/>
          <w:rtl/>
        </w:rPr>
        <w:t>: לצורך פיקוח ואכיפת צווי הגנה בתנאי פיקוח טכנולוגי מורה תיקון 19 לחוק כי תוקם יחידה ייעודית בשירות בתי הסוהר</w:t>
      </w:r>
      <w:r w:rsidRPr="002F2BC5">
        <w:rPr>
          <w:rStyle w:val="af9"/>
          <w:rtl/>
        </w:rPr>
        <w:footnoteReference w:id="377"/>
      </w:r>
      <w:r w:rsidRPr="002F2BC5">
        <w:rPr>
          <w:rFonts w:hint="cs"/>
          <w:rtl/>
        </w:rPr>
        <w:t>. יחידה זו אחראית בין השאר להקמה וניהול של מאגר מידע שהתקבל מאמצעי פיקוח טכנולוגיים על נתוני איכון המעידים על הפרת צו הגנה בתנאי פיקוח טכנולוגי או על כניסה לטווח אזהרה, בלבד</w:t>
      </w:r>
      <w:r w:rsidRPr="002F2BC5">
        <w:rPr>
          <w:rStyle w:val="af9"/>
          <w:rtl/>
        </w:rPr>
        <w:footnoteReference w:id="378"/>
      </w:r>
      <w:r w:rsidRPr="002F2BC5">
        <w:rPr>
          <w:rFonts w:hint="cs"/>
          <w:rtl/>
        </w:rPr>
        <w:t>. לפי האמור בתיקון לחוק, המידע שבמאגר יישמר לתקופה המזערית הנדרשת לשם יישום הוראות החוק "כפי שיקבע שר המשפטים בתקנות"</w:t>
      </w:r>
      <w:r w:rsidRPr="002F2BC5">
        <w:rPr>
          <w:rStyle w:val="af9"/>
          <w:rtl/>
        </w:rPr>
        <w:footnoteReference w:id="379"/>
      </w:r>
      <w:r w:rsidRPr="002F2BC5">
        <w:rPr>
          <w:rFonts w:hint="cs"/>
          <w:rtl/>
        </w:rPr>
        <w:t>.</w:t>
      </w:r>
    </w:p>
    <w:p w14:paraId="260E3F81" w14:textId="77777777" w:rsidR="00817399" w:rsidRPr="002F2BC5" w:rsidRDefault="00817399" w:rsidP="00817399">
      <w:pPr>
        <w:spacing w:line="269" w:lineRule="auto"/>
        <w:rPr>
          <w:rtl/>
        </w:rPr>
      </w:pPr>
    </w:p>
    <w:p w14:paraId="0BA6FED3" w14:textId="77777777" w:rsidR="00817399" w:rsidRPr="002F2BC5" w:rsidRDefault="00817399" w:rsidP="00817399">
      <w:pPr>
        <w:pStyle w:val="afffffff9"/>
        <w:spacing w:line="269" w:lineRule="auto"/>
        <w:ind w:left="312"/>
        <w:rPr>
          <w:rtl/>
        </w:rPr>
      </w:pPr>
      <w:bookmarkStart w:id="1880" w:name="_Toc191987128"/>
      <w:bookmarkStart w:id="1881" w:name="_Toc192093171"/>
      <w:bookmarkStart w:id="1882" w:name="_Toc192612879"/>
      <w:bookmarkStart w:id="1883" w:name="_Toc198312324"/>
      <w:bookmarkStart w:id="1884" w:name="_Toc198312806"/>
      <w:bookmarkStart w:id="1885" w:name="_Toc200636968"/>
      <w:bookmarkStart w:id="1886" w:name="_Toc200439966"/>
      <w:bookmarkStart w:id="1887" w:name="_Toc201241071"/>
      <w:r w:rsidRPr="002F2BC5">
        <w:rPr>
          <w:rFonts w:hint="cs"/>
          <w:rtl/>
        </w:rPr>
        <w:t>הועלה כי בשירות בתי הסוהר הוקמה יחידת פיקוח טכנולוגי לפי סעיף 3ג(א) לחוק למניעת אלימות במשפחה (</w:t>
      </w:r>
      <w:bookmarkStart w:id="1888" w:name="_Hlk202284259"/>
      <w:r w:rsidRPr="002F2BC5">
        <w:rPr>
          <w:rFonts w:hint="cs"/>
          <w:rtl/>
        </w:rPr>
        <w:t>להלן גם - יחידת הפיקוח הטכנולוגי או יחידת הפיקוח</w:t>
      </w:r>
      <w:bookmarkEnd w:id="1888"/>
      <w:r w:rsidRPr="002F2BC5">
        <w:rPr>
          <w:rFonts w:hint="cs"/>
          <w:rtl/>
        </w:rPr>
        <w:t>) וכן נקבעו לה תורת הפעלה ומתווה הכשרות לבעלי התפקידים בה</w:t>
      </w:r>
      <w:r w:rsidRPr="002F2BC5">
        <w:rPr>
          <w:rStyle w:val="af9"/>
          <w:rtl/>
        </w:rPr>
        <w:footnoteReference w:id="380"/>
      </w:r>
      <w:r w:rsidRPr="002F2BC5">
        <w:rPr>
          <w:rFonts w:hint="cs"/>
          <w:rtl/>
        </w:rPr>
        <w:t xml:space="preserve">. עם זאת נמצא כי לא הושלמה התשתית הנורמטיבית להפעלת היחידה: משרד המשפטים, בשיתוף המשרד לביטחון לאומי, לא השלימו את התקנתן של תקנות לעניין מאגר המידע שיחידת הפיקוח הטכנולוגי אמורה להקים ולנהל, והמשרד לביטחון לאומי לא </w:t>
      </w:r>
      <w:bookmarkStart w:id="1889" w:name="_Hlk187235003"/>
      <w:r w:rsidRPr="002F2BC5">
        <w:rPr>
          <w:rFonts w:hint="cs"/>
          <w:rtl/>
        </w:rPr>
        <w:t>השלים את התקנתן של תקנות לעניין צו ההגנה בפיקוח טכנולוגי מותנה שבית המשפט רשאי ליתן מקום</w:t>
      </w:r>
      <w:r w:rsidRPr="002F2BC5">
        <w:rPr>
          <w:rtl/>
        </w:rPr>
        <w:t xml:space="preserve"> </w:t>
      </w:r>
      <w:r w:rsidRPr="002F2BC5">
        <w:rPr>
          <w:rFonts w:hint="cs"/>
          <w:rtl/>
        </w:rPr>
        <w:t xml:space="preserve">שהתקיימו </w:t>
      </w:r>
      <w:r w:rsidRPr="002F2BC5">
        <w:rPr>
          <w:rtl/>
        </w:rPr>
        <w:t>התנאים למתן צו הגנה בתנאי פיקוח טכנולוגי</w:t>
      </w:r>
      <w:r w:rsidRPr="002F2BC5">
        <w:rPr>
          <w:rFonts w:hint="cs"/>
          <w:rtl/>
        </w:rPr>
        <w:t xml:space="preserve"> ו</w:t>
      </w:r>
      <w:r w:rsidRPr="002F2BC5">
        <w:rPr>
          <w:rtl/>
        </w:rPr>
        <w:t>אין בנמצא אמצעי פיקוח טכנולוגי פנוי</w:t>
      </w:r>
      <w:bookmarkEnd w:id="1889"/>
      <w:r w:rsidRPr="002F2BC5">
        <w:rPr>
          <w:rStyle w:val="af9"/>
          <w:b w:val="0"/>
          <w:bCs w:val="0"/>
          <w:rtl/>
        </w:rPr>
        <w:footnoteReference w:id="381"/>
      </w:r>
      <w:r w:rsidRPr="002F2BC5">
        <w:rPr>
          <w:rFonts w:hint="cs"/>
          <w:rtl/>
        </w:rPr>
        <w:t xml:space="preserve">. התקנתן של </w:t>
      </w:r>
      <w:r w:rsidRPr="002F2BC5">
        <w:rPr>
          <w:rFonts w:hint="cs"/>
          <w:rtl/>
        </w:rPr>
        <w:lastRenderedPageBreak/>
        <w:t>התקנות הללו חיונית כדי לאפשר את הפעלתו של ההסדר במלואו תוך הקפדה על אמות המידה הנדרשות בניהול המידע המתקבל תוך הפעלתו של ההסדר.</w:t>
      </w:r>
      <w:bookmarkEnd w:id="1880"/>
      <w:bookmarkEnd w:id="1881"/>
      <w:bookmarkEnd w:id="1882"/>
      <w:r w:rsidRPr="002F2BC5">
        <w:rPr>
          <w:rFonts w:hint="cs"/>
          <w:rtl/>
        </w:rPr>
        <w:t xml:space="preserve"> לצד זאת נמצא כי משרד המשפטים קידם את תיקוני החקיקה הנדרשים להסדרת הליך הגשת הבקשה לצו הגנה בתנאי פיקוח טכנולוגי, וזאת במסגרת התקנות למניעת אלימות במשפחה (סדרי דין), התשנ"א-1991 (להלן - תקנות סדרי הדין)</w:t>
      </w:r>
      <w:r w:rsidRPr="002F2BC5">
        <w:rPr>
          <w:rStyle w:val="af9"/>
          <w:rtl/>
        </w:rPr>
        <w:footnoteReference w:id="382"/>
      </w:r>
      <w:r w:rsidRPr="002F2BC5">
        <w:rPr>
          <w:rFonts w:hint="cs"/>
          <w:rtl/>
        </w:rPr>
        <w:t>.</w:t>
      </w:r>
      <w:bookmarkEnd w:id="1883"/>
      <w:bookmarkEnd w:id="1884"/>
      <w:bookmarkEnd w:id="1885"/>
      <w:bookmarkEnd w:id="1886"/>
      <w:bookmarkEnd w:id="1887"/>
    </w:p>
    <w:p w14:paraId="208A98A8" w14:textId="77777777" w:rsidR="00817399" w:rsidRPr="002F2BC5" w:rsidRDefault="00817399" w:rsidP="00817399">
      <w:pPr>
        <w:spacing w:line="269" w:lineRule="auto"/>
        <w:rPr>
          <w:rtl/>
        </w:rPr>
      </w:pPr>
    </w:p>
    <w:p w14:paraId="000F1AC2" w14:textId="77777777" w:rsidR="00817399" w:rsidRPr="002F2BC5" w:rsidRDefault="00817399" w:rsidP="00817399">
      <w:pPr>
        <w:spacing w:line="269" w:lineRule="auto"/>
        <w:ind w:left="312"/>
        <w:rPr>
          <w:rtl/>
        </w:rPr>
      </w:pPr>
      <w:r w:rsidRPr="002F2BC5">
        <w:rPr>
          <w:rFonts w:hint="cs"/>
          <w:rtl/>
        </w:rPr>
        <w:t xml:space="preserve">המשרד לביטחון לאומי מסר במהלך הביקורת הנוכחית, בינואר 2025, כי נוסח ראשוני של התקנות לעניין מאגר המידע מצוי בטיפול הייעוץ המשפטי של המשרד לביטחון לאומי מול משרד המשפטים. </w:t>
      </w:r>
    </w:p>
    <w:p w14:paraId="5E824104" w14:textId="77777777" w:rsidR="00817399" w:rsidRPr="002F2BC5" w:rsidRDefault="00817399" w:rsidP="00817399">
      <w:pPr>
        <w:spacing w:line="269" w:lineRule="auto"/>
        <w:rPr>
          <w:rtl/>
        </w:rPr>
      </w:pPr>
    </w:p>
    <w:p w14:paraId="46052DAA" w14:textId="77777777" w:rsidR="00817399" w:rsidRPr="002F2BC5" w:rsidRDefault="00817399" w:rsidP="00817399">
      <w:pPr>
        <w:spacing w:line="269" w:lineRule="auto"/>
        <w:ind w:left="312"/>
        <w:rPr>
          <w:rtl/>
        </w:rPr>
      </w:pPr>
      <w:r w:rsidRPr="002F2BC5">
        <w:rPr>
          <w:rFonts w:hint="cs"/>
          <w:rtl/>
        </w:rPr>
        <w:t>המשרד לביטחון לאומי ומשרד המשפטים מסרו בתשובותיהם כי מתקיים שיח מקצועי בינם ובין יחידת הפיקוח הטכנולוגי בשירות בתי הסוהר לצורך השלמת גיבוש טיוטת התקנות לעניין ההקמה והניהול של מאגר המידע. משרד המשפטים הוסיף כי נעשה מאמץ שטיוטת התקנות תופץ בקרוב להערות הציבור. המשרד לביטחון לאומי הוסיף, בהתייחס</w:t>
      </w:r>
      <w:r w:rsidRPr="002F2BC5">
        <w:rPr>
          <w:rtl/>
        </w:rPr>
        <w:t xml:space="preserve"> לתקנות ל</w:t>
      </w:r>
      <w:r w:rsidRPr="002F2BC5">
        <w:rPr>
          <w:rFonts w:hint="cs"/>
          <w:rtl/>
        </w:rPr>
        <w:t>עניין צו הגנה בתנאי פיקוח טכנולוגי, כי התקנתן טרם קודמה לנוכח הכמות המצומצמת של הבקשות שהוגשו לצווי הגנה בפיקוח טכנולוגי ומשטרם נקבעה מכסה מרבית של אמצעי פיקוח טכנולוגיים שניתן להורות על שימוש בהם לפי החוק (להלן - מכסת אמצעי פיקוח טכנולוגיים)</w:t>
      </w:r>
      <w:r w:rsidRPr="002F2BC5">
        <w:rPr>
          <w:rStyle w:val="af9"/>
          <w:rtl/>
        </w:rPr>
        <w:footnoteReference w:id="383"/>
      </w:r>
      <w:r w:rsidRPr="002F2BC5">
        <w:rPr>
          <w:rFonts w:hint="cs"/>
          <w:rtl/>
        </w:rPr>
        <w:t xml:space="preserve">. עוד הוסיף כי </w:t>
      </w:r>
      <w:r w:rsidRPr="002F2BC5">
        <w:rPr>
          <w:rtl/>
        </w:rPr>
        <w:t>ק</w:t>
      </w:r>
      <w:r w:rsidRPr="002F2BC5">
        <w:rPr>
          <w:rFonts w:hint="cs"/>
          <w:rtl/>
        </w:rPr>
        <w:t>ו</w:t>
      </w:r>
      <w:r w:rsidRPr="002F2BC5">
        <w:rPr>
          <w:rtl/>
        </w:rPr>
        <w:t>ד</w:t>
      </w:r>
      <w:r w:rsidRPr="002F2BC5">
        <w:rPr>
          <w:rFonts w:hint="cs"/>
          <w:rtl/>
        </w:rPr>
        <w:t>מו</w:t>
      </w:r>
      <w:r w:rsidRPr="002F2BC5">
        <w:rPr>
          <w:rtl/>
        </w:rPr>
        <w:t xml:space="preserve"> תיקוני החקיקה הנדרשים להסדרת הליך הגשת הבקשה לצו </w:t>
      </w:r>
      <w:r w:rsidRPr="002F2BC5">
        <w:rPr>
          <w:rFonts w:hint="cs"/>
          <w:rtl/>
        </w:rPr>
        <w:t>מותנה בתקנות סדרי הדין, וזאת עוד קודם לכניסתו לתוקף של תיקון 19 לחוק. לצד האמור ציין כי אם יחול גידול במספר הצווים שיוגשו בתנאי פיקוח טכנולוגי ואם תיקבע מכסת אמצעי פיקוח טכנולוגיים, הוא ישוב ויבחן את הצורך בהתקנתן של התקנות הללו.</w:t>
      </w:r>
    </w:p>
    <w:p w14:paraId="4FB5B9DC" w14:textId="77777777" w:rsidR="00817399" w:rsidRPr="002F2BC5" w:rsidRDefault="00817399" w:rsidP="00817399">
      <w:pPr>
        <w:spacing w:line="269" w:lineRule="auto"/>
        <w:rPr>
          <w:rtl/>
        </w:rPr>
      </w:pPr>
    </w:p>
    <w:p w14:paraId="09A8045E" w14:textId="77777777" w:rsidR="00817399" w:rsidRPr="002F2BC5" w:rsidRDefault="00817399" w:rsidP="00817399">
      <w:pPr>
        <w:pStyle w:val="afffffffa"/>
        <w:spacing w:line="269" w:lineRule="auto"/>
        <w:ind w:left="312"/>
        <w:rPr>
          <w:rtl/>
        </w:rPr>
      </w:pPr>
      <w:bookmarkStart w:id="1890" w:name="_Toc191987129"/>
      <w:bookmarkStart w:id="1891" w:name="_Toc192093172"/>
      <w:bookmarkStart w:id="1892" w:name="_Toc192612880"/>
      <w:r w:rsidRPr="002F2BC5">
        <w:rPr>
          <w:rFonts w:hint="eastAsia"/>
          <w:rtl/>
        </w:rPr>
        <w:t>על</w:t>
      </w:r>
      <w:r w:rsidRPr="002F2BC5">
        <w:rPr>
          <w:rtl/>
        </w:rPr>
        <w:t xml:space="preserve"> משרד המשפטים, בשיתוף המשרד לביטחון לאומי, לפעול </w:t>
      </w:r>
      <w:r w:rsidRPr="002F2BC5">
        <w:rPr>
          <w:rFonts w:hint="eastAsia"/>
          <w:rtl/>
        </w:rPr>
        <w:t>להשלמת</w:t>
      </w:r>
      <w:r w:rsidRPr="002F2BC5">
        <w:rPr>
          <w:rtl/>
        </w:rPr>
        <w:t xml:space="preserve"> </w:t>
      </w:r>
      <w:r w:rsidRPr="002F2BC5">
        <w:rPr>
          <w:rFonts w:hint="eastAsia"/>
          <w:rtl/>
        </w:rPr>
        <w:t>התקנתן</w:t>
      </w:r>
      <w:r w:rsidRPr="002F2BC5">
        <w:rPr>
          <w:rtl/>
        </w:rPr>
        <w:t xml:space="preserve"> </w:t>
      </w:r>
      <w:r w:rsidRPr="002F2BC5">
        <w:rPr>
          <w:rFonts w:hint="eastAsia"/>
          <w:rtl/>
        </w:rPr>
        <w:t>של</w:t>
      </w:r>
      <w:r w:rsidRPr="002F2BC5">
        <w:rPr>
          <w:rtl/>
        </w:rPr>
        <w:t xml:space="preserve"> </w:t>
      </w:r>
      <w:r w:rsidRPr="002F2BC5">
        <w:rPr>
          <w:rFonts w:hint="eastAsia"/>
          <w:rtl/>
        </w:rPr>
        <w:t>התקנות</w:t>
      </w:r>
      <w:r w:rsidRPr="002F2BC5">
        <w:rPr>
          <w:rtl/>
        </w:rPr>
        <w:t xml:space="preserve"> </w:t>
      </w:r>
      <w:r w:rsidRPr="002F2BC5">
        <w:rPr>
          <w:rFonts w:hint="eastAsia"/>
          <w:rtl/>
        </w:rPr>
        <w:t>לעניין</w:t>
      </w:r>
      <w:r w:rsidRPr="002F2BC5">
        <w:rPr>
          <w:rtl/>
        </w:rPr>
        <w:t xml:space="preserve"> </w:t>
      </w:r>
      <w:r w:rsidRPr="002F2BC5">
        <w:rPr>
          <w:rFonts w:hint="eastAsia"/>
          <w:rtl/>
        </w:rPr>
        <w:t>מאגר</w:t>
      </w:r>
      <w:r w:rsidRPr="002F2BC5">
        <w:rPr>
          <w:rtl/>
        </w:rPr>
        <w:t xml:space="preserve"> </w:t>
      </w:r>
      <w:r w:rsidRPr="002F2BC5">
        <w:rPr>
          <w:rFonts w:hint="eastAsia"/>
          <w:rtl/>
        </w:rPr>
        <w:t>המידע</w:t>
      </w:r>
      <w:r w:rsidRPr="002F2BC5">
        <w:rPr>
          <w:rtl/>
        </w:rPr>
        <w:t xml:space="preserve"> </w:t>
      </w:r>
      <w:r w:rsidRPr="002F2BC5">
        <w:rPr>
          <w:rFonts w:hint="eastAsia"/>
          <w:rtl/>
        </w:rPr>
        <w:t>שיחידת</w:t>
      </w:r>
      <w:r w:rsidRPr="002F2BC5">
        <w:rPr>
          <w:rtl/>
        </w:rPr>
        <w:t xml:space="preserve"> </w:t>
      </w:r>
      <w:r w:rsidRPr="002F2BC5">
        <w:rPr>
          <w:rFonts w:hint="eastAsia"/>
          <w:rtl/>
        </w:rPr>
        <w:t>הפיקוח</w:t>
      </w:r>
      <w:r w:rsidRPr="002F2BC5">
        <w:rPr>
          <w:rtl/>
        </w:rPr>
        <w:t xml:space="preserve"> </w:t>
      </w:r>
      <w:r w:rsidRPr="002F2BC5">
        <w:rPr>
          <w:rFonts w:hint="eastAsia"/>
          <w:rtl/>
        </w:rPr>
        <w:t>הטכנולוגי</w:t>
      </w:r>
      <w:r w:rsidRPr="002F2BC5">
        <w:rPr>
          <w:rtl/>
        </w:rPr>
        <w:t xml:space="preserve"> אמורה להקים ולנהל. </w:t>
      </w:r>
      <w:r w:rsidRPr="002F2BC5">
        <w:rPr>
          <w:rFonts w:hint="eastAsia"/>
          <w:rtl/>
        </w:rPr>
        <w:t>על</w:t>
      </w:r>
      <w:r w:rsidRPr="002F2BC5">
        <w:rPr>
          <w:rtl/>
        </w:rPr>
        <w:t xml:space="preserve"> </w:t>
      </w:r>
      <w:r w:rsidRPr="002F2BC5">
        <w:rPr>
          <w:rFonts w:hint="eastAsia"/>
          <w:rtl/>
        </w:rPr>
        <w:t>משרד</w:t>
      </w:r>
      <w:r w:rsidRPr="002F2BC5">
        <w:rPr>
          <w:rtl/>
        </w:rPr>
        <w:t xml:space="preserve"> </w:t>
      </w:r>
      <w:r w:rsidRPr="002F2BC5">
        <w:rPr>
          <w:rFonts w:hint="eastAsia"/>
          <w:rtl/>
        </w:rPr>
        <w:t>לביטחון</w:t>
      </w:r>
      <w:r w:rsidRPr="002F2BC5">
        <w:rPr>
          <w:rtl/>
        </w:rPr>
        <w:t xml:space="preserve"> לאומי לפעול </w:t>
      </w:r>
      <w:r w:rsidRPr="002F2BC5">
        <w:rPr>
          <w:rFonts w:hint="eastAsia"/>
          <w:rtl/>
        </w:rPr>
        <w:t>להתקנתן</w:t>
      </w:r>
      <w:r w:rsidRPr="002F2BC5">
        <w:rPr>
          <w:rtl/>
        </w:rPr>
        <w:t xml:space="preserve"> </w:t>
      </w:r>
      <w:r w:rsidRPr="002F2BC5">
        <w:rPr>
          <w:rFonts w:hint="eastAsia"/>
          <w:rtl/>
        </w:rPr>
        <w:t>של</w:t>
      </w:r>
      <w:r w:rsidRPr="002F2BC5">
        <w:rPr>
          <w:rtl/>
        </w:rPr>
        <w:t xml:space="preserve"> </w:t>
      </w:r>
      <w:r w:rsidRPr="002F2BC5">
        <w:rPr>
          <w:rFonts w:hint="eastAsia"/>
          <w:rtl/>
        </w:rPr>
        <w:t>ה</w:t>
      </w:r>
      <w:r w:rsidRPr="002F2BC5">
        <w:rPr>
          <w:rtl/>
        </w:rPr>
        <w:t xml:space="preserve">תקנות לעניין צו </w:t>
      </w:r>
      <w:r w:rsidRPr="002F2BC5">
        <w:rPr>
          <w:rFonts w:hint="eastAsia"/>
          <w:rtl/>
        </w:rPr>
        <w:t>הגנה</w:t>
      </w:r>
      <w:r w:rsidRPr="002F2BC5">
        <w:rPr>
          <w:rtl/>
        </w:rPr>
        <w:t xml:space="preserve"> </w:t>
      </w:r>
      <w:r w:rsidRPr="002F2BC5">
        <w:rPr>
          <w:rFonts w:hint="eastAsia"/>
          <w:rtl/>
        </w:rPr>
        <w:t>בתנאי</w:t>
      </w:r>
      <w:r w:rsidRPr="002F2BC5">
        <w:rPr>
          <w:rtl/>
        </w:rPr>
        <w:t xml:space="preserve"> </w:t>
      </w:r>
      <w:r w:rsidRPr="002F2BC5">
        <w:rPr>
          <w:rFonts w:hint="eastAsia"/>
          <w:rtl/>
        </w:rPr>
        <w:t>פיקוח</w:t>
      </w:r>
      <w:r w:rsidRPr="002F2BC5">
        <w:rPr>
          <w:rtl/>
        </w:rPr>
        <w:t xml:space="preserve"> </w:t>
      </w:r>
      <w:r w:rsidRPr="002F2BC5">
        <w:rPr>
          <w:rFonts w:hint="eastAsia"/>
          <w:rtl/>
        </w:rPr>
        <w:t>טכנולוגי</w:t>
      </w:r>
      <w:r w:rsidRPr="002F2BC5">
        <w:rPr>
          <w:rtl/>
        </w:rPr>
        <w:t xml:space="preserve"> </w:t>
      </w:r>
      <w:r w:rsidRPr="002F2BC5">
        <w:rPr>
          <w:rFonts w:hint="eastAsia"/>
          <w:rtl/>
        </w:rPr>
        <w:t>מותנה</w:t>
      </w:r>
      <w:r w:rsidRPr="002F2BC5">
        <w:rPr>
          <w:rtl/>
        </w:rPr>
        <w:t xml:space="preserve">, </w:t>
      </w:r>
      <w:r w:rsidRPr="002F2BC5">
        <w:rPr>
          <w:rFonts w:hint="eastAsia"/>
          <w:rtl/>
        </w:rPr>
        <w:t>וזאת</w:t>
      </w:r>
      <w:r w:rsidRPr="002F2BC5">
        <w:rPr>
          <w:rtl/>
        </w:rPr>
        <w:t xml:space="preserve"> </w:t>
      </w:r>
      <w:r w:rsidRPr="002F2BC5">
        <w:rPr>
          <w:rFonts w:hint="cs"/>
          <w:rtl/>
        </w:rPr>
        <w:t>גם כדי</w:t>
      </w:r>
      <w:r w:rsidRPr="002F2BC5">
        <w:rPr>
          <w:rtl/>
        </w:rPr>
        <w:t xml:space="preserve"> </w:t>
      </w:r>
      <w:r w:rsidRPr="002F2BC5">
        <w:rPr>
          <w:rFonts w:hint="eastAsia"/>
          <w:rtl/>
        </w:rPr>
        <w:t>להימנע</w:t>
      </w:r>
      <w:r w:rsidRPr="002F2BC5">
        <w:rPr>
          <w:rtl/>
        </w:rPr>
        <w:t xml:space="preserve"> </w:t>
      </w:r>
      <w:r w:rsidRPr="002F2BC5">
        <w:rPr>
          <w:rFonts w:hint="eastAsia"/>
          <w:rtl/>
        </w:rPr>
        <w:t>מחסמים</w:t>
      </w:r>
      <w:r w:rsidRPr="002F2BC5">
        <w:rPr>
          <w:rtl/>
        </w:rPr>
        <w:t xml:space="preserve"> </w:t>
      </w:r>
      <w:r w:rsidRPr="002F2BC5">
        <w:rPr>
          <w:rFonts w:hint="eastAsia"/>
          <w:rtl/>
        </w:rPr>
        <w:t>אפשריים</w:t>
      </w:r>
      <w:r w:rsidRPr="002F2BC5">
        <w:rPr>
          <w:rtl/>
        </w:rPr>
        <w:t xml:space="preserve"> </w:t>
      </w:r>
      <w:r w:rsidRPr="002F2BC5">
        <w:rPr>
          <w:rFonts w:hint="eastAsia"/>
          <w:rtl/>
        </w:rPr>
        <w:t>ולהיערך</w:t>
      </w:r>
      <w:r w:rsidRPr="002F2BC5">
        <w:rPr>
          <w:rtl/>
        </w:rPr>
        <w:t xml:space="preserve"> באופן </w:t>
      </w:r>
      <w:r w:rsidRPr="002F2BC5">
        <w:rPr>
          <w:rFonts w:hint="eastAsia"/>
          <w:rtl/>
        </w:rPr>
        <w:t>המיטבי</w:t>
      </w:r>
      <w:r w:rsidRPr="002F2BC5">
        <w:rPr>
          <w:rtl/>
        </w:rPr>
        <w:t xml:space="preserve"> </w:t>
      </w:r>
      <w:r w:rsidRPr="002F2BC5">
        <w:rPr>
          <w:rFonts w:hint="eastAsia"/>
          <w:rtl/>
        </w:rPr>
        <w:t>להמשך</w:t>
      </w:r>
      <w:r w:rsidRPr="002F2BC5">
        <w:rPr>
          <w:rtl/>
        </w:rPr>
        <w:t xml:space="preserve"> </w:t>
      </w:r>
      <w:r w:rsidRPr="002F2BC5">
        <w:rPr>
          <w:rFonts w:hint="eastAsia"/>
          <w:rtl/>
        </w:rPr>
        <w:t>היישום</w:t>
      </w:r>
      <w:r w:rsidRPr="002F2BC5">
        <w:rPr>
          <w:rtl/>
        </w:rPr>
        <w:t xml:space="preserve"> </w:t>
      </w:r>
      <w:r w:rsidRPr="002F2BC5">
        <w:rPr>
          <w:rFonts w:hint="eastAsia"/>
          <w:rtl/>
        </w:rPr>
        <w:t>של</w:t>
      </w:r>
      <w:r w:rsidRPr="002F2BC5">
        <w:rPr>
          <w:rtl/>
        </w:rPr>
        <w:t xml:space="preserve"> </w:t>
      </w:r>
      <w:r w:rsidRPr="002F2BC5">
        <w:rPr>
          <w:rFonts w:hint="eastAsia"/>
          <w:rtl/>
        </w:rPr>
        <w:t>התיקון</w:t>
      </w:r>
      <w:r w:rsidRPr="002F2BC5">
        <w:rPr>
          <w:rtl/>
        </w:rPr>
        <w:t xml:space="preserve"> </w:t>
      </w:r>
      <w:r w:rsidRPr="002F2BC5">
        <w:rPr>
          <w:rFonts w:hint="eastAsia"/>
          <w:rtl/>
        </w:rPr>
        <w:t>לחוק</w:t>
      </w:r>
      <w:r w:rsidRPr="002F2BC5">
        <w:rPr>
          <w:rtl/>
        </w:rPr>
        <w:t>.</w:t>
      </w:r>
      <w:bookmarkEnd w:id="1890"/>
      <w:bookmarkEnd w:id="1891"/>
      <w:bookmarkEnd w:id="1892"/>
    </w:p>
    <w:p w14:paraId="0DBC3CA7" w14:textId="77777777" w:rsidR="00817399" w:rsidRPr="002F2BC5" w:rsidRDefault="00817399" w:rsidP="00817399">
      <w:pPr>
        <w:spacing w:line="269" w:lineRule="auto"/>
        <w:rPr>
          <w:rtl/>
        </w:rPr>
      </w:pPr>
    </w:p>
    <w:p w14:paraId="096F967B" w14:textId="77777777" w:rsidR="00817399" w:rsidRPr="002F2BC5" w:rsidRDefault="00817399" w:rsidP="00817399">
      <w:pPr>
        <w:pStyle w:val="afa"/>
        <w:numPr>
          <w:ilvl w:val="0"/>
          <w:numId w:val="29"/>
        </w:numPr>
        <w:spacing w:line="269" w:lineRule="auto"/>
      </w:pPr>
      <w:bookmarkStart w:id="1893" w:name="_Toc191987130"/>
      <w:r w:rsidRPr="002F2BC5">
        <w:rPr>
          <w:rStyle w:val="70"/>
          <w:rFonts w:hint="cs"/>
          <w:rtl/>
        </w:rPr>
        <w:t>היישום בפועל של תיקון 19 לחוק</w:t>
      </w:r>
      <w:bookmarkEnd w:id="1893"/>
      <w:r w:rsidRPr="002F2BC5">
        <w:rPr>
          <w:rFonts w:hint="cs"/>
          <w:b/>
          <w:bCs/>
          <w:rtl/>
        </w:rPr>
        <w:t>:</w:t>
      </w:r>
      <w:r w:rsidRPr="002F2BC5">
        <w:rPr>
          <w:rFonts w:hint="cs"/>
          <w:rtl/>
        </w:rPr>
        <w:t xml:space="preserve"> לפי נתוני הנהלת בתי המשפט, בתקופה שלמן כניסתו לתוקף של התיקון לחוק, באוגוסט 2024, הוגשו לבתי המשפט 2,895 בקשות לצווי הגנה, וכ-1% מהן (35 בקשות) כללו בקשה לאכיפת צו ההגנה בפיקוח טכנולוגי</w:t>
      </w:r>
      <w:r w:rsidRPr="002F2BC5">
        <w:rPr>
          <w:rStyle w:val="af9"/>
          <w:rtl/>
        </w:rPr>
        <w:footnoteReference w:id="384"/>
      </w:r>
      <w:r w:rsidRPr="002F2BC5">
        <w:rPr>
          <w:rFonts w:hint="cs"/>
          <w:rtl/>
        </w:rPr>
        <w:t>. לפי נתוני משרד הרווחה, מבין כלל הבקשות שהוגשו, 13 בקשות הועברו להערכת מסוכנות על פי ההסדר הקבוע בחוק. כמחצית מהבקשות (6 מתוך 13) נדחו בשל חוסר יכולת לעשות שימוש באמצעים טכנולוגיים לניטור מקום הימצאם של האדם המוגן בצו או של האדם שכנגדו מבוקש הצו (היעדר היתכנות טכנולוגית)</w:t>
      </w:r>
      <w:r w:rsidRPr="002F2BC5">
        <w:rPr>
          <w:rStyle w:val="af9"/>
          <w:rtl/>
        </w:rPr>
        <w:footnoteReference w:id="385"/>
      </w:r>
      <w:r w:rsidRPr="002F2BC5">
        <w:rPr>
          <w:rFonts w:hint="cs"/>
          <w:rtl/>
        </w:rPr>
        <w:t>, או משום שבעת הערכת המסוכנות האדם שכנגדו התבקש הצו היה נתון במעצר. בכ-9% מהבקשות הנותרות (3 מתוך 35) ניתנה המלצה חיובית על פיקוח באמצעים טכנולוגיים בשל רמת מסוכנות גבוהה. לפי נתוני הנהלת בתי המשפט, מתוך כלל הבקשות שהוגשו - בפועל בבקשה אחת בלבד ניתן צו הגנה בתנאי פיקוח טכנולוגי.</w:t>
      </w:r>
    </w:p>
    <w:p w14:paraId="18ECAEEC" w14:textId="77777777" w:rsidR="00817399" w:rsidRPr="002F2BC5" w:rsidRDefault="00817399" w:rsidP="00817399">
      <w:pPr>
        <w:spacing w:line="269" w:lineRule="auto"/>
        <w:rPr>
          <w:rtl/>
        </w:rPr>
      </w:pPr>
    </w:p>
    <w:p w14:paraId="4AFF5D17" w14:textId="77777777" w:rsidR="00817399" w:rsidRPr="002F2BC5" w:rsidRDefault="00817399" w:rsidP="00817399">
      <w:pPr>
        <w:spacing w:line="269" w:lineRule="auto"/>
        <w:ind w:left="312"/>
        <w:rPr>
          <w:rtl/>
        </w:rPr>
      </w:pPr>
      <w:r w:rsidRPr="002F2BC5">
        <w:rPr>
          <w:rFonts w:hint="cs"/>
          <w:rtl/>
        </w:rPr>
        <w:t xml:space="preserve">משרד הרווחה מסר במהלך הביקורת הנוכחית, בדצמבר 2024, כי הגורמים המעורבים ביישום ההסדר החדש עודם מצויים בתהליך למידה, וכי קיימת חשיבות לעריכת מפגשים משותפים של גורמי המקצוע ומערכת המשפט כדי לקדם את יישומו של ההסדר החדש באופן המיטבי. </w:t>
      </w:r>
    </w:p>
    <w:p w14:paraId="41A30E87" w14:textId="77777777" w:rsidR="00817399" w:rsidRPr="002F2BC5" w:rsidRDefault="00817399" w:rsidP="00817399">
      <w:pPr>
        <w:spacing w:line="269" w:lineRule="auto"/>
        <w:ind w:left="312"/>
        <w:rPr>
          <w:rtl/>
        </w:rPr>
      </w:pPr>
      <w:r w:rsidRPr="002F2BC5">
        <w:rPr>
          <w:rFonts w:hint="cs"/>
          <w:rtl/>
        </w:rPr>
        <w:lastRenderedPageBreak/>
        <w:t>יצוין כי נתונים על מספר תיקי החקירה שנפתחו בשנים 2020 - 2023 בגין עבירה של הפרת צו הגנה עשויים להצביע על ההיקף הפוטנציאלי של המקרים שבהם יהיה מקום לאכיפתם של צווי הגנה באמצעים טכנולוגיים. נתוני משטרת ישראל לשנים הללו מצביעים על כך שבממוצע בכל שנה נפתחו תיקי חקירה בגין הפרתם של כ-800 מצווי ההגנה שניתנו בשנה זו (כ-10% מצווי ההגנה שניתנו בממוצע בשנים הללו, שהם כ-9,600 צווי הגנה).</w:t>
      </w:r>
    </w:p>
    <w:p w14:paraId="27711C59" w14:textId="77777777" w:rsidR="00817399" w:rsidRPr="002F2BC5" w:rsidRDefault="00817399" w:rsidP="00817399">
      <w:pPr>
        <w:spacing w:line="269" w:lineRule="auto"/>
        <w:rPr>
          <w:rtl/>
        </w:rPr>
      </w:pPr>
    </w:p>
    <w:p w14:paraId="39594ADD" w14:textId="77777777" w:rsidR="00817399" w:rsidRPr="002F2BC5" w:rsidRDefault="00817399" w:rsidP="00817399">
      <w:pPr>
        <w:pStyle w:val="afffffff9"/>
        <w:spacing w:line="269" w:lineRule="auto"/>
        <w:ind w:left="312"/>
        <w:rPr>
          <w:rtl/>
        </w:rPr>
      </w:pPr>
      <w:bookmarkStart w:id="1894" w:name="_Toc191987131"/>
      <w:bookmarkStart w:id="1895" w:name="_Toc192093173"/>
      <w:bookmarkStart w:id="1896" w:name="_Toc192612881"/>
      <w:bookmarkStart w:id="1897" w:name="_Toc198312325"/>
      <w:bookmarkStart w:id="1898" w:name="_Toc198312807"/>
      <w:bookmarkStart w:id="1899" w:name="_Toc200636969"/>
      <w:bookmarkStart w:id="1900" w:name="_Toc200439967"/>
      <w:bookmarkStart w:id="1901" w:name="_Toc201241072"/>
      <w:r w:rsidRPr="002F2BC5">
        <w:rPr>
          <w:rFonts w:hint="cs"/>
          <w:rtl/>
        </w:rPr>
        <w:t>שיעורן</w:t>
      </w:r>
      <w:r w:rsidRPr="002F2BC5">
        <w:rPr>
          <w:rtl/>
        </w:rPr>
        <w:t xml:space="preserve"> הנמוך של </w:t>
      </w:r>
      <w:r w:rsidRPr="002F2BC5">
        <w:rPr>
          <w:rFonts w:hint="eastAsia"/>
          <w:rtl/>
        </w:rPr>
        <w:t>הבקשות</w:t>
      </w:r>
      <w:r w:rsidRPr="002F2BC5">
        <w:rPr>
          <w:rtl/>
        </w:rPr>
        <w:t xml:space="preserve"> לצווי הגנה </w:t>
      </w:r>
      <w:r w:rsidRPr="002F2BC5">
        <w:rPr>
          <w:rFonts w:hint="cs"/>
          <w:rtl/>
        </w:rPr>
        <w:t xml:space="preserve">שהתבקשה אכיפתם </w:t>
      </w:r>
      <w:r w:rsidRPr="002F2BC5">
        <w:rPr>
          <w:rFonts w:hint="eastAsia"/>
          <w:rtl/>
        </w:rPr>
        <w:t>בפיקוח</w:t>
      </w:r>
      <w:r w:rsidRPr="002F2BC5">
        <w:rPr>
          <w:rtl/>
        </w:rPr>
        <w:t xml:space="preserve"> </w:t>
      </w:r>
      <w:r w:rsidRPr="002F2BC5">
        <w:rPr>
          <w:rFonts w:hint="eastAsia"/>
          <w:rtl/>
        </w:rPr>
        <w:t>טכנולוגי</w:t>
      </w:r>
      <w:r w:rsidRPr="002F2BC5">
        <w:rPr>
          <w:rtl/>
        </w:rPr>
        <w:t xml:space="preserve"> </w:t>
      </w:r>
      <w:r w:rsidRPr="002F2BC5">
        <w:rPr>
          <w:rFonts w:hint="cs"/>
          <w:rtl/>
        </w:rPr>
        <w:t xml:space="preserve">מכלל הבקשות שהוגשו מאז כניסתו לתוקף של ההסדר (כ-1% מהן) ושיעורן הנמוך של הבקשות שבהן ניתנה המלצה חיובית על פיקוח באמצעים טכנולוגיים מכלל הבקשות שהוגשו (כ-9% מהן), </w:t>
      </w:r>
      <w:r w:rsidRPr="002F2BC5">
        <w:rPr>
          <w:rFonts w:hint="eastAsia"/>
          <w:rtl/>
        </w:rPr>
        <w:t>עלול</w:t>
      </w:r>
      <w:r w:rsidRPr="002F2BC5">
        <w:rPr>
          <w:rFonts w:hint="cs"/>
          <w:rtl/>
        </w:rPr>
        <w:t xml:space="preserve"> להצביע על כך שקיימים חסמים ביישומו - וזאת בייחוד לנוכח השיעור הממוצע של צווי ההגנה שנפתחים בגינם תיקי חקירה בגין הפרתם מכלל צווי ההגנה שניתנים מדי שנה (כ-10% מהם). בכך, נוסף על העובדה כי הליך ההטמעה של ההסדר החדש מצוי אך בראשיתו, יש כדי להדגיש עוד יותר את החשיבות שבקיום הליכי מעקב ובקרה שיטתיים וסדורים אחר יישום ההסדר כדי לאתר ולזהות חסמים ולהעריך את מועילותו באכיפה של צווי הגנה בזמן אמת ובמתן הגנה מיידית לנפגעי האלימות.</w:t>
      </w:r>
      <w:bookmarkEnd w:id="1894"/>
      <w:bookmarkEnd w:id="1895"/>
      <w:bookmarkEnd w:id="1896"/>
      <w:bookmarkEnd w:id="1897"/>
      <w:bookmarkEnd w:id="1898"/>
      <w:bookmarkEnd w:id="1899"/>
      <w:bookmarkEnd w:id="1900"/>
      <w:bookmarkEnd w:id="1901"/>
    </w:p>
    <w:p w14:paraId="3199D388" w14:textId="77777777" w:rsidR="00817399" w:rsidRPr="002F2BC5" w:rsidRDefault="00817399" w:rsidP="00817399">
      <w:pPr>
        <w:spacing w:line="269" w:lineRule="auto"/>
        <w:rPr>
          <w:rtl/>
        </w:rPr>
      </w:pPr>
    </w:p>
    <w:p w14:paraId="7554DAAD" w14:textId="77777777" w:rsidR="00817399" w:rsidRPr="002F2BC5" w:rsidRDefault="00817399" w:rsidP="00817399">
      <w:pPr>
        <w:spacing w:line="269" w:lineRule="auto"/>
        <w:ind w:left="312"/>
        <w:rPr>
          <w:rtl/>
        </w:rPr>
      </w:pPr>
      <w:r w:rsidRPr="002F2BC5">
        <w:rPr>
          <w:rFonts w:hint="cs"/>
          <w:rtl/>
        </w:rPr>
        <w:t>משרד המשפטים מסר בתשובותיו כי אף שייתכנו חסמים ביישום תיקון 19 לחוק, היקף מימושו המוגבל יחסית עשוי להיות מוסבר גם בכך שהעילות למתן הצו בתנאי פיקוח טכנולוגי הן מצומצמות וכן בכך שהוא מותנה בניטור מקום הימצאו של מגיש הבקשה, ומגיש הבקשה לא תמיד מעוניין או מסכים לכך</w:t>
      </w:r>
      <w:bookmarkStart w:id="1902" w:name="_Hlk198219527"/>
      <w:r w:rsidRPr="002F2BC5">
        <w:rPr>
          <w:rFonts w:hint="cs"/>
          <w:rtl/>
        </w:rPr>
        <w:t>. בהתייחס לגיבוש הסדר שלפיו תידרש המדינה עצמה לבחון את הצורך ליזום הליך בקשה לצו הגנה, ובכלל זה בתנאי פיקוח טכנולוגי, נמסר בתשובות כי בקשות לצו הגנה ביוזמת המדינה הן מעטות, וזאת ככל הנראה מתוך התפיסה שאם אדם בגיר שאינו חסר ישע זקוק להגנה, ראוי שהוא זה שייזום את הגשת הבקשה</w:t>
      </w:r>
      <w:bookmarkEnd w:id="1902"/>
      <w:r w:rsidRPr="002F2BC5">
        <w:rPr>
          <w:rFonts w:hint="cs"/>
          <w:rtl/>
        </w:rPr>
        <w:t xml:space="preserve">. בהקשר זה משרד המשפטים הוסיף בתשובותיו כי יש לבחון בזהירות הנדרשת את הצורך בהתוויית שיקול דעת המדינה ליזום הליך בקשה לצו הגנה לנוכח ההשלכות שעשויות להיות להליך זה על האדם שלגביו מתבקש הצו ועל מארג היחסים המשפחתי בכללותו. </w:t>
      </w:r>
    </w:p>
    <w:p w14:paraId="5356099F" w14:textId="77777777" w:rsidR="00817399" w:rsidRPr="002F2BC5" w:rsidRDefault="00817399" w:rsidP="00817399">
      <w:pPr>
        <w:spacing w:line="269" w:lineRule="auto"/>
        <w:rPr>
          <w:rtl/>
        </w:rPr>
      </w:pPr>
    </w:p>
    <w:p w14:paraId="26BBEC75" w14:textId="77777777" w:rsidR="00817399" w:rsidRPr="002F2BC5" w:rsidRDefault="00817399" w:rsidP="00817399">
      <w:pPr>
        <w:spacing w:line="269" w:lineRule="auto"/>
        <w:ind w:left="312"/>
        <w:rPr>
          <w:rtl/>
        </w:rPr>
      </w:pPr>
      <w:r w:rsidRPr="002F2BC5">
        <w:rPr>
          <w:rFonts w:hint="cs"/>
          <w:rtl/>
        </w:rPr>
        <w:t>גם הנהלת בתי המשפט מסרה בתשובתה ממאי 2025 כי העילות שנקבעו בחוק למתן צו בתנאי פיקוח טכנולוגי מציבות משוכות בדרך להגשת הבקשה למתן הצו ולהחלטתו של בית המשפט בבקשה. בהקשר זה הוסיפה כי יישום ההסדר מותנה גם ב</w:t>
      </w:r>
      <w:r w:rsidRPr="002F2BC5">
        <w:rPr>
          <w:rtl/>
        </w:rPr>
        <w:t xml:space="preserve">יכולת לעשות שימוש באמצעים טכנולוגיים לניטור מקום הימצאם של </w:t>
      </w:r>
      <w:r w:rsidRPr="002F2BC5">
        <w:rPr>
          <w:rFonts w:hint="cs"/>
          <w:rtl/>
        </w:rPr>
        <w:t>האדם המוגן בצו</w:t>
      </w:r>
      <w:r w:rsidRPr="002F2BC5">
        <w:rPr>
          <w:rtl/>
        </w:rPr>
        <w:t xml:space="preserve"> ושל האדם שכנגדו מבוקש הצו</w:t>
      </w:r>
      <w:r w:rsidRPr="002F2BC5">
        <w:rPr>
          <w:rFonts w:hint="cs"/>
          <w:rtl/>
        </w:rPr>
        <w:t>. לצד זאת מסרה בתשובתה כי השקיעה וממשיכה להשקיע מאמץ רב להבטחת מוכנות מערכת המשפט לקראת כניסתו לתוקף של תיקון 19 לחוק. בתוך כך היא קיימה הכשרות מקצועיות והשתלמויות לעוזרים משפטיים של שופטים ולחלק הארי של השופטים העוסקים בתחום - שופטים בבתי המשפט לענייני משפחה ובהליכים פליליים וכן שופטים בהליכים אזרחיים - ובהם שופטי בתי משפט השלום, המוסמכים לדון בבקשות לצווי הגנה בנסיבות שבהן לא פועל בית משפט לענייני משפחה במקום מגוריהם של בעלי הדין; קיימה הרצאות ומפגשים משותפים של שופטים עם נציגי יחידת הפיקוח, שהציגו את האתגרים הכרוכים ביישומו של ההסדר, ועם החברה המפעילה את אמצעי הפיקוח, שהציגה את תכונותיו, מגבלותיו והמשמעויות הכרוכות בנשיאתו; וכן הייתה שותפה לגיבוש נוהלי עבודה פנימיים ובין-משרדיים להבניית תהליכי העבודה במסגרת היישום של התיקון לחוק.</w:t>
      </w:r>
    </w:p>
    <w:p w14:paraId="126B1A3A" w14:textId="77777777" w:rsidR="00817399" w:rsidRPr="002F2BC5" w:rsidRDefault="00817399" w:rsidP="00817399">
      <w:pPr>
        <w:spacing w:line="269" w:lineRule="auto"/>
        <w:rPr>
          <w:rtl/>
        </w:rPr>
      </w:pPr>
    </w:p>
    <w:p w14:paraId="31D9CEC1" w14:textId="77777777" w:rsidR="00817399" w:rsidRPr="002F2BC5" w:rsidRDefault="00817399" w:rsidP="00817399">
      <w:pPr>
        <w:spacing w:line="269" w:lineRule="auto"/>
        <w:ind w:left="312"/>
        <w:rPr>
          <w:rtl/>
        </w:rPr>
      </w:pPr>
      <w:r w:rsidRPr="002F2BC5">
        <w:rPr>
          <w:rFonts w:hint="cs"/>
          <w:rtl/>
        </w:rPr>
        <w:t>משטרת ישראל מסרה בתשובתה כי אומנם לקראת כניסתו לתוקף של תיקון 19 לחוק וכן לאחר מכן פעלה רבות להטמעתו, ובתוך כך הקימה תא משטרתי בפיקוד אג"ם (אגף מבצעים), הכולל חוקרת ודסקאית</w:t>
      </w:r>
      <w:r w:rsidRPr="002F2BC5">
        <w:rPr>
          <w:rStyle w:val="af9"/>
          <w:rtl/>
        </w:rPr>
        <w:footnoteReference w:id="386"/>
      </w:r>
      <w:r w:rsidRPr="002F2BC5">
        <w:rPr>
          <w:rFonts w:hint="cs"/>
          <w:rtl/>
        </w:rPr>
        <w:t xml:space="preserve">. לצד זאת הוסיפה כי נדרשים מהלכים מערכתיים לעידוד היישום של תיקון 19 לחוק גם מצדם של גורמי אסדרה אחרים. </w:t>
      </w:r>
    </w:p>
    <w:p w14:paraId="0BDD97FC" w14:textId="77777777" w:rsidR="00817399" w:rsidRPr="002F2BC5" w:rsidRDefault="00817399" w:rsidP="00817399">
      <w:pPr>
        <w:spacing w:line="269" w:lineRule="auto"/>
        <w:rPr>
          <w:rtl/>
        </w:rPr>
      </w:pPr>
    </w:p>
    <w:p w14:paraId="4F1C582B" w14:textId="77777777" w:rsidR="00817399" w:rsidRPr="002F2BC5" w:rsidRDefault="00817399" w:rsidP="00817399">
      <w:pPr>
        <w:spacing w:line="269" w:lineRule="auto"/>
        <w:ind w:left="312"/>
        <w:rPr>
          <w:rtl/>
        </w:rPr>
      </w:pPr>
      <w:r w:rsidRPr="002F2BC5">
        <w:rPr>
          <w:rFonts w:hint="cs"/>
          <w:rtl/>
        </w:rPr>
        <w:lastRenderedPageBreak/>
        <w:t xml:space="preserve">משרד הרווחה מסר בתשובתו כי במסגרת ההיערכות ליישום התיקון לחוק גובשו נוהלי עבודה משותפים וכן התקיימו הכשרות והדרכות לעובדים הסוציאליים ביחידה המקצועית החדשה שהקים. עוד מסר כי </w:t>
      </w:r>
      <w:r w:rsidRPr="002F2BC5">
        <w:rPr>
          <w:rtl/>
        </w:rPr>
        <w:t>נציגי</w:t>
      </w:r>
      <w:r w:rsidRPr="002F2BC5">
        <w:rPr>
          <w:rFonts w:hint="cs"/>
          <w:rtl/>
        </w:rPr>
        <w:t>ו</w:t>
      </w:r>
      <w:r w:rsidRPr="002F2BC5">
        <w:rPr>
          <w:rtl/>
        </w:rPr>
        <w:t xml:space="preserve"> </w:t>
      </w:r>
      <w:r w:rsidRPr="002F2BC5">
        <w:rPr>
          <w:rFonts w:hint="cs"/>
          <w:rtl/>
        </w:rPr>
        <w:t>חברים</w:t>
      </w:r>
      <w:r w:rsidRPr="002F2BC5">
        <w:rPr>
          <w:rtl/>
        </w:rPr>
        <w:t xml:space="preserve"> בוועדת </w:t>
      </w:r>
      <w:r w:rsidRPr="002F2BC5">
        <w:rPr>
          <w:rFonts w:hint="cs"/>
          <w:rtl/>
        </w:rPr>
        <w:t>ה</w:t>
      </w:r>
      <w:r w:rsidRPr="002F2BC5">
        <w:rPr>
          <w:rtl/>
        </w:rPr>
        <w:t xml:space="preserve">היגוי </w:t>
      </w:r>
      <w:r w:rsidRPr="002F2BC5">
        <w:rPr>
          <w:rFonts w:hint="cs"/>
          <w:rtl/>
        </w:rPr>
        <w:t>המלווה את</w:t>
      </w:r>
      <w:r w:rsidRPr="002F2BC5">
        <w:rPr>
          <w:rtl/>
        </w:rPr>
        <w:t xml:space="preserve"> מחקר </w:t>
      </w:r>
      <w:r w:rsidRPr="002F2BC5">
        <w:rPr>
          <w:rFonts w:hint="cs"/>
          <w:rtl/>
        </w:rPr>
        <w:t>ה</w:t>
      </w:r>
      <w:r w:rsidRPr="002F2BC5">
        <w:rPr>
          <w:rtl/>
        </w:rPr>
        <w:t>הערכה</w:t>
      </w:r>
      <w:r w:rsidRPr="002F2BC5">
        <w:rPr>
          <w:rFonts w:hint="cs"/>
          <w:rtl/>
        </w:rPr>
        <w:t xml:space="preserve"> </w:t>
      </w:r>
      <w:r w:rsidRPr="002F2BC5">
        <w:rPr>
          <w:rtl/>
        </w:rPr>
        <w:t xml:space="preserve">ליישום </w:t>
      </w:r>
      <w:r w:rsidRPr="002F2BC5">
        <w:rPr>
          <w:rFonts w:hint="cs"/>
          <w:rtl/>
        </w:rPr>
        <w:t>ה</w:t>
      </w:r>
      <w:r w:rsidRPr="002F2BC5">
        <w:rPr>
          <w:rtl/>
        </w:rPr>
        <w:t>תיקון לחוק.</w:t>
      </w:r>
      <w:r w:rsidRPr="002F2BC5">
        <w:rPr>
          <w:rFonts w:hint="cs"/>
          <w:rtl/>
        </w:rPr>
        <w:t xml:space="preserve"> </w:t>
      </w:r>
    </w:p>
    <w:p w14:paraId="0D6F3740" w14:textId="77777777" w:rsidR="00817399" w:rsidRPr="002F2BC5" w:rsidRDefault="00817399" w:rsidP="00817399">
      <w:pPr>
        <w:spacing w:line="269" w:lineRule="auto"/>
        <w:rPr>
          <w:rtl/>
        </w:rPr>
      </w:pPr>
    </w:p>
    <w:p w14:paraId="7EA74C9E" w14:textId="77777777" w:rsidR="00817399" w:rsidRPr="002F2BC5" w:rsidRDefault="00817399" w:rsidP="00817399">
      <w:pPr>
        <w:pStyle w:val="afffffffa"/>
        <w:spacing w:line="269" w:lineRule="auto"/>
        <w:ind w:left="312"/>
        <w:rPr>
          <w:rtl/>
        </w:rPr>
      </w:pPr>
      <w:bookmarkStart w:id="1903" w:name="_Toc191987132"/>
      <w:bookmarkStart w:id="1904" w:name="_Toc192093174"/>
      <w:bookmarkStart w:id="1905" w:name="_Toc192612882"/>
      <w:bookmarkStart w:id="1906" w:name="_Toc198312326"/>
      <w:bookmarkStart w:id="1907" w:name="_Toc198312808"/>
      <w:bookmarkStart w:id="1908" w:name="_Toc200636970"/>
      <w:bookmarkStart w:id="1909" w:name="_Toc200439968"/>
      <w:bookmarkStart w:id="1910" w:name="_Toc201241073"/>
      <w:r w:rsidRPr="002F2BC5">
        <w:rPr>
          <w:rFonts w:hint="cs"/>
          <w:rtl/>
        </w:rPr>
        <w:t xml:space="preserve">מומלץ למשרד הרווחה, למשרד לביטחון לאומי, לשירות בתי הסוהר ולהנהלת בתי המשפט, בהובלת משרד המשפטים, </w:t>
      </w:r>
      <w:r w:rsidRPr="002F2BC5">
        <w:rPr>
          <w:rFonts w:hint="eastAsia"/>
          <w:rtl/>
        </w:rPr>
        <w:t>לבחון</w:t>
      </w:r>
      <w:r w:rsidRPr="002F2BC5">
        <w:rPr>
          <w:rtl/>
        </w:rPr>
        <w:t xml:space="preserve"> </w:t>
      </w:r>
      <w:r w:rsidRPr="002F2BC5">
        <w:rPr>
          <w:rFonts w:hint="eastAsia"/>
          <w:rtl/>
        </w:rPr>
        <w:t>ולגבש</w:t>
      </w:r>
      <w:r w:rsidRPr="002F2BC5">
        <w:rPr>
          <w:rtl/>
        </w:rPr>
        <w:t xml:space="preserve"> </w:t>
      </w:r>
      <w:r w:rsidRPr="002F2BC5">
        <w:rPr>
          <w:rFonts w:hint="eastAsia"/>
          <w:rtl/>
        </w:rPr>
        <w:t>הסדר</w:t>
      </w:r>
      <w:r w:rsidRPr="002F2BC5">
        <w:rPr>
          <w:rFonts w:hint="cs"/>
          <w:rtl/>
        </w:rPr>
        <w:t xml:space="preserve"> המתווה את שיקול דעת המדינה, באמצעות הגורמים המוסמכים לכך לפי החוק למניעת אלימות במשפחה, לבחון את הצורך ליזום הליך בקשה לצו הגנה, בכלל זה בתנאי פיקוח טכנולוגי, במקרים שבהם אסיר העומד לקראת שחרור מצוי ברמת מסוכנות גבוהה והבקשה נדרשת כדי להגן על בן משפחתו, כפי שהמליצו ועדת רוזנבאום וועדת המנכ"לים.</w:t>
      </w:r>
      <w:bookmarkEnd w:id="1903"/>
      <w:bookmarkEnd w:id="1904"/>
      <w:bookmarkEnd w:id="1905"/>
      <w:r w:rsidRPr="002F2BC5">
        <w:rPr>
          <w:rFonts w:hint="cs"/>
          <w:rtl/>
        </w:rPr>
        <w:t xml:space="preserve"> כל זאת, לצד הירתמות משותפת של כלל הגורמים הללו, כל אחד בתחומו, לטובת הגברת היישום של ההסדר הקבוע בתיקון 19 לחוק ולטובת הפעלתו השיטתית והסדורה של מנגנון המעקב והבקרה הקבוע בתיקון לחוק.</w:t>
      </w:r>
      <w:bookmarkEnd w:id="1906"/>
      <w:bookmarkEnd w:id="1907"/>
      <w:r w:rsidRPr="002F2BC5">
        <w:rPr>
          <w:rFonts w:hint="cs"/>
          <w:rtl/>
        </w:rPr>
        <w:t xml:space="preserve"> זאת בשים לב לאתגרים הקיימים ביישום ההסדר, כפי שעולה מתשובותיהם של משרד המשפטים, הנהלת בתי המשפט ומשטרת ישראל.</w:t>
      </w:r>
      <w:bookmarkEnd w:id="1908"/>
      <w:bookmarkEnd w:id="1909"/>
      <w:bookmarkEnd w:id="1910"/>
      <w:r w:rsidRPr="002F2BC5">
        <w:rPr>
          <w:rFonts w:hint="cs"/>
          <w:rtl/>
        </w:rPr>
        <w:t xml:space="preserve"> </w:t>
      </w:r>
    </w:p>
    <w:p w14:paraId="73333657" w14:textId="77777777" w:rsidR="00817399" w:rsidRPr="002F2BC5" w:rsidRDefault="00817399" w:rsidP="00817399">
      <w:pPr>
        <w:spacing w:line="269" w:lineRule="auto"/>
        <w:rPr>
          <w:rtl/>
        </w:rPr>
      </w:pPr>
    </w:p>
    <w:p w14:paraId="0EB8AC02" w14:textId="77777777" w:rsidR="00817399" w:rsidRPr="002F2BC5" w:rsidRDefault="00817399" w:rsidP="00817399">
      <w:pPr>
        <w:pStyle w:val="50"/>
        <w:spacing w:line="269" w:lineRule="auto"/>
        <w:rPr>
          <w:rtl/>
        </w:rPr>
      </w:pPr>
      <w:bookmarkStart w:id="1911" w:name="_Toc189072278"/>
      <w:bookmarkStart w:id="1912" w:name="_Toc191987133"/>
      <w:bookmarkStart w:id="1913" w:name="_Toc192093175"/>
      <w:bookmarkStart w:id="1914" w:name="_Toc193110637"/>
      <w:bookmarkStart w:id="1915" w:name="_Toc192612883"/>
      <w:bookmarkStart w:id="1916" w:name="_Toc198312809"/>
      <w:bookmarkStart w:id="1917" w:name="_Toc200636971"/>
      <w:bookmarkStart w:id="1918" w:name="_Toc200439969"/>
      <w:bookmarkStart w:id="1919" w:name="_Toc201241074"/>
      <w:r w:rsidRPr="002F2BC5">
        <w:rPr>
          <w:rFonts w:hint="cs"/>
          <w:rtl/>
        </w:rPr>
        <w:t>הגנה ושיקום במקלטים ובדירות מעבר</w:t>
      </w:r>
      <w:bookmarkEnd w:id="1911"/>
      <w:bookmarkEnd w:id="1912"/>
      <w:bookmarkEnd w:id="1913"/>
      <w:bookmarkEnd w:id="1914"/>
      <w:bookmarkEnd w:id="1915"/>
      <w:bookmarkEnd w:id="1916"/>
      <w:bookmarkEnd w:id="1917"/>
      <w:bookmarkEnd w:id="1918"/>
      <w:bookmarkEnd w:id="1919"/>
    </w:p>
    <w:p w14:paraId="5DAB7AB4" w14:textId="77777777" w:rsidR="00817399" w:rsidRPr="002F2BC5" w:rsidRDefault="00817399" w:rsidP="00817399">
      <w:pPr>
        <w:spacing w:line="269" w:lineRule="auto"/>
        <w:rPr>
          <w:rtl/>
        </w:rPr>
      </w:pPr>
    </w:p>
    <w:p w14:paraId="168F2B27" w14:textId="77777777" w:rsidR="00817399" w:rsidRPr="002F2BC5" w:rsidRDefault="00817399" w:rsidP="00817399">
      <w:pPr>
        <w:spacing w:line="269" w:lineRule="auto"/>
        <w:rPr>
          <w:rtl/>
        </w:rPr>
      </w:pPr>
      <w:r w:rsidRPr="002F2BC5">
        <w:rPr>
          <w:rFonts w:hint="cs"/>
          <w:rtl/>
        </w:rPr>
        <w:t xml:space="preserve">תכליתו המרכזית של המקלט לנשים נפגעות אלימות וילדיהן היא לספק לאישה ולילדיה השוהים בו הגנה מיידית, </w:t>
      </w:r>
      <w:r w:rsidRPr="002F2BC5">
        <w:rPr>
          <w:rFonts w:hint="eastAsia"/>
          <w:rtl/>
        </w:rPr>
        <w:t>בשעה</w:t>
      </w:r>
      <w:r w:rsidRPr="002F2BC5">
        <w:rPr>
          <w:rtl/>
        </w:rPr>
        <w:t xml:space="preserve"> </w:t>
      </w:r>
      <w:r w:rsidRPr="002F2BC5">
        <w:rPr>
          <w:rFonts w:hint="eastAsia"/>
          <w:rtl/>
        </w:rPr>
        <w:t>שנשקפת</w:t>
      </w:r>
      <w:r w:rsidRPr="002F2BC5">
        <w:rPr>
          <w:rtl/>
        </w:rPr>
        <w:t xml:space="preserve"> </w:t>
      </w:r>
      <w:r w:rsidRPr="002F2BC5">
        <w:rPr>
          <w:rFonts w:hint="eastAsia"/>
          <w:rtl/>
        </w:rPr>
        <w:t>להם</w:t>
      </w:r>
      <w:r w:rsidRPr="002F2BC5">
        <w:rPr>
          <w:rtl/>
        </w:rPr>
        <w:t xml:space="preserve"> </w:t>
      </w:r>
      <w:r w:rsidRPr="002F2BC5">
        <w:rPr>
          <w:rFonts w:hint="eastAsia"/>
          <w:rtl/>
        </w:rPr>
        <w:t>סכנה</w:t>
      </w:r>
      <w:r w:rsidRPr="002F2BC5">
        <w:rPr>
          <w:rtl/>
        </w:rPr>
        <w:t xml:space="preserve"> </w:t>
      </w:r>
      <w:r w:rsidRPr="002F2BC5">
        <w:rPr>
          <w:rFonts w:hint="eastAsia"/>
          <w:rtl/>
        </w:rPr>
        <w:t>ועליהם</w:t>
      </w:r>
      <w:r w:rsidRPr="002F2BC5">
        <w:rPr>
          <w:rtl/>
        </w:rPr>
        <w:t xml:space="preserve"> לעזוב את </w:t>
      </w:r>
      <w:r w:rsidRPr="002F2BC5">
        <w:rPr>
          <w:rFonts w:hint="eastAsia"/>
          <w:rtl/>
        </w:rPr>
        <w:t>מקום</w:t>
      </w:r>
      <w:r w:rsidRPr="002F2BC5">
        <w:rPr>
          <w:rtl/>
        </w:rPr>
        <w:t xml:space="preserve"> </w:t>
      </w:r>
      <w:r w:rsidRPr="002F2BC5">
        <w:rPr>
          <w:rFonts w:hint="eastAsia"/>
          <w:rtl/>
        </w:rPr>
        <w:t>מגוריהם</w:t>
      </w:r>
      <w:r w:rsidRPr="002F2BC5">
        <w:rPr>
          <w:rtl/>
        </w:rPr>
        <w:t xml:space="preserve"> הקבוע</w:t>
      </w:r>
      <w:r w:rsidRPr="002F2BC5">
        <w:rPr>
          <w:rStyle w:val="af9"/>
          <w:rtl/>
        </w:rPr>
        <w:footnoteReference w:id="387"/>
      </w:r>
      <w:r w:rsidRPr="002F2BC5">
        <w:rPr>
          <w:rFonts w:hint="cs"/>
          <w:rtl/>
        </w:rPr>
        <w:t>. לצד ההגנה שמספק המקלט, המצוי בהשגחה קפדנית ופועל על פי כללים נוקשים, ניתנת בו גם מעטפת של טיפול ותמיכה לצד שיתוף פעולה רציף עם גורמי הטיפול בקהילה, ובכלל זה שירותי ייעוץ, סיוע משפטי וכן הכנה לקראת חזרה לקהילה ויציאה לחיים עצמאיים</w:t>
      </w:r>
      <w:r w:rsidRPr="002F2BC5">
        <w:rPr>
          <w:rStyle w:val="af9"/>
          <w:rtl/>
        </w:rPr>
        <w:footnoteReference w:id="388"/>
      </w:r>
      <w:r w:rsidRPr="002F2BC5">
        <w:rPr>
          <w:rFonts w:hint="cs"/>
          <w:rtl/>
        </w:rPr>
        <w:t>. עם תום שהותם במקלט ייתכן שיופנו האישה וילדיה להמשך טיפול בדירת מעבר</w:t>
      </w:r>
      <w:r w:rsidRPr="002F2BC5">
        <w:rPr>
          <w:rtl/>
        </w:rPr>
        <w:t xml:space="preserve"> בקהילה לקראת המעבר לחיים עצמאיים</w:t>
      </w:r>
      <w:r w:rsidRPr="002F2BC5">
        <w:rPr>
          <w:rFonts w:hint="cs"/>
          <w:rtl/>
        </w:rPr>
        <w:t xml:space="preserve">. </w:t>
      </w:r>
    </w:p>
    <w:p w14:paraId="0D772FE4" w14:textId="77777777" w:rsidR="00817399" w:rsidRPr="002F2BC5" w:rsidRDefault="00817399" w:rsidP="00817399">
      <w:pPr>
        <w:spacing w:line="269" w:lineRule="auto"/>
        <w:rPr>
          <w:rtl/>
        </w:rPr>
      </w:pPr>
    </w:p>
    <w:p w14:paraId="30750490" w14:textId="77777777" w:rsidR="00817399" w:rsidRPr="002F2BC5" w:rsidRDefault="00817399" w:rsidP="00817399">
      <w:pPr>
        <w:spacing w:line="269" w:lineRule="auto"/>
        <w:rPr>
          <w:rtl/>
        </w:rPr>
      </w:pPr>
      <w:r w:rsidRPr="002F2BC5">
        <w:rPr>
          <w:rFonts w:hint="cs"/>
          <w:rtl/>
        </w:rPr>
        <w:t>את המקלטים ודירות המעבר מפעיל משרד הרווחה באמצעות נותני שירותים חיצוניים, ופעילותם מוסדרת בהוראות התע"ס</w:t>
      </w:r>
      <w:r w:rsidRPr="002F2BC5">
        <w:rPr>
          <w:rStyle w:val="af9"/>
          <w:rtl/>
        </w:rPr>
        <w:footnoteReference w:id="389"/>
      </w:r>
      <w:r w:rsidRPr="002F2BC5">
        <w:rPr>
          <w:rFonts w:hint="cs"/>
          <w:rtl/>
        </w:rPr>
        <w:t>. על פי רוב ההפניה למקלט נעשית על ידי המחלקה לשירותים חברתיים או המרכז לטיפול ומניעת אלימות במשפחה, אך במצבי חירום עשויה ההפניה להיעשות בין השאר גם על ידי מרכז החירום, משטרת ישראל, מערכת הבריאות או מוקד הסיוע הארצי שמפעיל משרד הרווחה</w:t>
      </w:r>
      <w:r w:rsidRPr="002F2BC5">
        <w:rPr>
          <w:rStyle w:val="af9"/>
          <w:rtl/>
        </w:rPr>
        <w:footnoteReference w:id="390"/>
      </w:r>
      <w:r w:rsidRPr="002F2BC5">
        <w:rPr>
          <w:rFonts w:hint="cs"/>
          <w:rtl/>
        </w:rPr>
        <w:t>. משך השהות במקלט הוא בין שלושה לשישה חודשים, והוא מיועד ככלל לנשים שלהן עד שלושה ילדים בגילאי 0 עד גיל 11</w:t>
      </w:r>
      <w:r w:rsidRPr="002F2BC5">
        <w:rPr>
          <w:rStyle w:val="af9"/>
          <w:rtl/>
        </w:rPr>
        <w:footnoteReference w:id="391"/>
      </w:r>
      <w:r w:rsidRPr="002F2BC5">
        <w:rPr>
          <w:rFonts w:hint="cs"/>
          <w:rtl/>
        </w:rPr>
        <w:t>. במקרים אחרים, לרבות אם לאישה או לילדיה צרכים ייחודיים (ובכלל זה התמודדות נפש, בעיית התמכרות או קשיים מורכבים אחרים) - ההחלטה על קבלתם לטיפול במקלט נתונה לשיקול דעתה של הנהלת המקלט, בהתייעצות עם מפקחים מטעם משרד הרווחה</w:t>
      </w:r>
      <w:r w:rsidRPr="002F2BC5">
        <w:rPr>
          <w:rStyle w:val="af9"/>
          <w:rtl/>
        </w:rPr>
        <w:footnoteReference w:id="392"/>
      </w:r>
      <w:r w:rsidRPr="002F2BC5">
        <w:rPr>
          <w:rFonts w:hint="cs"/>
          <w:rtl/>
        </w:rPr>
        <w:t>. משך השהות בדירת מעבר הוא עד שנה, למעט במקרים חריגים</w:t>
      </w:r>
      <w:r w:rsidRPr="002F2BC5">
        <w:rPr>
          <w:rStyle w:val="af9"/>
          <w:rtl/>
        </w:rPr>
        <w:footnoteReference w:id="393"/>
      </w:r>
      <w:r w:rsidRPr="002F2BC5">
        <w:rPr>
          <w:rFonts w:hint="cs"/>
          <w:rtl/>
        </w:rPr>
        <w:t>.</w:t>
      </w:r>
    </w:p>
    <w:p w14:paraId="143CCDC6" w14:textId="77777777" w:rsidR="00817399" w:rsidRPr="002F2BC5" w:rsidRDefault="00817399" w:rsidP="00817399">
      <w:pPr>
        <w:spacing w:line="269" w:lineRule="auto"/>
        <w:rPr>
          <w:rtl/>
        </w:rPr>
      </w:pPr>
    </w:p>
    <w:p w14:paraId="7BAEE703" w14:textId="77777777" w:rsidR="00817399" w:rsidRPr="002F2BC5" w:rsidRDefault="00817399" w:rsidP="00817399">
      <w:pPr>
        <w:spacing w:line="269" w:lineRule="auto"/>
        <w:rPr>
          <w:rtl/>
        </w:rPr>
      </w:pPr>
      <w:r w:rsidRPr="002F2BC5">
        <w:rPr>
          <w:rFonts w:hint="cs"/>
          <w:rtl/>
        </w:rPr>
        <w:t>בביקורת הקודמת נבדקו זמינות המענה הניתן במקלטים והתאמתו למגוון אוכלוסיות וכן נבחנו ממשקי העבודה בין המחלקות לשירותים חברתיים והמרכזים לטיפול ומניעת אלימות במשפחה לבין המקלטים. להלן יפורטו ממצאי ביקורת המעקב בנושאים אלה.</w:t>
      </w:r>
    </w:p>
    <w:p w14:paraId="7FE1663B" w14:textId="77777777" w:rsidR="00817399" w:rsidRPr="002F2BC5" w:rsidRDefault="00817399" w:rsidP="00817399">
      <w:pPr>
        <w:spacing w:line="269" w:lineRule="auto"/>
        <w:rPr>
          <w:rtl/>
        </w:rPr>
      </w:pPr>
    </w:p>
    <w:p w14:paraId="051BE74A" w14:textId="77777777" w:rsidR="00A74C4E" w:rsidRDefault="00A74C4E">
      <w:pPr>
        <w:bidi w:val="0"/>
        <w:spacing w:after="200" w:line="276" w:lineRule="auto"/>
        <w:rPr>
          <w:rFonts w:eastAsiaTheme="majorEastAsia"/>
          <w:spacing w:val="40"/>
          <w:rtl/>
        </w:rPr>
      </w:pPr>
      <w:bookmarkStart w:id="1920" w:name="_Toc189072279"/>
      <w:bookmarkStart w:id="1921" w:name="_Toc191987134"/>
      <w:bookmarkStart w:id="1922" w:name="_Toc193110638"/>
      <w:r>
        <w:rPr>
          <w:rtl/>
        </w:rPr>
        <w:br w:type="page"/>
      </w:r>
    </w:p>
    <w:p w14:paraId="1A84AD1E" w14:textId="77777777" w:rsidR="00817399" w:rsidRPr="002F2BC5" w:rsidRDefault="00817399" w:rsidP="00817399">
      <w:pPr>
        <w:pStyle w:val="6"/>
        <w:spacing w:line="269" w:lineRule="auto"/>
        <w:rPr>
          <w:rtl/>
        </w:rPr>
      </w:pPr>
      <w:r w:rsidRPr="002F2BC5">
        <w:rPr>
          <w:rFonts w:hint="cs"/>
          <w:rtl/>
        </w:rPr>
        <w:lastRenderedPageBreak/>
        <w:t>מענה זמין ומיידי במקלטים לאוכלוסיות מגוונות</w:t>
      </w:r>
      <w:bookmarkEnd w:id="1920"/>
      <w:bookmarkEnd w:id="1921"/>
      <w:bookmarkEnd w:id="1922"/>
    </w:p>
    <w:p w14:paraId="6EF22A51" w14:textId="77777777" w:rsidR="00817399" w:rsidRPr="002F2BC5" w:rsidRDefault="00817399" w:rsidP="00817399">
      <w:pPr>
        <w:spacing w:line="269" w:lineRule="auto"/>
        <w:rPr>
          <w:rtl/>
        </w:rPr>
      </w:pPr>
    </w:p>
    <w:p w14:paraId="5B4E5E22" w14:textId="77777777" w:rsidR="00817399" w:rsidRPr="002F2BC5" w:rsidRDefault="00817399" w:rsidP="00817399">
      <w:pPr>
        <w:spacing w:line="269" w:lineRule="auto"/>
        <w:rPr>
          <w:rtl/>
        </w:rPr>
      </w:pPr>
      <w:bookmarkStart w:id="1923" w:name="_Toc191987135"/>
      <w:r w:rsidRPr="002F2BC5">
        <w:rPr>
          <w:rStyle w:val="70"/>
          <w:rFonts w:hint="cs"/>
          <w:rtl/>
        </w:rPr>
        <w:t>הביקורת הקודמת:</w:t>
      </w:r>
      <w:bookmarkEnd w:id="1923"/>
      <w:r w:rsidRPr="002F2BC5">
        <w:rPr>
          <w:rStyle w:val="70"/>
          <w:rFonts w:hint="cs"/>
          <w:rtl/>
        </w:rPr>
        <w:t xml:space="preserve"> </w:t>
      </w:r>
      <w:r w:rsidRPr="002F2BC5">
        <w:rPr>
          <w:rFonts w:hint="cs"/>
          <w:rtl/>
        </w:rPr>
        <w:t xml:space="preserve">נמצא כי לא ניתן מענה ייעודי מספק במקלטים לנשים נפגעות אלימות מהחברה הדתית-חרדית, לנשים שלהן ילדים רבים או שילדיהן בגילי 12 ומעלה. עוד עלה כי במקלטים שהופעלו בדרום הארץ לא ניתן מענה ייעודי לנשים דוברות ערבית, ובשל כך הן הופנו למקלטים בצפון, באופן שהקשה על המשך הטיפול והליווי שלהן על ידי המחלקות לשירותים חברתיים באזור מגוריהן עם חזרתן לקהילה. כמו כן הועלה בביקורת הקודמת כי כ-67% מהמקלטים (9 מתוך 15) לא היו נגישים </w:t>
      </w:r>
      <w:r w:rsidRPr="002F2BC5">
        <w:rPr>
          <w:rtl/>
        </w:rPr>
        <w:t>לאנשים עם מוגבלויות</w:t>
      </w:r>
      <w:r w:rsidRPr="002F2BC5">
        <w:rPr>
          <w:rStyle w:val="af9"/>
          <w:rtl/>
        </w:rPr>
        <w:footnoteReference w:id="394"/>
      </w:r>
      <w:r w:rsidRPr="002F2BC5">
        <w:rPr>
          <w:rtl/>
        </w:rPr>
        <w:t>.</w:t>
      </w:r>
    </w:p>
    <w:p w14:paraId="687E302A" w14:textId="77777777" w:rsidR="00817399" w:rsidRPr="002F2BC5" w:rsidRDefault="00817399" w:rsidP="00817399">
      <w:pPr>
        <w:spacing w:line="269" w:lineRule="auto"/>
        <w:rPr>
          <w:rtl/>
        </w:rPr>
      </w:pPr>
    </w:p>
    <w:p w14:paraId="4C0AB817" w14:textId="77777777" w:rsidR="00817399" w:rsidRPr="002F2BC5" w:rsidRDefault="00817399" w:rsidP="00817399">
      <w:pPr>
        <w:spacing w:line="269" w:lineRule="auto"/>
        <w:rPr>
          <w:rtl/>
        </w:rPr>
      </w:pPr>
      <w:r w:rsidRPr="002F2BC5">
        <w:rPr>
          <w:rFonts w:hint="cs"/>
          <w:rtl/>
        </w:rPr>
        <w:t>הביקורת הקודמת העלתה עוד כי לפי נתוני משרד הרווחה, נדחו כ-10% מההפניות למקלטים בשנת 2019, בין השאר בשל תפוסת יתר בחלק מהמקלטים; חוסר התאמה של המקלט למאפיינים ייחודיים של האישה או ילדיה, לרבות מספר הילדים או גיליהם; או משום שאי אפשר להעניק לאישה ולילדיה הגנה מספקת במקלט בשל סמיכותו למקום מגוריה הקבוע. אף כי אחת הסיבות לדחיית ההפניות למקלטים הייתה תפוסת יתר בהם, נמצא כי נכון לאוקטובר 2020 לא היו בידי משרד הרווחה נתונים מדויקים בדבר זמני ההמתנה לטיפול במסגרות אלו.</w:t>
      </w:r>
    </w:p>
    <w:p w14:paraId="5245155C" w14:textId="77777777" w:rsidR="00817399" w:rsidRPr="002F2BC5" w:rsidRDefault="00817399" w:rsidP="00817399">
      <w:pPr>
        <w:spacing w:line="269" w:lineRule="auto"/>
        <w:rPr>
          <w:rtl/>
        </w:rPr>
      </w:pPr>
    </w:p>
    <w:p w14:paraId="3F513D71"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לבחון את התאמת המענים במקלטים לאוכלוסיות מגוונות, ובכלל זה לנשים ערביות ודתיות-חרדיות ולנשים מרובות ילדים או שילדיהן מעל גיל 12. עוד הומלץ למשרד הרווחה ל</w:t>
      </w:r>
      <w:r w:rsidRPr="002F2BC5">
        <w:rPr>
          <w:rFonts w:hint="eastAsia"/>
          <w:rtl/>
        </w:rPr>
        <w:t>בח</w:t>
      </w:r>
      <w:r w:rsidRPr="002F2BC5">
        <w:rPr>
          <w:rFonts w:hint="cs"/>
          <w:rtl/>
        </w:rPr>
        <w:t>ו</w:t>
      </w:r>
      <w:r w:rsidRPr="002F2BC5">
        <w:rPr>
          <w:rFonts w:hint="eastAsia"/>
          <w:rtl/>
        </w:rPr>
        <w:t>ן</w:t>
      </w:r>
      <w:r w:rsidRPr="002F2BC5">
        <w:rPr>
          <w:rtl/>
        </w:rPr>
        <w:t xml:space="preserve"> את זמני ההמתנה </w:t>
      </w:r>
      <w:r w:rsidRPr="002F2BC5">
        <w:rPr>
          <w:rFonts w:hint="cs"/>
          <w:rtl/>
        </w:rPr>
        <w:t>לטיפול ב</w:t>
      </w:r>
      <w:r w:rsidRPr="002F2BC5">
        <w:rPr>
          <w:rtl/>
        </w:rPr>
        <w:t>מקלט</w:t>
      </w:r>
      <w:r w:rsidRPr="002F2BC5">
        <w:rPr>
          <w:rFonts w:hint="cs"/>
          <w:rtl/>
        </w:rPr>
        <w:t xml:space="preserve">ים וכן </w:t>
      </w:r>
      <w:r w:rsidRPr="002F2BC5">
        <w:rPr>
          <w:rFonts w:hint="eastAsia"/>
          <w:rtl/>
        </w:rPr>
        <w:t>לפעול</w:t>
      </w:r>
      <w:r w:rsidRPr="002F2BC5">
        <w:rPr>
          <w:rtl/>
        </w:rPr>
        <w:t xml:space="preserve"> להגברת כושר הקליטה </w:t>
      </w:r>
      <w:r w:rsidRPr="002F2BC5">
        <w:rPr>
          <w:rFonts w:hint="cs"/>
          <w:rtl/>
        </w:rPr>
        <w:t xml:space="preserve">שלהם. אשר להנגשת המקלטים לאנשים עם מוגבלות המליץ משרד מבקר המדינה </w:t>
      </w:r>
      <w:r w:rsidRPr="002F2BC5">
        <w:rPr>
          <w:rFonts w:hint="eastAsia"/>
          <w:rtl/>
        </w:rPr>
        <w:t>ל</w:t>
      </w:r>
      <w:r w:rsidRPr="002F2BC5">
        <w:rPr>
          <w:rtl/>
        </w:rPr>
        <w:t xml:space="preserve">משרד הרווחה לפעול </w:t>
      </w:r>
      <w:r w:rsidRPr="002F2BC5">
        <w:rPr>
          <w:rFonts w:hint="eastAsia"/>
          <w:rtl/>
        </w:rPr>
        <w:t>להנגשת</w:t>
      </w:r>
      <w:r w:rsidRPr="002F2BC5">
        <w:rPr>
          <w:rtl/>
        </w:rPr>
        <w:t xml:space="preserve"> כלל המקלטים </w:t>
      </w:r>
      <w:r w:rsidRPr="002F2BC5">
        <w:rPr>
          <w:rFonts w:hint="cs"/>
          <w:rtl/>
        </w:rPr>
        <w:t>כנדרש בדין</w:t>
      </w:r>
      <w:r w:rsidRPr="002F2BC5">
        <w:rPr>
          <w:rtl/>
        </w:rPr>
        <w:t>.</w:t>
      </w:r>
    </w:p>
    <w:p w14:paraId="2AAEFBC8" w14:textId="77777777" w:rsidR="00817399" w:rsidRPr="002F2BC5" w:rsidRDefault="00817399" w:rsidP="00817399">
      <w:pPr>
        <w:spacing w:line="269" w:lineRule="auto"/>
        <w:rPr>
          <w:rtl/>
        </w:rPr>
      </w:pPr>
    </w:p>
    <w:p w14:paraId="15FDF86F" w14:textId="77777777" w:rsidR="00817399" w:rsidRPr="002F2BC5" w:rsidRDefault="00817399" w:rsidP="00817399">
      <w:pPr>
        <w:spacing w:line="269" w:lineRule="auto"/>
        <w:rPr>
          <w:rtl/>
        </w:rPr>
      </w:pP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cs"/>
          <w:rtl/>
        </w:rPr>
        <w:t>לביקורת הקודמת</w:t>
      </w:r>
      <w:r w:rsidRPr="002F2BC5">
        <w:rPr>
          <w:rtl/>
        </w:rPr>
        <w:t xml:space="preserve"> </w:t>
      </w:r>
      <w:r w:rsidRPr="002F2BC5">
        <w:rPr>
          <w:rFonts w:hint="eastAsia"/>
          <w:rtl/>
        </w:rPr>
        <w:t>כי</w:t>
      </w:r>
      <w:r w:rsidRPr="002F2BC5">
        <w:rPr>
          <w:rtl/>
        </w:rPr>
        <w:t xml:space="preserve"> </w:t>
      </w:r>
      <w:r w:rsidRPr="002F2BC5">
        <w:rPr>
          <w:rFonts w:hint="cs"/>
          <w:rtl/>
        </w:rPr>
        <w:t>נתונים על המקומות הפנויים לטיפול במקלטים ממופים</w:t>
      </w:r>
      <w:r w:rsidRPr="002F2BC5">
        <w:rPr>
          <w:rtl/>
        </w:rPr>
        <w:t xml:space="preserve"> </w:t>
      </w:r>
      <w:r w:rsidRPr="002F2BC5">
        <w:rPr>
          <w:rFonts w:hint="cs"/>
          <w:rtl/>
        </w:rPr>
        <w:t>מדי יום ומועברים על ידי המקלטים</w:t>
      </w:r>
      <w:r w:rsidRPr="002F2BC5">
        <w:rPr>
          <w:rtl/>
        </w:rPr>
        <w:t xml:space="preserve"> </w:t>
      </w:r>
      <w:r w:rsidRPr="002F2BC5">
        <w:rPr>
          <w:rFonts w:hint="cs"/>
          <w:rtl/>
        </w:rPr>
        <w:t>לגורמים הרלוונטיים במשרד הרווחה, וכי במטרה להבטיח מענה רציף בהפניית נשים וילדיהן למקלטים הוקצה תקן פיקוח ייעודי באגף במשרד הרווחה האחראי לפעילות המקלטים</w:t>
      </w:r>
      <w:r w:rsidRPr="002F2BC5">
        <w:rPr>
          <w:rtl/>
        </w:rPr>
        <w:t xml:space="preserve">. </w:t>
      </w:r>
      <w:r w:rsidRPr="002F2BC5">
        <w:rPr>
          <w:rFonts w:hint="cs"/>
          <w:rtl/>
        </w:rPr>
        <w:t>עוד נמסר בתשובה כי משרד הרווחה נערך לפרסום מכרז להפעלת מקלט נוסף המיועד לנשים עם ילדים מעל גיל 12</w:t>
      </w:r>
      <w:r w:rsidRPr="002F2BC5">
        <w:rPr>
          <w:rtl/>
        </w:rPr>
        <w:t>.</w:t>
      </w:r>
    </w:p>
    <w:p w14:paraId="4B306675" w14:textId="77777777" w:rsidR="00817399" w:rsidRPr="002F2BC5" w:rsidRDefault="00817399" w:rsidP="00817399">
      <w:pPr>
        <w:spacing w:line="269" w:lineRule="auto"/>
        <w:rPr>
          <w:rtl/>
        </w:rPr>
      </w:pPr>
    </w:p>
    <w:p w14:paraId="1AD76FD2" w14:textId="77777777" w:rsidR="00817399" w:rsidRPr="002F2BC5" w:rsidRDefault="00817399" w:rsidP="00817399">
      <w:pPr>
        <w:spacing w:line="269" w:lineRule="auto"/>
        <w:rPr>
          <w:rtl/>
        </w:rPr>
      </w:pPr>
      <w:bookmarkStart w:id="1924" w:name="_Toc191987136"/>
      <w:r w:rsidRPr="002F2BC5">
        <w:rPr>
          <w:rStyle w:val="70"/>
          <w:rFonts w:hint="cs"/>
          <w:rtl/>
        </w:rPr>
        <w:t>ביקורת המעקב:</w:t>
      </w:r>
      <w:bookmarkEnd w:id="1924"/>
      <w:r w:rsidRPr="002F2BC5">
        <w:rPr>
          <w:rStyle w:val="70"/>
          <w:rFonts w:hint="cs"/>
          <w:rtl/>
        </w:rPr>
        <w:t xml:space="preserve"> </w:t>
      </w:r>
      <w:r w:rsidRPr="002F2BC5">
        <w:rPr>
          <w:rFonts w:hint="cs"/>
          <w:rtl/>
        </w:rPr>
        <w:t>בשנים 2020 - 2024 החלו לפעול דירת מעבר נוספת ושלושה מקלטים נוספים</w:t>
      </w:r>
      <w:r w:rsidRPr="002F2BC5">
        <w:rPr>
          <w:rStyle w:val="af9"/>
          <w:rtl/>
        </w:rPr>
        <w:footnoteReference w:id="395"/>
      </w:r>
      <w:r w:rsidRPr="002F2BC5">
        <w:rPr>
          <w:rFonts w:hint="cs"/>
          <w:rtl/>
        </w:rPr>
        <w:t xml:space="preserve"> - מקלט שהוקם בעקבות משבר הקורונה (ונסגר במהלך חודש דצמבר 2024); מקלט ייעודי לחברה הערבית במחוז הצפון; ומקלט ייעודי לחברה הדתית-חרדית במחוז המרכז. במועד סיום ביקורת המעקב, בדצמבר 2024, הפעיל משרד הרווחה 17 מקלטים שתפוסתם המרבית עמדה על 212 נשים בו-זמנית, ו-20 דירות מעבר שתפוסתן המרבית עמדה על 40 נשים וילדיהן בו-זמנית. במועד זה שהו במקלטים 151 נשים ו-255 ילדיהן (תפוסה של כ-71%), ובדירות המעבר שהו 40 נשים וילדיהן (תפוסה מלאה). </w:t>
      </w:r>
    </w:p>
    <w:p w14:paraId="55E9928B" w14:textId="77777777" w:rsidR="00817399" w:rsidRPr="002F2BC5" w:rsidRDefault="00817399" w:rsidP="00817399">
      <w:pPr>
        <w:spacing w:line="269" w:lineRule="auto"/>
        <w:rPr>
          <w:rtl/>
        </w:rPr>
      </w:pPr>
    </w:p>
    <w:p w14:paraId="7CA7D4BB" w14:textId="77777777" w:rsidR="00817399" w:rsidRPr="002F2BC5" w:rsidRDefault="00817399" w:rsidP="00817399">
      <w:pPr>
        <w:spacing w:line="269" w:lineRule="auto"/>
        <w:rPr>
          <w:b/>
          <w:bCs/>
          <w:rtl/>
        </w:rPr>
      </w:pPr>
      <w:r w:rsidRPr="002F2BC5">
        <w:rPr>
          <w:rFonts w:hint="cs"/>
          <w:b/>
          <w:bCs/>
          <w:rtl/>
        </w:rPr>
        <w:t>אף כי לא נפתח מקלט ייעודי בדרום עבור החברה הערבית, במועד סיום ביקורת המעקב, בדצמבר 2024, במקלט שהופעל בדרום, עבור עד 18 נשים וילדיהן, הועסקה עובדת סוציאלית דוברת השפה הערבית</w:t>
      </w:r>
      <w:r w:rsidRPr="002F2BC5">
        <w:rPr>
          <w:rStyle w:val="af9"/>
          <w:b/>
          <w:bCs/>
          <w:rtl/>
        </w:rPr>
        <w:footnoteReference w:id="396"/>
      </w:r>
      <w:r w:rsidRPr="002F2BC5">
        <w:rPr>
          <w:rFonts w:hint="cs"/>
          <w:b/>
          <w:bCs/>
          <w:rtl/>
        </w:rPr>
        <w:t>.</w:t>
      </w:r>
      <w:r w:rsidRPr="002F2BC5">
        <w:rPr>
          <w:rFonts w:hint="cs"/>
          <w:rtl/>
        </w:rPr>
        <w:t xml:space="preserve"> </w:t>
      </w:r>
      <w:r w:rsidRPr="002F2BC5">
        <w:rPr>
          <w:rFonts w:hint="cs"/>
          <w:b/>
          <w:bCs/>
          <w:rtl/>
        </w:rPr>
        <w:t>עוד נמצא כי בשנים 2022 - 2023 לא היו מקרים של הפניות למקלטים שנדחו בשל תפוסת יתר, אך במהלך שנת 2024 נדחתה הפניה אחת למקלט של אישה מרובת ילדים.</w:t>
      </w:r>
    </w:p>
    <w:p w14:paraId="4D98FBE6" w14:textId="77777777" w:rsidR="00817399" w:rsidRPr="002F2BC5" w:rsidRDefault="00817399" w:rsidP="00817399">
      <w:pPr>
        <w:spacing w:line="269" w:lineRule="auto"/>
        <w:rPr>
          <w:rtl/>
        </w:rPr>
      </w:pPr>
    </w:p>
    <w:p w14:paraId="01048B0A" w14:textId="77777777" w:rsidR="00817399" w:rsidRPr="002F2BC5" w:rsidRDefault="00817399" w:rsidP="00817399">
      <w:pPr>
        <w:spacing w:line="269" w:lineRule="auto"/>
        <w:rPr>
          <w:b/>
          <w:bCs/>
          <w:rtl/>
        </w:rPr>
      </w:pPr>
      <w:r w:rsidRPr="002F2BC5">
        <w:rPr>
          <w:rFonts w:hint="cs"/>
          <w:rtl/>
        </w:rPr>
        <w:t xml:space="preserve">משרד הרווחה מסר במהלך ביקורת המעקב, במרץ 2025, כי מעבר למקרה היחיד עליו נמסר שבו נדחתה הפנייה למקלט של אישה על רקע ריבוי ילדים, לא ידוע לו על מקרים נוספים כאלו. עוד מסר כי האפשרות לקלוט אישה בנסיבות כאלו תלויה בתפוסת המקלט ובאפשרות להלין את </w:t>
      </w:r>
      <w:r w:rsidRPr="002F2BC5">
        <w:rPr>
          <w:rFonts w:hint="cs"/>
          <w:rtl/>
        </w:rPr>
        <w:lastRenderedPageBreak/>
        <w:t>האישה וילדיה ביותר מחדר שינה אחד</w:t>
      </w:r>
      <w:r w:rsidRPr="002F2BC5">
        <w:rPr>
          <w:rtl/>
        </w:rPr>
        <w:t>.</w:t>
      </w:r>
      <w:r w:rsidRPr="002F2BC5">
        <w:rPr>
          <w:rFonts w:hint="cs"/>
          <w:rtl/>
        </w:rPr>
        <w:t xml:space="preserve"> בהתאם לכך, כאשר מופנית למקלט אישה מרובת ילדים, המקלט מקבל תוספת תשלום כדי לאפשר מענה מספק לכלל ילדיה של האישה.</w:t>
      </w:r>
    </w:p>
    <w:p w14:paraId="2656A200" w14:textId="77777777" w:rsidR="00817399" w:rsidRPr="002F2BC5" w:rsidRDefault="00817399" w:rsidP="00817399">
      <w:pPr>
        <w:spacing w:line="269" w:lineRule="auto"/>
        <w:rPr>
          <w:rtl/>
        </w:rPr>
      </w:pPr>
    </w:p>
    <w:p w14:paraId="6491A9A6" w14:textId="77777777" w:rsidR="00817399" w:rsidRPr="002F2BC5" w:rsidRDefault="00817399" w:rsidP="00817399">
      <w:pPr>
        <w:spacing w:line="269" w:lineRule="auto"/>
        <w:rPr>
          <w:b/>
          <w:bCs/>
          <w:rtl/>
        </w:rPr>
      </w:pPr>
      <w:r w:rsidRPr="002F2BC5">
        <w:rPr>
          <w:rFonts w:hint="cs"/>
          <w:rtl/>
        </w:rPr>
        <w:t xml:space="preserve">אשר לנגישותם של המקלטים לאנשים עם מוגבלות הועלה בביקורת המעקב כי במועד סיומה, </w:t>
      </w:r>
      <w:r w:rsidRPr="002F2BC5">
        <w:rPr>
          <w:rFonts w:hint="eastAsia"/>
          <w:rtl/>
        </w:rPr>
        <w:t>בדצמבר</w:t>
      </w:r>
      <w:r w:rsidRPr="002F2BC5">
        <w:rPr>
          <w:rFonts w:hint="cs"/>
          <w:rtl/>
        </w:rPr>
        <w:t xml:space="preserve"> 2024,</w:t>
      </w:r>
      <w:r w:rsidRPr="002F2BC5">
        <w:rPr>
          <w:rtl/>
        </w:rPr>
        <w:t xml:space="preserve"> כ-41% מהמקלטים הפעילים (7 מתוך 17) לא היו נגישים לאנשים עם מוגבלות, אולם ישנו לפחות מקלט אחד נגיש בכל מחוז ממחוזותיו של משרד הרווחה</w:t>
      </w:r>
      <w:r w:rsidRPr="002F2BC5">
        <w:rPr>
          <w:rFonts w:hint="cs"/>
          <w:rtl/>
        </w:rPr>
        <w:t>.</w:t>
      </w:r>
      <w:r w:rsidRPr="002F2BC5">
        <w:rPr>
          <w:rFonts w:hint="cs"/>
          <w:b/>
          <w:bCs/>
          <w:rtl/>
        </w:rPr>
        <w:t xml:space="preserve"> </w:t>
      </w:r>
    </w:p>
    <w:p w14:paraId="43262DDE" w14:textId="77777777" w:rsidR="00817399" w:rsidRPr="002F2BC5" w:rsidRDefault="00817399" w:rsidP="00817399">
      <w:pPr>
        <w:spacing w:line="269" w:lineRule="auto"/>
        <w:rPr>
          <w:rtl/>
        </w:rPr>
      </w:pPr>
    </w:p>
    <w:p w14:paraId="2ABA76AA" w14:textId="77777777" w:rsidR="00817399" w:rsidRPr="002F2BC5" w:rsidRDefault="00817399" w:rsidP="00817399">
      <w:pPr>
        <w:spacing w:line="269" w:lineRule="auto"/>
        <w:rPr>
          <w:rtl/>
        </w:rPr>
      </w:pPr>
      <w:r w:rsidRPr="002F2BC5">
        <w:rPr>
          <w:rFonts w:hint="eastAsia"/>
          <w:rtl/>
        </w:rPr>
        <w:t>בביקורת</w:t>
      </w:r>
      <w:r w:rsidRPr="002F2BC5">
        <w:rPr>
          <w:rtl/>
        </w:rPr>
        <w:t xml:space="preserve"> </w:t>
      </w:r>
      <w:r w:rsidRPr="002F2BC5">
        <w:rPr>
          <w:rFonts w:hint="eastAsia"/>
          <w:rtl/>
        </w:rPr>
        <w:t>הנוכחית</w:t>
      </w:r>
      <w:r w:rsidRPr="002F2BC5">
        <w:rPr>
          <w:rtl/>
        </w:rPr>
        <w:t xml:space="preserve"> </w:t>
      </w:r>
      <w:r w:rsidRPr="002F2BC5">
        <w:rPr>
          <w:rFonts w:hint="eastAsia"/>
          <w:rtl/>
        </w:rPr>
        <w:t>נבדק</w:t>
      </w:r>
      <w:r w:rsidRPr="002F2BC5">
        <w:rPr>
          <w:rtl/>
        </w:rPr>
        <w:t xml:space="preserve"> גם שיעורן של הנשים מהחברה הערבית השוהות בדירות המעבר. </w:t>
      </w:r>
    </w:p>
    <w:p w14:paraId="4E672981" w14:textId="77777777" w:rsidR="00817399" w:rsidRPr="002F2BC5" w:rsidRDefault="00817399" w:rsidP="00817399">
      <w:pPr>
        <w:spacing w:line="269" w:lineRule="auto"/>
        <w:rPr>
          <w:rtl/>
        </w:rPr>
      </w:pPr>
    </w:p>
    <w:p w14:paraId="66B01A38" w14:textId="77777777" w:rsidR="00817399" w:rsidRPr="002F2BC5" w:rsidRDefault="00817399" w:rsidP="00817399">
      <w:pPr>
        <w:spacing w:line="269" w:lineRule="auto"/>
        <w:rPr>
          <w:b/>
          <w:bCs/>
          <w:rtl/>
        </w:rPr>
      </w:pPr>
      <w:r w:rsidRPr="002F2BC5">
        <w:rPr>
          <w:rFonts w:hint="cs"/>
          <w:b/>
          <w:bCs/>
          <w:rtl/>
        </w:rPr>
        <w:t>נמצא כי לפי נתוני משרד הרווחה, שיעורן של הנשים מהחברה הערבית ששהו במקלטים במהלך שנת 2024 (עד חודש אוגוסט) היה כ-42% מכלל הנשים ששהו במקלטים בשנה זו (251 מתוך 510), ואילו שיעורן מקרב הנשים ששהו בדירות מעבר בתקופה זו היה כ-11% בלבד (5 מתוך 46). פער ניכר זה עלול להצביע על חסמים אפשריים בשילובן של נשים מהחברה הערבית במסגרת שיקומית לקראת יציאתן מהמקלט והמעבר לחיים עצמאיים.</w:t>
      </w:r>
    </w:p>
    <w:p w14:paraId="0CEAC6D1" w14:textId="77777777" w:rsidR="00817399" w:rsidRPr="002F2BC5" w:rsidRDefault="00817399" w:rsidP="00817399">
      <w:pPr>
        <w:spacing w:line="269" w:lineRule="auto"/>
        <w:rPr>
          <w:rtl/>
        </w:rPr>
      </w:pPr>
    </w:p>
    <w:p w14:paraId="25D9E5B1" w14:textId="77777777" w:rsidR="00817399" w:rsidRPr="002F2BC5" w:rsidRDefault="00817399" w:rsidP="00817399">
      <w:pPr>
        <w:spacing w:line="269" w:lineRule="auto"/>
        <w:rPr>
          <w:b/>
          <w:bCs/>
          <w:rtl/>
        </w:rPr>
      </w:pPr>
      <w:r w:rsidRPr="002F2BC5">
        <w:rPr>
          <w:rFonts w:hint="cs"/>
          <w:rtl/>
        </w:rPr>
        <w:t xml:space="preserve">משרד הרווחה מסר במהלך ביקורת המעקב, בדצמבר 2024, כי נשים מהחברה הערבית עלולות להימצא בסיכון גבוה ומתמשך </w:t>
      </w:r>
      <w:r w:rsidRPr="002F2BC5">
        <w:rPr>
          <w:rtl/>
        </w:rPr>
        <w:t xml:space="preserve">שאינו מאפשר מגורים בקהילה </w:t>
      </w:r>
      <w:r w:rsidRPr="002F2BC5">
        <w:rPr>
          <w:rFonts w:hint="cs"/>
          <w:rtl/>
        </w:rPr>
        <w:t xml:space="preserve">לאחר יציאתן מהמקלט, ואחרות עשויות להעדיף, </w:t>
      </w:r>
      <w:r w:rsidRPr="002F2BC5">
        <w:rPr>
          <w:rtl/>
        </w:rPr>
        <w:t>מטעמים תרבותיים</w:t>
      </w:r>
      <w:r w:rsidRPr="002F2BC5">
        <w:rPr>
          <w:rFonts w:hint="cs"/>
          <w:rtl/>
        </w:rPr>
        <w:t xml:space="preserve"> או משום שהופעל עליהן לחץ, </w:t>
      </w:r>
      <w:r w:rsidRPr="002F2BC5">
        <w:rPr>
          <w:rtl/>
        </w:rPr>
        <w:t xml:space="preserve">לצאת מהמקלט למשפחתן המורחבת. </w:t>
      </w:r>
      <w:r w:rsidRPr="002F2BC5">
        <w:rPr>
          <w:rFonts w:hint="cs"/>
          <w:rtl/>
        </w:rPr>
        <w:t xml:space="preserve">עוד הוסיף כי שיעורן הנמוך של הנשים מהחברה הערבית השוהות בדירות המעבר עשוי להיות מוסבר גם בהיעדרן של </w:t>
      </w:r>
      <w:r w:rsidRPr="002F2BC5">
        <w:rPr>
          <w:rtl/>
        </w:rPr>
        <w:t xml:space="preserve">מיומנויות </w:t>
      </w:r>
      <w:r w:rsidRPr="002F2BC5">
        <w:rPr>
          <w:rFonts w:hint="cs"/>
          <w:rtl/>
        </w:rPr>
        <w:t xml:space="preserve">המאפשרות </w:t>
      </w:r>
      <w:r w:rsidRPr="002F2BC5">
        <w:rPr>
          <w:rtl/>
        </w:rPr>
        <w:t xml:space="preserve">חיים עצמאיים </w:t>
      </w:r>
      <w:r w:rsidRPr="002F2BC5">
        <w:rPr>
          <w:rFonts w:hint="cs"/>
          <w:rtl/>
        </w:rPr>
        <w:t>בקהילה וקושי בהשתלבותן של הנשים הללו בשוק העבודה בשל פערים בהשכלתן ובידיעתן את השפה העברית.</w:t>
      </w:r>
    </w:p>
    <w:p w14:paraId="334D7FC2" w14:textId="77777777" w:rsidR="00817399" w:rsidRPr="002F2BC5" w:rsidRDefault="00817399" w:rsidP="00817399">
      <w:pPr>
        <w:spacing w:line="269" w:lineRule="auto"/>
        <w:rPr>
          <w:rtl/>
        </w:rPr>
      </w:pPr>
    </w:p>
    <w:p w14:paraId="3F2B01C1" w14:textId="77777777" w:rsidR="00817399" w:rsidRPr="002F2BC5" w:rsidRDefault="00817399" w:rsidP="00817399">
      <w:pPr>
        <w:spacing w:line="269" w:lineRule="auto"/>
        <w:rPr>
          <w:rtl/>
        </w:rPr>
      </w:pPr>
      <w:r w:rsidRPr="002F2BC5">
        <w:rPr>
          <w:rFonts w:hint="cs"/>
          <w:rtl/>
        </w:rPr>
        <w:t>יצוין כי בשנים 2021 עד אוגוסט 2024 התקבלו בשני מרכזי החירום שהפעיל משרד הרווחה כ-1,500 פניות במצטבר. קרוב למחצית מהפניות שהיה קיים לגביהן מידע על סיבת הפנייה היו לצורך לינת חירום (417 מתוך 1,009). בשל אופי השירותים הניתנים במרכזים הללו, שאינם מחייבים הזדהות של הפונה או מסירת מידע מצידו, קיים קושי רב יותר לנהל מעקב ובקרה על מאפייניהם האישיים של הפונים. מהנתונים שהיו זמינים במועד סיום ביקורת המעקב, בדצמבר 2024, עולה כי כ-27% מהפונים שהיה קיים לגביהם מידע היו מהאוכלוסייה הלא-יהודית (211 מתוך 768) וכי במרכז החירום בעכו היה שיעור הפונים הללו גבוה יותר ועמד על כ-34% (174 מתוך 506).</w:t>
      </w:r>
    </w:p>
    <w:p w14:paraId="6FEF1F81" w14:textId="77777777" w:rsidR="00817399" w:rsidRPr="002F2BC5" w:rsidRDefault="00817399" w:rsidP="00817399">
      <w:pPr>
        <w:spacing w:line="269" w:lineRule="auto"/>
        <w:rPr>
          <w:rtl/>
        </w:rPr>
      </w:pPr>
    </w:p>
    <w:p w14:paraId="43988243" w14:textId="77777777" w:rsidR="00817399" w:rsidRPr="002F2BC5" w:rsidRDefault="00817399" w:rsidP="00817399">
      <w:pPr>
        <w:pStyle w:val="afffffff9"/>
        <w:spacing w:line="269" w:lineRule="auto"/>
        <w:rPr>
          <w:rtl/>
        </w:rPr>
      </w:pPr>
      <w:bookmarkStart w:id="1925" w:name="_Toc191987137"/>
      <w:bookmarkStart w:id="1926" w:name="_Toc192093176"/>
      <w:bookmarkStart w:id="1927" w:name="_Toc192612884"/>
      <w:bookmarkStart w:id="1928" w:name="_Toc198312327"/>
      <w:bookmarkStart w:id="1929" w:name="_Toc198312810"/>
      <w:bookmarkStart w:id="1930" w:name="_Toc200636972"/>
      <w:bookmarkStart w:id="1931" w:name="_Toc200439970"/>
      <w:bookmarkStart w:id="1932" w:name="_Toc201241075"/>
      <w:r w:rsidRPr="002F2BC5">
        <w:rPr>
          <w:rFonts w:hint="eastAsia"/>
          <w:rtl/>
        </w:rPr>
        <w:t>הביקורת</w:t>
      </w:r>
      <w:r w:rsidRPr="002F2BC5">
        <w:rPr>
          <w:rtl/>
        </w:rPr>
        <w:t xml:space="preserve"> </w:t>
      </w:r>
      <w:r w:rsidRPr="002F2BC5">
        <w:rPr>
          <w:rFonts w:hint="eastAsia"/>
          <w:rtl/>
        </w:rPr>
        <w:t>הקודמת</w:t>
      </w:r>
      <w:r w:rsidRPr="002F2BC5">
        <w:rPr>
          <w:rtl/>
        </w:rPr>
        <w:t xml:space="preserve"> </w:t>
      </w:r>
      <w:r w:rsidRPr="002F2BC5">
        <w:rPr>
          <w:rFonts w:hint="eastAsia"/>
          <w:rtl/>
        </w:rPr>
        <w:t>העלתה</w:t>
      </w:r>
      <w:r w:rsidRPr="002F2BC5">
        <w:rPr>
          <w:rtl/>
        </w:rPr>
        <w:t xml:space="preserve"> </w:t>
      </w:r>
      <w:r w:rsidRPr="002F2BC5">
        <w:rPr>
          <w:rFonts w:hint="eastAsia"/>
          <w:rtl/>
        </w:rPr>
        <w:t>כי</w:t>
      </w:r>
      <w:r w:rsidRPr="002F2BC5">
        <w:rPr>
          <w:rtl/>
        </w:rPr>
        <w:t xml:space="preserve"> </w:t>
      </w:r>
      <w:r w:rsidRPr="002F2BC5">
        <w:rPr>
          <w:rFonts w:hint="eastAsia"/>
          <w:rtl/>
        </w:rPr>
        <w:t>לא</w:t>
      </w:r>
      <w:r w:rsidRPr="002F2BC5">
        <w:rPr>
          <w:rtl/>
        </w:rPr>
        <w:t xml:space="preserve"> </w:t>
      </w:r>
      <w:r w:rsidRPr="002F2BC5">
        <w:rPr>
          <w:rFonts w:hint="eastAsia"/>
          <w:rtl/>
        </w:rPr>
        <w:t>ניתן</w:t>
      </w:r>
      <w:r w:rsidRPr="002F2BC5">
        <w:rPr>
          <w:rtl/>
        </w:rPr>
        <w:t xml:space="preserve"> </w:t>
      </w:r>
      <w:r w:rsidRPr="002F2BC5">
        <w:rPr>
          <w:rFonts w:hint="eastAsia"/>
          <w:rtl/>
        </w:rPr>
        <w:t>מענה</w:t>
      </w:r>
      <w:r w:rsidRPr="002F2BC5">
        <w:rPr>
          <w:rtl/>
        </w:rPr>
        <w:t xml:space="preserve"> </w:t>
      </w:r>
      <w:r w:rsidRPr="002F2BC5">
        <w:rPr>
          <w:rFonts w:hint="eastAsia"/>
          <w:rtl/>
        </w:rPr>
        <w:t>ייעודי</w:t>
      </w:r>
      <w:r w:rsidRPr="002F2BC5">
        <w:rPr>
          <w:rtl/>
        </w:rPr>
        <w:t xml:space="preserve"> </w:t>
      </w:r>
      <w:r w:rsidRPr="002F2BC5">
        <w:rPr>
          <w:rFonts w:hint="eastAsia"/>
          <w:rtl/>
        </w:rPr>
        <w:t>מספק</w:t>
      </w:r>
      <w:r w:rsidRPr="002F2BC5">
        <w:rPr>
          <w:rtl/>
        </w:rPr>
        <w:t xml:space="preserve"> </w:t>
      </w:r>
      <w:r w:rsidRPr="002F2BC5">
        <w:rPr>
          <w:rFonts w:hint="eastAsia"/>
          <w:rtl/>
        </w:rPr>
        <w:t>במקלטים</w:t>
      </w:r>
      <w:r w:rsidRPr="002F2BC5">
        <w:rPr>
          <w:rtl/>
        </w:rPr>
        <w:t xml:space="preserve"> </w:t>
      </w:r>
      <w:r w:rsidRPr="002F2BC5">
        <w:rPr>
          <w:rFonts w:hint="eastAsia"/>
          <w:rtl/>
        </w:rPr>
        <w:t>לנשים</w:t>
      </w:r>
      <w:r w:rsidRPr="002F2BC5">
        <w:rPr>
          <w:rtl/>
        </w:rPr>
        <w:t xml:space="preserve"> </w:t>
      </w:r>
      <w:r w:rsidRPr="002F2BC5">
        <w:rPr>
          <w:rFonts w:hint="eastAsia"/>
          <w:rtl/>
        </w:rPr>
        <w:t>נפגעות</w:t>
      </w:r>
      <w:r w:rsidRPr="002F2BC5">
        <w:rPr>
          <w:rtl/>
        </w:rPr>
        <w:t xml:space="preserve"> </w:t>
      </w:r>
      <w:r w:rsidRPr="002F2BC5">
        <w:rPr>
          <w:rFonts w:hint="eastAsia"/>
          <w:rtl/>
        </w:rPr>
        <w:t>אלימות</w:t>
      </w:r>
      <w:r w:rsidRPr="002F2BC5">
        <w:rPr>
          <w:rtl/>
        </w:rPr>
        <w:t xml:space="preserve"> </w:t>
      </w:r>
      <w:r w:rsidRPr="002F2BC5">
        <w:rPr>
          <w:rFonts w:hint="eastAsia"/>
          <w:rtl/>
        </w:rPr>
        <w:t>מהחברה</w:t>
      </w:r>
      <w:r w:rsidRPr="002F2BC5">
        <w:rPr>
          <w:rtl/>
        </w:rPr>
        <w:t xml:space="preserve"> </w:t>
      </w:r>
      <w:r w:rsidRPr="002F2BC5">
        <w:rPr>
          <w:rFonts w:hint="eastAsia"/>
          <w:rtl/>
        </w:rPr>
        <w:t>הדתית</w:t>
      </w:r>
      <w:r w:rsidRPr="002F2BC5">
        <w:rPr>
          <w:rtl/>
        </w:rPr>
        <w:t>-חרדית</w:t>
      </w:r>
      <w:r w:rsidRPr="002F2BC5">
        <w:rPr>
          <w:rFonts w:hint="cs"/>
          <w:rtl/>
        </w:rPr>
        <w:t xml:space="preserve"> </w:t>
      </w:r>
      <w:r w:rsidRPr="002F2BC5">
        <w:rPr>
          <w:rFonts w:hint="eastAsia"/>
          <w:rtl/>
        </w:rPr>
        <w:t>וכי</w:t>
      </w:r>
      <w:r w:rsidRPr="002F2BC5">
        <w:rPr>
          <w:rtl/>
        </w:rPr>
        <w:t xml:space="preserve"> </w:t>
      </w:r>
      <w:r w:rsidRPr="002F2BC5">
        <w:rPr>
          <w:rFonts w:hint="eastAsia"/>
          <w:rtl/>
        </w:rPr>
        <w:t>במקלטים</w:t>
      </w:r>
      <w:r w:rsidRPr="002F2BC5">
        <w:rPr>
          <w:rtl/>
        </w:rPr>
        <w:t xml:space="preserve"> </w:t>
      </w:r>
      <w:r w:rsidRPr="002F2BC5">
        <w:rPr>
          <w:rFonts w:hint="eastAsia"/>
          <w:rtl/>
        </w:rPr>
        <w:t>שהופעלו</w:t>
      </w:r>
      <w:r w:rsidRPr="002F2BC5">
        <w:rPr>
          <w:rtl/>
        </w:rPr>
        <w:t xml:space="preserve"> </w:t>
      </w:r>
      <w:r w:rsidRPr="002F2BC5">
        <w:rPr>
          <w:rFonts w:hint="eastAsia"/>
          <w:rtl/>
        </w:rPr>
        <w:t>בדרום</w:t>
      </w:r>
      <w:r w:rsidRPr="002F2BC5">
        <w:rPr>
          <w:rtl/>
        </w:rPr>
        <w:t xml:space="preserve"> </w:t>
      </w:r>
      <w:r w:rsidRPr="002F2BC5">
        <w:rPr>
          <w:rFonts w:hint="eastAsia"/>
          <w:rtl/>
        </w:rPr>
        <w:t>הארץ</w:t>
      </w:r>
      <w:r w:rsidRPr="002F2BC5">
        <w:rPr>
          <w:rtl/>
        </w:rPr>
        <w:t xml:space="preserve"> </w:t>
      </w:r>
      <w:r w:rsidRPr="002F2BC5">
        <w:rPr>
          <w:rFonts w:hint="eastAsia"/>
          <w:rtl/>
        </w:rPr>
        <w:t>לא</w:t>
      </w:r>
      <w:r w:rsidRPr="002F2BC5">
        <w:rPr>
          <w:rtl/>
        </w:rPr>
        <w:t xml:space="preserve"> </w:t>
      </w:r>
      <w:r w:rsidRPr="002F2BC5">
        <w:rPr>
          <w:rFonts w:hint="eastAsia"/>
          <w:rtl/>
        </w:rPr>
        <w:t>ניתן</w:t>
      </w:r>
      <w:r w:rsidRPr="002F2BC5">
        <w:rPr>
          <w:rtl/>
        </w:rPr>
        <w:t xml:space="preserve"> </w:t>
      </w:r>
      <w:r w:rsidRPr="002F2BC5">
        <w:rPr>
          <w:rFonts w:hint="eastAsia"/>
          <w:rtl/>
        </w:rPr>
        <w:t>מענה</w:t>
      </w:r>
      <w:r w:rsidRPr="002F2BC5">
        <w:rPr>
          <w:rtl/>
        </w:rPr>
        <w:t xml:space="preserve"> </w:t>
      </w:r>
      <w:r w:rsidRPr="002F2BC5">
        <w:rPr>
          <w:rFonts w:hint="eastAsia"/>
          <w:rtl/>
        </w:rPr>
        <w:t>ייעודי</w:t>
      </w:r>
      <w:r w:rsidRPr="002F2BC5">
        <w:rPr>
          <w:rtl/>
        </w:rPr>
        <w:t xml:space="preserve"> </w:t>
      </w:r>
      <w:r w:rsidRPr="002F2BC5">
        <w:rPr>
          <w:rFonts w:hint="eastAsia"/>
          <w:rtl/>
        </w:rPr>
        <w:t>לנשים</w:t>
      </w:r>
      <w:r w:rsidRPr="002F2BC5">
        <w:rPr>
          <w:rtl/>
        </w:rPr>
        <w:t xml:space="preserve"> </w:t>
      </w:r>
      <w:r w:rsidRPr="002F2BC5">
        <w:rPr>
          <w:rFonts w:hint="eastAsia"/>
          <w:rtl/>
        </w:rPr>
        <w:t>דוברות</w:t>
      </w:r>
      <w:r w:rsidRPr="002F2BC5">
        <w:rPr>
          <w:rtl/>
        </w:rPr>
        <w:t xml:space="preserve"> </w:t>
      </w:r>
      <w:r w:rsidRPr="002F2BC5">
        <w:rPr>
          <w:rFonts w:hint="eastAsia"/>
          <w:rtl/>
        </w:rPr>
        <w:t>ערבית</w:t>
      </w:r>
      <w:r w:rsidRPr="002F2BC5">
        <w:rPr>
          <w:rtl/>
        </w:rPr>
        <w:t xml:space="preserve">. </w:t>
      </w:r>
      <w:r w:rsidRPr="002F2BC5">
        <w:rPr>
          <w:rFonts w:hint="eastAsia"/>
          <w:rtl/>
        </w:rPr>
        <w:t>כמו</w:t>
      </w:r>
      <w:r w:rsidRPr="002F2BC5">
        <w:rPr>
          <w:rtl/>
        </w:rPr>
        <w:t xml:space="preserve"> </w:t>
      </w:r>
      <w:r w:rsidRPr="002F2BC5">
        <w:rPr>
          <w:rFonts w:hint="eastAsia"/>
          <w:rtl/>
        </w:rPr>
        <w:t>כן</w:t>
      </w:r>
      <w:r w:rsidRPr="002F2BC5">
        <w:rPr>
          <w:rtl/>
        </w:rPr>
        <w:t xml:space="preserve"> </w:t>
      </w:r>
      <w:r w:rsidRPr="002F2BC5">
        <w:rPr>
          <w:rFonts w:hint="eastAsia"/>
          <w:rtl/>
        </w:rPr>
        <w:t>הועלה</w:t>
      </w:r>
      <w:r w:rsidRPr="002F2BC5">
        <w:rPr>
          <w:rtl/>
        </w:rPr>
        <w:t xml:space="preserve"> </w:t>
      </w:r>
      <w:r w:rsidRPr="002F2BC5">
        <w:rPr>
          <w:rFonts w:hint="eastAsia"/>
          <w:rtl/>
        </w:rPr>
        <w:t>בביקורת</w:t>
      </w:r>
      <w:r w:rsidRPr="002F2BC5">
        <w:rPr>
          <w:rtl/>
        </w:rPr>
        <w:t xml:space="preserve"> </w:t>
      </w:r>
      <w:r w:rsidRPr="002F2BC5">
        <w:rPr>
          <w:rFonts w:hint="eastAsia"/>
          <w:rtl/>
        </w:rPr>
        <w:t>הקודמת</w:t>
      </w:r>
      <w:r w:rsidRPr="002F2BC5">
        <w:rPr>
          <w:rtl/>
        </w:rPr>
        <w:t xml:space="preserve"> </w:t>
      </w:r>
      <w:r w:rsidRPr="002F2BC5">
        <w:rPr>
          <w:rFonts w:hint="eastAsia"/>
          <w:rtl/>
        </w:rPr>
        <w:t>כי</w:t>
      </w:r>
      <w:r w:rsidRPr="002F2BC5">
        <w:rPr>
          <w:rtl/>
        </w:rPr>
        <w:t xml:space="preserve"> </w:t>
      </w:r>
      <w:r w:rsidRPr="002F2BC5">
        <w:rPr>
          <w:rFonts w:hint="eastAsia"/>
          <w:rtl/>
        </w:rPr>
        <w:t>כ</w:t>
      </w:r>
      <w:r w:rsidRPr="002F2BC5">
        <w:rPr>
          <w:rFonts w:hint="cs"/>
          <w:rtl/>
        </w:rPr>
        <w:t>שני שלישים</w:t>
      </w:r>
      <w:r w:rsidRPr="002F2BC5">
        <w:rPr>
          <w:rtl/>
        </w:rPr>
        <w:t xml:space="preserve"> מהמקלטים (9 מתוך 15) לא היו נגישים לאנשים עם מוגבלויות. </w:t>
      </w:r>
      <w:r w:rsidRPr="002F2BC5">
        <w:rPr>
          <w:rFonts w:hint="eastAsia"/>
          <w:rtl/>
        </w:rPr>
        <w:t>בביקורת</w:t>
      </w:r>
      <w:r w:rsidRPr="002F2BC5">
        <w:rPr>
          <w:rtl/>
        </w:rPr>
        <w:t xml:space="preserve"> </w:t>
      </w:r>
      <w:r w:rsidRPr="002F2BC5">
        <w:rPr>
          <w:rFonts w:hint="eastAsia"/>
          <w:rtl/>
        </w:rPr>
        <w:t>המעקב</w:t>
      </w:r>
      <w:r w:rsidRPr="002F2BC5">
        <w:rPr>
          <w:rtl/>
        </w:rPr>
        <w:t xml:space="preserve">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רבה</w:t>
      </w:r>
      <w:r w:rsidRPr="002F2BC5">
        <w:rPr>
          <w:rtl/>
        </w:rPr>
        <w:t>.</w:t>
      </w:r>
      <w:r w:rsidRPr="002F2BC5">
        <w:rPr>
          <w:rFonts w:hint="cs"/>
          <w:rtl/>
        </w:rPr>
        <w:t xml:space="preserve"> לאחר סיום הביקורת הקודמת הקים משרד הרווחה מקלט ייעודי לחברה הדתית-חרדית במחוז המרכז, ובמועד סיום ביקורת המעקב, בדצמבר 2024, הועסקה עובדת סוציאלית דוברת השפה הערבית במקלט שהופעל בדרום. לצד זאת, הביקורת הנוכחית העלתה פער ניכר בין שיעורן של הנשים מהחברה הערבית ששהו במקלטים במהלך שנת 2024 (עד חודש אוגוסט) לבין שיעורן מקרב הנשים ששהו בדירות מעבר בתקופה זו (כ-42% לעומת כ-11%, בהתאמה) - </w:t>
      </w:r>
      <w:r w:rsidRPr="002F2BC5">
        <w:rPr>
          <w:rtl/>
        </w:rPr>
        <w:t xml:space="preserve">פער </w:t>
      </w:r>
      <w:r w:rsidRPr="002F2BC5">
        <w:rPr>
          <w:rFonts w:hint="cs"/>
          <w:rtl/>
        </w:rPr>
        <w:t>ה</w:t>
      </w:r>
      <w:r w:rsidRPr="002F2BC5">
        <w:rPr>
          <w:rtl/>
        </w:rPr>
        <w:t>עלול להצביע על חסמים אפשריים בשילובן של נשים מהחברה הערבית במסגרת שיקומית לקראת יציאתן מהמקלט והמעבר לחיים עצמאיים</w:t>
      </w:r>
      <w:r w:rsidRPr="002F2BC5">
        <w:rPr>
          <w:rFonts w:hint="cs"/>
          <w:rtl/>
        </w:rPr>
        <w:t>. אשר להנגשתם של המקלטים לאנשים עם מוגבלות - אומנם הועלה כי כ-41% מהמקלטים הפעילים (</w:t>
      </w:r>
      <w:r w:rsidRPr="002F2BC5">
        <w:rPr>
          <w:rtl/>
        </w:rPr>
        <w:t>7 מתוך 17</w:t>
      </w:r>
      <w:r w:rsidRPr="002F2BC5">
        <w:rPr>
          <w:rFonts w:hint="cs"/>
          <w:rtl/>
        </w:rPr>
        <w:t>)</w:t>
      </w:r>
      <w:r w:rsidRPr="002F2BC5">
        <w:rPr>
          <w:rtl/>
        </w:rPr>
        <w:t xml:space="preserve"> </w:t>
      </w:r>
      <w:r w:rsidRPr="002F2BC5">
        <w:rPr>
          <w:rFonts w:hint="cs"/>
          <w:rtl/>
        </w:rPr>
        <w:t>לא היו נגישים לאנשים עם מוגבלות</w:t>
      </w:r>
      <w:r w:rsidRPr="002F2BC5">
        <w:rPr>
          <w:rtl/>
        </w:rPr>
        <w:t xml:space="preserve">, </w:t>
      </w:r>
      <w:r w:rsidRPr="002F2BC5">
        <w:rPr>
          <w:rFonts w:hint="cs"/>
          <w:rtl/>
        </w:rPr>
        <w:t>אולם</w:t>
      </w:r>
      <w:r w:rsidRPr="002F2BC5">
        <w:rPr>
          <w:rtl/>
        </w:rPr>
        <w:t xml:space="preserve"> </w:t>
      </w:r>
      <w:r w:rsidRPr="002F2BC5">
        <w:rPr>
          <w:rFonts w:hint="cs"/>
          <w:rtl/>
        </w:rPr>
        <w:t xml:space="preserve">ישנו לפחות מקלט אחד נגיש </w:t>
      </w:r>
      <w:r w:rsidRPr="002F2BC5">
        <w:rPr>
          <w:rtl/>
        </w:rPr>
        <w:t>בכל מחוז ממחוזותיו של משרד הרווחה</w:t>
      </w:r>
      <w:r w:rsidRPr="002F2BC5">
        <w:rPr>
          <w:rFonts w:hint="cs"/>
          <w:rtl/>
        </w:rPr>
        <w:t>.</w:t>
      </w:r>
      <w:bookmarkEnd w:id="1925"/>
      <w:bookmarkEnd w:id="1926"/>
      <w:bookmarkEnd w:id="1927"/>
      <w:bookmarkEnd w:id="1928"/>
      <w:bookmarkEnd w:id="1929"/>
      <w:bookmarkEnd w:id="1930"/>
      <w:bookmarkEnd w:id="1931"/>
      <w:bookmarkEnd w:id="1932"/>
    </w:p>
    <w:p w14:paraId="4CCA1B7B" w14:textId="77777777" w:rsidR="00817399" w:rsidRPr="002F2BC5" w:rsidRDefault="00817399" w:rsidP="00817399">
      <w:pPr>
        <w:spacing w:line="269" w:lineRule="auto"/>
        <w:rPr>
          <w:rtl/>
        </w:rPr>
      </w:pPr>
    </w:p>
    <w:p w14:paraId="008D210B"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סח'נין</w:t>
      </w:r>
      <w:r w:rsidRPr="002F2BC5">
        <w:rPr>
          <w:rFonts w:hint="cs"/>
          <w:rtl/>
        </w:rPr>
        <w:t xml:space="preserve"> מסרה בתשובתה כי לנוכח השונות התרבותית קיים אתגר בשילובן של נשים ערביות במקלטים המיועדים לאוכלוסייה הכללית, וכי לא בכל מקרה מתאפשר טיפול יעיל לנשים ערביות במקלטים הללו.</w:t>
      </w:r>
    </w:p>
    <w:p w14:paraId="413950ED" w14:textId="77777777" w:rsidR="00817399" w:rsidRPr="002F2BC5" w:rsidRDefault="00817399" w:rsidP="00817399">
      <w:pPr>
        <w:spacing w:line="269" w:lineRule="auto"/>
        <w:rPr>
          <w:rtl/>
        </w:rPr>
      </w:pPr>
    </w:p>
    <w:p w14:paraId="4EE27B33" w14:textId="77777777" w:rsidR="00817399" w:rsidRPr="002F2BC5" w:rsidRDefault="00817399" w:rsidP="00817399">
      <w:pPr>
        <w:pStyle w:val="afffffffa"/>
        <w:spacing w:line="269" w:lineRule="auto"/>
        <w:rPr>
          <w:rtl/>
        </w:rPr>
      </w:pPr>
      <w:bookmarkStart w:id="1933" w:name="_Toc191987138"/>
      <w:bookmarkStart w:id="1934" w:name="_Toc192093177"/>
      <w:bookmarkStart w:id="1935" w:name="_Toc192612885"/>
      <w:bookmarkStart w:id="1936" w:name="_Toc198312328"/>
      <w:bookmarkStart w:id="1937" w:name="_Toc198312811"/>
      <w:bookmarkStart w:id="1938" w:name="_Toc200636973"/>
      <w:bookmarkStart w:id="1939" w:name="_Toc200439971"/>
      <w:bookmarkStart w:id="1940" w:name="_Toc201241076"/>
      <w:r w:rsidRPr="002F2BC5">
        <w:rPr>
          <w:rFonts w:hint="cs"/>
          <w:rtl/>
        </w:rPr>
        <w:t xml:space="preserve">על משרד הרווחה לפעול להנגשת כלל המקלטים כמחויב בדין. מומלץ למשרד הרווחה למפות את החסמים האפשריים לשילובן של נשים יוצאות מקלט מהחברה הערבית בדירות המעבר - בכלל </w:t>
      </w:r>
      <w:r w:rsidRPr="002F2BC5">
        <w:rPr>
          <w:rFonts w:hint="cs"/>
          <w:rtl/>
        </w:rPr>
        <w:lastRenderedPageBreak/>
        <w:t xml:space="preserve">זה סיבות הקשורות בהיעדרן של מיומנויות לחיים עצמאיים שאפשר להקנות להן במהלך שהותן במקלט - ובהתאם לכך לפעול להסרת החסמים הללו כדי להבטיח רצף טיפולי וליווי בחזרה לחיים עצמאיים לכלל הנשים השוהות במקלטים. נוסף על כך, לנוכח הירידה בתפוסתם של המקלטים לצד הגברת פעילותם של מרכזי החירום, מומלץ למשרד הרווחה לבדוק אם אומנם ובאיזה אופן הפעלתם של מרכזי החירום משפיעה על היקף הפניות למענים טיפוליים אחרים, ובהם המקלטים לנשים נפגעות אלימות. כן מומלץ לבחון את מאפייניהן של פניות אלו, ובהתאם לכך לעמוד על הצורך בביצוע התאמות במתכונת ההפעלה של </w:t>
      </w:r>
      <w:r w:rsidRPr="002F2BC5">
        <w:rPr>
          <w:rFonts w:hint="eastAsia"/>
          <w:rtl/>
        </w:rPr>
        <w:t>מרכזי</w:t>
      </w:r>
      <w:r w:rsidRPr="002F2BC5">
        <w:rPr>
          <w:rtl/>
        </w:rPr>
        <w:t xml:space="preserve"> </w:t>
      </w:r>
      <w:r w:rsidRPr="002F2BC5">
        <w:rPr>
          <w:rFonts w:hint="eastAsia"/>
          <w:rtl/>
        </w:rPr>
        <w:t>החירום</w:t>
      </w:r>
      <w:r w:rsidRPr="002F2BC5">
        <w:rPr>
          <w:rtl/>
        </w:rPr>
        <w:t xml:space="preserve"> </w:t>
      </w:r>
      <w:r w:rsidRPr="002F2BC5">
        <w:rPr>
          <w:rFonts w:hint="eastAsia"/>
          <w:rtl/>
        </w:rPr>
        <w:t>והמקלטים</w:t>
      </w:r>
      <w:r w:rsidRPr="002F2BC5">
        <w:rPr>
          <w:rFonts w:hint="cs"/>
          <w:rtl/>
        </w:rPr>
        <w:t>.</w:t>
      </w:r>
      <w:bookmarkEnd w:id="1933"/>
      <w:bookmarkEnd w:id="1934"/>
      <w:bookmarkEnd w:id="1935"/>
      <w:bookmarkEnd w:id="1936"/>
      <w:bookmarkEnd w:id="1937"/>
      <w:bookmarkEnd w:id="1938"/>
      <w:bookmarkEnd w:id="1939"/>
      <w:bookmarkEnd w:id="1940"/>
    </w:p>
    <w:p w14:paraId="619D366E" w14:textId="77777777" w:rsidR="00817399" w:rsidRPr="002F2BC5" w:rsidRDefault="00817399" w:rsidP="00817399">
      <w:pPr>
        <w:spacing w:line="269" w:lineRule="auto"/>
        <w:rPr>
          <w:rtl/>
        </w:rPr>
      </w:pPr>
    </w:p>
    <w:p w14:paraId="673E112B"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53259E73" w14:textId="77777777" w:rsidR="00817399" w:rsidRPr="002F2BC5" w:rsidRDefault="00817399" w:rsidP="00817399">
      <w:pPr>
        <w:pStyle w:val="afffffff7"/>
        <w:spacing w:before="0" w:line="269" w:lineRule="auto"/>
        <w:rPr>
          <w:rtl/>
        </w:rPr>
      </w:pPr>
      <w:bookmarkStart w:id="1941" w:name="_Toc198312329"/>
      <w:bookmarkStart w:id="1942" w:name="_Toc198312812"/>
      <w:bookmarkStart w:id="1943" w:name="_Toc189072280"/>
      <w:r w:rsidRPr="002F2BC5">
        <w:rPr>
          <w:noProof/>
        </w:rPr>
        <w:drawing>
          <wp:inline distT="0" distB="0" distL="0" distR="0" wp14:anchorId="321C916C" wp14:editId="0D03ACC9">
            <wp:extent cx="4324350" cy="933450"/>
            <wp:effectExtent l="0" t="0" r="0" b="0"/>
            <wp:docPr id="46"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941"/>
      <w:bookmarkEnd w:id="1942"/>
    </w:p>
    <w:bookmarkEnd w:id="1943"/>
    <w:p w14:paraId="653C76F8" w14:textId="77777777" w:rsidR="00817399" w:rsidRPr="002F2BC5" w:rsidRDefault="00817399" w:rsidP="00817399">
      <w:pPr>
        <w:spacing w:line="269" w:lineRule="auto"/>
        <w:rPr>
          <w:b/>
          <w:bCs/>
          <w:rtl/>
        </w:rPr>
      </w:pPr>
    </w:p>
    <w:p w14:paraId="5BACF616" w14:textId="77777777" w:rsidR="00817399" w:rsidRPr="002F2BC5" w:rsidRDefault="00817399" w:rsidP="00817399">
      <w:pPr>
        <w:pStyle w:val="6"/>
        <w:spacing w:line="269" w:lineRule="auto"/>
        <w:rPr>
          <w:rtl/>
        </w:rPr>
      </w:pPr>
      <w:bookmarkStart w:id="1944" w:name="_Toc189072281"/>
      <w:bookmarkStart w:id="1945" w:name="_Toc191987139"/>
      <w:bookmarkStart w:id="1946" w:name="_Toc193110639"/>
      <w:r w:rsidRPr="002F2BC5">
        <w:rPr>
          <w:rFonts w:hint="cs"/>
          <w:rtl/>
        </w:rPr>
        <w:t>ממשק העבודה בין המחלקות והמרכזים ובין המקלטים</w:t>
      </w:r>
      <w:bookmarkEnd w:id="1944"/>
      <w:bookmarkEnd w:id="1945"/>
      <w:bookmarkEnd w:id="1946"/>
    </w:p>
    <w:p w14:paraId="15699CB6" w14:textId="77777777" w:rsidR="00817399" w:rsidRPr="002F2BC5" w:rsidRDefault="00817399" w:rsidP="00817399">
      <w:pPr>
        <w:spacing w:line="269" w:lineRule="auto"/>
        <w:rPr>
          <w:rtl/>
        </w:rPr>
      </w:pPr>
    </w:p>
    <w:p w14:paraId="0FADA91E" w14:textId="77777777" w:rsidR="00817399" w:rsidRPr="002F2BC5" w:rsidRDefault="00817399" w:rsidP="00817399">
      <w:pPr>
        <w:spacing w:line="269" w:lineRule="auto"/>
        <w:rPr>
          <w:rtl/>
        </w:rPr>
      </w:pPr>
      <w:bookmarkStart w:id="1947" w:name="_Toc191987140"/>
      <w:r w:rsidRPr="002F2BC5">
        <w:rPr>
          <w:rStyle w:val="70"/>
          <w:rFonts w:hint="cs"/>
          <w:rtl/>
        </w:rPr>
        <w:t>הביקורת הקודמת:</w:t>
      </w:r>
      <w:bookmarkEnd w:id="1947"/>
      <w:r w:rsidRPr="002F2BC5">
        <w:rPr>
          <w:rStyle w:val="70"/>
          <w:rFonts w:hint="cs"/>
          <w:rtl/>
        </w:rPr>
        <w:t xml:space="preserve"> </w:t>
      </w:r>
      <w:r w:rsidRPr="002F2BC5">
        <w:rPr>
          <w:rFonts w:hint="cs"/>
          <w:rtl/>
        </w:rPr>
        <w:t>שישה מהמרכזים לטיפול ומניעת אלימות במשפחה ומהמחלקות לשירותים חברתיים ברשויות המקומיות שנבדקו העלו בביקורת הקודמת קשיים בהיבטים שונים הנוגעים לממשקי העבודה בינם לבין המקלטים, בין השאר לעניין שיתוף הפעולה עימם; המענה הטיפולי הניתן לנשים המופנות למקלטים; וכן לעניין הליך הקליטה למקלט שנטען כי הוא עשוי להיות בררני וכן כי הוא מסורבל וכרוך במילוי טפסים רבים. נוסף על כך, שניים מהמרכזים מסרו כי נשים ששהו במקלטים התלוננו על תנאים פיזיים ירודים במקלטים.</w:t>
      </w:r>
    </w:p>
    <w:p w14:paraId="143DA3D1" w14:textId="77777777" w:rsidR="00817399" w:rsidRPr="002F2BC5" w:rsidRDefault="00817399" w:rsidP="00817399">
      <w:pPr>
        <w:spacing w:line="269" w:lineRule="auto"/>
        <w:rPr>
          <w:rtl/>
        </w:rPr>
      </w:pPr>
    </w:p>
    <w:p w14:paraId="1BC23A15"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ל</w:t>
      </w:r>
      <w:r w:rsidRPr="002F2BC5">
        <w:rPr>
          <w:rFonts w:hint="eastAsia"/>
          <w:rtl/>
        </w:rPr>
        <w:t>בח</w:t>
      </w:r>
      <w:r w:rsidRPr="002F2BC5">
        <w:rPr>
          <w:rFonts w:hint="cs"/>
          <w:rtl/>
        </w:rPr>
        <w:t>ו</w:t>
      </w:r>
      <w:r w:rsidRPr="002F2BC5">
        <w:rPr>
          <w:rFonts w:hint="eastAsia"/>
          <w:rtl/>
        </w:rPr>
        <w:t>ן</w:t>
      </w:r>
      <w:r w:rsidRPr="002F2BC5">
        <w:rPr>
          <w:rtl/>
        </w:rPr>
        <w:t xml:space="preserve"> את </w:t>
      </w:r>
      <w:r w:rsidRPr="002F2BC5">
        <w:rPr>
          <w:rFonts w:hint="cs"/>
          <w:rtl/>
        </w:rPr>
        <w:t xml:space="preserve">הקשיים </w:t>
      </w:r>
      <w:r w:rsidRPr="002F2BC5">
        <w:rPr>
          <w:rtl/>
        </w:rPr>
        <w:t>שהעלו המרכזים</w:t>
      </w:r>
      <w:r w:rsidRPr="002F2BC5">
        <w:rPr>
          <w:rFonts w:hint="cs"/>
          <w:rtl/>
        </w:rPr>
        <w:t xml:space="preserve"> לטיפול ומניעת אלימות במשפחה והמחלקות לשירותים חברתיים בכל הקשור לממשקי העבודה בינם לבין המקלטים וכן </w:t>
      </w:r>
      <w:r w:rsidRPr="002F2BC5">
        <w:rPr>
          <w:rFonts w:hint="eastAsia"/>
          <w:rtl/>
        </w:rPr>
        <w:t>לפעול</w:t>
      </w:r>
      <w:r w:rsidRPr="002F2BC5">
        <w:rPr>
          <w:rtl/>
        </w:rPr>
        <w:t xml:space="preserve"> לשיפור השירות והמענה הטיפולי </w:t>
      </w:r>
      <w:r w:rsidRPr="002F2BC5">
        <w:rPr>
          <w:rFonts w:hint="cs"/>
          <w:rtl/>
        </w:rPr>
        <w:t xml:space="preserve">הניתן </w:t>
      </w:r>
      <w:r w:rsidRPr="002F2BC5">
        <w:rPr>
          <w:rtl/>
        </w:rPr>
        <w:t>ב</w:t>
      </w:r>
      <w:r w:rsidRPr="002F2BC5">
        <w:rPr>
          <w:rFonts w:hint="cs"/>
          <w:rtl/>
        </w:rPr>
        <w:t>מקלטים</w:t>
      </w:r>
      <w:r w:rsidRPr="002F2BC5">
        <w:rPr>
          <w:rtl/>
        </w:rPr>
        <w:t>.</w:t>
      </w:r>
    </w:p>
    <w:p w14:paraId="053AF11A" w14:textId="77777777" w:rsidR="00817399" w:rsidRPr="002F2BC5" w:rsidRDefault="00817399" w:rsidP="00817399">
      <w:pPr>
        <w:spacing w:line="269" w:lineRule="auto"/>
        <w:rPr>
          <w:rtl/>
        </w:rPr>
      </w:pPr>
    </w:p>
    <w:p w14:paraId="41403222" w14:textId="77777777" w:rsidR="00817399" w:rsidRPr="002F2BC5" w:rsidRDefault="00817399" w:rsidP="00817399">
      <w:pPr>
        <w:spacing w:line="269" w:lineRule="auto"/>
        <w:rPr>
          <w:rtl/>
        </w:rPr>
      </w:pPr>
      <w:bookmarkStart w:id="1948" w:name="_Toc191987141"/>
      <w:r w:rsidRPr="002F2BC5">
        <w:rPr>
          <w:rStyle w:val="70"/>
          <w:rFonts w:hint="cs"/>
          <w:rtl/>
        </w:rPr>
        <w:t>ביקורת המעקב:</w:t>
      </w:r>
      <w:bookmarkEnd w:id="1948"/>
      <w:r w:rsidRPr="002F2BC5">
        <w:rPr>
          <w:rStyle w:val="70"/>
          <w:rFonts w:hint="cs"/>
          <w:rtl/>
        </w:rPr>
        <w:t xml:space="preserve"> </w:t>
      </w:r>
      <w:r w:rsidRPr="002F2BC5">
        <w:rPr>
          <w:rFonts w:hint="cs"/>
          <w:rtl/>
        </w:rPr>
        <w:t>מבין 14 הרשויות המקומיות שנבדקו, רובן הגדול (11 מהן) השיבו כי רמת שביעות הרצון שלהן מממשקי העבודה בין המחלקות או המרכזים לבין המקלטים היא גבוהה או גבוהה מאוד, ושלוש מהן השיבו כי רמת שביעות הרצון שלהן היא מועטה או בינונית. שתיים מהן התייחסו לקושי בהפניה למקלטים של נשים עם צרכים ייחודיים או עם רקע של בעיות נפשיות; נשים שלבן זוגן מאפיינים עברייניים; נשים עם ילדים מעל גיל 12; או נשים עם ילדים על רצף האוטיזם. כך ציינה אחת מהשתיים כי "</w:t>
      </w:r>
      <w:r w:rsidRPr="002F2BC5">
        <w:rPr>
          <w:rtl/>
        </w:rPr>
        <w:t>הממשק בעת ההפניה לא עובד טוב בעיני</w:t>
      </w:r>
      <w:r w:rsidRPr="002F2BC5">
        <w:rPr>
          <w:rFonts w:hint="cs"/>
          <w:rtl/>
        </w:rPr>
        <w:t xml:space="preserve">... </w:t>
      </w:r>
      <w:r w:rsidRPr="002F2BC5">
        <w:rPr>
          <w:rtl/>
        </w:rPr>
        <w:t>התחושה היא שהמקלט אינו מעוניין לקלוט ומערים קשיים. ישנם מקלטים שהם לא כך אך רובם לצערי כן</w:t>
      </w:r>
      <w:r w:rsidRPr="002F2BC5">
        <w:rPr>
          <w:rFonts w:hint="cs"/>
          <w:rtl/>
        </w:rPr>
        <w:t>". רשות זו התייחסה בתשובתה גם לזמינות המידע על אודות מקלטים פנויים וציינה כי "המוקד [המוקד הארצי שמפעיל משרד הרווחה] בדרך כלל לא נותן מידע מדוייק אודות מקלטים פנויים. הטלפונים של המקלטים... לא תמיד מעודכנים. גם כשהמספרים מעודכנים לא תמיד עונים"</w:t>
      </w:r>
      <w:r w:rsidRPr="002F2BC5">
        <w:rPr>
          <w:rtl/>
        </w:rPr>
        <w:t>.</w:t>
      </w:r>
      <w:r w:rsidRPr="002F2BC5">
        <w:rPr>
          <w:rFonts w:hint="cs"/>
          <w:rtl/>
        </w:rPr>
        <w:t xml:space="preserve"> הרשות האחרת ציינה כי "ישנם מקלטים שבהם התנאים הפיזיים לקויים וגם לעיתים ההתנהלות מול הצוות לא... מתואמת". </w:t>
      </w:r>
    </w:p>
    <w:p w14:paraId="56D02B53" w14:textId="77777777" w:rsidR="00817399" w:rsidRPr="002F2BC5" w:rsidRDefault="00817399" w:rsidP="00817399">
      <w:pPr>
        <w:spacing w:line="269" w:lineRule="auto"/>
        <w:rPr>
          <w:rtl/>
        </w:rPr>
      </w:pPr>
    </w:p>
    <w:p w14:paraId="0B1AFB5A" w14:textId="77777777" w:rsidR="00817399" w:rsidRPr="002F2BC5" w:rsidRDefault="00817399" w:rsidP="00817399">
      <w:pPr>
        <w:spacing w:line="269" w:lineRule="auto"/>
        <w:rPr>
          <w:rtl/>
        </w:rPr>
      </w:pPr>
      <w:r w:rsidRPr="002F2BC5">
        <w:rPr>
          <w:rFonts w:hint="cs"/>
          <w:rtl/>
        </w:rPr>
        <w:t>שתי רשויות מקומיות נוספות ציינו אומנם כי רמת שביעות רצונן מממשקי העבודה גבוהה, אך לצד זאת העלו קשיים דומים. כך ציינה אחת מהן כי "תהליכי הקליטה קשים, אין מענה לנערים, אין מענה ואין מקום". הרשות האחרת ציינה כי "</w:t>
      </w:r>
      <w:r w:rsidRPr="002F2BC5">
        <w:rPr>
          <w:rtl/>
        </w:rPr>
        <w:t>התשובה לשאלה הזו משתנה ממקלט למקלט</w:t>
      </w:r>
      <w:r w:rsidRPr="002F2BC5">
        <w:rPr>
          <w:rFonts w:hint="cs"/>
          <w:rtl/>
        </w:rPr>
        <w:t>..</w:t>
      </w:r>
      <w:r w:rsidRPr="002F2BC5">
        <w:rPr>
          <w:rtl/>
        </w:rPr>
        <w:t>.</w:t>
      </w:r>
      <w:r w:rsidRPr="002F2BC5">
        <w:rPr>
          <w:rFonts w:hint="cs"/>
          <w:rtl/>
        </w:rPr>
        <w:t xml:space="preserve"> </w:t>
      </w:r>
      <w:r w:rsidRPr="002F2BC5">
        <w:rPr>
          <w:rtl/>
        </w:rPr>
        <w:t>שלב ההפניה למקלט הוא קריטי וכבר שם אנחנו מרגישים שאין אחידות,</w:t>
      </w:r>
      <w:r w:rsidRPr="002F2BC5">
        <w:rPr>
          <w:rFonts w:hint="cs"/>
          <w:rtl/>
        </w:rPr>
        <w:t xml:space="preserve"> </w:t>
      </w:r>
      <w:r w:rsidRPr="002F2BC5">
        <w:rPr>
          <w:rtl/>
        </w:rPr>
        <w:t>ושאין נהלים מאוד מסודרים</w:t>
      </w:r>
      <w:r w:rsidRPr="002F2BC5">
        <w:rPr>
          <w:rFonts w:hint="cs"/>
          <w:rtl/>
        </w:rPr>
        <w:t xml:space="preserve"> </w:t>
      </w:r>
      <w:r w:rsidRPr="002F2BC5">
        <w:rPr>
          <w:rtl/>
        </w:rPr>
        <w:t xml:space="preserve">ולפעמים התחושה היא שעושים ממש </w:t>
      </w:r>
      <w:r w:rsidRPr="002F2BC5">
        <w:rPr>
          <w:rFonts w:hint="cs"/>
          <w:rtl/>
        </w:rPr>
        <w:t>'</w:t>
      </w:r>
      <w:r w:rsidRPr="002F2BC5">
        <w:rPr>
          <w:rtl/>
        </w:rPr>
        <w:t>ראיון קבלה</w:t>
      </w:r>
      <w:r w:rsidRPr="002F2BC5">
        <w:rPr>
          <w:rFonts w:hint="cs"/>
          <w:rtl/>
        </w:rPr>
        <w:t>'</w:t>
      </w:r>
      <w:r w:rsidRPr="002F2BC5">
        <w:rPr>
          <w:rtl/>
        </w:rPr>
        <w:t xml:space="preserve"> לאישה ולנו לגבי התאמתה למסגרת</w:t>
      </w:r>
      <w:r w:rsidRPr="002F2BC5">
        <w:rPr>
          <w:rFonts w:hint="cs"/>
          <w:rtl/>
        </w:rPr>
        <w:t xml:space="preserve">". רשות זו התייחסה בתשובתה, לצד שביעות הרצון מממשקי העבודה עם המקלטים, </w:t>
      </w:r>
      <w:r w:rsidRPr="002F2BC5">
        <w:rPr>
          <w:rtl/>
        </w:rPr>
        <w:t xml:space="preserve">גם </w:t>
      </w:r>
      <w:r w:rsidRPr="002F2BC5">
        <w:rPr>
          <w:rFonts w:hint="cs"/>
          <w:rtl/>
        </w:rPr>
        <w:t>למורכבות הכרוכה בהמשך הקשר בין ילדים השוהים במקלט לבין אביהם. בהקשר זה ציינה כי "</w:t>
      </w:r>
      <w:r w:rsidRPr="002F2BC5">
        <w:rPr>
          <w:rtl/>
        </w:rPr>
        <w:t>לאבות שילדיהם נכנסו בבת אחת למקלט ונעלמו מעיניהם</w:t>
      </w:r>
      <w:r w:rsidRPr="002F2BC5">
        <w:rPr>
          <w:rFonts w:hint="cs"/>
          <w:rtl/>
        </w:rPr>
        <w:t>,</w:t>
      </w:r>
      <w:r w:rsidRPr="002F2BC5">
        <w:rPr>
          <w:rtl/>
        </w:rPr>
        <w:t xml:space="preserve"> לעיתים קרובות זה ממש שבר, אנחנו </w:t>
      </w:r>
      <w:r w:rsidRPr="002F2BC5">
        <w:rPr>
          <w:rtl/>
        </w:rPr>
        <w:lastRenderedPageBreak/>
        <w:t>בקהילה מנסים לעודד אותם בשלב הזה להיעזר ולקבל טיפול, אב</w:t>
      </w:r>
      <w:r w:rsidRPr="002F2BC5">
        <w:rPr>
          <w:rFonts w:hint="cs"/>
          <w:rtl/>
        </w:rPr>
        <w:t>ל</w:t>
      </w:r>
      <w:r w:rsidRPr="002F2BC5">
        <w:rPr>
          <w:rtl/>
        </w:rPr>
        <w:t xml:space="preserve"> מאוד קשה להם כשהם נתקלים בחוסר ההבנה בצורך שלהם בשיחות טלפון תכופות יותר</w:t>
      </w:r>
      <w:r w:rsidRPr="002F2BC5">
        <w:rPr>
          <w:rFonts w:hint="cs"/>
          <w:rtl/>
        </w:rPr>
        <w:t xml:space="preserve"> [עם ילדיהם השוהים במקלט]</w:t>
      </w:r>
      <w:r w:rsidRPr="002F2BC5">
        <w:rPr>
          <w:rtl/>
        </w:rPr>
        <w:t xml:space="preserve">. נראה שמהבחינה הזו המקלטים מתקשים לראות את נקודת מבטו של האב, בעוד אנחנו </w:t>
      </w:r>
      <w:r w:rsidRPr="002F2BC5">
        <w:rPr>
          <w:rFonts w:hint="cs"/>
          <w:rtl/>
        </w:rPr>
        <w:t xml:space="preserve">[המרכז לטיפול ומניעת אלימות במשפחה] </w:t>
      </w:r>
      <w:r w:rsidRPr="002F2BC5">
        <w:rPr>
          <w:rtl/>
        </w:rPr>
        <w:t>אמורים לתת מענה גם לאישה וגם לגבר</w:t>
      </w:r>
      <w:r w:rsidRPr="002F2BC5">
        <w:rPr>
          <w:rFonts w:hint="cs"/>
          <w:rtl/>
        </w:rPr>
        <w:t>"</w:t>
      </w:r>
      <w:r w:rsidRPr="002F2BC5">
        <w:rPr>
          <w:rtl/>
        </w:rPr>
        <w:t>.</w:t>
      </w:r>
    </w:p>
    <w:p w14:paraId="25296A43" w14:textId="77777777" w:rsidR="00817399" w:rsidRPr="002F2BC5" w:rsidRDefault="00817399" w:rsidP="00817399">
      <w:pPr>
        <w:spacing w:line="269" w:lineRule="auto"/>
        <w:rPr>
          <w:rtl/>
        </w:rPr>
      </w:pPr>
    </w:p>
    <w:p w14:paraId="40DE5984" w14:textId="77777777" w:rsidR="00817399" w:rsidRPr="002F2BC5" w:rsidRDefault="00817399" w:rsidP="00817399">
      <w:pPr>
        <w:spacing w:line="269" w:lineRule="auto"/>
        <w:rPr>
          <w:rtl/>
        </w:rPr>
      </w:pPr>
      <w:r w:rsidRPr="002F2BC5">
        <w:rPr>
          <w:rFonts w:hint="cs"/>
          <w:rtl/>
        </w:rPr>
        <w:t>להלן יוצגו במקובץ הציטוטים שהובאו לעיל וציטוטים נוספים מתוך תשובות הרשויות המקומיות על השאלונים:</w:t>
      </w:r>
    </w:p>
    <w:p w14:paraId="2D1CFA3E" w14:textId="77777777" w:rsidR="00817399" w:rsidRPr="002F2BC5" w:rsidRDefault="00817399" w:rsidP="00817399">
      <w:pPr>
        <w:spacing w:line="269" w:lineRule="auto"/>
        <w:rPr>
          <w:rtl/>
        </w:rPr>
      </w:pPr>
    </w:p>
    <w:p w14:paraId="4BB8D578"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6108589C" wp14:editId="183C3E5A">
            <wp:extent cx="5220335" cy="621030"/>
            <wp:effectExtent l="0" t="0" r="0" b="7620"/>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65"/>
                    <a:stretch>
                      <a:fillRect/>
                    </a:stretch>
                  </pic:blipFill>
                  <pic:spPr>
                    <a:xfrm>
                      <a:off x="0" y="0"/>
                      <a:ext cx="5220335" cy="621030"/>
                    </a:xfrm>
                    <a:prstGeom prst="rect">
                      <a:avLst/>
                    </a:prstGeom>
                  </pic:spPr>
                </pic:pic>
              </a:graphicData>
            </a:graphic>
          </wp:inline>
        </w:drawing>
      </w:r>
    </w:p>
    <w:p w14:paraId="0CE2383C" w14:textId="77777777" w:rsidR="00817399" w:rsidRPr="002F2BC5" w:rsidRDefault="00817399" w:rsidP="00817399">
      <w:pPr>
        <w:spacing w:line="269" w:lineRule="auto"/>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 xml:space="preserve">הממשק בעת ההפניה לא עובד טוב בעיני... התחושה היא שהמקלט אינו מעוניין לקלוט ומערים קשיים. </w:t>
      </w:r>
    </w:p>
    <w:p w14:paraId="5D940EE4" w14:textId="77777777" w:rsidR="00817399" w:rsidRPr="002F2BC5" w:rsidRDefault="00817399" w:rsidP="00817399">
      <w:pPr>
        <w:spacing w:line="269" w:lineRule="auto"/>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ישנם מקלטים שהם לא כך אך רובם לצערי כן.</w:t>
      </w:r>
      <w:r w:rsidRPr="002F2BC5">
        <w:rPr>
          <w:rFonts w:ascii="Almoni Tzar ML v5 AAA" w:hAnsi="Almoni Tzar ML v5 AAA" w:cs="Almoni Tzar ML v5 AAA" w:hint="cs"/>
          <w:sz w:val="22"/>
          <w:szCs w:val="28"/>
          <w:rtl/>
        </w:rPr>
        <w:t>..</w:t>
      </w:r>
    </w:p>
    <w:p w14:paraId="140C2A68" w14:textId="77777777" w:rsidR="00817399" w:rsidRPr="002F2BC5" w:rsidRDefault="00817399" w:rsidP="00817399">
      <w:pPr>
        <w:spacing w:line="269" w:lineRule="auto"/>
        <w:rPr>
          <w:rFonts w:ascii="Almoni Tzar ML v5 AAA" w:hAnsi="Almoni Tzar ML v5 AAA" w:cs="Almoni Tzar ML v5 AAA"/>
          <w:sz w:val="22"/>
          <w:szCs w:val="28"/>
          <w:rtl/>
        </w:rPr>
      </w:pPr>
      <w:bookmarkStart w:id="1949" w:name="_Hlk191917551"/>
      <w:r w:rsidRPr="002F2BC5">
        <w:rPr>
          <w:rFonts w:ascii="Almoni Tzar ML v5 AAA" w:hAnsi="Almoni Tzar ML v5 AAA" w:cs="Almoni Tzar ML v5 AAA"/>
          <w:sz w:val="22"/>
          <w:szCs w:val="28"/>
          <w:rtl/>
        </w:rPr>
        <w:t xml:space="preserve">לעיתים מעבר לעניין האלימות והמסוכנות יש </w:t>
      </w:r>
      <w:r w:rsidRPr="002F2BC5">
        <w:rPr>
          <w:rFonts w:ascii="Almoni Tzar ML v5 AAA" w:hAnsi="Almoni Tzar ML v5 AAA" w:cs="Almoni Tzar ML v5 AAA" w:hint="cs"/>
          <w:sz w:val="22"/>
          <w:szCs w:val="28"/>
          <w:rtl/>
        </w:rPr>
        <w:t>[ל</w:t>
      </w:r>
      <w:r w:rsidRPr="002F2BC5">
        <w:rPr>
          <w:rFonts w:ascii="Almoni Tzar ML v5 AAA" w:hAnsi="Almoni Tzar ML v5 AAA" w:cs="Almoni Tzar ML v5 AAA"/>
          <w:sz w:val="22"/>
          <w:szCs w:val="28"/>
          <w:rtl/>
        </w:rPr>
        <w:t>נשים המגיעות למקלטים</w:t>
      </w:r>
      <w:r w:rsidRPr="002F2BC5">
        <w:rPr>
          <w:rFonts w:ascii="Almoni Tzar ML v5 AAA" w:hAnsi="Almoni Tzar ML v5 AAA" w:cs="Almoni Tzar ML v5 AAA" w:hint="cs"/>
          <w:sz w:val="22"/>
          <w:szCs w:val="28"/>
          <w:rtl/>
        </w:rPr>
        <w:t xml:space="preserve">] </w:t>
      </w:r>
      <w:r w:rsidRPr="002F2BC5">
        <w:rPr>
          <w:rFonts w:ascii="Almoni Tzar ML v5 AAA" w:hAnsi="Almoni Tzar ML v5 AAA" w:cs="Almoni Tzar ML v5 AAA"/>
          <w:sz w:val="22"/>
          <w:szCs w:val="28"/>
          <w:rtl/>
        </w:rPr>
        <w:t>מורכבויות נוספות, נראה שהמק</w:t>
      </w:r>
      <w:r w:rsidRPr="002F2BC5">
        <w:rPr>
          <w:rFonts w:ascii="Almoni Tzar ML v5 AAA" w:hAnsi="Almoni Tzar ML v5 AAA" w:cs="Almoni Tzar ML v5 AAA" w:hint="cs"/>
          <w:sz w:val="22"/>
          <w:szCs w:val="28"/>
          <w:rtl/>
        </w:rPr>
        <w:t>ל</w:t>
      </w:r>
      <w:r w:rsidRPr="002F2BC5">
        <w:rPr>
          <w:rFonts w:ascii="Almoni Tzar ML v5 AAA" w:hAnsi="Almoni Tzar ML v5 AAA" w:cs="Almoni Tzar ML v5 AAA"/>
          <w:sz w:val="22"/>
          <w:szCs w:val="28"/>
          <w:rtl/>
        </w:rPr>
        <w:t>טים מתקשים</w:t>
      </w:r>
      <w:r w:rsidRPr="002F2BC5">
        <w:rPr>
          <w:rFonts w:ascii="Almoni Tzar ML v5 AAA" w:hAnsi="Almoni Tzar ML v5 AAA" w:cs="Almoni Tzar ML v5 AAA" w:hint="cs"/>
          <w:sz w:val="22"/>
          <w:szCs w:val="28"/>
          <w:rtl/>
        </w:rPr>
        <w:t>,</w:t>
      </w:r>
      <w:r w:rsidRPr="002F2BC5">
        <w:rPr>
          <w:rFonts w:ascii="Almoni Tzar ML v5 AAA" w:hAnsi="Almoni Tzar ML v5 AAA" w:cs="Almoni Tzar ML v5 AAA"/>
          <w:sz w:val="22"/>
          <w:szCs w:val="28"/>
          <w:rtl/>
        </w:rPr>
        <w:t xml:space="preserve"> לא ערוכים</w:t>
      </w:r>
      <w:r w:rsidRPr="002F2BC5">
        <w:rPr>
          <w:rFonts w:ascii="Almoni Tzar ML v5 AAA" w:hAnsi="Almoni Tzar ML v5 AAA" w:cs="Almoni Tzar ML v5 AAA" w:hint="cs"/>
          <w:sz w:val="22"/>
          <w:szCs w:val="28"/>
          <w:rtl/>
        </w:rPr>
        <w:t xml:space="preserve"> או</w:t>
      </w:r>
      <w:r w:rsidRPr="002F2BC5">
        <w:rPr>
          <w:rFonts w:ascii="Almoni Tzar ML v5 AAA" w:hAnsi="Almoni Tzar ML v5 AAA" w:cs="Almoni Tzar ML v5 AAA"/>
          <w:sz w:val="22"/>
          <w:szCs w:val="28"/>
          <w:rtl/>
        </w:rPr>
        <w:t xml:space="preserve"> לא הוכשרו להתמודד עם מורכבויות אחרות והדבר יוצר קושי.</w:t>
      </w:r>
      <w:bookmarkEnd w:id="1949"/>
    </w:p>
    <w:p w14:paraId="31C388A3" w14:textId="77777777" w:rsidR="00817399" w:rsidRPr="002F2BC5" w:rsidRDefault="00817399" w:rsidP="00817399">
      <w:pPr>
        <w:spacing w:line="269" w:lineRule="auto"/>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לעיתים הנשים מרגישות לא רצויות וכך גם אנחנו כרשות</w:t>
      </w:r>
      <w:r w:rsidRPr="002F2BC5">
        <w:rPr>
          <w:rFonts w:ascii="Almoni Tzar ML v5 AAA" w:hAnsi="Almoni Tzar ML v5 AAA" w:cs="Almoni Tzar ML v5 AAA" w:hint="cs"/>
          <w:sz w:val="22"/>
          <w:szCs w:val="28"/>
          <w:rtl/>
        </w:rPr>
        <w:t>.</w:t>
      </w:r>
    </w:p>
    <w:p w14:paraId="355D992D" w14:textId="77777777" w:rsidR="00817399" w:rsidRPr="002F2BC5" w:rsidRDefault="00817399" w:rsidP="00817399">
      <w:pPr>
        <w:spacing w:line="269" w:lineRule="auto"/>
        <w:rPr>
          <w:sz w:val="22"/>
          <w:szCs w:val="28"/>
          <w:rtl/>
        </w:rPr>
      </w:pPr>
    </w:p>
    <w:p w14:paraId="62CA2385" w14:textId="77777777" w:rsidR="00817399" w:rsidRPr="002F2BC5" w:rsidRDefault="00817399" w:rsidP="00817399">
      <w:pPr>
        <w:spacing w:line="269" w:lineRule="auto"/>
        <w:jc w:val="right"/>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ישנם מקלטים שבהם התנאים הפיזיים לקויים</w:t>
      </w:r>
      <w:r w:rsidRPr="002F2BC5">
        <w:rPr>
          <w:rFonts w:ascii="Almoni Tzar ML v5 AAA" w:hAnsi="Almoni Tzar ML v5 AAA" w:cs="Almoni Tzar ML v5 AAA" w:hint="cs"/>
          <w:sz w:val="22"/>
          <w:szCs w:val="28"/>
          <w:rtl/>
        </w:rPr>
        <w:t xml:space="preserve"> </w:t>
      </w:r>
      <w:r w:rsidRPr="002F2BC5">
        <w:rPr>
          <w:rFonts w:ascii="Almoni Tzar ML v5 AAA" w:hAnsi="Almoni Tzar ML v5 AAA" w:cs="Almoni Tzar ML v5 AAA"/>
          <w:sz w:val="22"/>
          <w:szCs w:val="28"/>
          <w:rtl/>
        </w:rPr>
        <w:t>וגם לעיתים ההתנהלות מול הצוות לא... מתואמת.</w:t>
      </w:r>
    </w:p>
    <w:p w14:paraId="7FC18CCA" w14:textId="77777777" w:rsidR="00817399" w:rsidRPr="002F2BC5" w:rsidRDefault="00817399" w:rsidP="00817399">
      <w:pPr>
        <w:spacing w:line="269" w:lineRule="auto"/>
        <w:jc w:val="right"/>
        <w:rPr>
          <w:rFonts w:ascii="Almoni Tzar ML v5 AAA" w:hAnsi="Almoni Tzar ML v5 AAA" w:cs="Almoni Tzar ML v5 AAA"/>
          <w:sz w:val="22"/>
          <w:szCs w:val="28"/>
          <w:rtl/>
        </w:rPr>
      </w:pPr>
    </w:p>
    <w:p w14:paraId="3F431BAB" w14:textId="77777777" w:rsidR="00817399" w:rsidRPr="002F2BC5" w:rsidRDefault="00817399" w:rsidP="00817399">
      <w:pPr>
        <w:spacing w:line="269" w:lineRule="auto"/>
        <w:jc w:val="left"/>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התשובה לשאלה הזו משתנה ממקלט למקלט...</w:t>
      </w:r>
      <w:r w:rsidRPr="002F2BC5">
        <w:rPr>
          <w:rFonts w:ascii="Almoni Tzar ML v5 AAA" w:hAnsi="Almoni Tzar ML v5 AAA" w:cs="Almoni Tzar ML v5 AAA" w:hint="cs"/>
          <w:sz w:val="22"/>
          <w:szCs w:val="28"/>
          <w:rtl/>
        </w:rPr>
        <w:t xml:space="preserve"> </w:t>
      </w:r>
    </w:p>
    <w:p w14:paraId="0C893362" w14:textId="77777777" w:rsidR="00817399" w:rsidRPr="002F2BC5" w:rsidRDefault="00817399" w:rsidP="00817399">
      <w:pPr>
        <w:spacing w:line="269" w:lineRule="auto"/>
        <w:jc w:val="left"/>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 xml:space="preserve">שלב ההפניה למקלט הוא קריטי וכבר שם אנחנו מרגישים שאין אחידות ושאין נהלים מאוד מסודרים </w:t>
      </w:r>
    </w:p>
    <w:p w14:paraId="0684FC4A" w14:textId="77777777" w:rsidR="00817399" w:rsidRPr="002F2BC5" w:rsidRDefault="00817399" w:rsidP="00817399">
      <w:pPr>
        <w:spacing w:line="269" w:lineRule="auto"/>
        <w:jc w:val="left"/>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 xml:space="preserve">לפעמים התחושה היא שעושים ממש </w:t>
      </w:r>
      <w:r w:rsidRPr="002F2BC5">
        <w:rPr>
          <w:rFonts w:ascii="Almoni Tzar ML v5 AAA" w:hAnsi="Almoni Tzar ML v5 AAA" w:cs="Almoni Tzar ML v5 AAA" w:hint="cs"/>
          <w:sz w:val="22"/>
          <w:szCs w:val="28"/>
          <w:rtl/>
        </w:rPr>
        <w:t>'</w:t>
      </w:r>
      <w:r w:rsidRPr="002F2BC5">
        <w:rPr>
          <w:rFonts w:ascii="Almoni Tzar ML v5 AAA" w:hAnsi="Almoni Tzar ML v5 AAA" w:cs="Almoni Tzar ML v5 AAA"/>
          <w:sz w:val="22"/>
          <w:szCs w:val="28"/>
          <w:rtl/>
        </w:rPr>
        <w:t>ראיון קבלה</w:t>
      </w:r>
      <w:r w:rsidRPr="002F2BC5">
        <w:rPr>
          <w:rFonts w:ascii="Almoni Tzar ML v5 AAA" w:hAnsi="Almoni Tzar ML v5 AAA" w:cs="Almoni Tzar ML v5 AAA" w:hint="cs"/>
          <w:sz w:val="22"/>
          <w:szCs w:val="28"/>
          <w:rtl/>
        </w:rPr>
        <w:t>'</w:t>
      </w:r>
      <w:r w:rsidRPr="002F2BC5">
        <w:rPr>
          <w:rFonts w:ascii="Almoni Tzar ML v5 AAA" w:hAnsi="Almoni Tzar ML v5 AAA" w:cs="Almoni Tzar ML v5 AAA"/>
          <w:sz w:val="22"/>
          <w:szCs w:val="28"/>
          <w:rtl/>
        </w:rPr>
        <w:t xml:space="preserve"> לאישה ולנו לגבי התאמתה למסגרת</w:t>
      </w:r>
      <w:r w:rsidRPr="002F2BC5">
        <w:rPr>
          <w:rFonts w:ascii="Almoni Tzar ML v5 AAA" w:hAnsi="Almoni Tzar ML v5 AAA" w:cs="Almoni Tzar ML v5 AAA" w:hint="cs"/>
          <w:sz w:val="22"/>
          <w:szCs w:val="28"/>
          <w:rtl/>
        </w:rPr>
        <w:t>.</w:t>
      </w:r>
    </w:p>
    <w:p w14:paraId="36CF5383" w14:textId="77777777" w:rsidR="00817399" w:rsidRPr="002F2BC5" w:rsidRDefault="00817399" w:rsidP="00817399">
      <w:pPr>
        <w:spacing w:line="269" w:lineRule="auto"/>
        <w:jc w:val="left"/>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מנסים להתווכח לגבי מידת המסוכנות ושאלת הצורך במקלט. במקרים בהם אנחנו מרגישים שהמקלט מהסס ולא מקבל בזרועות פתוחות את האישה אנחנו נעדיף לא לשלוח את האישה אלא אם אין ברירה,</w:t>
      </w:r>
      <w:r w:rsidRPr="002F2BC5">
        <w:rPr>
          <w:rFonts w:ascii="Almoni Tzar ML v5 AAA" w:hAnsi="Almoni Tzar ML v5 AAA" w:cs="Almoni Tzar ML v5 AAA" w:hint="cs"/>
          <w:sz w:val="22"/>
          <w:szCs w:val="28"/>
          <w:rtl/>
        </w:rPr>
        <w:t xml:space="preserve"> </w:t>
      </w:r>
      <w:r w:rsidRPr="002F2BC5">
        <w:rPr>
          <w:rFonts w:ascii="Almoni Tzar ML v5 AAA" w:hAnsi="Almoni Tzar ML v5 AAA" w:cs="Almoni Tzar ML v5 AAA"/>
          <w:sz w:val="22"/>
          <w:szCs w:val="28"/>
          <w:rtl/>
        </w:rPr>
        <w:t>ולחפש מקלט שמוכן לקבל ולא מקשה. זה אינדיקטור להמשך ההשתלבות והקבלה שלה שם.</w:t>
      </w:r>
    </w:p>
    <w:p w14:paraId="4AC39E02" w14:textId="77777777" w:rsidR="00817399" w:rsidRPr="002F2BC5" w:rsidRDefault="00817399" w:rsidP="00817399">
      <w:pPr>
        <w:spacing w:line="269" w:lineRule="auto"/>
        <w:jc w:val="left"/>
        <w:rPr>
          <w:rFonts w:ascii="Almoni Tzar ML v5 AAA" w:hAnsi="Almoni Tzar ML v5 AAA" w:cs="Almoni Tzar ML v5 AAA"/>
          <w:sz w:val="22"/>
          <w:szCs w:val="28"/>
          <w:rtl/>
        </w:rPr>
      </w:pPr>
    </w:p>
    <w:p w14:paraId="4D918F43" w14:textId="77777777" w:rsidR="00817399" w:rsidRPr="002F2BC5" w:rsidRDefault="00817399" w:rsidP="00817399">
      <w:pPr>
        <w:spacing w:line="269" w:lineRule="auto"/>
        <w:jc w:val="right"/>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תהליכי הקליטה קשים, אין מענה לנערים, אין מענה ואין מקום</w:t>
      </w:r>
      <w:r w:rsidRPr="002F2BC5">
        <w:rPr>
          <w:rFonts w:ascii="Almoni Tzar ML v5 AAA" w:hAnsi="Almoni Tzar ML v5 AAA" w:cs="Almoni Tzar ML v5 AAA" w:hint="cs"/>
          <w:sz w:val="22"/>
          <w:szCs w:val="28"/>
          <w:rtl/>
        </w:rPr>
        <w:t>.</w:t>
      </w:r>
      <w:bookmarkStart w:id="1950" w:name="tempMark"/>
    </w:p>
    <w:p w14:paraId="6431E3B1" w14:textId="77777777" w:rsidR="00817399" w:rsidRPr="002F2BC5" w:rsidRDefault="00817399" w:rsidP="00817399">
      <w:pPr>
        <w:spacing w:line="269" w:lineRule="auto"/>
        <w:jc w:val="right"/>
        <w:rPr>
          <w:rFonts w:ascii="Almoni Tzar ML v5 AAA" w:hAnsi="Almoni Tzar ML v5 AAA" w:cs="Almoni Tzar ML v5 AAA"/>
          <w:sz w:val="22"/>
          <w:szCs w:val="28"/>
          <w:rtl/>
        </w:rPr>
      </w:pPr>
    </w:p>
    <w:p w14:paraId="68F8DBC8" w14:textId="77777777" w:rsidR="00817399" w:rsidRPr="002F2BC5" w:rsidRDefault="00817399" w:rsidP="00817399">
      <w:pPr>
        <w:spacing w:line="269" w:lineRule="auto"/>
        <w:rPr>
          <w:rFonts w:ascii="Almoni Tzar ML v5 AAA" w:hAnsi="Almoni Tzar ML v5 AAA" w:cs="Almoni Tzar ML v5 AAA"/>
          <w:sz w:val="22"/>
          <w:szCs w:val="28"/>
          <w:rtl/>
        </w:rPr>
      </w:pPr>
      <w:r w:rsidRPr="002F2BC5">
        <w:rPr>
          <w:rFonts w:ascii="Almoni Tzar ML v5 AAA" w:hAnsi="Almoni Tzar ML v5 AAA" w:cs="Almoni Tzar ML v5 AAA"/>
          <w:sz w:val="22"/>
          <w:szCs w:val="28"/>
          <w:rtl/>
        </w:rPr>
        <w:t>אנו נתקלים בקושי</w:t>
      </w:r>
      <w:r w:rsidRPr="002F2BC5">
        <w:rPr>
          <w:rFonts w:ascii="Almoni Tzar ML v5 AAA" w:hAnsi="Almoni Tzar ML v5 AAA" w:cs="Almoni Tzar ML v5 AAA" w:hint="cs"/>
          <w:sz w:val="22"/>
          <w:szCs w:val="28"/>
          <w:rtl/>
        </w:rPr>
        <w:t xml:space="preserve"> </w:t>
      </w:r>
      <w:r w:rsidRPr="002F2BC5">
        <w:rPr>
          <w:rFonts w:ascii="Almoni Tzar ML v5 AAA" w:hAnsi="Almoni Tzar ML v5 AAA" w:cs="Almoni Tzar ML v5 AAA"/>
          <w:sz w:val="22"/>
          <w:szCs w:val="28"/>
          <w:rtl/>
        </w:rPr>
        <w:t xml:space="preserve">בעיקר בהפניות </w:t>
      </w:r>
      <w:r w:rsidRPr="002F2BC5">
        <w:rPr>
          <w:rFonts w:ascii="Almoni Tzar ML v5 AAA" w:hAnsi="Almoni Tzar ML v5 AAA" w:cs="Almoni Tzar ML v5 AAA" w:hint="cs"/>
          <w:sz w:val="22"/>
          <w:szCs w:val="28"/>
          <w:rtl/>
        </w:rPr>
        <w:t xml:space="preserve">[של] </w:t>
      </w:r>
      <w:r w:rsidRPr="002F2BC5">
        <w:rPr>
          <w:rFonts w:ascii="Almoni Tzar ML v5 AAA" w:hAnsi="Almoni Tzar ML v5 AAA" w:cs="Almoni Tzar ML v5 AAA"/>
          <w:sz w:val="22"/>
          <w:szCs w:val="28"/>
          <w:rtl/>
        </w:rPr>
        <w:t>נשים עם מורכבויות למקלטים</w:t>
      </w:r>
      <w:r w:rsidRPr="002F2BC5">
        <w:rPr>
          <w:rFonts w:ascii="Almoni Tzar ML v5 AAA" w:hAnsi="Almoni Tzar ML v5 AAA" w:cs="Almoni Tzar ML v5 AAA" w:hint="cs"/>
          <w:sz w:val="22"/>
          <w:szCs w:val="28"/>
          <w:rtl/>
        </w:rPr>
        <w:t xml:space="preserve">. </w:t>
      </w:r>
    </w:p>
    <w:p w14:paraId="2E1489BC" w14:textId="77777777" w:rsidR="00817399" w:rsidRPr="002F2BC5" w:rsidRDefault="00817399" w:rsidP="00817399">
      <w:pPr>
        <w:spacing w:line="269" w:lineRule="auto"/>
        <w:rPr>
          <w:rFonts w:ascii="Almoni Tzar ML v5 AAA" w:hAnsi="Almoni Tzar ML v5 AAA" w:cs="Almoni Tzar ML v5 AAA"/>
          <w:sz w:val="22"/>
          <w:szCs w:val="28"/>
          <w:rtl/>
        </w:rPr>
      </w:pPr>
      <w:r w:rsidRPr="002F2BC5">
        <w:rPr>
          <w:rFonts w:ascii="Almoni Tzar ML v5 AAA" w:hAnsi="Almoni Tzar ML v5 AAA" w:cs="Almoni Tzar ML v5 AAA" w:hint="cs"/>
          <w:sz w:val="22"/>
          <w:szCs w:val="28"/>
          <w:rtl/>
        </w:rPr>
        <w:t>ב</w:t>
      </w:r>
      <w:r w:rsidRPr="002F2BC5">
        <w:rPr>
          <w:rFonts w:ascii="Almoni Tzar ML v5 AAA" w:hAnsi="Almoni Tzar ML v5 AAA" w:cs="Almoni Tzar ML v5 AAA"/>
          <w:sz w:val="22"/>
          <w:szCs w:val="28"/>
          <w:rtl/>
        </w:rPr>
        <w:t>מקרים כאלו כשאנו צריכים להוציא אישה למקלט בשל סיכון גבוה ביותר אנו נתקלים בקשיים לקבל אותה ובהתנגדויות</w:t>
      </w:r>
      <w:r w:rsidRPr="002F2BC5">
        <w:rPr>
          <w:rFonts w:ascii="Almoni Tzar ML v5 AAA" w:hAnsi="Almoni Tzar ML v5 AAA" w:cs="Almoni Tzar ML v5 AAA" w:hint="cs"/>
          <w:sz w:val="22"/>
          <w:szCs w:val="28"/>
          <w:rtl/>
        </w:rPr>
        <w:t>,</w:t>
      </w:r>
      <w:r w:rsidRPr="002F2BC5">
        <w:rPr>
          <w:rFonts w:ascii="Almoni Tzar ML v5 AAA" w:hAnsi="Almoni Tzar ML v5 AAA" w:cs="Almoni Tzar ML v5 AAA"/>
          <w:sz w:val="22"/>
          <w:szCs w:val="28"/>
          <w:rtl/>
        </w:rPr>
        <w:t xml:space="preserve"> למשל כאשר לאישה יש ילדים במצבים מורכבים </w:t>
      </w:r>
      <w:r w:rsidRPr="002F2BC5">
        <w:rPr>
          <w:rFonts w:ascii="Almoni Tzar ML v5 AAA" w:hAnsi="Almoni Tzar ML v5 AAA" w:cs="Almoni Tzar ML v5 AAA" w:hint="cs"/>
          <w:sz w:val="22"/>
          <w:szCs w:val="28"/>
          <w:rtl/>
        </w:rPr>
        <w:t>[על]</w:t>
      </w:r>
      <w:r w:rsidRPr="002F2BC5">
        <w:rPr>
          <w:rFonts w:ascii="Almoni Tzar ML v5 AAA" w:hAnsi="Almoni Tzar ML v5 AAA" w:cs="Almoni Tzar ML v5 AAA"/>
          <w:sz w:val="22"/>
          <w:szCs w:val="28"/>
          <w:rtl/>
        </w:rPr>
        <w:t xml:space="preserve"> הרצף, אם הגבר בעל מאפיינים עבריינים</w:t>
      </w:r>
      <w:r w:rsidRPr="002F2BC5">
        <w:rPr>
          <w:rFonts w:ascii="Almoni Tzar ML v5 AAA" w:hAnsi="Almoni Tzar ML v5 AAA" w:cs="Almoni Tzar ML v5 AAA" w:hint="cs"/>
          <w:sz w:val="22"/>
          <w:szCs w:val="28"/>
          <w:rtl/>
        </w:rPr>
        <w:t xml:space="preserve">, </w:t>
      </w:r>
      <w:r w:rsidRPr="002F2BC5">
        <w:rPr>
          <w:rFonts w:ascii="Almoni Tzar ML v5 AAA" w:hAnsi="Almoni Tzar ML v5 AAA" w:cs="Almoni Tzar ML v5 AAA"/>
          <w:sz w:val="22"/>
          <w:szCs w:val="28"/>
          <w:rtl/>
        </w:rPr>
        <w:t xml:space="preserve">נשים דוברות רוסית בלבד, נשים עם ילד מתבגר </w:t>
      </w:r>
      <w:r w:rsidRPr="002F2BC5">
        <w:rPr>
          <w:rFonts w:ascii="Almoni Tzar ML v5 AAA" w:hAnsi="Almoni Tzar ML v5 AAA" w:cs="Almoni Tzar ML v5 AAA" w:hint="cs"/>
          <w:sz w:val="22"/>
          <w:szCs w:val="28"/>
          <w:rtl/>
        </w:rPr>
        <w:t xml:space="preserve">- </w:t>
      </w:r>
      <w:r w:rsidRPr="002F2BC5">
        <w:rPr>
          <w:rFonts w:ascii="Almoni Tzar ML v5 AAA" w:hAnsi="Almoni Tzar ML v5 AAA" w:cs="Almoni Tzar ML v5 AAA"/>
          <w:sz w:val="22"/>
          <w:szCs w:val="28"/>
          <w:rtl/>
        </w:rPr>
        <w:t>רוב המקלטים אינם מקבלים. וכן אם יש רקע נפשי לאישה</w:t>
      </w:r>
      <w:r w:rsidRPr="002F2BC5">
        <w:rPr>
          <w:rFonts w:ascii="Almoni Tzar ML v5 AAA" w:hAnsi="Almoni Tzar ML v5 AAA" w:cs="Almoni Tzar ML v5 AAA" w:hint="cs"/>
          <w:sz w:val="22"/>
          <w:szCs w:val="28"/>
          <w:rtl/>
        </w:rPr>
        <w:t>,</w:t>
      </w:r>
      <w:r w:rsidRPr="002F2BC5">
        <w:rPr>
          <w:rFonts w:ascii="Almoni Tzar ML v5 AAA" w:hAnsi="Almoni Tzar ML v5 AAA" w:cs="Almoni Tzar ML v5 AAA"/>
          <w:sz w:val="22"/>
          <w:szCs w:val="28"/>
          <w:rtl/>
        </w:rPr>
        <w:t xml:space="preserve"> כאשר חלק גדול מהנשים המגיעות אלינו הן נשים עם פוסט טראומה. במקרים אלו אנו נתקלים בקושי בלהוציא אישה, ומוצאים את עצמינו עסוקים בשכנוע המקלט או מערבים את הפיקוח כדי שיסייעו לנו למצוא מקלט.</w:t>
      </w:r>
      <w:r w:rsidRPr="002F2BC5">
        <w:rPr>
          <w:rFonts w:ascii="Almoni Tzar ML v5 AAA" w:hAnsi="Almoni Tzar ML v5 AAA" w:cs="Almoni Tzar ML v5 AAA" w:hint="cs"/>
          <w:sz w:val="22"/>
          <w:szCs w:val="28"/>
          <w:rtl/>
        </w:rPr>
        <w:t>..</w:t>
      </w:r>
      <w:bookmarkEnd w:id="1950"/>
    </w:p>
    <w:p w14:paraId="64F4B15C" w14:textId="77777777" w:rsidR="00817399" w:rsidRPr="002F2BC5" w:rsidRDefault="00817399" w:rsidP="00817399">
      <w:pPr>
        <w:pStyle w:val="afffffff4"/>
        <w:bidi/>
        <w:spacing w:before="0" w:after="0" w:line="269" w:lineRule="auto"/>
        <w:rPr>
          <w:rFonts w:ascii="Almoni Tzar ML v5 AAA" w:hAnsi="Almoni Tzar ML v5 AAA" w:cs="Almoni Tzar ML v5 AAA"/>
          <w:rtl/>
        </w:rPr>
      </w:pPr>
      <w:r w:rsidRPr="002F2BC5">
        <w:rPr>
          <w:noProof/>
        </w:rPr>
        <w:drawing>
          <wp:inline distT="0" distB="0" distL="0" distR="0" wp14:anchorId="5A30C8D4" wp14:editId="1C954775">
            <wp:extent cx="5220335" cy="639445"/>
            <wp:effectExtent l="0" t="0" r="0" b="8255"/>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66"/>
                    <a:stretch>
                      <a:fillRect/>
                    </a:stretch>
                  </pic:blipFill>
                  <pic:spPr>
                    <a:xfrm>
                      <a:off x="0" y="0"/>
                      <a:ext cx="5220335" cy="639445"/>
                    </a:xfrm>
                    <a:prstGeom prst="rect">
                      <a:avLst/>
                    </a:prstGeom>
                  </pic:spPr>
                </pic:pic>
              </a:graphicData>
            </a:graphic>
          </wp:inline>
        </w:drawing>
      </w:r>
    </w:p>
    <w:p w14:paraId="1A44FBE1" w14:textId="77777777" w:rsidR="00817399" w:rsidRPr="002F2BC5" w:rsidRDefault="00817399" w:rsidP="00817399">
      <w:pPr>
        <w:spacing w:line="269" w:lineRule="auto"/>
        <w:rPr>
          <w:rtl/>
        </w:rPr>
      </w:pPr>
    </w:p>
    <w:p w14:paraId="637F97F7" w14:textId="77777777" w:rsidR="00817399" w:rsidRPr="002F2BC5" w:rsidRDefault="00817399" w:rsidP="00817399">
      <w:pPr>
        <w:pStyle w:val="afffffff9"/>
        <w:spacing w:line="269" w:lineRule="auto"/>
        <w:rPr>
          <w:rtl/>
        </w:rPr>
      </w:pPr>
      <w:bookmarkStart w:id="1951" w:name="_Toc191987142"/>
      <w:bookmarkStart w:id="1952" w:name="_Toc192093178"/>
      <w:bookmarkStart w:id="1953" w:name="_Toc192612886"/>
      <w:bookmarkStart w:id="1954" w:name="_Toc198312330"/>
      <w:bookmarkStart w:id="1955" w:name="_Toc198312813"/>
      <w:bookmarkStart w:id="1956" w:name="_Toc200636974"/>
      <w:bookmarkStart w:id="1957" w:name="_Toc200439972"/>
      <w:bookmarkStart w:id="1958" w:name="_Toc201241077"/>
      <w:r w:rsidRPr="002F2BC5">
        <w:rPr>
          <w:rFonts w:hint="eastAsia"/>
          <w:rtl/>
        </w:rPr>
        <w:lastRenderedPageBreak/>
        <w:t>הביקורת</w:t>
      </w:r>
      <w:r w:rsidRPr="002F2BC5">
        <w:rPr>
          <w:rtl/>
        </w:rPr>
        <w:t xml:space="preserve"> </w:t>
      </w:r>
      <w:r w:rsidRPr="002F2BC5">
        <w:rPr>
          <w:rFonts w:hint="eastAsia"/>
          <w:rtl/>
        </w:rPr>
        <w:t>הקודמת</w:t>
      </w:r>
      <w:r w:rsidRPr="002F2BC5">
        <w:rPr>
          <w:rtl/>
        </w:rPr>
        <w:t xml:space="preserve"> </w:t>
      </w:r>
      <w:r w:rsidRPr="002F2BC5">
        <w:rPr>
          <w:rFonts w:hint="eastAsia"/>
          <w:rtl/>
        </w:rPr>
        <w:t>העלתה</w:t>
      </w:r>
      <w:r w:rsidRPr="002F2BC5">
        <w:rPr>
          <w:rtl/>
        </w:rPr>
        <w:t xml:space="preserve"> </w:t>
      </w:r>
      <w:r w:rsidRPr="002F2BC5">
        <w:rPr>
          <w:rFonts w:hint="eastAsia"/>
          <w:rtl/>
        </w:rPr>
        <w:t>קשיים</w:t>
      </w:r>
      <w:r w:rsidRPr="002F2BC5">
        <w:rPr>
          <w:rtl/>
        </w:rPr>
        <w:t xml:space="preserve"> </w:t>
      </w:r>
      <w:r w:rsidRPr="002F2BC5">
        <w:rPr>
          <w:rFonts w:hint="eastAsia"/>
          <w:rtl/>
        </w:rPr>
        <w:t>בהיבטים</w:t>
      </w:r>
      <w:r w:rsidRPr="002F2BC5">
        <w:rPr>
          <w:rtl/>
        </w:rPr>
        <w:t xml:space="preserve"> </w:t>
      </w:r>
      <w:r w:rsidRPr="002F2BC5">
        <w:rPr>
          <w:rFonts w:hint="eastAsia"/>
          <w:rtl/>
        </w:rPr>
        <w:t>שונים</w:t>
      </w:r>
      <w:r w:rsidRPr="002F2BC5">
        <w:rPr>
          <w:rtl/>
        </w:rPr>
        <w:t xml:space="preserve"> </w:t>
      </w:r>
      <w:r w:rsidRPr="002F2BC5">
        <w:rPr>
          <w:rFonts w:hint="eastAsia"/>
          <w:rtl/>
        </w:rPr>
        <w:t>הנוגעים</w:t>
      </w:r>
      <w:r w:rsidRPr="002F2BC5">
        <w:rPr>
          <w:rtl/>
        </w:rPr>
        <w:t xml:space="preserve"> </w:t>
      </w:r>
      <w:r w:rsidRPr="002F2BC5">
        <w:rPr>
          <w:rFonts w:hint="eastAsia"/>
          <w:rtl/>
        </w:rPr>
        <w:t>לממשקי</w:t>
      </w:r>
      <w:r w:rsidRPr="002F2BC5">
        <w:rPr>
          <w:rtl/>
        </w:rPr>
        <w:t xml:space="preserve"> </w:t>
      </w:r>
      <w:r w:rsidRPr="002F2BC5">
        <w:rPr>
          <w:rFonts w:hint="eastAsia"/>
          <w:rtl/>
        </w:rPr>
        <w:t>העבודה</w:t>
      </w:r>
      <w:r w:rsidRPr="002F2BC5">
        <w:rPr>
          <w:rtl/>
        </w:rPr>
        <w:t xml:space="preserve"> </w:t>
      </w:r>
      <w:r w:rsidRPr="002F2BC5">
        <w:rPr>
          <w:rFonts w:hint="eastAsia"/>
          <w:rtl/>
        </w:rPr>
        <w:t>בין</w:t>
      </w:r>
      <w:r w:rsidRPr="002F2BC5">
        <w:rPr>
          <w:rtl/>
        </w:rPr>
        <w:t xml:space="preserve"> </w:t>
      </w:r>
      <w:r w:rsidRPr="002F2BC5">
        <w:rPr>
          <w:rFonts w:hint="eastAsia"/>
          <w:rtl/>
        </w:rPr>
        <w:t>המרכזים</w:t>
      </w:r>
      <w:r w:rsidRPr="002F2BC5">
        <w:rPr>
          <w:rtl/>
        </w:rPr>
        <w:t xml:space="preserve"> </w:t>
      </w:r>
      <w:r w:rsidRPr="002F2BC5">
        <w:rPr>
          <w:rFonts w:hint="eastAsia"/>
          <w:rtl/>
        </w:rPr>
        <w:t>לטיפול</w:t>
      </w:r>
      <w:r w:rsidRPr="002F2BC5">
        <w:rPr>
          <w:rtl/>
        </w:rPr>
        <w:t xml:space="preserve"> </w:t>
      </w:r>
      <w:r w:rsidRPr="002F2BC5">
        <w:rPr>
          <w:rFonts w:hint="eastAsia"/>
          <w:rtl/>
        </w:rPr>
        <w:t>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והמחלקות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 xml:space="preserve"> לבין המקלטים, בין השאר לעניין שיתוף הפעולה עימם; המענה הטיפולי הניתן לנשים המופנות למקלטים; וכן לעניין הליך הקליטה למקלט</w:t>
      </w:r>
      <w:r w:rsidRPr="002F2BC5">
        <w:rPr>
          <w:rFonts w:hint="cs"/>
          <w:rtl/>
        </w:rPr>
        <w:t>,</w:t>
      </w:r>
      <w:r w:rsidRPr="002F2BC5">
        <w:rPr>
          <w:rtl/>
        </w:rPr>
        <w:t xml:space="preserve"> שנטען כי הוא עשוי להיות בררני וכן </w:t>
      </w:r>
      <w:r w:rsidRPr="002F2BC5">
        <w:rPr>
          <w:rFonts w:hint="cs"/>
          <w:rtl/>
        </w:rPr>
        <w:t>ש</w:t>
      </w:r>
      <w:r w:rsidRPr="002F2BC5">
        <w:rPr>
          <w:rtl/>
        </w:rPr>
        <w:t>הוא מסורבל וכרוך במילוי טפסים רבים.</w:t>
      </w:r>
      <w:r w:rsidRPr="002F2BC5">
        <w:rPr>
          <w:rFonts w:hint="cs"/>
          <w:rtl/>
        </w:rPr>
        <w:t xml:space="preserve">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מועטה</w:t>
      </w:r>
      <w:r w:rsidRPr="002F2BC5">
        <w:rPr>
          <w:rtl/>
        </w:rPr>
        <w:t>.</w:t>
      </w:r>
      <w:r w:rsidRPr="002F2BC5">
        <w:rPr>
          <w:rFonts w:hint="cs"/>
          <w:rtl/>
        </w:rPr>
        <w:t xml:space="preserve"> לצד שביעות הרצון של המחלקות לשירותים חברתיים והמרכזים לטיפול ומניעת אלימות במשפחה מממשקי העבודה עם המקלטים, תשובות הרשויות המקומיות שנבדקו על השאלונים מצביעות על כך שנותר פתח לאי-ודאות בכל הנוגע להתאמת אישה לשהייה במקלט, ועלולות להתעורר מחלוקות אם אין הסכמה בנושא, בפרט בנסיבות שבהן קיימת מורכבות מיוחדת או צרכים ייחודיים של האישה וילדיה (לדוגמה פערי שפה, בעיות נפשיות או מאפיינים עברייניים של בן הזוג הפוגע). מצב דברים זה עלול לייצר חוסר אחידות בהתנהלותם של המקלטים בכל הנוגע לבחינת התאמתן של נשים נפגעות אלימות וילדיהן לטיפול, ועלול למנוע מהנשים הללו מתן מענה מיידי, גם אם נשקפת להן סכנת חיים ממשית.</w:t>
      </w:r>
      <w:bookmarkEnd w:id="1951"/>
      <w:bookmarkEnd w:id="1952"/>
      <w:bookmarkEnd w:id="1953"/>
      <w:bookmarkEnd w:id="1954"/>
      <w:bookmarkEnd w:id="1955"/>
      <w:bookmarkEnd w:id="1956"/>
      <w:bookmarkEnd w:id="1957"/>
      <w:bookmarkEnd w:id="1958"/>
    </w:p>
    <w:p w14:paraId="30F5C589" w14:textId="77777777" w:rsidR="00817399" w:rsidRPr="002F2BC5" w:rsidRDefault="00817399" w:rsidP="00817399">
      <w:pPr>
        <w:spacing w:line="269" w:lineRule="auto"/>
        <w:rPr>
          <w:rtl/>
        </w:rPr>
      </w:pPr>
    </w:p>
    <w:p w14:paraId="5FA7D456" w14:textId="77777777" w:rsidR="00817399" w:rsidRPr="002F2BC5" w:rsidRDefault="00817399" w:rsidP="00817399">
      <w:pPr>
        <w:spacing w:line="269" w:lineRule="auto"/>
        <w:rPr>
          <w:rtl/>
        </w:rPr>
      </w:pPr>
      <w:r w:rsidRPr="002F2BC5">
        <w:rPr>
          <w:rFonts w:hint="cs"/>
          <w:rtl/>
        </w:rPr>
        <w:t>משרד הרווחה מסר במהלך ביקורת המעקב, בדצמבר 2024, כי לצד הצורך בהבטחת שלומה ורווחתה של האישה וילדיה המופנים למקלט ישנה מחויבות גם להבטחת שלומן ורווחתן של יתר הנשים וילדיהן השוהים במקלט ולצמצום חשיפתם להתנהגויות העלולות לפגוע בהליך שיקומם. עוד מסר כי כחלק מהפעלת המקלט הוא מממן ייעוץ וטיפול פסיכיאטרי, לפי הצורך, והוסיף כי לאורך השנים טופלו במקלטים נשים וילדים על רצף האוטיזם. לצד האמור צוין כי נשים נפגעות אלימות הסובלות גם מבעיות נוספות (התמכרות פעילה, דרות רחוב, עיסוק בזנות או בעיות מורכבות בתחום בריאות הנפש) (</w:t>
      </w:r>
      <w:bookmarkStart w:id="1959" w:name="_Hlk202285565"/>
      <w:r w:rsidRPr="002F2BC5">
        <w:rPr>
          <w:rFonts w:hint="cs"/>
          <w:rtl/>
        </w:rPr>
        <w:t>להלן - תחלואה כפולה</w:t>
      </w:r>
      <w:bookmarkEnd w:id="1959"/>
      <w:r w:rsidRPr="002F2BC5">
        <w:rPr>
          <w:rFonts w:hint="cs"/>
          <w:rtl/>
        </w:rPr>
        <w:t xml:space="preserve">) יופנו למסגרות המתמחות בבעיות אלו. </w:t>
      </w:r>
    </w:p>
    <w:p w14:paraId="4489D097" w14:textId="77777777" w:rsidR="00817399" w:rsidRPr="002F2BC5" w:rsidRDefault="00817399" w:rsidP="00817399">
      <w:pPr>
        <w:spacing w:line="269" w:lineRule="auto"/>
        <w:rPr>
          <w:rtl/>
        </w:rPr>
      </w:pPr>
    </w:p>
    <w:p w14:paraId="76141987" w14:textId="77777777" w:rsidR="00817399" w:rsidRPr="002F2BC5" w:rsidRDefault="00817399" w:rsidP="00817399">
      <w:pPr>
        <w:pStyle w:val="afffffffa"/>
        <w:spacing w:line="269" w:lineRule="auto"/>
        <w:rPr>
          <w:rtl/>
        </w:rPr>
      </w:pPr>
      <w:bookmarkStart w:id="1960" w:name="_Toc191987143"/>
      <w:bookmarkStart w:id="1961" w:name="_Toc192093179"/>
      <w:bookmarkStart w:id="1962" w:name="_Toc192612887"/>
      <w:bookmarkStart w:id="1963" w:name="_Toc198312331"/>
      <w:bookmarkStart w:id="1964" w:name="_Toc198312814"/>
      <w:bookmarkStart w:id="1965" w:name="_Toc200636975"/>
      <w:bookmarkStart w:id="1966" w:name="_Toc200439973"/>
      <w:bookmarkStart w:id="1967" w:name="_Toc201241078"/>
      <w:r w:rsidRPr="002F2BC5">
        <w:rPr>
          <w:rFonts w:hint="cs"/>
          <w:rtl/>
        </w:rPr>
        <w:t xml:space="preserve">מומלץ למשרד הרווחה לפעול להטמעה ולהעמקת ההיכרות של המרכזים לטיפול ומניעת אלימות במשפחה ושל המקלטים עם מנגנון יישוב המחלוקות, כשאין הסכמה על התאמתה של אישה למקלט, ובפרט להביא לידיעתם את האפשרות לערב את משרד הרווחה במקרים אלו ולהצביע על החשיבות במעורבות זו. בכך יוכל משרד הרווחה להבטיח כי נשים </w:t>
      </w:r>
      <w:r w:rsidRPr="002F2BC5">
        <w:rPr>
          <w:rFonts w:hint="eastAsia"/>
          <w:rtl/>
        </w:rPr>
        <w:t>שנשקפת</w:t>
      </w:r>
      <w:r w:rsidRPr="002F2BC5">
        <w:rPr>
          <w:rtl/>
        </w:rPr>
        <w:t xml:space="preserve"> </w:t>
      </w:r>
      <w:r w:rsidRPr="002F2BC5">
        <w:rPr>
          <w:rFonts w:hint="eastAsia"/>
          <w:rtl/>
        </w:rPr>
        <w:t>להן</w:t>
      </w:r>
      <w:r w:rsidRPr="002F2BC5">
        <w:rPr>
          <w:rtl/>
        </w:rPr>
        <w:t xml:space="preserve"> </w:t>
      </w:r>
      <w:r w:rsidRPr="002F2BC5">
        <w:rPr>
          <w:rFonts w:hint="eastAsia"/>
          <w:rtl/>
        </w:rPr>
        <w:t>סכנה</w:t>
      </w:r>
      <w:r w:rsidRPr="002F2BC5">
        <w:rPr>
          <w:rFonts w:hint="cs"/>
          <w:rtl/>
        </w:rPr>
        <w:t xml:space="preserve"> יקבלו מענה מיידי ללא דיחוי.</w:t>
      </w:r>
      <w:bookmarkEnd w:id="1960"/>
      <w:bookmarkEnd w:id="1961"/>
      <w:bookmarkEnd w:id="1962"/>
      <w:bookmarkEnd w:id="1963"/>
      <w:bookmarkEnd w:id="1964"/>
      <w:bookmarkEnd w:id="1965"/>
      <w:bookmarkEnd w:id="1966"/>
      <w:bookmarkEnd w:id="1967"/>
    </w:p>
    <w:p w14:paraId="7C2446BA" w14:textId="77777777" w:rsidR="00817399" w:rsidRPr="002F2BC5" w:rsidRDefault="00817399" w:rsidP="00817399">
      <w:pPr>
        <w:spacing w:line="269" w:lineRule="auto"/>
        <w:rPr>
          <w:rtl/>
        </w:rPr>
      </w:pPr>
    </w:p>
    <w:p w14:paraId="16BA42FC" w14:textId="77777777" w:rsidR="00817399" w:rsidRPr="002F2BC5" w:rsidRDefault="00817399" w:rsidP="00817399">
      <w:pPr>
        <w:pStyle w:val="afffffffa"/>
        <w:spacing w:line="269" w:lineRule="auto"/>
        <w:rPr>
          <w:rtl/>
        </w:rPr>
      </w:pPr>
      <w:bookmarkStart w:id="1968" w:name="_Toc191987144"/>
      <w:bookmarkStart w:id="1969" w:name="_Toc192093180"/>
      <w:bookmarkStart w:id="1970" w:name="_Toc192612888"/>
      <w:bookmarkStart w:id="1971" w:name="_Toc198312332"/>
      <w:bookmarkStart w:id="1972" w:name="_Toc198312815"/>
      <w:bookmarkStart w:id="1973" w:name="_Toc200636976"/>
      <w:bookmarkStart w:id="1974" w:name="_Toc200439974"/>
      <w:bookmarkStart w:id="1975" w:name="_Toc201241079"/>
      <w:r w:rsidRPr="002F2BC5">
        <w:rPr>
          <w:rFonts w:hint="cs"/>
          <w:rtl/>
        </w:rPr>
        <w:t>לצד האמור, מומלץ למשרד הרווחה למפות את צורכיהן הייחודיים של נשים נפגעות אלימות הסובלות מתחלואה כפולה ושנמצא שאינן מתאימות למקלט, לעמוד על המענים הייחודיים הניתנים להן בתחום האלימות במשפחה וכן להבין אם יש באפשרות משרד הרווחה להבטיח הגנה מספקת לנשים הללו במקרים שנשקפת להן סכנה ממשית והן זקוקות להגנה מיידית.</w:t>
      </w:r>
      <w:bookmarkEnd w:id="1968"/>
      <w:bookmarkEnd w:id="1969"/>
      <w:bookmarkEnd w:id="1970"/>
      <w:bookmarkEnd w:id="1971"/>
      <w:bookmarkEnd w:id="1972"/>
      <w:bookmarkEnd w:id="1973"/>
      <w:bookmarkEnd w:id="1974"/>
      <w:bookmarkEnd w:id="1975"/>
      <w:r w:rsidRPr="002F2BC5">
        <w:rPr>
          <w:rFonts w:hint="cs"/>
          <w:rtl/>
        </w:rPr>
        <w:t xml:space="preserve"> </w:t>
      </w:r>
    </w:p>
    <w:p w14:paraId="02A8894E" w14:textId="77777777" w:rsidR="00817399" w:rsidRPr="002F2BC5" w:rsidRDefault="00817399" w:rsidP="00817399">
      <w:pPr>
        <w:spacing w:line="269" w:lineRule="auto"/>
        <w:rPr>
          <w:rtl/>
        </w:rPr>
      </w:pPr>
    </w:p>
    <w:p w14:paraId="16A81AF4" w14:textId="77777777" w:rsidR="00817399" w:rsidRPr="002F2BC5" w:rsidRDefault="00817399" w:rsidP="00817399">
      <w:pPr>
        <w:spacing w:line="269" w:lineRule="auto"/>
        <w:rPr>
          <w:rtl/>
        </w:rPr>
      </w:pPr>
      <w:r w:rsidRPr="002F2BC5">
        <w:rPr>
          <w:rFonts w:hint="cs"/>
          <w:rtl/>
        </w:rPr>
        <w:t xml:space="preserve">משרד הרווחה מסר בתשובתו כי </w:t>
      </w:r>
      <w:r w:rsidRPr="002F2BC5">
        <w:rPr>
          <w:rtl/>
        </w:rPr>
        <w:t>מנגנון ההפניה למקלטים מוסדר בהורא</w:t>
      </w:r>
      <w:r w:rsidRPr="002F2BC5">
        <w:rPr>
          <w:rFonts w:hint="cs"/>
          <w:rtl/>
        </w:rPr>
        <w:t>ו</w:t>
      </w:r>
      <w:r w:rsidRPr="002F2BC5">
        <w:rPr>
          <w:rtl/>
        </w:rPr>
        <w:t xml:space="preserve">ת </w:t>
      </w:r>
      <w:r w:rsidRPr="002F2BC5">
        <w:rPr>
          <w:rFonts w:hint="cs"/>
          <w:rtl/>
        </w:rPr>
        <w:t>ה</w:t>
      </w:r>
      <w:r w:rsidRPr="002F2BC5">
        <w:rPr>
          <w:rtl/>
        </w:rPr>
        <w:t>תע"ס</w:t>
      </w:r>
      <w:r w:rsidRPr="002F2BC5">
        <w:rPr>
          <w:rFonts w:hint="cs"/>
          <w:rtl/>
        </w:rPr>
        <w:t xml:space="preserve"> והוא כולל גם מנגנון יישוב מחלוקות בנוגע להתאמתה של אישה לשהייה במקלט, וזאת כדי להבטיח מענה מדויק ומיטבי</w:t>
      </w:r>
      <w:r w:rsidRPr="002F2BC5">
        <w:rPr>
          <w:rtl/>
        </w:rPr>
        <w:t xml:space="preserve">. </w:t>
      </w:r>
      <w:r w:rsidRPr="002F2BC5">
        <w:rPr>
          <w:rFonts w:hint="cs"/>
          <w:rtl/>
        </w:rPr>
        <w:t>לפי התשובה, כשקיימת מחלוקת עוברת ההכרעה לפיקוח המחוזי, ובמקרים חריגים - הנושא מובא לדיון במטה משרד הרווחה. במקרה של היעדר התאמה ורמת מסוכנות גבוהה, מתקיים דיון בעניינה של האישה במסגרת ועדת "אורות אדומים", בשיתוף עם המשטרה, למציאת מענה הגנתי מתאים</w:t>
      </w:r>
      <w:r w:rsidRPr="002F2BC5">
        <w:rPr>
          <w:rStyle w:val="af9"/>
          <w:rtl/>
        </w:rPr>
        <w:footnoteReference w:id="397"/>
      </w:r>
      <w:r w:rsidRPr="002F2BC5">
        <w:rPr>
          <w:rFonts w:hint="cs"/>
          <w:rtl/>
        </w:rPr>
        <w:t xml:space="preserve">. הובהר כי בכל מקרה המקלט אינו מוסמך להחליט באופן חד-צדדי שלא לקבל אישה לטיפול. לצד זאת נמסר כי במקרים מורכבים או של תחלואה כפולה, בפרט בנסיבות של התמכרות פעילה, ושעה שהשהייה במקלט מותנית בהסכמתה של האישה - קיים אתגר משמעותי בשילובה של האישה במקלט ובהבטחת המשך שהייתה במסגרת לאורך זמן. משרד הרווחה הוסיף כי בהיעדר מסגרת אחת המאפשרת מתן מענה למכלול צורכי המוגנות בתחום האלימות לצד התחלואה הנוספת, מקרים ייחודיים אלה נבחנים פרטנית, לפי נסיבותיה האישיות של האישה, תוך מאמץ לייצר פתרונות נקודתיים ויצירתיים. </w:t>
      </w:r>
      <w:r w:rsidRPr="002F2BC5">
        <w:rPr>
          <w:rtl/>
        </w:rPr>
        <w:t xml:space="preserve">משרד הרווחה </w:t>
      </w:r>
      <w:r w:rsidRPr="002F2BC5">
        <w:rPr>
          <w:rFonts w:hint="cs"/>
          <w:rtl/>
        </w:rPr>
        <w:t xml:space="preserve">ציין כי הוא </w:t>
      </w:r>
      <w:r w:rsidRPr="002F2BC5">
        <w:rPr>
          <w:rtl/>
        </w:rPr>
        <w:t>נדרש ל</w:t>
      </w:r>
      <w:r w:rsidRPr="002F2BC5">
        <w:rPr>
          <w:rFonts w:hint="cs"/>
          <w:rtl/>
        </w:rPr>
        <w:t xml:space="preserve">פעול, בשיתוף משרד הבריאות, לגיבוש </w:t>
      </w:r>
      <w:r w:rsidRPr="002F2BC5">
        <w:rPr>
          <w:rtl/>
        </w:rPr>
        <w:t>פתרונות בין-מערכתיים שיבטיחו מענה מיידי לנשים עם תחלואה כפולה</w:t>
      </w:r>
      <w:r w:rsidRPr="002F2BC5">
        <w:rPr>
          <w:rFonts w:hint="cs"/>
          <w:rtl/>
        </w:rPr>
        <w:t xml:space="preserve">, ובכלל זה </w:t>
      </w:r>
      <w:r w:rsidRPr="002F2BC5">
        <w:rPr>
          <w:rtl/>
        </w:rPr>
        <w:t>התמכרות פעילה</w:t>
      </w:r>
      <w:r w:rsidRPr="002F2BC5">
        <w:rPr>
          <w:rFonts w:hint="cs"/>
          <w:rtl/>
        </w:rPr>
        <w:t>, ו</w:t>
      </w:r>
      <w:r w:rsidRPr="002F2BC5">
        <w:rPr>
          <w:rtl/>
        </w:rPr>
        <w:t>שנשקפת להן סכנה ממשית</w:t>
      </w:r>
      <w:r w:rsidRPr="002F2BC5">
        <w:rPr>
          <w:rFonts w:hint="cs"/>
          <w:rtl/>
        </w:rPr>
        <w:t>.</w:t>
      </w:r>
    </w:p>
    <w:p w14:paraId="4A1EBD29" w14:textId="77777777" w:rsidR="00817399" w:rsidRPr="002F2BC5" w:rsidRDefault="00817399" w:rsidP="00817399">
      <w:pPr>
        <w:pStyle w:val="afffffff2"/>
        <w:spacing w:line="269" w:lineRule="auto"/>
        <w:rPr>
          <w:sz w:val="24"/>
          <w:rtl/>
        </w:rPr>
      </w:pPr>
      <w:r w:rsidRPr="002F2BC5">
        <w:rPr>
          <w:rFonts w:hint="cs"/>
          <w:rtl/>
        </w:rPr>
        <w:lastRenderedPageBreak/>
        <w:t>מידת תיקון הליקוי</w:t>
      </w:r>
    </w:p>
    <w:p w14:paraId="184BB96B" w14:textId="77777777" w:rsidR="00817399" w:rsidRPr="002F2BC5" w:rsidRDefault="00817399" w:rsidP="00817399">
      <w:pPr>
        <w:pStyle w:val="afffffff7"/>
        <w:spacing w:before="0" w:line="269" w:lineRule="auto"/>
      </w:pPr>
      <w:bookmarkStart w:id="1976" w:name="_Toc198312333"/>
      <w:bookmarkStart w:id="1977" w:name="_Toc198312816"/>
      <w:bookmarkStart w:id="1978" w:name="_Toc189072282"/>
      <w:r w:rsidRPr="002F2BC5">
        <w:rPr>
          <w:noProof/>
        </w:rPr>
        <w:drawing>
          <wp:inline distT="0" distB="0" distL="0" distR="0" wp14:anchorId="25E31033" wp14:editId="12F12CF4">
            <wp:extent cx="4324350" cy="933450"/>
            <wp:effectExtent l="0" t="0" r="0" b="0"/>
            <wp:docPr id="47"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1976"/>
      <w:bookmarkEnd w:id="1977"/>
    </w:p>
    <w:bookmarkEnd w:id="1978"/>
    <w:p w14:paraId="2C150A73" w14:textId="77777777" w:rsidR="00817399" w:rsidRPr="002F2BC5" w:rsidRDefault="00817399" w:rsidP="00817399">
      <w:pPr>
        <w:spacing w:line="269" w:lineRule="auto"/>
        <w:rPr>
          <w:rtl/>
        </w:rPr>
      </w:pPr>
    </w:p>
    <w:p w14:paraId="3E3EA9AE" w14:textId="77777777" w:rsidR="00817399" w:rsidRPr="002F2BC5" w:rsidRDefault="00817399" w:rsidP="00817399">
      <w:pPr>
        <w:pStyle w:val="50"/>
        <w:spacing w:line="269" w:lineRule="auto"/>
        <w:rPr>
          <w:rtl/>
        </w:rPr>
      </w:pPr>
      <w:bookmarkStart w:id="1979" w:name="_Toc189072283"/>
      <w:bookmarkStart w:id="1980" w:name="_Toc191987145"/>
      <w:bookmarkStart w:id="1981" w:name="_Toc192093181"/>
      <w:bookmarkStart w:id="1982" w:name="_Toc193110640"/>
      <w:bookmarkStart w:id="1983" w:name="_Toc192612889"/>
      <w:bookmarkStart w:id="1984" w:name="_Toc198312817"/>
      <w:bookmarkStart w:id="1985" w:name="_Toc200636977"/>
      <w:bookmarkStart w:id="1986" w:name="_Toc200439975"/>
      <w:bookmarkStart w:id="1987" w:name="_Toc201241080"/>
      <w:r w:rsidRPr="002F2BC5">
        <w:rPr>
          <w:rFonts w:hint="cs"/>
          <w:rtl/>
        </w:rPr>
        <w:t>סיוע לנשים שנחלצו ממעגל האלימות בהשגת עצמאות כלכלית</w:t>
      </w:r>
      <w:bookmarkEnd w:id="1979"/>
      <w:bookmarkEnd w:id="1980"/>
      <w:bookmarkEnd w:id="1981"/>
      <w:bookmarkEnd w:id="1982"/>
      <w:bookmarkEnd w:id="1983"/>
      <w:bookmarkEnd w:id="1984"/>
      <w:bookmarkEnd w:id="1985"/>
      <w:bookmarkEnd w:id="1986"/>
      <w:bookmarkEnd w:id="1987"/>
    </w:p>
    <w:p w14:paraId="05005221" w14:textId="77777777" w:rsidR="00817399" w:rsidRPr="002F2BC5" w:rsidRDefault="00817399" w:rsidP="00817399">
      <w:pPr>
        <w:spacing w:line="269" w:lineRule="auto"/>
        <w:rPr>
          <w:rtl/>
        </w:rPr>
      </w:pPr>
    </w:p>
    <w:p w14:paraId="785B6E43" w14:textId="77777777" w:rsidR="00817399" w:rsidRPr="002F2BC5" w:rsidRDefault="00817399" w:rsidP="00817399">
      <w:pPr>
        <w:spacing w:line="269" w:lineRule="auto"/>
        <w:rPr>
          <w:rtl/>
        </w:rPr>
      </w:pPr>
      <w:r w:rsidRPr="002F2BC5">
        <w:rPr>
          <w:rFonts w:hint="cs"/>
          <w:rtl/>
        </w:rPr>
        <w:t xml:space="preserve">הבחירה לעזוב את </w:t>
      </w:r>
      <w:r w:rsidRPr="002F2BC5">
        <w:rPr>
          <w:rFonts w:hint="eastAsia"/>
          <w:rtl/>
        </w:rPr>
        <w:t>בן</w:t>
      </w:r>
      <w:r w:rsidRPr="002F2BC5">
        <w:rPr>
          <w:rtl/>
        </w:rPr>
        <w:t xml:space="preserve"> </w:t>
      </w:r>
      <w:r w:rsidRPr="002F2BC5">
        <w:rPr>
          <w:rFonts w:hint="eastAsia"/>
          <w:rtl/>
        </w:rPr>
        <w:t>הזוג</w:t>
      </w:r>
      <w:r w:rsidRPr="002F2BC5">
        <w:rPr>
          <w:rtl/>
        </w:rPr>
        <w:t xml:space="preserve"> </w:t>
      </w:r>
      <w:r w:rsidRPr="002F2BC5">
        <w:rPr>
          <w:rFonts w:hint="eastAsia"/>
          <w:rtl/>
        </w:rPr>
        <w:t>האלים</w:t>
      </w:r>
      <w:r w:rsidRPr="002F2BC5">
        <w:rPr>
          <w:rFonts w:hint="cs"/>
          <w:rtl/>
        </w:rPr>
        <w:t xml:space="preserve"> ולצאת ממעגל האלימות עלולה להעמיד את נפגע האלימות באתגרים רבים, ובכללם מציאת מקום מגורים עבורו ועבור ילדיו וכן מציאת מקום עבודה חלופי, וזאת נוסף על הקשיים הנפשיים והבריאותיים הנלווים לכך. מעבר לכך, עצם ההימצאות בתוך מעגל האלימות הזוגית עלול לפגוע בכושר ההשתכרות של נפגע האלימות ולהגביר את התלות הכלכלית בבן הזוג האלים, מה שיעצים עוד יותר את המורכבות הרבה שבהיחלצות ממעגל זה</w:t>
      </w:r>
      <w:r w:rsidRPr="002F2BC5">
        <w:rPr>
          <w:rStyle w:val="af9"/>
          <w:rtl/>
        </w:rPr>
        <w:footnoteReference w:id="398"/>
      </w:r>
      <w:r w:rsidRPr="002F2BC5">
        <w:rPr>
          <w:rFonts w:hint="cs"/>
          <w:rtl/>
        </w:rPr>
        <w:t>.</w:t>
      </w:r>
    </w:p>
    <w:p w14:paraId="66A1FBF8" w14:textId="77777777" w:rsidR="00817399" w:rsidRPr="002F2BC5" w:rsidRDefault="00817399" w:rsidP="00817399">
      <w:pPr>
        <w:spacing w:line="269" w:lineRule="auto"/>
        <w:rPr>
          <w:rtl/>
        </w:rPr>
      </w:pPr>
    </w:p>
    <w:p w14:paraId="6F4C4E34" w14:textId="77777777" w:rsidR="00817399" w:rsidRPr="002F2BC5" w:rsidRDefault="00817399" w:rsidP="00817399">
      <w:pPr>
        <w:spacing w:line="269" w:lineRule="auto"/>
        <w:rPr>
          <w:rtl/>
        </w:rPr>
      </w:pPr>
      <w:r w:rsidRPr="002F2BC5">
        <w:rPr>
          <w:rFonts w:hint="cs"/>
          <w:rtl/>
        </w:rPr>
        <w:t>לאורך השנים פותחו מענים שונים לנשים יוצאות מקלט או דירת מעבר שנועדו לסייע להן במישור הכלכלי והתעסוקתי עם חזרתן לקהילה ולמנוע מהן לחזור לבן הזוג האלים או למקלט. מענים אלו כוללים בין השאר תשלום מענק הסתגלות וגמלת הבטחת הכנסה לנשים יוצאות מקלט וילדיהן; מימון סלי שירותים מותאמים בתחומי התעסוקה, הבריאות והחינוך, לרבות עבור נשים שנחלצו ממעגל האלימות אך לא שהו במקלט; וכן סיוע בשכר דירה והנחה בתשלום הארנונה. עם זאת, קביעת הזכאות לבדה בכל הקשור לקבלת סיוע חומרי בתחום האלימות במשפחה, ככל זכות אחרת, אינה מבטיחה את מימושה בפועל. במקרים מסוימים עשויים הזכאים שלא למשש את זכאותם, למשל משום שהם אינם מודעים כלל לעצם הזכאות ולכן אינם פועלים למימושה, או משום שעומדים בפניהם חסמים מבניים שאינם מאפשרים להם לממש את זכאותם, כגון מורכבות הליך מימוש הזכאות או מידע מוטעה או חלקי לגבי תוכנה המדויק של הזכאות ותנאיה</w:t>
      </w:r>
      <w:bookmarkStart w:id="1988" w:name="_Ref186609852"/>
      <w:r w:rsidRPr="002F2BC5">
        <w:rPr>
          <w:rStyle w:val="af9"/>
          <w:rtl/>
        </w:rPr>
        <w:footnoteReference w:id="399"/>
      </w:r>
      <w:bookmarkEnd w:id="1988"/>
      <w:r w:rsidRPr="002F2BC5">
        <w:rPr>
          <w:rFonts w:hint="cs"/>
          <w:rtl/>
        </w:rPr>
        <w:t xml:space="preserve">. להלן יפורטו ממצאי ביקורת המעקב בנושאים אלו. </w:t>
      </w:r>
    </w:p>
    <w:p w14:paraId="5D611D6C" w14:textId="77777777" w:rsidR="00817399" w:rsidRPr="002F2BC5" w:rsidRDefault="00817399" w:rsidP="00817399">
      <w:pPr>
        <w:spacing w:line="269" w:lineRule="auto"/>
        <w:rPr>
          <w:rtl/>
        </w:rPr>
      </w:pPr>
    </w:p>
    <w:p w14:paraId="71B28DE0" w14:textId="77777777" w:rsidR="00817399" w:rsidRPr="002F2BC5" w:rsidRDefault="00817399" w:rsidP="00817399">
      <w:pPr>
        <w:pStyle w:val="6"/>
        <w:spacing w:line="269" w:lineRule="auto"/>
        <w:rPr>
          <w:rtl/>
        </w:rPr>
      </w:pPr>
      <w:bookmarkStart w:id="1989" w:name="_Toc189072284"/>
      <w:bookmarkStart w:id="1990" w:name="_Toc191987146"/>
      <w:bookmarkStart w:id="1991" w:name="_Toc193110641"/>
      <w:r w:rsidRPr="002F2BC5">
        <w:rPr>
          <w:rFonts w:hint="cs"/>
          <w:rtl/>
        </w:rPr>
        <w:t>מענק הסתגלות וסלי שירותים לנשים שיצאו ממעגל האלימות</w:t>
      </w:r>
      <w:bookmarkEnd w:id="1989"/>
      <w:bookmarkEnd w:id="1990"/>
      <w:bookmarkEnd w:id="1991"/>
    </w:p>
    <w:p w14:paraId="69F9BBD0" w14:textId="77777777" w:rsidR="00817399" w:rsidRPr="002F2BC5" w:rsidRDefault="00817399" w:rsidP="00817399">
      <w:pPr>
        <w:spacing w:line="269" w:lineRule="auto"/>
        <w:rPr>
          <w:rtl/>
        </w:rPr>
      </w:pPr>
    </w:p>
    <w:p w14:paraId="2CA71B11" w14:textId="77777777" w:rsidR="00817399" w:rsidRPr="002F2BC5" w:rsidRDefault="00817399" w:rsidP="00817399">
      <w:pPr>
        <w:spacing w:line="269" w:lineRule="auto"/>
        <w:rPr>
          <w:rtl/>
        </w:rPr>
      </w:pPr>
      <w:r w:rsidRPr="002F2BC5">
        <w:rPr>
          <w:rFonts w:hint="cs"/>
          <w:rtl/>
        </w:rPr>
        <w:t xml:space="preserve">לפי </w:t>
      </w:r>
      <w:r w:rsidRPr="002F2BC5">
        <w:rPr>
          <w:rFonts w:hint="eastAsia"/>
          <w:rtl/>
        </w:rPr>
        <w:t>חוק</w:t>
      </w:r>
      <w:r w:rsidRPr="002F2BC5">
        <w:rPr>
          <w:rtl/>
        </w:rPr>
        <w:t xml:space="preserve"> </w:t>
      </w:r>
      <w:r w:rsidRPr="002F2BC5">
        <w:rPr>
          <w:rFonts w:hint="eastAsia"/>
          <w:rtl/>
        </w:rPr>
        <w:t>שירותי</w:t>
      </w:r>
      <w:r w:rsidRPr="002F2BC5">
        <w:rPr>
          <w:rtl/>
        </w:rPr>
        <w:t xml:space="preserve"> </w:t>
      </w:r>
      <w:r w:rsidRPr="002F2BC5">
        <w:rPr>
          <w:rFonts w:hint="eastAsia"/>
          <w:rtl/>
        </w:rPr>
        <w:t>רווחה</w:t>
      </w:r>
      <w:r w:rsidRPr="002F2BC5">
        <w:rPr>
          <w:rtl/>
        </w:rPr>
        <w:t xml:space="preserve"> (</w:t>
      </w:r>
      <w:r w:rsidRPr="002F2BC5">
        <w:rPr>
          <w:rFonts w:hint="eastAsia"/>
          <w:rtl/>
        </w:rPr>
        <w:t>זכויות</w:t>
      </w:r>
      <w:r w:rsidRPr="002F2BC5">
        <w:rPr>
          <w:rtl/>
        </w:rPr>
        <w:t xml:space="preserve"> </w:t>
      </w:r>
      <w:r w:rsidRPr="002F2BC5">
        <w:rPr>
          <w:rFonts w:hint="eastAsia"/>
          <w:rtl/>
        </w:rPr>
        <w:t>נשים</w:t>
      </w:r>
      <w:r w:rsidRPr="002F2BC5">
        <w:rPr>
          <w:rtl/>
        </w:rPr>
        <w:t xml:space="preserve"> </w:t>
      </w:r>
      <w:r w:rsidRPr="002F2BC5">
        <w:rPr>
          <w:rFonts w:hint="eastAsia"/>
          <w:rtl/>
        </w:rPr>
        <w:t>ששהו</w:t>
      </w:r>
      <w:r w:rsidRPr="002F2BC5">
        <w:rPr>
          <w:rtl/>
        </w:rPr>
        <w:t xml:space="preserve"> </w:t>
      </w:r>
      <w:r w:rsidRPr="002F2BC5">
        <w:rPr>
          <w:rFonts w:hint="eastAsia"/>
          <w:rtl/>
        </w:rPr>
        <w:t>במקלט</w:t>
      </w:r>
      <w:r w:rsidRPr="002F2BC5">
        <w:rPr>
          <w:rtl/>
        </w:rPr>
        <w:t xml:space="preserve"> </w:t>
      </w:r>
      <w:r w:rsidRPr="002F2BC5">
        <w:rPr>
          <w:rFonts w:hint="eastAsia"/>
          <w:rtl/>
        </w:rPr>
        <w:t>לנשים</w:t>
      </w:r>
      <w:r w:rsidRPr="002F2BC5">
        <w:rPr>
          <w:rtl/>
        </w:rPr>
        <w:t xml:space="preserve"> </w:t>
      </w:r>
      <w:r w:rsidRPr="002F2BC5">
        <w:rPr>
          <w:rFonts w:hint="eastAsia"/>
          <w:rtl/>
        </w:rPr>
        <w:t>מוכות</w:t>
      </w:r>
      <w:r w:rsidRPr="002F2BC5">
        <w:rPr>
          <w:rtl/>
        </w:rPr>
        <w:t xml:space="preserve">), </w:t>
      </w:r>
      <w:r w:rsidRPr="002F2BC5">
        <w:rPr>
          <w:rFonts w:hint="eastAsia"/>
          <w:rtl/>
        </w:rPr>
        <w:t>התשע</w:t>
      </w:r>
      <w:r w:rsidRPr="002F2BC5">
        <w:rPr>
          <w:rtl/>
        </w:rPr>
        <w:t>"ג-2012</w:t>
      </w:r>
      <w:r w:rsidRPr="002F2BC5">
        <w:rPr>
          <w:rFonts w:hint="cs"/>
          <w:rtl/>
        </w:rPr>
        <w:t xml:space="preserve"> (להלן - חוק זכויות נשים ששהו במקלט), אישה ששהתה 60 ימים לפחות במקלט או לפחות שישה חודשים בדירת מעבר (</w:t>
      </w:r>
      <w:bookmarkStart w:id="1992" w:name="_Hlk202286075"/>
      <w:r w:rsidRPr="002F2BC5">
        <w:rPr>
          <w:rFonts w:hint="cs"/>
          <w:rtl/>
        </w:rPr>
        <w:t>להלן יחדיו - אישה יוצאת מקלט</w:t>
      </w:r>
      <w:bookmarkEnd w:id="1992"/>
      <w:r w:rsidRPr="002F2BC5">
        <w:rPr>
          <w:rFonts w:hint="cs"/>
          <w:rtl/>
        </w:rPr>
        <w:t xml:space="preserve">) תהיה זכאית לקבלת מענק הסתגלות </w:t>
      </w:r>
      <w:r w:rsidRPr="002F2BC5">
        <w:rPr>
          <w:rtl/>
        </w:rPr>
        <w:t>בהתאם לת</w:t>
      </w:r>
      <w:r w:rsidRPr="002F2BC5">
        <w:rPr>
          <w:rFonts w:hint="cs"/>
          <w:rtl/>
        </w:rPr>
        <w:t>ו</w:t>
      </w:r>
      <w:r w:rsidRPr="002F2BC5">
        <w:rPr>
          <w:rtl/>
        </w:rPr>
        <w:t>כנית טיפולית-שיקומית שנקבעה בעבורה לתקופה שלאחר יציאתה מהמקלט</w:t>
      </w:r>
      <w:r w:rsidRPr="002F2BC5">
        <w:rPr>
          <w:rFonts w:hint="cs"/>
          <w:rtl/>
        </w:rPr>
        <w:t xml:space="preserve"> או מדירת המעבר. הזכאות למענק מותנית בכך שהאישה לא שבה להתגורר עם בן המשפחה הפוגע, והיא מוקנית מבלי שמובא בחשבון מצבה הכספי של האישה. בחוק נקבע עוד כי אישה ששהתה במקלט או בדירת מעבר לא תוכל לממש את זכאותה למענק הסתגלות אלא בחלוף חמש שנים לפחות מהמועד הקודם שבו מימשה זכאות זו</w:t>
      </w:r>
      <w:r w:rsidRPr="002F2BC5">
        <w:rPr>
          <w:rStyle w:val="af9"/>
          <w:rtl/>
        </w:rPr>
        <w:footnoteReference w:id="400"/>
      </w:r>
      <w:r w:rsidRPr="002F2BC5">
        <w:rPr>
          <w:rFonts w:hint="cs"/>
          <w:rtl/>
        </w:rPr>
        <w:t xml:space="preserve">. כמו כן אישה ששהתה 30 יום לפחות במקלט תהיה </w:t>
      </w:r>
      <w:r w:rsidRPr="002F2BC5">
        <w:rPr>
          <w:rFonts w:hint="cs"/>
          <w:rtl/>
        </w:rPr>
        <w:lastRenderedPageBreak/>
        <w:t>זכאית גם לגמלת הבטחת הכנסה</w:t>
      </w:r>
      <w:r w:rsidRPr="002F2BC5">
        <w:rPr>
          <w:rtl/>
        </w:rPr>
        <w:t xml:space="preserve"> </w:t>
      </w:r>
      <w:r w:rsidRPr="002F2BC5">
        <w:rPr>
          <w:rFonts w:hint="cs"/>
          <w:rtl/>
        </w:rPr>
        <w:t>לפי</w:t>
      </w:r>
      <w:r w:rsidRPr="002F2BC5">
        <w:rPr>
          <w:rtl/>
        </w:rPr>
        <w:t xml:space="preserve"> חוק הבטחת הכנסה, התשמ"א-1980</w:t>
      </w:r>
      <w:r w:rsidRPr="002F2BC5">
        <w:rPr>
          <w:rFonts w:hint="cs"/>
          <w:rtl/>
        </w:rPr>
        <w:t xml:space="preserve"> (</w:t>
      </w:r>
      <w:bookmarkStart w:id="1993" w:name="_Hlk202285843"/>
      <w:r w:rsidRPr="002F2BC5">
        <w:rPr>
          <w:rFonts w:hint="cs"/>
          <w:rtl/>
        </w:rPr>
        <w:t>להלן - חוק הבטחת הכנסה</w:t>
      </w:r>
      <w:bookmarkEnd w:id="1993"/>
      <w:r w:rsidRPr="002F2BC5">
        <w:rPr>
          <w:rFonts w:hint="cs"/>
          <w:rtl/>
        </w:rPr>
        <w:t>)</w:t>
      </w:r>
      <w:r w:rsidRPr="002F2BC5">
        <w:rPr>
          <w:rStyle w:val="af9"/>
          <w:rtl/>
        </w:rPr>
        <w:footnoteReference w:id="401"/>
      </w:r>
      <w:r w:rsidRPr="002F2BC5">
        <w:rPr>
          <w:rFonts w:hint="cs"/>
          <w:rtl/>
        </w:rPr>
        <w:t>.</w:t>
      </w:r>
    </w:p>
    <w:p w14:paraId="21C6225C" w14:textId="77777777" w:rsidR="00817399" w:rsidRPr="002F2BC5" w:rsidRDefault="00817399" w:rsidP="00817399">
      <w:pPr>
        <w:spacing w:line="269" w:lineRule="auto"/>
        <w:rPr>
          <w:rtl/>
        </w:rPr>
      </w:pPr>
    </w:p>
    <w:p w14:paraId="4920EC54" w14:textId="77777777" w:rsidR="00817399" w:rsidRPr="002F2BC5" w:rsidRDefault="00817399" w:rsidP="00817399">
      <w:pPr>
        <w:spacing w:line="269" w:lineRule="auto"/>
        <w:rPr>
          <w:rtl/>
        </w:rPr>
      </w:pPr>
      <w:r w:rsidRPr="002F2BC5">
        <w:rPr>
          <w:rtl/>
        </w:rPr>
        <w:t xml:space="preserve">מענק </w:t>
      </w:r>
      <w:r w:rsidRPr="002F2BC5">
        <w:rPr>
          <w:rFonts w:hint="cs"/>
          <w:rtl/>
        </w:rPr>
        <w:t xml:space="preserve">ההסתגלות, הניתן לפי חוק זכויות לנשים ששהו במקלט, וגמלת הבטחת ההכנסה הניתנת לפי חוק הבטחת הכנסה נועדו בעיקרם לענות על הצרכים הכלכליים הבסיסיים של נשים שעזבו את </w:t>
      </w:r>
      <w:r w:rsidRPr="002F2BC5">
        <w:rPr>
          <w:rFonts w:hint="eastAsia"/>
          <w:rtl/>
        </w:rPr>
        <w:t>בן</w:t>
      </w:r>
      <w:r w:rsidRPr="002F2BC5">
        <w:rPr>
          <w:rtl/>
        </w:rPr>
        <w:t xml:space="preserve"> </w:t>
      </w:r>
      <w:r w:rsidRPr="002F2BC5">
        <w:rPr>
          <w:rFonts w:hint="eastAsia"/>
          <w:rtl/>
        </w:rPr>
        <w:t>זוגן</w:t>
      </w:r>
      <w:r w:rsidRPr="002F2BC5">
        <w:rPr>
          <w:rtl/>
        </w:rPr>
        <w:t xml:space="preserve"> </w:t>
      </w:r>
      <w:r w:rsidRPr="002F2BC5">
        <w:rPr>
          <w:rFonts w:hint="eastAsia"/>
          <w:rtl/>
        </w:rPr>
        <w:t>האלים</w:t>
      </w:r>
      <w:r w:rsidRPr="002F2BC5">
        <w:rPr>
          <w:rFonts w:hint="cs"/>
          <w:rtl/>
        </w:rPr>
        <w:t xml:space="preserve"> לקראת יציאתן לחיים עצמאיים בקהילה. כדי לסייע לנשים אלו ביציאתן לחיים עצמאיים בתחומים נוספים ולהבטיח את שיקומן ואת הישארותן מחוץ למעגל האלימות, נקבעה בשנת 2017, בחוק זכויות לנשים ששהו במקלט, זכאותן לליווי של עובד סוציאלי במיצוי זכויותיהן בתחום התעסוקה, ובכלל זה בהכשרה תעסוקתית ובהשמה בעבודה, וכן בתחומי החינוך והבריאות (להלן - </w:t>
      </w:r>
      <w:bookmarkStart w:id="1994" w:name="_Hlk202285890"/>
      <w:r w:rsidRPr="002F2BC5">
        <w:rPr>
          <w:rFonts w:hint="cs"/>
          <w:rtl/>
        </w:rPr>
        <w:t>סל שירותים לנשים יוצאות מקלט או סל השירותים</w:t>
      </w:r>
      <w:bookmarkEnd w:id="1994"/>
      <w:r w:rsidRPr="002F2BC5">
        <w:rPr>
          <w:rFonts w:hint="cs"/>
          <w:rtl/>
        </w:rPr>
        <w:t>)</w:t>
      </w:r>
      <w:r w:rsidRPr="002F2BC5">
        <w:rPr>
          <w:rStyle w:val="af9"/>
          <w:rtl/>
        </w:rPr>
        <w:footnoteReference w:id="402"/>
      </w:r>
      <w:r w:rsidRPr="002F2BC5">
        <w:rPr>
          <w:rFonts w:hint="cs"/>
          <w:rtl/>
        </w:rPr>
        <w:t>. המשך הליווי של אישה לאחר היחלצותה ממעגל האלימות חשוב גם לשמירת ביטחונה, שכן גם לאחר עזיבת בן הזוג האלים עלולה האישה להיות חשופה לאלימות מצידו, לרבות על רקע הליכי גירושין</w:t>
      </w:r>
      <w:r w:rsidRPr="002F2BC5">
        <w:rPr>
          <w:rStyle w:val="af9"/>
          <w:rtl/>
        </w:rPr>
        <w:footnoteReference w:id="403"/>
      </w:r>
      <w:r w:rsidRPr="002F2BC5">
        <w:rPr>
          <w:rFonts w:hint="cs"/>
          <w:rtl/>
        </w:rPr>
        <w:t>.</w:t>
      </w:r>
    </w:p>
    <w:p w14:paraId="0F17223E" w14:textId="77777777" w:rsidR="00817399" w:rsidRPr="002F2BC5" w:rsidRDefault="00817399" w:rsidP="00817399">
      <w:pPr>
        <w:spacing w:line="269" w:lineRule="auto"/>
        <w:rPr>
          <w:rtl/>
        </w:rPr>
      </w:pPr>
    </w:p>
    <w:p w14:paraId="05896231" w14:textId="77777777" w:rsidR="00817399" w:rsidRPr="002F2BC5" w:rsidRDefault="00817399" w:rsidP="00817399">
      <w:pPr>
        <w:spacing w:line="269" w:lineRule="auto"/>
        <w:rPr>
          <w:rtl/>
        </w:rPr>
      </w:pPr>
      <w:r w:rsidRPr="002F2BC5">
        <w:rPr>
          <w:rFonts w:hint="cs"/>
          <w:rtl/>
        </w:rPr>
        <w:t>יישום הוראות חוק זכויות לנשים יוצאות מקלט לעניין תשלום מענק ההסתגלות וכן לעניין הליווי של נשים במיצוי זכויותיהן נעשה במסגרת התקשרות חוזית של משרד הרווחה עם נותן שירותים חיצוניים שנבחר במכרז (</w:t>
      </w:r>
      <w:bookmarkStart w:id="1995" w:name="_Hlk202286010"/>
      <w:r w:rsidRPr="002F2BC5">
        <w:rPr>
          <w:rFonts w:hint="cs"/>
          <w:rtl/>
        </w:rPr>
        <w:t>להלן - תוכנית "דף חדש"</w:t>
      </w:r>
      <w:bookmarkEnd w:id="1995"/>
      <w:r w:rsidRPr="002F2BC5">
        <w:rPr>
          <w:rFonts w:hint="cs"/>
          <w:rtl/>
        </w:rPr>
        <w:t xml:space="preserve">). </w:t>
      </w:r>
    </w:p>
    <w:p w14:paraId="0288B816" w14:textId="77777777" w:rsidR="00817399" w:rsidRPr="002F2BC5" w:rsidRDefault="00817399" w:rsidP="00817399">
      <w:pPr>
        <w:spacing w:line="269" w:lineRule="auto"/>
        <w:rPr>
          <w:rtl/>
        </w:rPr>
      </w:pPr>
    </w:p>
    <w:p w14:paraId="520AE601" w14:textId="77777777" w:rsidR="00817399" w:rsidRPr="002F2BC5" w:rsidRDefault="00817399" w:rsidP="00817399">
      <w:pPr>
        <w:pStyle w:val="7"/>
        <w:spacing w:line="269" w:lineRule="auto"/>
        <w:rPr>
          <w:rtl/>
        </w:rPr>
      </w:pPr>
      <w:bookmarkStart w:id="1996" w:name="_Toc191987147"/>
      <w:r w:rsidRPr="002F2BC5">
        <w:rPr>
          <w:rFonts w:hint="cs"/>
          <w:rtl/>
        </w:rPr>
        <w:t>מענק הסתגלות לנשים יוצאות מקלט</w:t>
      </w:r>
      <w:bookmarkEnd w:id="1996"/>
    </w:p>
    <w:p w14:paraId="07268F2F" w14:textId="77777777" w:rsidR="00817399" w:rsidRPr="002F2BC5" w:rsidRDefault="00817399" w:rsidP="00817399">
      <w:pPr>
        <w:spacing w:line="269" w:lineRule="auto"/>
        <w:rPr>
          <w:rtl/>
        </w:rPr>
      </w:pPr>
    </w:p>
    <w:p w14:paraId="6D4FA7E2" w14:textId="77777777" w:rsidR="00817399" w:rsidRPr="002F2BC5" w:rsidRDefault="00817399" w:rsidP="00817399">
      <w:pPr>
        <w:spacing w:line="269" w:lineRule="auto"/>
        <w:rPr>
          <w:rtl/>
        </w:rPr>
      </w:pPr>
      <w:bookmarkStart w:id="1997" w:name="_Toc191987148"/>
      <w:r w:rsidRPr="002F2BC5">
        <w:rPr>
          <w:rStyle w:val="70"/>
          <w:rFonts w:hint="cs"/>
          <w:rtl/>
        </w:rPr>
        <w:t>הביקורת הקודמת:</w:t>
      </w:r>
      <w:bookmarkEnd w:id="1997"/>
      <w:r w:rsidRPr="002F2BC5">
        <w:rPr>
          <w:rStyle w:val="70"/>
          <w:rFonts w:hint="cs"/>
          <w:rtl/>
        </w:rPr>
        <w:t xml:space="preserve"> </w:t>
      </w:r>
      <w:r w:rsidRPr="002F2BC5">
        <w:rPr>
          <w:rFonts w:hint="cs"/>
          <w:rtl/>
        </w:rPr>
        <w:t xml:space="preserve">במועד סיום הביקורת הקודמת עמד גובה מענק ההסתגלות לאישה יוצאת מקלט על 8,000 ש"ח. מענק ההסתגלות עבור כל אחד מילדיה של האישה השוהים עימה עמד על כ-1,000 ש"ח, והוא הוגבל לעד שני ילדים, כך שלאחר יציאתה מהמקלט הייתה אישה עם ילדים זכאית למענק בסך של 10,000 ש"ח לכל היותר (להלן - תקרת הזכאות). הועלה כי בשנת 2019 כ-38% מהנשים שהו במקלט עד חודש וכ-45% שהו במקלט עד חודשיים, ועל כן לא היו זכאיות למענק הסתגלות או לקצבת הבטחת הכנסה. נוסף על כך הועלה כי לכרבע מהנשים ששהו במקלט בשנה זו היו יותר משני ילדים, והן לא היו זכאיות למענק הסתגלות עבור יתר ילדיהן. </w:t>
      </w:r>
    </w:p>
    <w:p w14:paraId="23E87094" w14:textId="77777777" w:rsidR="00817399" w:rsidRPr="002F2BC5" w:rsidRDefault="00817399" w:rsidP="00817399">
      <w:pPr>
        <w:spacing w:line="269" w:lineRule="auto"/>
        <w:rPr>
          <w:rtl/>
        </w:rPr>
      </w:pPr>
    </w:p>
    <w:p w14:paraId="2733B1C3"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למשרד הרווחה לבחון אם הקריטריונים לקבלת מענק ההסתגלות לנשים יוצאות מקלט וקצבת הבטחת הכנסה אכן נותנים מענה מספק. </w:t>
      </w:r>
    </w:p>
    <w:p w14:paraId="05375112" w14:textId="77777777" w:rsidR="00817399" w:rsidRPr="002F2BC5" w:rsidRDefault="00817399" w:rsidP="00817399">
      <w:pPr>
        <w:spacing w:line="269" w:lineRule="auto"/>
        <w:rPr>
          <w:rtl/>
        </w:rPr>
      </w:pPr>
    </w:p>
    <w:p w14:paraId="362DE11A" w14:textId="77777777" w:rsidR="00817399" w:rsidRPr="002F2BC5" w:rsidRDefault="00817399" w:rsidP="00817399">
      <w:pPr>
        <w:spacing w:line="269" w:lineRule="auto"/>
        <w:rPr>
          <w:rtl/>
        </w:rPr>
      </w:pPr>
      <w:bookmarkStart w:id="1998" w:name="_Toc191987149"/>
      <w:r w:rsidRPr="002F2BC5">
        <w:rPr>
          <w:rStyle w:val="70"/>
          <w:rFonts w:hint="cs"/>
          <w:rtl/>
        </w:rPr>
        <w:t>ביקורת המעקב:</w:t>
      </w:r>
      <w:bookmarkEnd w:id="1998"/>
      <w:r w:rsidRPr="002F2BC5">
        <w:rPr>
          <w:rStyle w:val="70"/>
          <w:rFonts w:hint="cs"/>
          <w:rtl/>
        </w:rPr>
        <w:t xml:space="preserve"> </w:t>
      </w:r>
      <w:r w:rsidRPr="002F2BC5">
        <w:rPr>
          <w:rFonts w:hint="cs"/>
          <w:rtl/>
        </w:rPr>
        <w:t>בפברואר 2024 אושר בכנסת תיקון לחוק זכויות נשים ששהו במקלט, שבמסגרתו הוגדל גובה מענק ההסתגלות מ-8,000 ש"ח ל-11,000 ש"ח (צמוד למדד) וכן בוטלה תקרת הזכאות, כך שגובה המענק משתנה בהתאם למספר ילדיה של האישה, ללא מגבלה. במסגרת התיקון לחוק קוצר גם פרק הזמן הנדרש לקבלת המענק לאחר היציאה מהמקלט, מ-60 יום ל-30 יום</w:t>
      </w:r>
      <w:r w:rsidRPr="002F2BC5">
        <w:rPr>
          <w:rStyle w:val="af9"/>
          <w:rtl/>
        </w:rPr>
        <w:footnoteReference w:id="404"/>
      </w:r>
      <w:r w:rsidRPr="002F2BC5">
        <w:rPr>
          <w:rFonts w:hint="cs"/>
          <w:rtl/>
        </w:rPr>
        <w:t xml:space="preserve">. </w:t>
      </w:r>
      <w:r w:rsidRPr="002F2BC5">
        <w:rPr>
          <w:rFonts w:hint="eastAsia"/>
          <w:rtl/>
        </w:rPr>
        <w:t>יש</w:t>
      </w:r>
      <w:r w:rsidRPr="002F2BC5">
        <w:rPr>
          <w:rtl/>
        </w:rPr>
        <w:t xml:space="preserve"> לציין כי </w:t>
      </w:r>
      <w:r w:rsidRPr="002F2BC5">
        <w:rPr>
          <w:rFonts w:hint="eastAsia"/>
          <w:rtl/>
        </w:rPr>
        <w:t>מעבר</w:t>
      </w:r>
      <w:r w:rsidRPr="002F2BC5">
        <w:rPr>
          <w:rtl/>
        </w:rPr>
        <w:t xml:space="preserve"> לשינויים האמורים </w:t>
      </w:r>
      <w:r w:rsidRPr="002F2BC5">
        <w:rPr>
          <w:rFonts w:hint="eastAsia"/>
          <w:rtl/>
        </w:rPr>
        <w:t>לא</w:t>
      </w:r>
      <w:r w:rsidRPr="002F2BC5">
        <w:rPr>
          <w:rtl/>
        </w:rPr>
        <w:t xml:space="preserve"> </w:t>
      </w:r>
      <w:r w:rsidRPr="002F2BC5">
        <w:rPr>
          <w:rFonts w:hint="eastAsia"/>
          <w:rtl/>
        </w:rPr>
        <w:t>נעשו</w:t>
      </w:r>
      <w:r w:rsidRPr="002F2BC5">
        <w:rPr>
          <w:rtl/>
        </w:rPr>
        <w:t xml:space="preserve"> </w:t>
      </w:r>
      <w:r w:rsidRPr="002F2BC5">
        <w:rPr>
          <w:rFonts w:hint="eastAsia"/>
          <w:rtl/>
        </w:rPr>
        <w:t>התאמות</w:t>
      </w:r>
      <w:r w:rsidRPr="002F2BC5">
        <w:rPr>
          <w:rtl/>
        </w:rPr>
        <w:t xml:space="preserve"> </w:t>
      </w:r>
      <w:r w:rsidRPr="002F2BC5">
        <w:rPr>
          <w:rFonts w:hint="eastAsia"/>
          <w:rtl/>
        </w:rPr>
        <w:t>במנגנון</w:t>
      </w:r>
      <w:r w:rsidRPr="002F2BC5">
        <w:rPr>
          <w:rtl/>
        </w:rPr>
        <w:t xml:space="preserve"> </w:t>
      </w:r>
      <w:r w:rsidRPr="002F2BC5">
        <w:rPr>
          <w:rFonts w:hint="eastAsia"/>
          <w:rtl/>
        </w:rPr>
        <w:t>התשלום</w:t>
      </w:r>
      <w:r w:rsidRPr="002F2BC5">
        <w:rPr>
          <w:rtl/>
        </w:rPr>
        <w:t xml:space="preserve"> </w:t>
      </w:r>
      <w:r w:rsidRPr="002F2BC5">
        <w:rPr>
          <w:rFonts w:hint="eastAsia"/>
          <w:rtl/>
        </w:rPr>
        <w:t>או</w:t>
      </w:r>
      <w:r w:rsidRPr="002F2BC5">
        <w:rPr>
          <w:rtl/>
        </w:rPr>
        <w:t xml:space="preserve"> </w:t>
      </w:r>
      <w:r w:rsidRPr="002F2BC5">
        <w:rPr>
          <w:rFonts w:hint="eastAsia"/>
          <w:rtl/>
        </w:rPr>
        <w:t>בגובה</w:t>
      </w:r>
      <w:r w:rsidRPr="002F2BC5">
        <w:rPr>
          <w:rtl/>
        </w:rPr>
        <w:t xml:space="preserve"> </w:t>
      </w:r>
      <w:r w:rsidRPr="002F2BC5">
        <w:rPr>
          <w:rFonts w:hint="eastAsia"/>
          <w:rtl/>
        </w:rPr>
        <w:t>מענק</w:t>
      </w:r>
      <w:r w:rsidRPr="002F2BC5">
        <w:rPr>
          <w:rtl/>
        </w:rPr>
        <w:t xml:space="preserve"> </w:t>
      </w:r>
      <w:r w:rsidRPr="002F2BC5">
        <w:rPr>
          <w:rFonts w:hint="eastAsia"/>
          <w:rtl/>
        </w:rPr>
        <w:t>ההסתגלות</w:t>
      </w:r>
      <w:r w:rsidRPr="002F2BC5">
        <w:rPr>
          <w:rtl/>
        </w:rPr>
        <w:t xml:space="preserve"> במהלך מלחמת חרבות ברזל.</w:t>
      </w:r>
      <w:r w:rsidRPr="002F2BC5">
        <w:rPr>
          <w:rFonts w:hint="cs"/>
          <w:rtl/>
        </w:rPr>
        <w:t xml:space="preserve"> </w:t>
      </w:r>
    </w:p>
    <w:p w14:paraId="192179D0" w14:textId="77777777" w:rsidR="00817399" w:rsidRPr="002F2BC5" w:rsidRDefault="00817399" w:rsidP="00817399">
      <w:pPr>
        <w:spacing w:line="269" w:lineRule="auto"/>
        <w:rPr>
          <w:rtl/>
        </w:rPr>
      </w:pPr>
    </w:p>
    <w:p w14:paraId="344AF276" w14:textId="77777777" w:rsidR="00817399" w:rsidRPr="002F2BC5" w:rsidRDefault="00817399" w:rsidP="00817399">
      <w:pPr>
        <w:pStyle w:val="afffffff9"/>
        <w:spacing w:line="269" w:lineRule="auto"/>
        <w:rPr>
          <w:rtl/>
        </w:rPr>
      </w:pPr>
      <w:bookmarkStart w:id="1999" w:name="_Toc191987150"/>
      <w:bookmarkStart w:id="2000" w:name="_Toc192093182"/>
      <w:bookmarkStart w:id="2001" w:name="_Toc192612890"/>
      <w:bookmarkStart w:id="2002" w:name="_Toc198312334"/>
      <w:bookmarkStart w:id="2003" w:name="_Toc198312818"/>
      <w:bookmarkStart w:id="2004" w:name="_Toc200636978"/>
      <w:bookmarkStart w:id="2005" w:name="_Toc200439976"/>
      <w:bookmarkStart w:id="2006" w:name="_Toc201241081"/>
      <w:r w:rsidRPr="002F2BC5">
        <w:rPr>
          <w:rFonts w:hint="cs"/>
          <w:rtl/>
        </w:rPr>
        <w:t xml:space="preserve">הביקורת הקודמת העלתה כי </w:t>
      </w:r>
      <w:r w:rsidRPr="002F2BC5">
        <w:rPr>
          <w:rFonts w:hint="eastAsia"/>
          <w:rtl/>
        </w:rPr>
        <w:t>כ</w:t>
      </w:r>
      <w:r w:rsidRPr="002F2BC5">
        <w:rPr>
          <w:rtl/>
        </w:rPr>
        <w:t xml:space="preserve">-45% מהנשים </w:t>
      </w:r>
      <w:r w:rsidRPr="002F2BC5">
        <w:rPr>
          <w:rFonts w:hint="eastAsia"/>
          <w:rtl/>
        </w:rPr>
        <w:t>ששהו</w:t>
      </w:r>
      <w:r w:rsidRPr="002F2BC5">
        <w:rPr>
          <w:rtl/>
        </w:rPr>
        <w:t xml:space="preserve"> במקלט </w:t>
      </w:r>
      <w:r w:rsidRPr="002F2BC5">
        <w:rPr>
          <w:rFonts w:hint="eastAsia"/>
          <w:rtl/>
        </w:rPr>
        <w:t>בשנת</w:t>
      </w:r>
      <w:r w:rsidRPr="002F2BC5">
        <w:rPr>
          <w:rtl/>
        </w:rPr>
        <w:t xml:space="preserve"> 2019 לא </w:t>
      </w:r>
      <w:r w:rsidRPr="002F2BC5">
        <w:rPr>
          <w:rFonts w:hint="eastAsia"/>
          <w:rtl/>
        </w:rPr>
        <w:t>היו</w:t>
      </w:r>
      <w:r w:rsidRPr="002F2BC5">
        <w:rPr>
          <w:rtl/>
        </w:rPr>
        <w:t xml:space="preserve"> זכאיות למענק הסתגלות </w:t>
      </w:r>
      <w:r w:rsidRPr="002F2BC5">
        <w:rPr>
          <w:rFonts w:hint="eastAsia"/>
          <w:rtl/>
        </w:rPr>
        <w:t>משום</w:t>
      </w:r>
      <w:r w:rsidRPr="002F2BC5">
        <w:rPr>
          <w:rtl/>
        </w:rPr>
        <w:t xml:space="preserve"> </w:t>
      </w:r>
      <w:r w:rsidRPr="002F2BC5">
        <w:rPr>
          <w:rFonts w:hint="eastAsia"/>
          <w:rtl/>
        </w:rPr>
        <w:t>שמשך</w:t>
      </w:r>
      <w:r w:rsidRPr="002F2BC5">
        <w:rPr>
          <w:rtl/>
        </w:rPr>
        <w:t xml:space="preserve"> </w:t>
      </w:r>
      <w:r w:rsidRPr="002F2BC5">
        <w:rPr>
          <w:rFonts w:hint="eastAsia"/>
          <w:rtl/>
        </w:rPr>
        <w:t>שהייתן</w:t>
      </w:r>
      <w:r w:rsidRPr="002F2BC5">
        <w:rPr>
          <w:rtl/>
        </w:rPr>
        <w:t xml:space="preserve"> </w:t>
      </w:r>
      <w:r w:rsidRPr="002F2BC5">
        <w:rPr>
          <w:rFonts w:hint="eastAsia"/>
          <w:rtl/>
        </w:rPr>
        <w:t>במקלט</w:t>
      </w:r>
      <w:r w:rsidRPr="002F2BC5">
        <w:rPr>
          <w:rtl/>
        </w:rPr>
        <w:t xml:space="preserve"> </w:t>
      </w:r>
      <w:r w:rsidRPr="002F2BC5">
        <w:rPr>
          <w:rFonts w:hint="eastAsia"/>
          <w:rtl/>
        </w:rPr>
        <w:t>היה</w:t>
      </w:r>
      <w:r w:rsidRPr="002F2BC5">
        <w:rPr>
          <w:rtl/>
        </w:rPr>
        <w:t xml:space="preserve"> </w:t>
      </w:r>
      <w:r w:rsidRPr="002F2BC5">
        <w:rPr>
          <w:rFonts w:hint="eastAsia"/>
          <w:rtl/>
        </w:rPr>
        <w:t>קצר</w:t>
      </w:r>
      <w:r w:rsidRPr="002F2BC5">
        <w:rPr>
          <w:rtl/>
        </w:rPr>
        <w:t xml:space="preserve"> </w:t>
      </w:r>
      <w:r w:rsidRPr="002F2BC5">
        <w:rPr>
          <w:rFonts w:hint="eastAsia"/>
          <w:rtl/>
        </w:rPr>
        <w:t>מחודשיים</w:t>
      </w:r>
      <w:r w:rsidRPr="002F2BC5">
        <w:rPr>
          <w:rFonts w:hint="cs"/>
          <w:rtl/>
        </w:rPr>
        <w:t xml:space="preserve">. בנוסף לכך </w:t>
      </w:r>
      <w:r w:rsidRPr="002F2BC5">
        <w:rPr>
          <w:rFonts w:hint="eastAsia"/>
          <w:rtl/>
        </w:rPr>
        <w:t>כרבע</w:t>
      </w:r>
      <w:r w:rsidRPr="002F2BC5">
        <w:rPr>
          <w:rtl/>
        </w:rPr>
        <w:t xml:space="preserve"> מהנשים ששהו במקלט בשנה זו </w:t>
      </w:r>
      <w:r w:rsidRPr="002F2BC5">
        <w:rPr>
          <w:rFonts w:hint="eastAsia"/>
          <w:rtl/>
        </w:rPr>
        <w:t>לא</w:t>
      </w:r>
      <w:r w:rsidRPr="002F2BC5">
        <w:rPr>
          <w:rtl/>
        </w:rPr>
        <w:t xml:space="preserve"> קיבלו מענק עבור </w:t>
      </w:r>
      <w:r w:rsidRPr="002F2BC5">
        <w:rPr>
          <w:rFonts w:hint="eastAsia"/>
          <w:rtl/>
        </w:rPr>
        <w:t>כל</w:t>
      </w:r>
      <w:r w:rsidRPr="002F2BC5">
        <w:rPr>
          <w:rtl/>
        </w:rPr>
        <w:t xml:space="preserve"> </w:t>
      </w:r>
      <w:r w:rsidRPr="002F2BC5">
        <w:rPr>
          <w:rFonts w:hint="eastAsia"/>
          <w:rtl/>
        </w:rPr>
        <w:t>ילדיהן</w:t>
      </w:r>
      <w:r w:rsidRPr="002F2BC5">
        <w:rPr>
          <w:rtl/>
        </w:rPr>
        <w:t xml:space="preserve"> </w:t>
      </w:r>
      <w:r w:rsidRPr="002F2BC5">
        <w:rPr>
          <w:rFonts w:hint="eastAsia"/>
          <w:rtl/>
        </w:rPr>
        <w:t>משום</w:t>
      </w:r>
      <w:r w:rsidRPr="002F2BC5">
        <w:rPr>
          <w:rtl/>
        </w:rPr>
        <w:t xml:space="preserve"> </w:t>
      </w:r>
      <w:r w:rsidRPr="002F2BC5">
        <w:rPr>
          <w:rFonts w:hint="eastAsia"/>
          <w:rtl/>
        </w:rPr>
        <w:t>שהיו</w:t>
      </w:r>
      <w:r w:rsidRPr="002F2BC5">
        <w:rPr>
          <w:rtl/>
        </w:rPr>
        <w:t xml:space="preserve"> </w:t>
      </w:r>
      <w:r w:rsidRPr="002F2BC5">
        <w:rPr>
          <w:rFonts w:hint="eastAsia"/>
          <w:rtl/>
        </w:rPr>
        <w:t>להן</w:t>
      </w:r>
      <w:r w:rsidRPr="002F2BC5">
        <w:rPr>
          <w:rtl/>
        </w:rPr>
        <w:t xml:space="preserve"> </w:t>
      </w:r>
      <w:r w:rsidRPr="002F2BC5">
        <w:rPr>
          <w:rFonts w:hint="eastAsia"/>
          <w:rtl/>
        </w:rPr>
        <w:t>יותר</w:t>
      </w:r>
      <w:r w:rsidRPr="002F2BC5">
        <w:rPr>
          <w:rtl/>
        </w:rPr>
        <w:t xml:space="preserve"> </w:t>
      </w:r>
      <w:r w:rsidRPr="002F2BC5">
        <w:rPr>
          <w:rFonts w:hint="eastAsia"/>
          <w:rtl/>
        </w:rPr>
        <w:t>משני</w:t>
      </w:r>
      <w:r w:rsidRPr="002F2BC5">
        <w:rPr>
          <w:rtl/>
        </w:rPr>
        <w:t xml:space="preserve"> </w:t>
      </w:r>
      <w:r w:rsidRPr="002F2BC5">
        <w:rPr>
          <w:rFonts w:hint="eastAsia"/>
          <w:rtl/>
        </w:rPr>
        <w:t>ילדים</w:t>
      </w:r>
      <w:r w:rsidRPr="002F2BC5">
        <w:rPr>
          <w:rFonts w:hint="cs"/>
          <w:rtl/>
        </w:rPr>
        <w:t xml:space="preserve">. בביקורת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מועטה</w:t>
      </w:r>
      <w:r w:rsidRPr="002F2BC5">
        <w:rPr>
          <w:rtl/>
        </w:rPr>
        <w:t>.</w:t>
      </w:r>
      <w:r w:rsidRPr="002F2BC5">
        <w:rPr>
          <w:rFonts w:hint="cs"/>
          <w:rtl/>
        </w:rPr>
        <w:t xml:space="preserve"> אומנם גובה מענק ההסתגלות הוגדל וכן בוטלה תקרת הזכאות</w:t>
      </w:r>
      <w:r w:rsidRPr="002F2BC5">
        <w:rPr>
          <w:rtl/>
        </w:rPr>
        <w:t xml:space="preserve"> כך שגובה המענק </w:t>
      </w:r>
      <w:r w:rsidRPr="002F2BC5">
        <w:rPr>
          <w:rFonts w:hint="cs"/>
          <w:rtl/>
        </w:rPr>
        <w:t>משתנה בהתאם ל</w:t>
      </w:r>
      <w:r w:rsidRPr="002F2BC5">
        <w:rPr>
          <w:rtl/>
        </w:rPr>
        <w:t>מספר ילדיה של האישה, ללא מגבלה</w:t>
      </w:r>
      <w:r w:rsidRPr="002F2BC5">
        <w:rPr>
          <w:rFonts w:hint="cs"/>
          <w:rtl/>
        </w:rPr>
        <w:t xml:space="preserve">. יחד </w:t>
      </w:r>
      <w:r w:rsidRPr="002F2BC5">
        <w:rPr>
          <w:rFonts w:hint="cs"/>
          <w:rtl/>
        </w:rPr>
        <w:lastRenderedPageBreak/>
        <w:t>עם זאת, נמצא כי משרד הרווחה לא מיפה את הנשים ששהו במקלט או בדירת מעבר בשנים הללו, ומתוכן את הנשים שעמדו בתנאי הזכאות לקבלת המענק ואת משך הזמן מאז הזכאות הקודמת לקבלת המענק, מול הנשים שקיבלו את המענק בפועל, כך שלא היו בידיו נתונים על היקף מימוש הזכאות לקבלת המענק. כמו כן לא נבדקו החסמים לאי-מימוש הזכאות לקבלת מענק ההסתגלות; לא נבחן אם הקריטריונים שנקבעו לקבלת המענק אכן תואמים את התכליות שלשמן הוא ניתן; או אם תשלום מענק ההסתגלות אכן מימש את תכליותיו באופן המיטבי.</w:t>
      </w:r>
      <w:bookmarkEnd w:id="1999"/>
      <w:bookmarkEnd w:id="2000"/>
      <w:bookmarkEnd w:id="2001"/>
      <w:bookmarkEnd w:id="2002"/>
      <w:bookmarkEnd w:id="2003"/>
      <w:bookmarkEnd w:id="2004"/>
      <w:bookmarkEnd w:id="2005"/>
      <w:bookmarkEnd w:id="2006"/>
    </w:p>
    <w:p w14:paraId="3A4460CD" w14:textId="77777777" w:rsidR="00817399" w:rsidRPr="002F2BC5" w:rsidRDefault="00817399" w:rsidP="00817399">
      <w:pPr>
        <w:spacing w:line="269" w:lineRule="auto"/>
        <w:rPr>
          <w:rtl/>
        </w:rPr>
      </w:pPr>
    </w:p>
    <w:p w14:paraId="6C425A55" w14:textId="77777777" w:rsidR="00817399" w:rsidRPr="002F2BC5" w:rsidRDefault="00817399" w:rsidP="00817399">
      <w:pPr>
        <w:spacing w:line="269" w:lineRule="auto"/>
        <w:rPr>
          <w:rtl/>
        </w:rPr>
      </w:pPr>
      <w:r w:rsidRPr="002F2BC5">
        <w:rPr>
          <w:rFonts w:hint="cs"/>
          <w:rtl/>
        </w:rPr>
        <w:t xml:space="preserve">יצוין כי מעבר למשך זמן השהייה במקלט המשפיע על עצם הזכאות למענק ההסתגלות, גם לתדירות השהייה של נשים במקלט עשויה להיות השפעה על זכאותן למענק ההסתגלות. מנתוני משרד הרווחה לשנים 2021 - 2024 עולה כי בקרב הנשים ששהו במקלטים בשנים הללו כרבע מהן (876 מתוך 3,419) שהו במקלטים יותר מפעם אחת, וייתכן שגם מסיבה זו לא היו זכאיות לקבלת המענק. </w:t>
      </w:r>
    </w:p>
    <w:p w14:paraId="4890621E" w14:textId="77777777" w:rsidR="00817399" w:rsidRPr="002F2BC5" w:rsidRDefault="00817399" w:rsidP="00817399">
      <w:pPr>
        <w:spacing w:line="269" w:lineRule="auto"/>
        <w:rPr>
          <w:rtl/>
        </w:rPr>
      </w:pPr>
    </w:p>
    <w:p w14:paraId="661100D2" w14:textId="77777777" w:rsidR="00817399" w:rsidRPr="002F2BC5" w:rsidRDefault="00817399" w:rsidP="00817399">
      <w:pPr>
        <w:pStyle w:val="afffffffa"/>
        <w:spacing w:line="269" w:lineRule="auto"/>
        <w:rPr>
          <w:rtl/>
        </w:rPr>
      </w:pPr>
      <w:bookmarkStart w:id="2007" w:name="_Toc191987151"/>
      <w:bookmarkStart w:id="2008" w:name="_Toc192093183"/>
      <w:bookmarkStart w:id="2009" w:name="_Toc192612891"/>
      <w:bookmarkStart w:id="2010" w:name="_Toc198312335"/>
      <w:bookmarkStart w:id="2011" w:name="_Toc198312819"/>
      <w:bookmarkStart w:id="2012" w:name="_Toc200636979"/>
      <w:bookmarkStart w:id="2013" w:name="_Toc200439977"/>
      <w:bookmarkStart w:id="2014" w:name="_Toc201241082"/>
      <w:r w:rsidRPr="002F2BC5">
        <w:rPr>
          <w:rFonts w:hint="cs"/>
          <w:rtl/>
        </w:rPr>
        <w:t>משרד מבקר המדינה ממליץ למשרד הרווחה לפעול להבטחת מימוש הזכאות לקבלת מענק ההסתגלות על ידי כלל הנשים הזכאיות לו. לצורך כך מומלץ למשרד הרווחה לנהל מעקב סדור ושוטף אחר העמידה של נשים יוצאות מקלט בתנאי הזכאות לקבלת מענק ההסתגלות לפי חוק זכויות לנשים ששהו במקלט ולבחון נתונים אלו מול הנתונים על הנשים שמימשו בפועל את הזכאות לקבלת המענק.</w:t>
      </w:r>
      <w:bookmarkEnd w:id="2007"/>
      <w:bookmarkEnd w:id="2008"/>
      <w:bookmarkEnd w:id="2009"/>
      <w:bookmarkEnd w:id="2010"/>
      <w:bookmarkEnd w:id="2011"/>
      <w:bookmarkEnd w:id="2012"/>
      <w:bookmarkEnd w:id="2013"/>
      <w:bookmarkEnd w:id="2014"/>
      <w:r w:rsidRPr="002F2BC5">
        <w:rPr>
          <w:rFonts w:hint="cs"/>
          <w:rtl/>
        </w:rPr>
        <w:t xml:space="preserve"> </w:t>
      </w:r>
    </w:p>
    <w:p w14:paraId="35597605" w14:textId="77777777" w:rsidR="00817399" w:rsidRPr="002F2BC5" w:rsidRDefault="00817399" w:rsidP="00817399">
      <w:pPr>
        <w:spacing w:line="269" w:lineRule="auto"/>
        <w:rPr>
          <w:rtl/>
        </w:rPr>
      </w:pPr>
    </w:p>
    <w:p w14:paraId="44116FB7"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6BF78769" w14:textId="77777777" w:rsidR="00817399" w:rsidRPr="002F2BC5" w:rsidRDefault="00817399" w:rsidP="00817399">
      <w:pPr>
        <w:pStyle w:val="afffffff7"/>
        <w:spacing w:before="0" w:line="269" w:lineRule="auto"/>
        <w:rPr>
          <w:b/>
          <w:bCs/>
          <w:rtl/>
        </w:rPr>
      </w:pPr>
      <w:bookmarkStart w:id="2015" w:name="_Toc198312336"/>
      <w:bookmarkStart w:id="2016" w:name="_Toc198312820"/>
      <w:bookmarkStart w:id="2017" w:name="_Toc189072285"/>
      <w:r w:rsidRPr="002F2BC5">
        <w:rPr>
          <w:b/>
          <w:bCs/>
          <w:noProof/>
        </w:rPr>
        <w:drawing>
          <wp:inline distT="0" distB="0" distL="0" distR="0" wp14:anchorId="49563780" wp14:editId="0B9BFF72">
            <wp:extent cx="4324350" cy="933450"/>
            <wp:effectExtent l="0" t="0" r="0" b="0"/>
            <wp:docPr id="49"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015"/>
      <w:bookmarkEnd w:id="2016"/>
    </w:p>
    <w:bookmarkEnd w:id="2017"/>
    <w:p w14:paraId="1212AF5F" w14:textId="77777777" w:rsidR="00817399" w:rsidRPr="002F2BC5" w:rsidRDefault="00817399" w:rsidP="00817399">
      <w:pPr>
        <w:spacing w:line="269" w:lineRule="auto"/>
        <w:rPr>
          <w:b/>
          <w:bCs/>
          <w:rtl/>
        </w:rPr>
      </w:pPr>
    </w:p>
    <w:p w14:paraId="71DE9C76" w14:textId="77777777" w:rsidR="00817399" w:rsidRPr="002F2BC5" w:rsidRDefault="00817399" w:rsidP="00817399">
      <w:pPr>
        <w:pStyle w:val="1ff"/>
        <w:bidi/>
        <w:rPr>
          <w:rtl/>
        </w:rPr>
      </w:pPr>
      <w:bookmarkStart w:id="2018" w:name="_Toc191987152"/>
      <w:r w:rsidRPr="002F2BC5">
        <w:rPr>
          <w:rFonts w:hint="cs"/>
          <w:rtl/>
        </w:rPr>
        <w:t>ניצול התקציב הייעודי לטובת שיקום נשים נפגעות אלימות</w:t>
      </w:r>
      <w:bookmarkEnd w:id="2018"/>
    </w:p>
    <w:p w14:paraId="0425499D" w14:textId="77777777" w:rsidR="00817399" w:rsidRPr="002F2BC5" w:rsidRDefault="00817399" w:rsidP="00817399">
      <w:pPr>
        <w:spacing w:line="269" w:lineRule="auto"/>
        <w:rPr>
          <w:rtl/>
        </w:rPr>
      </w:pPr>
    </w:p>
    <w:p w14:paraId="2585D17F" w14:textId="77777777" w:rsidR="00817399" w:rsidRPr="002F2BC5" w:rsidRDefault="00817399" w:rsidP="00817399">
      <w:pPr>
        <w:spacing w:line="269" w:lineRule="auto"/>
        <w:rPr>
          <w:rtl/>
        </w:rPr>
      </w:pPr>
      <w:bookmarkStart w:id="2019" w:name="_Toc191987153"/>
      <w:r w:rsidRPr="002F2BC5">
        <w:rPr>
          <w:rStyle w:val="70"/>
          <w:rFonts w:hint="cs"/>
          <w:rtl/>
        </w:rPr>
        <w:t>הביקורת הקודמת:</w:t>
      </w:r>
      <w:bookmarkEnd w:id="2019"/>
      <w:r w:rsidRPr="002F2BC5">
        <w:rPr>
          <w:rStyle w:val="70"/>
          <w:rFonts w:hint="cs"/>
          <w:rtl/>
        </w:rPr>
        <w:t xml:space="preserve"> </w:t>
      </w:r>
      <w:r w:rsidRPr="002F2BC5">
        <w:rPr>
          <w:rFonts w:hint="cs"/>
          <w:rtl/>
        </w:rPr>
        <w:t>נמצא כי בשנים 2018 ו-2019 לא נוצל במלואו התקציב שהוקצה לטובת שיקומן של נשים שיצאו ממעגל האלימות, ובכלל זה התקציב שהוקצה לטובת מענק ההסתגלות וסל השירותים: בשנת 2018 נוצל כ-53% מהתקציב שהוקצה (כ-1.79 מיליוני ש"ח מתוך כ-3.39 מיליוני ש"ח), ובשנת 2019 נוצל כ-12% מהתקציב האמור (כ-1.24 מיליוני ש"ח מתוך כ-10.75 מיליוני ש"ח).</w:t>
      </w:r>
    </w:p>
    <w:p w14:paraId="19C2B73A" w14:textId="77777777" w:rsidR="00817399" w:rsidRPr="002F2BC5" w:rsidRDefault="00817399" w:rsidP="00817399">
      <w:pPr>
        <w:spacing w:line="269" w:lineRule="auto"/>
        <w:rPr>
          <w:rtl/>
        </w:rPr>
      </w:pPr>
    </w:p>
    <w:p w14:paraId="5DFBE77D"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לבחון את החסמים לניצול התקציב שהוקצה לטובת שיקומן של נשים שנחלצו ממעגל האלימות ולפעול לניצולו המיטבי.</w:t>
      </w:r>
    </w:p>
    <w:p w14:paraId="23EC81D3" w14:textId="77777777" w:rsidR="00817399" w:rsidRPr="002F2BC5" w:rsidRDefault="00817399" w:rsidP="00817399">
      <w:pPr>
        <w:spacing w:line="269" w:lineRule="auto"/>
        <w:rPr>
          <w:rtl/>
        </w:rPr>
      </w:pPr>
    </w:p>
    <w:p w14:paraId="433D4635" w14:textId="77777777" w:rsidR="00817399" w:rsidRPr="002F2BC5" w:rsidRDefault="00817399" w:rsidP="00817399">
      <w:pPr>
        <w:spacing w:line="269" w:lineRule="auto"/>
        <w:rPr>
          <w:rtl/>
        </w:rPr>
      </w:pPr>
      <w:r w:rsidRPr="002F2BC5">
        <w:rPr>
          <w:rFonts w:hint="cs"/>
          <w:rtl/>
        </w:rPr>
        <w:t>משרד הרווחה מסר בתשובתו לביקורת הקודמת כי תוכנית "דף חדש" החלה לפעול בהדרגתיות מספטמבר 2019, ובפברואר 2021 החלה לפעול באופן מלא, וכי הוא אף פועל להרחבתה.</w:t>
      </w:r>
    </w:p>
    <w:p w14:paraId="20BB2ED4" w14:textId="77777777" w:rsidR="00817399" w:rsidRPr="002F2BC5" w:rsidRDefault="00817399" w:rsidP="00817399">
      <w:pPr>
        <w:spacing w:line="269" w:lineRule="auto"/>
        <w:rPr>
          <w:rtl/>
        </w:rPr>
      </w:pPr>
    </w:p>
    <w:p w14:paraId="4800511C" w14:textId="77777777" w:rsidR="00817399" w:rsidRPr="002F2BC5" w:rsidRDefault="00817399" w:rsidP="00817399">
      <w:pPr>
        <w:spacing w:line="269" w:lineRule="auto"/>
        <w:rPr>
          <w:rtl/>
        </w:rPr>
      </w:pPr>
      <w:bookmarkStart w:id="2020" w:name="_Toc191987154"/>
      <w:r w:rsidRPr="002F2BC5">
        <w:rPr>
          <w:rStyle w:val="70"/>
          <w:rFonts w:hint="cs"/>
          <w:rtl/>
        </w:rPr>
        <w:t>ביקורת המעקב:</w:t>
      </w:r>
      <w:bookmarkEnd w:id="2020"/>
      <w:r w:rsidRPr="002F2BC5">
        <w:rPr>
          <w:rStyle w:val="70"/>
          <w:rFonts w:hint="cs"/>
          <w:rtl/>
        </w:rPr>
        <w:t xml:space="preserve"> </w:t>
      </w:r>
      <w:r w:rsidRPr="002F2BC5">
        <w:rPr>
          <w:rFonts w:hint="cs"/>
          <w:rtl/>
        </w:rPr>
        <w:t>לפי נתוני משרד הרווחה, בשנים 2021 - 2023 שיעור ניצול התקציב במסגרת תוכנית "דף חדש" עמד בממוצע על כ-68%: בשנת 2021 נוצלו כ-6.5 מיליוני ש"ח (כ-71%) מתוך כ-9.3 מיליוני ש"ח; בשנת 2022 נוצלו כ-7.9 מיליוני ש"ח (כ-66%) מתוך כ-12.1 מיליוני ש"ח; ובשנת 2023 נוצלו כ-11.9 מיליוני ש"ח (כ-69%) מתוך כ-17.4 מיליוני ש"ח</w:t>
      </w:r>
      <w:r w:rsidRPr="002F2BC5">
        <w:rPr>
          <w:rStyle w:val="af9"/>
          <w:rtl/>
        </w:rPr>
        <w:footnoteReference w:id="405"/>
      </w:r>
      <w:r w:rsidRPr="002F2BC5">
        <w:rPr>
          <w:rFonts w:hint="cs"/>
          <w:rtl/>
        </w:rPr>
        <w:t xml:space="preserve">. </w:t>
      </w:r>
    </w:p>
    <w:p w14:paraId="4F346DB2" w14:textId="77777777" w:rsidR="00817399" w:rsidRPr="002F2BC5" w:rsidRDefault="00817399" w:rsidP="00817399">
      <w:pPr>
        <w:spacing w:line="269" w:lineRule="auto"/>
        <w:rPr>
          <w:rtl/>
        </w:rPr>
      </w:pPr>
    </w:p>
    <w:p w14:paraId="29612D4B" w14:textId="77777777" w:rsidR="00817399" w:rsidRPr="002F2BC5" w:rsidRDefault="00817399" w:rsidP="00817399">
      <w:pPr>
        <w:spacing w:line="269" w:lineRule="auto"/>
        <w:rPr>
          <w:rtl/>
        </w:rPr>
      </w:pPr>
      <w:r w:rsidRPr="002F2BC5">
        <w:rPr>
          <w:rFonts w:hint="cs"/>
          <w:rtl/>
        </w:rPr>
        <w:lastRenderedPageBreak/>
        <w:t>הביקורת הנוכחית העלתה עוד כי מחקר מלווה שנערך עבור משרד הרווחה על הפעלת התוכנית עבור נשים שנחלצו ממעגל האלימות בלי לשהות במקלט הצביע על הצלחתה בשמירה על ביטחונן של הנשים והישארותן מחוץ למעגל האלימות: לפי ממצאי המחקר, עם תחילת התוכנית כ-65% מהנשים דיווחו על כך שאינן נתונות עוד לאלימות מצד בן זוגן לעומת כ-80% מהן בסיומה של התוכנית. המחקר גם הצביע על תרומתה של התוכנית בסיוע להשתלבותן של הנשים הללו בשוק העבודה. לצד זאת, המחקר הצביע על תרומתה המוגבלת יחסית של התוכנית ביצירת אופק תעסוקתי ומקור הכנסה משמעותי יותר עבור הנשים. עורכי המחקר המליצו לבחון את האפשרות להאריך את משך התוכנית כדי לאפשר מתן מענה מותאם ומיטבי לנשים הזקוקות לכך</w:t>
      </w:r>
      <w:r w:rsidRPr="002F2BC5">
        <w:rPr>
          <w:rStyle w:val="af9"/>
          <w:rtl/>
        </w:rPr>
        <w:footnoteReference w:id="406"/>
      </w:r>
      <w:r w:rsidRPr="002F2BC5">
        <w:rPr>
          <w:rFonts w:hint="cs"/>
          <w:rtl/>
        </w:rPr>
        <w:t>.</w:t>
      </w:r>
    </w:p>
    <w:p w14:paraId="101351BE" w14:textId="77777777" w:rsidR="00817399" w:rsidRPr="002F2BC5" w:rsidRDefault="00817399" w:rsidP="00817399">
      <w:pPr>
        <w:spacing w:line="269" w:lineRule="auto"/>
        <w:rPr>
          <w:rtl/>
        </w:rPr>
      </w:pPr>
    </w:p>
    <w:p w14:paraId="5033A20A" w14:textId="77777777" w:rsidR="00817399" w:rsidRPr="002F2BC5" w:rsidRDefault="00817399" w:rsidP="00817399">
      <w:pPr>
        <w:spacing w:line="269" w:lineRule="auto"/>
        <w:rPr>
          <w:rtl/>
        </w:rPr>
      </w:pPr>
      <w:r w:rsidRPr="002F2BC5">
        <w:rPr>
          <w:rFonts w:hint="cs"/>
          <w:rtl/>
        </w:rPr>
        <w:t>יש לציין כי נוסף על תוכנית "דף חדש" משרד הרווחה מפעיל באמצעות נותני שירותים חיצוניים שתי תוכניות ייחודיות נוספות לסיוע לנשים שנחלצו ממעגל האלימות בהשתלבות בשוק התעסוקה ובהשגת עצמאות כלכלית (מיזם "רוח נשית" שפועל החל משנת 2018 ותוכנית "בדרכה" הפועלת החל משנת 2021 ומתמקדת בשילובן של נשים נפגעות אלימות בעולם ההייטק). תוכניות אלו ממומנות במשותף על ידי משרד הרווחה ונותני השירותים החיצוניים. נוסף על כך משנת 2021 ניתן סיוע כספי לנפגעי אלימות במשפחה (סל שירותים "גמיש") באמצעות הרשויות המקומיות</w:t>
      </w:r>
      <w:r w:rsidRPr="002F2BC5">
        <w:rPr>
          <w:rStyle w:val="af9"/>
          <w:rtl/>
        </w:rPr>
        <w:footnoteReference w:id="407"/>
      </w:r>
      <w:r w:rsidRPr="002F2BC5">
        <w:rPr>
          <w:rFonts w:hint="cs"/>
          <w:rtl/>
        </w:rPr>
        <w:t xml:space="preserve">, ומשנת 2023 גם באמצעות ארגון פילנתרופי (תוכניות הסיוע הייחודיות וסל השירותים ה"גמיש" ייקראו להלן יחדיו - תוכניות הסיוע הנוספות). </w:t>
      </w:r>
    </w:p>
    <w:p w14:paraId="67DC466D" w14:textId="77777777" w:rsidR="00817399" w:rsidRPr="002F2BC5" w:rsidRDefault="00817399" w:rsidP="00817399">
      <w:pPr>
        <w:spacing w:line="269" w:lineRule="auto"/>
        <w:rPr>
          <w:rtl/>
        </w:rPr>
      </w:pPr>
    </w:p>
    <w:p w14:paraId="0886B9EA" w14:textId="77777777" w:rsidR="00817399" w:rsidRPr="002F2BC5" w:rsidRDefault="00817399" w:rsidP="00817399">
      <w:pPr>
        <w:spacing w:line="269" w:lineRule="auto"/>
        <w:rPr>
          <w:b/>
          <w:bCs/>
          <w:rtl/>
        </w:rPr>
      </w:pPr>
      <w:r w:rsidRPr="002F2BC5">
        <w:rPr>
          <w:rFonts w:hint="eastAsia"/>
          <w:b/>
          <w:bCs/>
          <w:rtl/>
        </w:rPr>
        <w:t>הביקורת</w:t>
      </w:r>
      <w:r w:rsidRPr="002F2BC5">
        <w:rPr>
          <w:b/>
          <w:bCs/>
          <w:rtl/>
        </w:rPr>
        <w:t xml:space="preserve"> </w:t>
      </w:r>
      <w:r w:rsidRPr="002F2BC5">
        <w:rPr>
          <w:rFonts w:hint="eastAsia"/>
          <w:b/>
          <w:bCs/>
          <w:rtl/>
        </w:rPr>
        <w:t>הנוכחית</w:t>
      </w:r>
      <w:r w:rsidRPr="002F2BC5">
        <w:rPr>
          <w:b/>
          <w:bCs/>
          <w:rtl/>
        </w:rPr>
        <w:t xml:space="preserve"> </w:t>
      </w:r>
      <w:r w:rsidRPr="002F2BC5">
        <w:rPr>
          <w:rFonts w:hint="eastAsia"/>
          <w:b/>
          <w:bCs/>
          <w:rtl/>
        </w:rPr>
        <w:t>העלתה</w:t>
      </w:r>
      <w:r w:rsidRPr="002F2BC5">
        <w:rPr>
          <w:b/>
          <w:bCs/>
          <w:rtl/>
        </w:rPr>
        <w:t xml:space="preserve"> כי </w:t>
      </w:r>
      <w:r w:rsidRPr="002F2BC5">
        <w:rPr>
          <w:rFonts w:hint="eastAsia"/>
          <w:b/>
          <w:bCs/>
          <w:rtl/>
        </w:rPr>
        <w:t>במסגרת</w:t>
      </w:r>
      <w:r w:rsidRPr="002F2BC5">
        <w:rPr>
          <w:b/>
          <w:bCs/>
          <w:rtl/>
        </w:rPr>
        <w:t xml:space="preserve"> </w:t>
      </w:r>
      <w:r w:rsidRPr="002F2BC5">
        <w:rPr>
          <w:rFonts w:hint="eastAsia"/>
          <w:b/>
          <w:bCs/>
          <w:rtl/>
        </w:rPr>
        <w:t>תוכניות</w:t>
      </w:r>
      <w:r w:rsidRPr="002F2BC5">
        <w:rPr>
          <w:b/>
          <w:bCs/>
          <w:rtl/>
        </w:rPr>
        <w:t xml:space="preserve"> הסיוע </w:t>
      </w:r>
      <w:r w:rsidRPr="002F2BC5">
        <w:rPr>
          <w:rFonts w:hint="cs"/>
          <w:b/>
          <w:bCs/>
          <w:rtl/>
        </w:rPr>
        <w:t>הנוספות</w:t>
      </w:r>
      <w:r w:rsidRPr="002F2BC5">
        <w:rPr>
          <w:b/>
          <w:bCs/>
          <w:rtl/>
        </w:rPr>
        <w:t xml:space="preserve"> </w:t>
      </w:r>
      <w:r w:rsidRPr="002F2BC5">
        <w:rPr>
          <w:rFonts w:hint="eastAsia"/>
          <w:b/>
          <w:bCs/>
          <w:rtl/>
        </w:rPr>
        <w:t>שיעור</w:t>
      </w:r>
      <w:r w:rsidRPr="002F2BC5">
        <w:rPr>
          <w:b/>
          <w:bCs/>
          <w:rtl/>
        </w:rPr>
        <w:t xml:space="preserve"> ניצול התקציב </w:t>
      </w:r>
      <w:r w:rsidRPr="002F2BC5">
        <w:rPr>
          <w:rFonts w:hint="eastAsia"/>
          <w:b/>
          <w:bCs/>
          <w:rtl/>
        </w:rPr>
        <w:t>בשנים</w:t>
      </w:r>
      <w:r w:rsidRPr="002F2BC5">
        <w:rPr>
          <w:b/>
          <w:bCs/>
          <w:rtl/>
        </w:rPr>
        <w:t xml:space="preserve"> 2021 - 2023 היה </w:t>
      </w:r>
      <w:r w:rsidRPr="002F2BC5">
        <w:rPr>
          <w:rFonts w:hint="eastAsia"/>
          <w:b/>
          <w:bCs/>
          <w:rtl/>
        </w:rPr>
        <w:t>גבוה</w:t>
      </w:r>
      <w:r w:rsidRPr="002F2BC5">
        <w:rPr>
          <w:rFonts w:hint="cs"/>
          <w:b/>
          <w:bCs/>
          <w:rtl/>
        </w:rPr>
        <w:t>,</w:t>
      </w:r>
      <w:r w:rsidRPr="002F2BC5">
        <w:rPr>
          <w:b/>
          <w:bCs/>
          <w:rtl/>
        </w:rPr>
        <w:t xml:space="preserve"> </w:t>
      </w:r>
      <w:r w:rsidRPr="002F2BC5">
        <w:rPr>
          <w:rFonts w:hint="eastAsia"/>
          <w:b/>
          <w:bCs/>
          <w:rtl/>
        </w:rPr>
        <w:t>והתקציב</w:t>
      </w:r>
      <w:r w:rsidRPr="002F2BC5">
        <w:rPr>
          <w:b/>
          <w:bCs/>
          <w:rtl/>
        </w:rPr>
        <w:t xml:space="preserve"> </w:t>
      </w:r>
      <w:r w:rsidRPr="002F2BC5">
        <w:rPr>
          <w:rFonts w:hint="eastAsia"/>
          <w:b/>
          <w:bCs/>
          <w:rtl/>
        </w:rPr>
        <w:t>נוצל</w:t>
      </w:r>
      <w:r w:rsidRPr="002F2BC5">
        <w:rPr>
          <w:b/>
          <w:bCs/>
          <w:rtl/>
        </w:rPr>
        <w:t xml:space="preserve"> </w:t>
      </w:r>
      <w:r w:rsidRPr="002F2BC5">
        <w:rPr>
          <w:rFonts w:hint="eastAsia"/>
          <w:b/>
          <w:bCs/>
          <w:rtl/>
        </w:rPr>
        <w:t>במלואו</w:t>
      </w:r>
      <w:r w:rsidRPr="002F2BC5">
        <w:rPr>
          <w:b/>
          <w:bCs/>
          <w:rtl/>
        </w:rPr>
        <w:t xml:space="preserve"> </w:t>
      </w:r>
      <w:r w:rsidRPr="002F2BC5">
        <w:rPr>
          <w:rFonts w:hint="eastAsia"/>
          <w:b/>
          <w:bCs/>
          <w:rtl/>
        </w:rPr>
        <w:t>או</w:t>
      </w:r>
      <w:r w:rsidRPr="002F2BC5">
        <w:rPr>
          <w:b/>
          <w:bCs/>
          <w:rtl/>
        </w:rPr>
        <w:t xml:space="preserve"> </w:t>
      </w:r>
      <w:r w:rsidRPr="002F2BC5">
        <w:rPr>
          <w:rFonts w:hint="eastAsia"/>
          <w:b/>
          <w:bCs/>
          <w:rtl/>
        </w:rPr>
        <w:t>כמעט</w:t>
      </w:r>
      <w:r w:rsidRPr="002F2BC5">
        <w:rPr>
          <w:b/>
          <w:bCs/>
          <w:rtl/>
        </w:rPr>
        <w:t xml:space="preserve"> </w:t>
      </w:r>
      <w:r w:rsidRPr="002F2BC5">
        <w:rPr>
          <w:rFonts w:hint="eastAsia"/>
          <w:b/>
          <w:bCs/>
          <w:rtl/>
        </w:rPr>
        <w:t>במלואו</w:t>
      </w:r>
      <w:r w:rsidRPr="002F2BC5">
        <w:rPr>
          <w:b/>
          <w:bCs/>
          <w:rtl/>
        </w:rPr>
        <w:t xml:space="preserve">: </w:t>
      </w:r>
      <w:r w:rsidRPr="002F2BC5">
        <w:rPr>
          <w:rFonts w:hint="eastAsia"/>
          <w:b/>
          <w:bCs/>
          <w:rtl/>
        </w:rPr>
        <w:t>מתוך</w:t>
      </w:r>
      <w:r w:rsidRPr="002F2BC5">
        <w:rPr>
          <w:b/>
          <w:bCs/>
          <w:rtl/>
        </w:rPr>
        <w:t xml:space="preserve"> </w:t>
      </w:r>
      <w:r w:rsidRPr="002F2BC5">
        <w:rPr>
          <w:rFonts w:hint="eastAsia"/>
          <w:b/>
          <w:bCs/>
          <w:rtl/>
        </w:rPr>
        <w:t>כ</w:t>
      </w:r>
      <w:r w:rsidRPr="002F2BC5">
        <w:rPr>
          <w:b/>
          <w:bCs/>
          <w:rtl/>
        </w:rPr>
        <w:t>-</w:t>
      </w:r>
      <w:r w:rsidRPr="002F2BC5">
        <w:rPr>
          <w:rFonts w:hint="cs"/>
          <w:b/>
          <w:bCs/>
          <w:rtl/>
        </w:rPr>
        <w:t>29.2</w:t>
      </w:r>
      <w:r w:rsidRPr="002F2BC5">
        <w:rPr>
          <w:b/>
          <w:bCs/>
          <w:rtl/>
        </w:rPr>
        <w:t xml:space="preserve"> </w:t>
      </w:r>
      <w:r w:rsidRPr="002F2BC5">
        <w:rPr>
          <w:rFonts w:hint="eastAsia"/>
          <w:b/>
          <w:bCs/>
          <w:rtl/>
        </w:rPr>
        <w:t>מיליוני</w:t>
      </w:r>
      <w:r w:rsidRPr="002F2BC5">
        <w:rPr>
          <w:b/>
          <w:bCs/>
          <w:rtl/>
        </w:rPr>
        <w:t xml:space="preserve"> </w:t>
      </w:r>
      <w:r w:rsidRPr="002F2BC5">
        <w:rPr>
          <w:rFonts w:hint="eastAsia"/>
          <w:b/>
          <w:bCs/>
          <w:rtl/>
        </w:rPr>
        <w:t>ש</w:t>
      </w:r>
      <w:r w:rsidRPr="002F2BC5">
        <w:rPr>
          <w:b/>
          <w:bCs/>
          <w:rtl/>
        </w:rPr>
        <w:t xml:space="preserve">"ח </w:t>
      </w:r>
      <w:r w:rsidRPr="002F2BC5">
        <w:rPr>
          <w:rFonts w:hint="eastAsia"/>
          <w:b/>
          <w:bCs/>
          <w:rtl/>
        </w:rPr>
        <w:t>נוצלו</w:t>
      </w:r>
      <w:r w:rsidRPr="002F2BC5">
        <w:rPr>
          <w:b/>
          <w:bCs/>
          <w:rtl/>
        </w:rPr>
        <w:t xml:space="preserve"> </w:t>
      </w:r>
      <w:r w:rsidRPr="002F2BC5">
        <w:rPr>
          <w:rFonts w:hint="eastAsia"/>
          <w:b/>
          <w:bCs/>
          <w:rtl/>
        </w:rPr>
        <w:t>כ</w:t>
      </w:r>
      <w:r w:rsidRPr="002F2BC5">
        <w:rPr>
          <w:b/>
          <w:bCs/>
          <w:rtl/>
        </w:rPr>
        <w:t>-</w:t>
      </w:r>
      <w:r w:rsidRPr="002F2BC5">
        <w:rPr>
          <w:rFonts w:hint="cs"/>
          <w:b/>
          <w:bCs/>
          <w:rtl/>
        </w:rPr>
        <w:t>28.6</w:t>
      </w:r>
      <w:r w:rsidRPr="002F2BC5">
        <w:rPr>
          <w:b/>
          <w:bCs/>
          <w:rtl/>
        </w:rPr>
        <w:t xml:space="preserve"> </w:t>
      </w:r>
      <w:r w:rsidRPr="002F2BC5">
        <w:rPr>
          <w:rFonts w:hint="eastAsia"/>
          <w:b/>
          <w:bCs/>
          <w:rtl/>
        </w:rPr>
        <w:t>מיליוני</w:t>
      </w:r>
      <w:r w:rsidRPr="002F2BC5">
        <w:rPr>
          <w:b/>
          <w:bCs/>
          <w:rtl/>
        </w:rPr>
        <w:t xml:space="preserve"> </w:t>
      </w:r>
      <w:r w:rsidRPr="002F2BC5">
        <w:rPr>
          <w:rFonts w:hint="eastAsia"/>
          <w:b/>
          <w:bCs/>
          <w:rtl/>
        </w:rPr>
        <w:t>ש</w:t>
      </w:r>
      <w:r w:rsidRPr="002F2BC5">
        <w:rPr>
          <w:b/>
          <w:bCs/>
          <w:rtl/>
        </w:rPr>
        <w:t xml:space="preserve">"ח (ניצול </w:t>
      </w:r>
      <w:r w:rsidRPr="002F2BC5">
        <w:rPr>
          <w:rFonts w:hint="eastAsia"/>
          <w:b/>
          <w:bCs/>
          <w:rtl/>
        </w:rPr>
        <w:t>של</w:t>
      </w:r>
      <w:r w:rsidRPr="002F2BC5">
        <w:rPr>
          <w:b/>
          <w:bCs/>
          <w:rtl/>
        </w:rPr>
        <w:t xml:space="preserve"> </w:t>
      </w:r>
      <w:r w:rsidRPr="002F2BC5">
        <w:rPr>
          <w:rFonts w:hint="eastAsia"/>
          <w:b/>
          <w:bCs/>
          <w:rtl/>
        </w:rPr>
        <w:t>כ</w:t>
      </w:r>
      <w:r w:rsidRPr="002F2BC5">
        <w:rPr>
          <w:b/>
          <w:bCs/>
          <w:rtl/>
        </w:rPr>
        <w:t>-98%)</w:t>
      </w:r>
      <w:r w:rsidRPr="002F2BC5">
        <w:rPr>
          <w:rStyle w:val="af9"/>
          <w:b/>
          <w:bCs/>
          <w:rtl/>
        </w:rPr>
        <w:footnoteReference w:id="408"/>
      </w:r>
      <w:r w:rsidRPr="002F2BC5">
        <w:rPr>
          <w:b/>
          <w:bCs/>
          <w:rtl/>
        </w:rPr>
        <w:t xml:space="preserve">. </w:t>
      </w:r>
    </w:p>
    <w:p w14:paraId="3396F237" w14:textId="77777777" w:rsidR="00817399" w:rsidRPr="002F2BC5" w:rsidRDefault="00817399" w:rsidP="00817399">
      <w:pPr>
        <w:spacing w:line="269" w:lineRule="auto"/>
        <w:rPr>
          <w:rtl/>
        </w:rPr>
      </w:pPr>
    </w:p>
    <w:p w14:paraId="40D70843" w14:textId="7237D963" w:rsidR="00817399" w:rsidRPr="002F2BC5" w:rsidRDefault="00817399" w:rsidP="00817399">
      <w:pPr>
        <w:spacing w:line="269" w:lineRule="auto"/>
        <w:rPr>
          <w:rtl/>
        </w:rPr>
      </w:pPr>
      <w:r w:rsidRPr="002F2BC5">
        <w:rPr>
          <w:rFonts w:hint="cs"/>
          <w:rtl/>
        </w:rPr>
        <w:t xml:space="preserve">ריכוז הנתונים על הקצאת התקציב וניצולו בשנים 2021 - 2023 במסגרת תוכניות הסיוע לנשים נפגעות אלימות וילדיהן </w:t>
      </w:r>
      <w:r w:rsidRPr="002F2BC5">
        <w:rPr>
          <w:rFonts w:hint="eastAsia"/>
          <w:rtl/>
        </w:rPr>
        <w:t>מוצג</w:t>
      </w:r>
      <w:r w:rsidRPr="002F2BC5">
        <w:rPr>
          <w:rtl/>
        </w:rPr>
        <w:t xml:space="preserve"> </w:t>
      </w:r>
      <w:r w:rsidRPr="002F2BC5">
        <w:rPr>
          <w:rFonts w:hint="eastAsia"/>
          <w:rtl/>
        </w:rPr>
        <w:t>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Ref189032160 \n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24</w:t>
      </w:r>
      <w:r w:rsidRPr="002F2BC5">
        <w:rPr>
          <w:rtl/>
        </w:rPr>
        <w:fldChar w:fldCharType="end"/>
      </w:r>
      <w:r w:rsidRPr="002F2BC5">
        <w:rPr>
          <w:rFonts w:hint="cs"/>
          <w:rtl/>
        </w:rPr>
        <w:t xml:space="preserve"> שלהלן.</w:t>
      </w:r>
    </w:p>
    <w:p w14:paraId="1464DBD8" w14:textId="77777777" w:rsidR="00817399" w:rsidRPr="002F2BC5" w:rsidRDefault="00817399" w:rsidP="00817399">
      <w:pPr>
        <w:pStyle w:val="a9"/>
        <w:spacing w:line="269" w:lineRule="auto"/>
        <w:rPr>
          <w:b w:val="0"/>
          <w:bCs/>
          <w:rtl/>
        </w:rPr>
      </w:pPr>
      <w:bookmarkStart w:id="2021" w:name="_Ref189032160"/>
      <w:bookmarkStart w:id="2022" w:name="_Toc192672916"/>
      <w:r w:rsidRPr="002F2BC5">
        <w:rPr>
          <w:rFonts w:hint="cs"/>
          <w:rtl/>
        </w:rPr>
        <w:lastRenderedPageBreak/>
        <w:t xml:space="preserve">: </w:t>
      </w:r>
      <w:r w:rsidRPr="002F2BC5">
        <w:rPr>
          <w:rFonts w:hint="eastAsia"/>
          <w:b w:val="0"/>
          <w:bCs/>
          <w:rtl/>
        </w:rPr>
        <w:t>הקצאת</w:t>
      </w:r>
      <w:r w:rsidRPr="002F2BC5">
        <w:rPr>
          <w:b w:val="0"/>
          <w:bCs/>
          <w:rtl/>
        </w:rPr>
        <w:t xml:space="preserve"> התקציב </w:t>
      </w:r>
      <w:r w:rsidRPr="002F2BC5">
        <w:rPr>
          <w:rFonts w:hint="eastAsia"/>
          <w:b w:val="0"/>
          <w:bCs/>
          <w:rtl/>
        </w:rPr>
        <w:t>וניצולו</w:t>
      </w:r>
      <w:r w:rsidRPr="002F2BC5">
        <w:rPr>
          <w:b w:val="0"/>
          <w:bCs/>
          <w:rtl/>
        </w:rPr>
        <w:t xml:space="preserve"> </w:t>
      </w:r>
      <w:r w:rsidRPr="002F2BC5">
        <w:rPr>
          <w:rFonts w:hint="eastAsia"/>
          <w:b w:val="0"/>
          <w:bCs/>
          <w:rtl/>
        </w:rPr>
        <w:t>במסגרת</w:t>
      </w:r>
      <w:r w:rsidRPr="002F2BC5">
        <w:rPr>
          <w:b w:val="0"/>
          <w:bCs/>
          <w:rtl/>
        </w:rPr>
        <w:t xml:space="preserve"> </w:t>
      </w:r>
      <w:r w:rsidRPr="002F2BC5">
        <w:rPr>
          <w:rFonts w:hint="eastAsia"/>
          <w:b w:val="0"/>
          <w:bCs/>
          <w:rtl/>
        </w:rPr>
        <w:t>תוכניות</w:t>
      </w:r>
      <w:r w:rsidRPr="002F2BC5">
        <w:rPr>
          <w:b w:val="0"/>
          <w:bCs/>
          <w:rtl/>
        </w:rPr>
        <w:t xml:space="preserve"> </w:t>
      </w:r>
      <w:r w:rsidRPr="002F2BC5">
        <w:rPr>
          <w:rFonts w:hint="eastAsia"/>
          <w:b w:val="0"/>
          <w:bCs/>
          <w:rtl/>
        </w:rPr>
        <w:t>הסיוע</w:t>
      </w:r>
      <w:r w:rsidRPr="002F2BC5">
        <w:rPr>
          <w:b w:val="0"/>
          <w:bCs/>
          <w:rtl/>
        </w:rPr>
        <w:t xml:space="preserve"> </w:t>
      </w:r>
      <w:r w:rsidRPr="002F2BC5">
        <w:rPr>
          <w:rFonts w:hint="eastAsia"/>
          <w:b w:val="0"/>
          <w:bCs/>
          <w:rtl/>
        </w:rPr>
        <w:t>לנשים</w:t>
      </w:r>
      <w:r w:rsidRPr="002F2BC5">
        <w:rPr>
          <w:b w:val="0"/>
          <w:bCs/>
          <w:rtl/>
        </w:rPr>
        <w:t xml:space="preserve"> </w:t>
      </w:r>
      <w:r w:rsidRPr="002F2BC5">
        <w:rPr>
          <w:rFonts w:hint="eastAsia"/>
          <w:b w:val="0"/>
          <w:bCs/>
          <w:rtl/>
        </w:rPr>
        <w:t>נפגעות</w:t>
      </w:r>
      <w:r w:rsidRPr="002F2BC5">
        <w:rPr>
          <w:b w:val="0"/>
          <w:bCs/>
          <w:rtl/>
        </w:rPr>
        <w:t xml:space="preserve"> </w:t>
      </w:r>
      <w:r w:rsidRPr="002F2BC5">
        <w:rPr>
          <w:rFonts w:hint="eastAsia"/>
          <w:b w:val="0"/>
          <w:bCs/>
          <w:rtl/>
        </w:rPr>
        <w:t>אלימות</w:t>
      </w:r>
      <w:r w:rsidRPr="002F2BC5">
        <w:rPr>
          <w:b w:val="0"/>
          <w:bCs/>
          <w:rtl/>
        </w:rPr>
        <w:t xml:space="preserve"> </w:t>
      </w:r>
      <w:r w:rsidRPr="002F2BC5">
        <w:rPr>
          <w:rFonts w:hint="eastAsia"/>
          <w:b w:val="0"/>
          <w:bCs/>
          <w:rtl/>
        </w:rPr>
        <w:t>וילדיהן</w:t>
      </w:r>
      <w:r w:rsidRPr="002F2BC5">
        <w:rPr>
          <w:b w:val="0"/>
          <w:bCs/>
          <w:rtl/>
        </w:rPr>
        <w:t>, 2021 - 2023</w:t>
      </w:r>
      <w:bookmarkEnd w:id="2021"/>
      <w:bookmarkEnd w:id="2022"/>
    </w:p>
    <w:p w14:paraId="7C52975A"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7AA37900" wp14:editId="6C65E4DE">
            <wp:extent cx="5220000" cy="1848834"/>
            <wp:effectExtent l="0" t="0" r="0" b="0"/>
            <wp:docPr id="2052770994" name="תמונה 205277099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20000" cy="1848834"/>
                    </a:xfrm>
                    <a:prstGeom prst="rect">
                      <a:avLst/>
                    </a:prstGeom>
                    <a:noFill/>
                  </pic:spPr>
                </pic:pic>
              </a:graphicData>
            </a:graphic>
          </wp:inline>
        </w:drawing>
      </w:r>
    </w:p>
    <w:p w14:paraId="07854625" w14:textId="77777777" w:rsidR="00817399" w:rsidRPr="002F2BC5" w:rsidRDefault="00817399" w:rsidP="00817399">
      <w:pPr>
        <w:pStyle w:val="afffffff1"/>
        <w:bidi/>
        <w:spacing w:line="269" w:lineRule="auto"/>
        <w:rPr>
          <w:rtl/>
        </w:rPr>
      </w:pPr>
      <w:r w:rsidRPr="002F2BC5">
        <w:rPr>
          <w:rFonts w:hint="cs"/>
          <w:rtl/>
        </w:rPr>
        <w:t>לפי נתוני משרד הרווחה על הקצאת התקציב וניצולו במסגרת תוכניות הסיוע בשנים 2021 - 2023, בעיבוד משרד מבקר המדינה.</w:t>
      </w:r>
    </w:p>
    <w:p w14:paraId="1EE0A307" w14:textId="77777777" w:rsidR="00817399" w:rsidRPr="002F2BC5" w:rsidRDefault="00817399" w:rsidP="00817399">
      <w:pPr>
        <w:pStyle w:val="afffffff1"/>
        <w:bidi/>
        <w:spacing w:line="269" w:lineRule="auto"/>
        <w:rPr>
          <w:rtl/>
        </w:rPr>
      </w:pPr>
      <w:r w:rsidRPr="002F2BC5">
        <w:rPr>
          <w:rtl/>
        </w:rPr>
        <w:t xml:space="preserve">* </w:t>
      </w:r>
      <w:r w:rsidRPr="002F2BC5">
        <w:rPr>
          <w:rFonts w:hint="eastAsia"/>
          <w:rtl/>
        </w:rPr>
        <w:t>התקציב</w:t>
      </w:r>
      <w:r w:rsidRPr="002F2BC5">
        <w:rPr>
          <w:rtl/>
        </w:rPr>
        <w:t xml:space="preserve"> </w:t>
      </w:r>
      <w:r w:rsidRPr="002F2BC5">
        <w:rPr>
          <w:rFonts w:hint="cs"/>
          <w:rtl/>
        </w:rPr>
        <w:t xml:space="preserve">נוצל </w:t>
      </w:r>
      <w:r w:rsidRPr="002F2BC5">
        <w:rPr>
          <w:rFonts w:hint="eastAsia"/>
          <w:rtl/>
        </w:rPr>
        <w:t>במלואו</w:t>
      </w:r>
      <w:r w:rsidRPr="002F2BC5">
        <w:rPr>
          <w:rtl/>
        </w:rPr>
        <w:t>.</w:t>
      </w:r>
    </w:p>
    <w:p w14:paraId="2ADB161E" w14:textId="77777777" w:rsidR="00817399" w:rsidRPr="002F2BC5" w:rsidRDefault="00817399" w:rsidP="00817399">
      <w:pPr>
        <w:pStyle w:val="afffffff1"/>
        <w:bidi/>
        <w:spacing w:line="269" w:lineRule="auto"/>
        <w:rPr>
          <w:b/>
          <w:bCs/>
          <w:rtl/>
        </w:rPr>
      </w:pPr>
      <w:r w:rsidRPr="002F2BC5">
        <w:rPr>
          <w:rFonts w:hint="cs"/>
          <w:rtl/>
        </w:rPr>
        <w:t xml:space="preserve">** מימון משותף של משרד הרווחה </w:t>
      </w:r>
      <w:r w:rsidRPr="002F2BC5">
        <w:rPr>
          <w:rFonts w:hint="eastAsia"/>
          <w:rtl/>
        </w:rPr>
        <w:t>וארגון</w:t>
      </w:r>
      <w:r w:rsidRPr="002F2BC5">
        <w:rPr>
          <w:rtl/>
        </w:rPr>
        <w:t xml:space="preserve"> </w:t>
      </w:r>
      <w:r w:rsidRPr="002F2BC5">
        <w:rPr>
          <w:rFonts w:hint="eastAsia"/>
          <w:rtl/>
        </w:rPr>
        <w:t>פילנתרופי</w:t>
      </w:r>
      <w:r w:rsidRPr="002F2BC5">
        <w:rPr>
          <w:rFonts w:hint="cs"/>
          <w:rtl/>
        </w:rPr>
        <w:t xml:space="preserve"> כאשר חלקו של משרד הרווחה במימון עומד על כ-50%.</w:t>
      </w:r>
    </w:p>
    <w:p w14:paraId="31EC36D2" w14:textId="77777777" w:rsidR="00817399" w:rsidRPr="002F2BC5" w:rsidRDefault="00817399" w:rsidP="00817399">
      <w:pPr>
        <w:pStyle w:val="afffffff1"/>
        <w:bidi/>
        <w:spacing w:line="269" w:lineRule="auto"/>
        <w:rPr>
          <w:rtl/>
        </w:rPr>
      </w:pPr>
      <w:r w:rsidRPr="002F2BC5">
        <w:rPr>
          <w:rtl/>
        </w:rPr>
        <w:t>*</w:t>
      </w:r>
      <w:r w:rsidRPr="002F2BC5">
        <w:rPr>
          <w:rFonts w:hint="cs"/>
          <w:rtl/>
        </w:rPr>
        <w:t>*</w:t>
      </w:r>
      <w:r w:rsidRPr="002F2BC5">
        <w:rPr>
          <w:rtl/>
        </w:rPr>
        <w:t xml:space="preserve">* </w:t>
      </w:r>
      <w:r w:rsidRPr="002F2BC5">
        <w:rPr>
          <w:rFonts w:hint="eastAsia"/>
          <w:rtl/>
        </w:rPr>
        <w:t>התקציב</w:t>
      </w:r>
      <w:r w:rsidRPr="002F2BC5">
        <w:rPr>
          <w:rtl/>
        </w:rPr>
        <w:t xml:space="preserve"> </w:t>
      </w:r>
      <w:r w:rsidRPr="002F2BC5">
        <w:rPr>
          <w:rFonts w:hint="cs"/>
          <w:rtl/>
        </w:rPr>
        <w:t xml:space="preserve">נוצל </w:t>
      </w:r>
      <w:r w:rsidRPr="002F2BC5">
        <w:rPr>
          <w:rFonts w:hint="eastAsia"/>
          <w:rtl/>
        </w:rPr>
        <w:t>במלואו</w:t>
      </w:r>
      <w:r w:rsidRPr="002F2BC5">
        <w:rPr>
          <w:rtl/>
        </w:rPr>
        <w:t>.</w:t>
      </w:r>
      <w:r w:rsidRPr="002F2BC5">
        <w:rPr>
          <w:rFonts w:hint="cs"/>
          <w:rtl/>
        </w:rPr>
        <w:t xml:space="preserve"> עם זאת, </w:t>
      </w:r>
      <w:r w:rsidRPr="002F2BC5">
        <w:rPr>
          <w:rFonts w:hint="eastAsia"/>
          <w:rtl/>
        </w:rPr>
        <w:t>הנתונים</w:t>
      </w:r>
      <w:r w:rsidRPr="002F2BC5">
        <w:rPr>
          <w:rtl/>
        </w:rPr>
        <w:t xml:space="preserve"> </w:t>
      </w:r>
      <w:r w:rsidRPr="002F2BC5">
        <w:rPr>
          <w:rFonts w:hint="eastAsia"/>
          <w:rtl/>
        </w:rPr>
        <w:t>על</w:t>
      </w:r>
      <w:r w:rsidRPr="002F2BC5">
        <w:rPr>
          <w:rtl/>
        </w:rPr>
        <w:t xml:space="preserve"> </w:t>
      </w:r>
      <w:r w:rsidRPr="002F2BC5">
        <w:rPr>
          <w:rFonts w:hint="eastAsia"/>
          <w:rtl/>
        </w:rPr>
        <w:t>ניצול</w:t>
      </w:r>
      <w:r w:rsidRPr="002F2BC5">
        <w:rPr>
          <w:rtl/>
        </w:rPr>
        <w:t xml:space="preserve"> </w:t>
      </w:r>
      <w:r w:rsidRPr="002F2BC5">
        <w:rPr>
          <w:rFonts w:hint="eastAsia"/>
          <w:rtl/>
        </w:rPr>
        <w:t>התקציב</w:t>
      </w:r>
      <w:r w:rsidRPr="002F2BC5">
        <w:rPr>
          <w:rtl/>
        </w:rPr>
        <w:t xml:space="preserve"> </w:t>
      </w:r>
      <w:r w:rsidRPr="002F2BC5">
        <w:rPr>
          <w:rFonts w:hint="cs"/>
          <w:rtl/>
        </w:rPr>
        <w:t>מוערכ</w:t>
      </w:r>
      <w:r w:rsidRPr="002F2BC5">
        <w:rPr>
          <w:rFonts w:hint="eastAsia"/>
          <w:rtl/>
        </w:rPr>
        <w:t>ים</w:t>
      </w:r>
      <w:r w:rsidRPr="002F2BC5">
        <w:rPr>
          <w:rFonts w:hint="cs"/>
          <w:rtl/>
        </w:rPr>
        <w:t>,</w:t>
      </w:r>
      <w:r w:rsidRPr="002F2BC5">
        <w:rPr>
          <w:rtl/>
        </w:rPr>
        <w:t xml:space="preserve"> </w:t>
      </w:r>
      <w:r w:rsidRPr="002F2BC5">
        <w:rPr>
          <w:rFonts w:hint="eastAsia"/>
          <w:rtl/>
        </w:rPr>
        <w:t>שכן</w:t>
      </w:r>
      <w:r w:rsidRPr="002F2BC5">
        <w:rPr>
          <w:rtl/>
        </w:rPr>
        <w:t xml:space="preserve"> </w:t>
      </w:r>
      <w:r w:rsidRPr="002F2BC5">
        <w:rPr>
          <w:rFonts w:hint="eastAsia"/>
          <w:rtl/>
        </w:rPr>
        <w:t>התקציב</w:t>
      </w:r>
      <w:r w:rsidRPr="002F2BC5">
        <w:rPr>
          <w:rtl/>
        </w:rPr>
        <w:t xml:space="preserve"> </w:t>
      </w:r>
      <w:r w:rsidRPr="002F2BC5">
        <w:rPr>
          <w:rFonts w:hint="eastAsia"/>
          <w:rtl/>
        </w:rPr>
        <w:t>מנוהל</w:t>
      </w:r>
      <w:r w:rsidRPr="002F2BC5">
        <w:rPr>
          <w:rtl/>
        </w:rPr>
        <w:t xml:space="preserve"> </w:t>
      </w:r>
      <w:r w:rsidRPr="002F2BC5">
        <w:rPr>
          <w:rFonts w:hint="eastAsia"/>
          <w:rtl/>
        </w:rPr>
        <w:t>בתקנה</w:t>
      </w:r>
      <w:r w:rsidRPr="002F2BC5">
        <w:rPr>
          <w:rtl/>
        </w:rPr>
        <w:t xml:space="preserve"> </w:t>
      </w:r>
      <w:r w:rsidRPr="002F2BC5">
        <w:rPr>
          <w:rFonts w:hint="eastAsia"/>
          <w:rtl/>
        </w:rPr>
        <w:t>תקציבית</w:t>
      </w:r>
      <w:r w:rsidRPr="002F2BC5">
        <w:rPr>
          <w:rtl/>
        </w:rPr>
        <w:t xml:space="preserve"> </w:t>
      </w:r>
      <w:r w:rsidRPr="002F2BC5">
        <w:rPr>
          <w:rFonts w:hint="eastAsia"/>
          <w:rtl/>
        </w:rPr>
        <w:t>נפרדת</w:t>
      </w:r>
      <w:r w:rsidRPr="002F2BC5">
        <w:rPr>
          <w:rtl/>
        </w:rPr>
        <w:t xml:space="preserve"> </w:t>
      </w:r>
      <w:r w:rsidRPr="002F2BC5">
        <w:rPr>
          <w:rFonts w:hint="eastAsia"/>
          <w:rtl/>
        </w:rPr>
        <w:t>באופן</w:t>
      </w:r>
      <w:r w:rsidRPr="002F2BC5">
        <w:rPr>
          <w:rtl/>
        </w:rPr>
        <w:t xml:space="preserve"> </w:t>
      </w:r>
      <w:r w:rsidRPr="002F2BC5">
        <w:rPr>
          <w:rFonts w:hint="eastAsia"/>
          <w:rtl/>
        </w:rPr>
        <w:t>שאינו</w:t>
      </w:r>
      <w:r w:rsidRPr="002F2BC5">
        <w:rPr>
          <w:rtl/>
        </w:rPr>
        <w:t xml:space="preserve"> </w:t>
      </w:r>
      <w:r w:rsidRPr="002F2BC5">
        <w:rPr>
          <w:rFonts w:hint="eastAsia"/>
          <w:rtl/>
        </w:rPr>
        <w:t>מאפשר</w:t>
      </w:r>
      <w:r w:rsidRPr="002F2BC5">
        <w:rPr>
          <w:rtl/>
        </w:rPr>
        <w:t xml:space="preserve"> </w:t>
      </w:r>
      <w:r w:rsidRPr="002F2BC5">
        <w:rPr>
          <w:rFonts w:hint="eastAsia"/>
          <w:rtl/>
        </w:rPr>
        <w:t>מעקב</w:t>
      </w:r>
      <w:r w:rsidRPr="002F2BC5">
        <w:rPr>
          <w:rtl/>
        </w:rPr>
        <w:t xml:space="preserve"> </w:t>
      </w:r>
      <w:r w:rsidRPr="002F2BC5">
        <w:rPr>
          <w:rFonts w:hint="eastAsia"/>
          <w:rtl/>
        </w:rPr>
        <w:t>מדויק</w:t>
      </w:r>
      <w:r w:rsidRPr="002F2BC5">
        <w:rPr>
          <w:rtl/>
        </w:rPr>
        <w:t xml:space="preserve"> </w:t>
      </w:r>
      <w:r w:rsidRPr="002F2BC5">
        <w:rPr>
          <w:rFonts w:hint="eastAsia"/>
          <w:rtl/>
        </w:rPr>
        <w:t>על</w:t>
      </w:r>
      <w:r w:rsidRPr="002F2BC5">
        <w:rPr>
          <w:rtl/>
        </w:rPr>
        <w:t xml:space="preserve"> </w:t>
      </w:r>
      <w:r w:rsidRPr="002F2BC5">
        <w:rPr>
          <w:rFonts w:hint="eastAsia"/>
          <w:rtl/>
        </w:rPr>
        <w:t>ניצול</w:t>
      </w:r>
      <w:r w:rsidRPr="002F2BC5">
        <w:rPr>
          <w:rtl/>
        </w:rPr>
        <w:t xml:space="preserve"> </w:t>
      </w:r>
      <w:r w:rsidRPr="002F2BC5">
        <w:rPr>
          <w:rFonts w:hint="eastAsia"/>
          <w:rtl/>
        </w:rPr>
        <w:t>התקציב</w:t>
      </w:r>
      <w:r w:rsidRPr="002F2BC5">
        <w:rPr>
          <w:rtl/>
        </w:rPr>
        <w:t>.</w:t>
      </w:r>
    </w:p>
    <w:p w14:paraId="4DFFD96D" w14:textId="77777777" w:rsidR="00817399" w:rsidRPr="002F2BC5" w:rsidRDefault="00817399" w:rsidP="00817399">
      <w:pPr>
        <w:spacing w:line="269" w:lineRule="auto"/>
        <w:rPr>
          <w:rtl/>
        </w:rPr>
      </w:pPr>
    </w:p>
    <w:p w14:paraId="6B44FAD8" w14:textId="77777777" w:rsidR="00817399" w:rsidRPr="002F2BC5" w:rsidRDefault="00817399" w:rsidP="00817399">
      <w:pPr>
        <w:pStyle w:val="afffffff9"/>
        <w:spacing w:line="269" w:lineRule="auto"/>
        <w:rPr>
          <w:rtl/>
        </w:rPr>
      </w:pPr>
      <w:bookmarkStart w:id="2023" w:name="_Toc191987155"/>
      <w:bookmarkStart w:id="2024" w:name="_Toc192093184"/>
      <w:bookmarkStart w:id="2025" w:name="_Toc192612892"/>
      <w:bookmarkStart w:id="2026" w:name="_Toc198312337"/>
      <w:bookmarkStart w:id="2027" w:name="_Toc198312821"/>
      <w:bookmarkStart w:id="2028" w:name="_Toc200636980"/>
      <w:bookmarkStart w:id="2029" w:name="_Toc200439978"/>
      <w:bookmarkStart w:id="2030" w:name="_Toc201241083"/>
      <w:bookmarkStart w:id="2031" w:name="_Hlk192069687"/>
      <w:r w:rsidRPr="002F2BC5">
        <w:rPr>
          <w:rFonts w:hint="cs"/>
          <w:rtl/>
        </w:rPr>
        <w:t xml:space="preserve">הביקורת הקודמת </w:t>
      </w:r>
      <w:r w:rsidRPr="002F2BC5">
        <w:rPr>
          <w:rtl/>
        </w:rPr>
        <w:t>העל</w:t>
      </w:r>
      <w:r w:rsidRPr="002F2BC5">
        <w:rPr>
          <w:rFonts w:hint="cs"/>
          <w:rtl/>
        </w:rPr>
        <w:t>ת</w:t>
      </w:r>
      <w:r w:rsidRPr="002F2BC5">
        <w:rPr>
          <w:rtl/>
        </w:rPr>
        <w:t>ה כי בשנים 2018 ו-2019 לא נוצל במלואו התקציב שהוקצה לטובת שיקומן של נשים שיצאו ממעגל האלימות, ובכלל זה התקציב שהוקצה לטובת מענק ההסתגלות וסל השירותים</w:t>
      </w:r>
      <w:r w:rsidRPr="002F2BC5">
        <w:rPr>
          <w:rFonts w:hint="cs"/>
          <w:rtl/>
        </w:rPr>
        <w:t xml:space="preserve"> (שיעור ניצול התקציב עמד על כ-53% וכ-12%, בהתאמה). בביקורת המעקב הועלה כי הליקוי תוקן במידה רבה וכי</w:t>
      </w:r>
      <w:r w:rsidRPr="002F2BC5">
        <w:rPr>
          <w:rtl/>
        </w:rPr>
        <w:t xml:space="preserve"> בשנים 2021 - 2023 שיעור ניצול התקציב </w:t>
      </w:r>
      <w:r w:rsidRPr="002F2BC5">
        <w:rPr>
          <w:rFonts w:hint="cs"/>
          <w:rtl/>
        </w:rPr>
        <w:t>האמור</w:t>
      </w:r>
      <w:r w:rsidRPr="002F2BC5">
        <w:rPr>
          <w:rtl/>
        </w:rPr>
        <w:t xml:space="preserve"> עמד בממוצע על כ-68%</w:t>
      </w:r>
      <w:r w:rsidRPr="002F2BC5">
        <w:rPr>
          <w:rFonts w:hint="cs"/>
          <w:rtl/>
        </w:rPr>
        <w:t xml:space="preserve">, וזאת לצד הגדלת התקציב שהוקצה בשנים הללו לטובת הפעלת תוכנית "דף חדש" מכ-10.75 בשנת 2019 לכ-17.4 בשנת 2023 - גידול של כ-61%. הביקורת הנוכחית העלתה עוד כי </w:t>
      </w:r>
      <w:r w:rsidRPr="002F2BC5">
        <w:rPr>
          <w:rtl/>
        </w:rPr>
        <w:t>במסגרת תוכניות הסיוע הנוספות</w:t>
      </w:r>
      <w:r w:rsidRPr="002F2BC5">
        <w:rPr>
          <w:rFonts w:hint="cs"/>
          <w:rtl/>
        </w:rPr>
        <w:t xml:space="preserve">, שאת אחת מהן החל משרד הרווחה להפעיל לאחר סיום הביקורת הקודמת, </w:t>
      </w:r>
      <w:r w:rsidRPr="002F2BC5">
        <w:rPr>
          <w:rtl/>
        </w:rPr>
        <w:t>שיעור ניצול התקציב בשנים 2021 - 2023 היה גבוה, והתקציב נוצל במלואו או כמעט במלואו</w:t>
      </w:r>
      <w:r w:rsidRPr="002F2BC5">
        <w:rPr>
          <w:rFonts w:hint="cs"/>
          <w:rtl/>
        </w:rPr>
        <w:t xml:space="preserve"> (ניצול של כ-98% במצטבר).</w:t>
      </w:r>
      <w:bookmarkEnd w:id="2023"/>
      <w:bookmarkEnd w:id="2024"/>
      <w:bookmarkEnd w:id="2025"/>
      <w:bookmarkEnd w:id="2026"/>
      <w:bookmarkEnd w:id="2027"/>
      <w:bookmarkEnd w:id="2028"/>
      <w:bookmarkEnd w:id="2029"/>
      <w:bookmarkEnd w:id="2030"/>
      <w:r w:rsidRPr="002F2BC5">
        <w:rPr>
          <w:rFonts w:hint="cs"/>
          <w:rtl/>
        </w:rPr>
        <w:t xml:space="preserve"> </w:t>
      </w:r>
    </w:p>
    <w:bookmarkEnd w:id="2031"/>
    <w:p w14:paraId="50581EEA" w14:textId="77777777" w:rsidR="00817399" w:rsidRPr="002F2BC5" w:rsidRDefault="00817399" w:rsidP="00817399">
      <w:pPr>
        <w:spacing w:line="269" w:lineRule="auto"/>
        <w:rPr>
          <w:rtl/>
        </w:rPr>
      </w:pPr>
    </w:p>
    <w:p w14:paraId="5FA6C6F4" w14:textId="77777777" w:rsidR="00817399" w:rsidRPr="002F2BC5" w:rsidRDefault="00817399" w:rsidP="00817399">
      <w:pPr>
        <w:pStyle w:val="afffffff9"/>
        <w:spacing w:line="269" w:lineRule="auto"/>
        <w:rPr>
          <w:rtl/>
        </w:rPr>
      </w:pPr>
      <w:bookmarkStart w:id="2032" w:name="_Toc191987156"/>
      <w:bookmarkStart w:id="2033" w:name="_Toc192093185"/>
      <w:bookmarkStart w:id="2034" w:name="_Toc192612893"/>
      <w:bookmarkStart w:id="2035" w:name="_Toc198312338"/>
      <w:bookmarkStart w:id="2036" w:name="_Toc198312822"/>
      <w:bookmarkStart w:id="2037" w:name="_Toc200636981"/>
      <w:bookmarkStart w:id="2038" w:name="_Toc200439979"/>
      <w:bookmarkStart w:id="2039" w:name="_Toc201241084"/>
      <w:r w:rsidRPr="002F2BC5">
        <w:rPr>
          <w:rFonts w:hint="eastAsia"/>
          <w:rtl/>
        </w:rPr>
        <w:t>לצד</w:t>
      </w:r>
      <w:r w:rsidRPr="002F2BC5">
        <w:rPr>
          <w:rtl/>
        </w:rPr>
        <w:t xml:space="preserve"> </w:t>
      </w:r>
      <w:r w:rsidRPr="002F2BC5">
        <w:rPr>
          <w:rFonts w:hint="eastAsia"/>
          <w:rtl/>
        </w:rPr>
        <w:t>זאת</w:t>
      </w:r>
      <w:r w:rsidRPr="002F2BC5">
        <w:rPr>
          <w:rtl/>
        </w:rPr>
        <w:t xml:space="preserve"> הועלה כי </w:t>
      </w:r>
      <w:r w:rsidRPr="002F2BC5">
        <w:rPr>
          <w:rFonts w:hint="eastAsia"/>
          <w:rtl/>
        </w:rPr>
        <w:t>התקציב</w:t>
      </w:r>
      <w:r w:rsidRPr="002F2BC5">
        <w:rPr>
          <w:rtl/>
        </w:rPr>
        <w:t xml:space="preserve"> שמקצה משרד הרווחה לטובת </w:t>
      </w:r>
      <w:r w:rsidRPr="002F2BC5">
        <w:rPr>
          <w:rFonts w:hint="eastAsia"/>
          <w:rtl/>
        </w:rPr>
        <w:t>הסיוע</w:t>
      </w:r>
      <w:r w:rsidRPr="002F2BC5">
        <w:rPr>
          <w:rtl/>
        </w:rPr>
        <w:t xml:space="preserve"> הכספי שניתן באמצעות הרשויות המקומיות </w:t>
      </w:r>
      <w:r w:rsidRPr="002F2BC5">
        <w:rPr>
          <w:rFonts w:hint="eastAsia"/>
          <w:rtl/>
        </w:rPr>
        <w:t>מנוהל</w:t>
      </w:r>
      <w:r w:rsidRPr="002F2BC5">
        <w:rPr>
          <w:rtl/>
        </w:rPr>
        <w:t xml:space="preserve"> </w:t>
      </w:r>
      <w:r w:rsidRPr="002F2BC5">
        <w:rPr>
          <w:rFonts w:hint="eastAsia"/>
          <w:rtl/>
        </w:rPr>
        <w:t>בתקנה</w:t>
      </w:r>
      <w:r w:rsidRPr="002F2BC5">
        <w:rPr>
          <w:rtl/>
        </w:rPr>
        <w:t xml:space="preserve"> </w:t>
      </w:r>
      <w:r w:rsidRPr="002F2BC5">
        <w:rPr>
          <w:rFonts w:hint="eastAsia"/>
          <w:rtl/>
        </w:rPr>
        <w:t>תקציבית</w:t>
      </w:r>
      <w:r w:rsidRPr="002F2BC5">
        <w:rPr>
          <w:rtl/>
        </w:rPr>
        <w:t xml:space="preserve"> </w:t>
      </w:r>
      <w:r w:rsidRPr="002F2BC5">
        <w:rPr>
          <w:rFonts w:hint="eastAsia"/>
          <w:rtl/>
        </w:rPr>
        <w:t>נפרדת</w:t>
      </w:r>
      <w:r w:rsidRPr="002F2BC5">
        <w:rPr>
          <w:rtl/>
        </w:rPr>
        <w:t xml:space="preserve"> </w:t>
      </w:r>
      <w:r w:rsidRPr="002F2BC5">
        <w:rPr>
          <w:rFonts w:hint="eastAsia"/>
          <w:rtl/>
        </w:rPr>
        <w:t>מזו</w:t>
      </w:r>
      <w:r w:rsidRPr="002F2BC5">
        <w:rPr>
          <w:rtl/>
        </w:rPr>
        <w:t xml:space="preserve"> </w:t>
      </w:r>
      <w:r w:rsidRPr="002F2BC5">
        <w:rPr>
          <w:rFonts w:hint="eastAsia"/>
          <w:rtl/>
        </w:rPr>
        <w:t>של</w:t>
      </w:r>
      <w:r w:rsidRPr="002F2BC5">
        <w:rPr>
          <w:rtl/>
        </w:rPr>
        <w:t xml:space="preserve"> </w:t>
      </w:r>
      <w:r w:rsidRPr="002F2BC5">
        <w:rPr>
          <w:rFonts w:hint="eastAsia"/>
          <w:rtl/>
        </w:rPr>
        <w:t>יתר</w:t>
      </w:r>
      <w:r w:rsidRPr="002F2BC5">
        <w:rPr>
          <w:rtl/>
        </w:rPr>
        <w:t xml:space="preserve"> </w:t>
      </w:r>
      <w:r w:rsidRPr="002F2BC5">
        <w:rPr>
          <w:rFonts w:hint="eastAsia"/>
          <w:rtl/>
        </w:rPr>
        <w:t>תוכניות</w:t>
      </w:r>
      <w:r w:rsidRPr="002F2BC5">
        <w:rPr>
          <w:rtl/>
        </w:rPr>
        <w:t xml:space="preserve"> </w:t>
      </w:r>
      <w:r w:rsidRPr="002F2BC5">
        <w:rPr>
          <w:rFonts w:hint="eastAsia"/>
          <w:rtl/>
        </w:rPr>
        <w:t>הסיוע</w:t>
      </w:r>
      <w:r w:rsidRPr="002F2BC5">
        <w:rPr>
          <w:rtl/>
        </w:rPr>
        <w:t xml:space="preserve">, </w:t>
      </w:r>
      <w:r w:rsidRPr="002F2BC5">
        <w:rPr>
          <w:rFonts w:hint="eastAsia"/>
          <w:rtl/>
        </w:rPr>
        <w:t>ובשל</w:t>
      </w:r>
      <w:r w:rsidRPr="002F2BC5">
        <w:rPr>
          <w:rtl/>
        </w:rPr>
        <w:t xml:space="preserve"> </w:t>
      </w:r>
      <w:r w:rsidRPr="002F2BC5">
        <w:rPr>
          <w:rFonts w:hint="eastAsia"/>
          <w:rtl/>
        </w:rPr>
        <w:t>כך</w:t>
      </w:r>
      <w:r w:rsidRPr="002F2BC5">
        <w:rPr>
          <w:rtl/>
        </w:rPr>
        <w:t xml:space="preserve"> </w:t>
      </w:r>
      <w:r w:rsidRPr="002F2BC5">
        <w:rPr>
          <w:rFonts w:hint="eastAsia"/>
          <w:rtl/>
        </w:rPr>
        <w:t>קיים</w:t>
      </w:r>
      <w:r w:rsidRPr="002F2BC5">
        <w:rPr>
          <w:rtl/>
        </w:rPr>
        <w:t xml:space="preserve"> </w:t>
      </w:r>
      <w:r w:rsidRPr="002F2BC5">
        <w:rPr>
          <w:rFonts w:hint="eastAsia"/>
          <w:rtl/>
        </w:rPr>
        <w:t>קושי</w:t>
      </w:r>
      <w:r w:rsidRPr="002F2BC5">
        <w:rPr>
          <w:rtl/>
        </w:rPr>
        <w:t xml:space="preserve"> לעקוב במדויק א</w:t>
      </w:r>
      <w:r w:rsidRPr="002F2BC5">
        <w:rPr>
          <w:rFonts w:hint="eastAsia"/>
          <w:rtl/>
        </w:rPr>
        <w:t>חר</w:t>
      </w:r>
      <w:r w:rsidRPr="002F2BC5">
        <w:rPr>
          <w:rtl/>
        </w:rPr>
        <w:t xml:space="preserve"> </w:t>
      </w:r>
      <w:r w:rsidRPr="002F2BC5">
        <w:rPr>
          <w:rFonts w:hint="eastAsia"/>
          <w:rtl/>
        </w:rPr>
        <w:t>ניצול</w:t>
      </w:r>
      <w:r w:rsidRPr="002F2BC5">
        <w:rPr>
          <w:rtl/>
        </w:rPr>
        <w:t xml:space="preserve"> </w:t>
      </w:r>
      <w:r w:rsidRPr="002F2BC5">
        <w:rPr>
          <w:rFonts w:hint="eastAsia"/>
          <w:rtl/>
        </w:rPr>
        <w:t>התקציב</w:t>
      </w:r>
      <w:r w:rsidRPr="002F2BC5">
        <w:rPr>
          <w:rtl/>
        </w:rPr>
        <w:t xml:space="preserve"> </w:t>
      </w:r>
      <w:r w:rsidRPr="002F2BC5">
        <w:rPr>
          <w:rFonts w:hint="eastAsia"/>
          <w:rtl/>
        </w:rPr>
        <w:t>על</w:t>
      </w:r>
      <w:r w:rsidRPr="002F2BC5">
        <w:rPr>
          <w:rtl/>
        </w:rPr>
        <w:t xml:space="preserve"> </w:t>
      </w:r>
      <w:r w:rsidRPr="002F2BC5">
        <w:rPr>
          <w:rFonts w:hint="eastAsia"/>
          <w:rtl/>
        </w:rPr>
        <w:t>ידי</w:t>
      </w:r>
      <w:r w:rsidRPr="002F2BC5">
        <w:rPr>
          <w:rtl/>
        </w:rPr>
        <w:t xml:space="preserve"> הרשוי</w:t>
      </w:r>
      <w:r w:rsidRPr="002F2BC5">
        <w:rPr>
          <w:rFonts w:hint="eastAsia"/>
          <w:rtl/>
        </w:rPr>
        <w:t>ות</w:t>
      </w:r>
      <w:r w:rsidRPr="002F2BC5">
        <w:rPr>
          <w:rtl/>
        </w:rPr>
        <w:t xml:space="preserve"> המקומיות. </w:t>
      </w:r>
      <w:r w:rsidRPr="002F2BC5">
        <w:rPr>
          <w:rFonts w:hint="cs"/>
          <w:rtl/>
        </w:rPr>
        <w:t>יתרה מזו</w:t>
      </w:r>
      <w:r w:rsidRPr="002F2BC5">
        <w:rPr>
          <w:rtl/>
        </w:rPr>
        <w:t xml:space="preserve">, התקציב </w:t>
      </w:r>
      <w:r w:rsidRPr="002F2BC5">
        <w:rPr>
          <w:rFonts w:hint="eastAsia"/>
          <w:rtl/>
        </w:rPr>
        <w:t>במסגרת</w:t>
      </w:r>
      <w:r w:rsidRPr="002F2BC5">
        <w:rPr>
          <w:rtl/>
        </w:rPr>
        <w:t xml:space="preserve"> תוכניות הסיוע השונות </w:t>
      </w:r>
      <w:r w:rsidRPr="002F2BC5">
        <w:rPr>
          <w:rFonts w:hint="eastAsia"/>
          <w:rtl/>
        </w:rPr>
        <w:t>מוקצה</w:t>
      </w:r>
      <w:r w:rsidRPr="002F2BC5">
        <w:rPr>
          <w:rtl/>
        </w:rPr>
        <w:t xml:space="preserve"> </w:t>
      </w:r>
      <w:r w:rsidRPr="002F2BC5">
        <w:rPr>
          <w:rFonts w:hint="eastAsia"/>
          <w:rtl/>
        </w:rPr>
        <w:t>בחלקו</w:t>
      </w:r>
      <w:r w:rsidRPr="002F2BC5">
        <w:rPr>
          <w:rtl/>
        </w:rPr>
        <w:t xml:space="preserve"> </w:t>
      </w:r>
      <w:r w:rsidRPr="002F2BC5">
        <w:rPr>
          <w:rFonts w:hint="eastAsia"/>
          <w:rtl/>
        </w:rPr>
        <w:t>כתקציב</w:t>
      </w:r>
      <w:r w:rsidRPr="002F2BC5">
        <w:rPr>
          <w:rtl/>
        </w:rPr>
        <w:t xml:space="preserve"> </w:t>
      </w:r>
      <w:r w:rsidRPr="002F2BC5">
        <w:rPr>
          <w:rFonts w:hint="eastAsia"/>
          <w:rtl/>
        </w:rPr>
        <w:t>שנתי</w:t>
      </w:r>
      <w:r w:rsidRPr="002F2BC5">
        <w:rPr>
          <w:rtl/>
        </w:rPr>
        <w:t xml:space="preserve"> </w:t>
      </w:r>
      <w:r w:rsidRPr="002F2BC5">
        <w:rPr>
          <w:rFonts w:hint="eastAsia"/>
          <w:rtl/>
        </w:rPr>
        <w:t>ובחלקו</w:t>
      </w:r>
      <w:r w:rsidRPr="002F2BC5">
        <w:rPr>
          <w:rtl/>
        </w:rPr>
        <w:t xml:space="preserve"> </w:t>
      </w:r>
      <w:r w:rsidRPr="002F2BC5">
        <w:rPr>
          <w:rFonts w:hint="eastAsia"/>
          <w:rtl/>
        </w:rPr>
        <w:t>כתקציב</w:t>
      </w:r>
      <w:r w:rsidRPr="002F2BC5">
        <w:rPr>
          <w:rtl/>
        </w:rPr>
        <w:t xml:space="preserve"> </w:t>
      </w:r>
      <w:r w:rsidRPr="002F2BC5">
        <w:rPr>
          <w:rFonts w:hint="eastAsia"/>
          <w:rtl/>
        </w:rPr>
        <w:t>דו</w:t>
      </w:r>
      <w:r w:rsidRPr="002F2BC5">
        <w:rPr>
          <w:rtl/>
        </w:rPr>
        <w:t xml:space="preserve">-שנתי, </w:t>
      </w:r>
      <w:r w:rsidRPr="002F2BC5">
        <w:rPr>
          <w:rFonts w:hint="eastAsia"/>
          <w:rtl/>
        </w:rPr>
        <w:t>וגם</w:t>
      </w:r>
      <w:r w:rsidRPr="002F2BC5">
        <w:rPr>
          <w:rtl/>
        </w:rPr>
        <w:t xml:space="preserve"> </w:t>
      </w:r>
      <w:r w:rsidRPr="002F2BC5">
        <w:rPr>
          <w:rFonts w:hint="eastAsia"/>
          <w:rtl/>
        </w:rPr>
        <w:t>בכך</w:t>
      </w:r>
      <w:r w:rsidRPr="002F2BC5">
        <w:rPr>
          <w:rtl/>
        </w:rPr>
        <w:t xml:space="preserve"> </w:t>
      </w:r>
      <w:r w:rsidRPr="002F2BC5">
        <w:rPr>
          <w:rFonts w:hint="eastAsia"/>
          <w:rtl/>
        </w:rPr>
        <w:t>יש</w:t>
      </w:r>
      <w:r w:rsidRPr="002F2BC5">
        <w:rPr>
          <w:rtl/>
        </w:rPr>
        <w:t xml:space="preserve"> </w:t>
      </w:r>
      <w:r w:rsidRPr="002F2BC5">
        <w:rPr>
          <w:rFonts w:hint="eastAsia"/>
          <w:rtl/>
        </w:rPr>
        <w:t>כדי</w:t>
      </w:r>
      <w:r w:rsidRPr="002F2BC5">
        <w:rPr>
          <w:rtl/>
        </w:rPr>
        <w:t xml:space="preserve"> </w:t>
      </w:r>
      <w:r w:rsidRPr="002F2BC5">
        <w:rPr>
          <w:rFonts w:hint="eastAsia"/>
          <w:rtl/>
        </w:rPr>
        <w:t>להקשות</w:t>
      </w:r>
      <w:r w:rsidRPr="002F2BC5">
        <w:rPr>
          <w:rtl/>
        </w:rPr>
        <w:t xml:space="preserve"> </w:t>
      </w:r>
      <w:r w:rsidRPr="002F2BC5">
        <w:rPr>
          <w:rFonts w:hint="eastAsia"/>
          <w:rtl/>
        </w:rPr>
        <w:t>על</w:t>
      </w:r>
      <w:r w:rsidRPr="002F2BC5">
        <w:rPr>
          <w:rtl/>
        </w:rPr>
        <w:t xml:space="preserve"> </w:t>
      </w:r>
      <w:r w:rsidRPr="002F2BC5">
        <w:rPr>
          <w:rFonts w:hint="eastAsia"/>
          <w:rtl/>
        </w:rPr>
        <w:t>בקרה</w:t>
      </w:r>
      <w:r w:rsidRPr="002F2BC5">
        <w:rPr>
          <w:rtl/>
        </w:rPr>
        <w:t xml:space="preserve"> </w:t>
      </w:r>
      <w:r w:rsidRPr="002F2BC5">
        <w:rPr>
          <w:rFonts w:hint="eastAsia"/>
          <w:rtl/>
        </w:rPr>
        <w:t>פנימית</w:t>
      </w:r>
      <w:r w:rsidRPr="002F2BC5">
        <w:rPr>
          <w:rtl/>
        </w:rPr>
        <w:t xml:space="preserve"> </w:t>
      </w:r>
      <w:r w:rsidRPr="002F2BC5">
        <w:rPr>
          <w:rFonts w:hint="eastAsia"/>
          <w:rtl/>
        </w:rPr>
        <w:t>וחיצונית</w:t>
      </w:r>
      <w:r w:rsidRPr="002F2BC5">
        <w:rPr>
          <w:rtl/>
        </w:rPr>
        <w:t xml:space="preserve"> </w:t>
      </w:r>
      <w:r w:rsidRPr="002F2BC5">
        <w:rPr>
          <w:rFonts w:hint="eastAsia"/>
          <w:rtl/>
        </w:rPr>
        <w:t>על</w:t>
      </w:r>
      <w:r w:rsidRPr="002F2BC5">
        <w:rPr>
          <w:rtl/>
        </w:rPr>
        <w:t xml:space="preserve"> </w:t>
      </w:r>
      <w:r w:rsidRPr="002F2BC5">
        <w:rPr>
          <w:rFonts w:hint="eastAsia"/>
          <w:rtl/>
        </w:rPr>
        <w:t>הקצאת</w:t>
      </w:r>
      <w:r w:rsidRPr="002F2BC5">
        <w:rPr>
          <w:rtl/>
        </w:rPr>
        <w:t xml:space="preserve"> </w:t>
      </w:r>
      <w:r w:rsidRPr="002F2BC5">
        <w:rPr>
          <w:rFonts w:hint="eastAsia"/>
          <w:rtl/>
        </w:rPr>
        <w:t>התקציב</w:t>
      </w:r>
      <w:r w:rsidRPr="002F2BC5">
        <w:rPr>
          <w:rtl/>
        </w:rPr>
        <w:t xml:space="preserve"> </w:t>
      </w:r>
      <w:r w:rsidRPr="002F2BC5">
        <w:rPr>
          <w:rFonts w:hint="eastAsia"/>
          <w:rtl/>
        </w:rPr>
        <w:t>וניצולו</w:t>
      </w:r>
      <w:r w:rsidRPr="002F2BC5">
        <w:rPr>
          <w:rtl/>
        </w:rPr>
        <w:t xml:space="preserve"> במסגרת התוכניות הללו.</w:t>
      </w:r>
      <w:bookmarkEnd w:id="2032"/>
      <w:bookmarkEnd w:id="2033"/>
      <w:bookmarkEnd w:id="2034"/>
      <w:bookmarkEnd w:id="2035"/>
      <w:bookmarkEnd w:id="2036"/>
      <w:bookmarkEnd w:id="2037"/>
      <w:bookmarkEnd w:id="2038"/>
      <w:bookmarkEnd w:id="2039"/>
    </w:p>
    <w:p w14:paraId="1C2B7794" w14:textId="77777777" w:rsidR="00817399" w:rsidRPr="002F2BC5" w:rsidRDefault="00817399" w:rsidP="00817399">
      <w:pPr>
        <w:spacing w:line="269" w:lineRule="auto"/>
        <w:rPr>
          <w:rtl/>
        </w:rPr>
      </w:pPr>
      <w:bookmarkStart w:id="2040" w:name="_Hlk192069711"/>
    </w:p>
    <w:p w14:paraId="4A9722AF" w14:textId="77777777" w:rsidR="00817399" w:rsidRPr="002F2BC5" w:rsidRDefault="00817399" w:rsidP="00817399">
      <w:pPr>
        <w:pStyle w:val="afffffffa"/>
        <w:spacing w:line="269" w:lineRule="auto"/>
        <w:rPr>
          <w:rtl/>
        </w:rPr>
      </w:pPr>
      <w:bookmarkStart w:id="2041" w:name="_Toc191987157"/>
      <w:bookmarkStart w:id="2042" w:name="_Toc192093186"/>
      <w:bookmarkStart w:id="2043" w:name="_Toc192612894"/>
      <w:bookmarkStart w:id="2044" w:name="_Toc198312339"/>
      <w:bookmarkStart w:id="2045" w:name="_Toc198312823"/>
      <w:bookmarkStart w:id="2046" w:name="_Toc200636982"/>
      <w:bookmarkStart w:id="2047" w:name="_Toc200439980"/>
      <w:bookmarkStart w:id="2048" w:name="_Toc201241085"/>
      <w:r w:rsidRPr="002F2BC5">
        <w:rPr>
          <w:rFonts w:hint="eastAsia"/>
          <w:rtl/>
        </w:rPr>
        <w:t>משרד</w:t>
      </w:r>
      <w:r w:rsidRPr="002F2BC5">
        <w:rPr>
          <w:rtl/>
        </w:rPr>
        <w:t xml:space="preserve"> </w:t>
      </w:r>
      <w:r w:rsidRPr="002F2BC5">
        <w:rPr>
          <w:rFonts w:hint="eastAsia"/>
          <w:rtl/>
        </w:rPr>
        <w:t>מבקר</w:t>
      </w:r>
      <w:r w:rsidRPr="002F2BC5">
        <w:rPr>
          <w:rtl/>
        </w:rPr>
        <w:t xml:space="preserve"> </w:t>
      </w:r>
      <w:r w:rsidRPr="002F2BC5">
        <w:rPr>
          <w:rFonts w:hint="eastAsia"/>
          <w:rtl/>
        </w:rPr>
        <w:t>המדינה</w:t>
      </w:r>
      <w:r w:rsidRPr="002F2BC5">
        <w:rPr>
          <w:rtl/>
        </w:rPr>
        <w:t xml:space="preserve"> </w:t>
      </w:r>
      <w:r w:rsidRPr="002F2BC5">
        <w:rPr>
          <w:rFonts w:hint="eastAsia"/>
          <w:rtl/>
        </w:rPr>
        <w:t>מציין</w:t>
      </w:r>
      <w:r w:rsidRPr="002F2BC5">
        <w:rPr>
          <w:rtl/>
        </w:rPr>
        <w:t xml:space="preserve"> </w:t>
      </w:r>
      <w:r w:rsidRPr="002F2BC5">
        <w:rPr>
          <w:rFonts w:hint="eastAsia"/>
          <w:rtl/>
        </w:rPr>
        <w:t>את</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על</w:t>
      </w:r>
      <w:r w:rsidRPr="002F2BC5">
        <w:rPr>
          <w:rtl/>
        </w:rPr>
        <w:t xml:space="preserve"> </w:t>
      </w:r>
      <w:r w:rsidRPr="002F2BC5">
        <w:rPr>
          <w:rFonts w:hint="cs"/>
          <w:rtl/>
        </w:rPr>
        <w:t xml:space="preserve">הגדלת התקציב המוקצה במסגרת תוכנית "דף חדש" ועל </w:t>
      </w:r>
      <w:r w:rsidRPr="002F2BC5">
        <w:rPr>
          <w:rFonts w:hint="eastAsia"/>
          <w:rtl/>
        </w:rPr>
        <w:t>הרחבת</w:t>
      </w:r>
      <w:r w:rsidRPr="002F2BC5">
        <w:rPr>
          <w:rtl/>
        </w:rPr>
        <w:t xml:space="preserve"> </w:t>
      </w:r>
      <w:r w:rsidRPr="002F2BC5">
        <w:rPr>
          <w:rFonts w:hint="cs"/>
          <w:rtl/>
        </w:rPr>
        <w:t xml:space="preserve">היצע </w:t>
      </w:r>
      <w:r w:rsidRPr="002F2BC5">
        <w:rPr>
          <w:rFonts w:hint="eastAsia"/>
          <w:rtl/>
        </w:rPr>
        <w:t>תוכניות</w:t>
      </w:r>
      <w:r w:rsidRPr="002F2BC5">
        <w:rPr>
          <w:rtl/>
        </w:rPr>
        <w:t xml:space="preserve"> </w:t>
      </w:r>
      <w:r w:rsidRPr="002F2BC5">
        <w:rPr>
          <w:rFonts w:hint="eastAsia"/>
          <w:rtl/>
        </w:rPr>
        <w:t>הסיוע</w:t>
      </w:r>
      <w:r w:rsidRPr="002F2BC5">
        <w:rPr>
          <w:rtl/>
        </w:rPr>
        <w:t xml:space="preserve"> </w:t>
      </w:r>
      <w:r w:rsidRPr="002F2BC5">
        <w:rPr>
          <w:rFonts w:hint="cs"/>
          <w:rtl/>
        </w:rPr>
        <w:t xml:space="preserve">הנוספות </w:t>
      </w:r>
      <w:r w:rsidRPr="002F2BC5">
        <w:rPr>
          <w:rFonts w:hint="eastAsia"/>
          <w:rtl/>
        </w:rPr>
        <w:t>לנשים</w:t>
      </w:r>
      <w:r w:rsidRPr="002F2BC5">
        <w:rPr>
          <w:rtl/>
        </w:rPr>
        <w:t xml:space="preserve"> </w:t>
      </w:r>
      <w:r w:rsidRPr="002F2BC5">
        <w:rPr>
          <w:rFonts w:hint="eastAsia"/>
          <w:rtl/>
        </w:rPr>
        <w:t>נפגעות</w:t>
      </w:r>
      <w:r w:rsidRPr="002F2BC5">
        <w:rPr>
          <w:rtl/>
        </w:rPr>
        <w:t xml:space="preserve"> </w:t>
      </w:r>
      <w:r w:rsidRPr="002F2BC5">
        <w:rPr>
          <w:rFonts w:hint="eastAsia"/>
          <w:rtl/>
        </w:rPr>
        <w:t>אלימות</w:t>
      </w:r>
      <w:r w:rsidRPr="002F2BC5">
        <w:rPr>
          <w:rtl/>
        </w:rPr>
        <w:t xml:space="preserve"> </w:t>
      </w:r>
      <w:r w:rsidRPr="002F2BC5">
        <w:rPr>
          <w:rFonts w:hint="eastAsia"/>
          <w:rtl/>
        </w:rPr>
        <w:t>וילדיהן</w:t>
      </w:r>
      <w:r w:rsidRPr="002F2BC5">
        <w:rPr>
          <w:rtl/>
        </w:rPr>
        <w:t xml:space="preserve"> </w:t>
      </w:r>
      <w:r w:rsidRPr="002F2BC5">
        <w:rPr>
          <w:rFonts w:hint="eastAsia"/>
          <w:rtl/>
        </w:rPr>
        <w:t>ועל</w:t>
      </w:r>
      <w:r w:rsidRPr="002F2BC5">
        <w:rPr>
          <w:rtl/>
        </w:rPr>
        <w:t xml:space="preserve"> </w:t>
      </w:r>
      <w:r w:rsidRPr="002F2BC5">
        <w:rPr>
          <w:rFonts w:hint="eastAsia"/>
          <w:rtl/>
        </w:rPr>
        <w:t>השיעור</w:t>
      </w:r>
      <w:r w:rsidRPr="002F2BC5">
        <w:rPr>
          <w:rtl/>
        </w:rPr>
        <w:t xml:space="preserve"> </w:t>
      </w:r>
      <w:r w:rsidRPr="002F2BC5">
        <w:rPr>
          <w:rFonts w:hint="eastAsia"/>
          <w:rtl/>
        </w:rPr>
        <w:t>הגבוה</w:t>
      </w:r>
      <w:r w:rsidRPr="002F2BC5">
        <w:rPr>
          <w:rtl/>
        </w:rPr>
        <w:t xml:space="preserve"> </w:t>
      </w:r>
      <w:r w:rsidRPr="002F2BC5">
        <w:rPr>
          <w:rFonts w:hint="eastAsia"/>
          <w:rtl/>
        </w:rPr>
        <w:t>של</w:t>
      </w:r>
      <w:r w:rsidRPr="002F2BC5">
        <w:rPr>
          <w:rtl/>
        </w:rPr>
        <w:t xml:space="preserve"> </w:t>
      </w:r>
      <w:r w:rsidRPr="002F2BC5">
        <w:rPr>
          <w:rFonts w:hint="eastAsia"/>
          <w:rtl/>
        </w:rPr>
        <w:t>ניצול</w:t>
      </w:r>
      <w:r w:rsidRPr="002F2BC5">
        <w:rPr>
          <w:rtl/>
        </w:rPr>
        <w:t xml:space="preserve"> </w:t>
      </w:r>
      <w:r w:rsidRPr="002F2BC5">
        <w:rPr>
          <w:rFonts w:hint="eastAsia"/>
          <w:rtl/>
        </w:rPr>
        <w:t>התקציב</w:t>
      </w:r>
      <w:r w:rsidRPr="002F2BC5">
        <w:rPr>
          <w:rtl/>
        </w:rPr>
        <w:t xml:space="preserve"> </w:t>
      </w:r>
      <w:r w:rsidRPr="002F2BC5">
        <w:rPr>
          <w:rFonts w:hint="eastAsia"/>
          <w:rtl/>
        </w:rPr>
        <w:t>שמוקצה</w:t>
      </w:r>
      <w:r w:rsidRPr="002F2BC5">
        <w:rPr>
          <w:rtl/>
        </w:rPr>
        <w:t xml:space="preserve"> </w:t>
      </w:r>
      <w:r w:rsidRPr="002F2BC5">
        <w:rPr>
          <w:rFonts w:hint="eastAsia"/>
          <w:rtl/>
        </w:rPr>
        <w:t>מדי</w:t>
      </w:r>
      <w:r w:rsidRPr="002F2BC5">
        <w:rPr>
          <w:rtl/>
        </w:rPr>
        <w:t xml:space="preserve"> </w:t>
      </w:r>
      <w:r w:rsidRPr="002F2BC5">
        <w:rPr>
          <w:rFonts w:hint="eastAsia"/>
          <w:rtl/>
        </w:rPr>
        <w:t>שנה</w:t>
      </w:r>
      <w:r w:rsidRPr="002F2BC5">
        <w:rPr>
          <w:rtl/>
        </w:rPr>
        <w:t xml:space="preserve"> </w:t>
      </w:r>
      <w:r w:rsidRPr="002F2BC5">
        <w:rPr>
          <w:rFonts w:hint="eastAsia"/>
          <w:rtl/>
        </w:rPr>
        <w:t>לצורך</w:t>
      </w:r>
      <w:r w:rsidRPr="002F2BC5">
        <w:rPr>
          <w:rtl/>
        </w:rPr>
        <w:t xml:space="preserve"> </w:t>
      </w:r>
      <w:r w:rsidRPr="002F2BC5">
        <w:rPr>
          <w:rFonts w:hint="eastAsia"/>
          <w:rtl/>
        </w:rPr>
        <w:t>כך</w:t>
      </w:r>
      <w:r w:rsidRPr="002F2BC5">
        <w:rPr>
          <w:rtl/>
        </w:rPr>
        <w:t>.</w:t>
      </w:r>
      <w:bookmarkEnd w:id="2041"/>
      <w:bookmarkEnd w:id="2042"/>
      <w:bookmarkEnd w:id="2043"/>
      <w:bookmarkEnd w:id="2044"/>
      <w:bookmarkEnd w:id="2045"/>
      <w:bookmarkEnd w:id="2046"/>
      <w:bookmarkEnd w:id="2047"/>
      <w:bookmarkEnd w:id="2048"/>
      <w:r w:rsidRPr="002F2BC5">
        <w:rPr>
          <w:rFonts w:hint="cs"/>
          <w:rtl/>
        </w:rPr>
        <w:t xml:space="preserve"> </w:t>
      </w:r>
    </w:p>
    <w:bookmarkEnd w:id="2040"/>
    <w:p w14:paraId="231A7D13" w14:textId="77777777" w:rsidR="00817399" w:rsidRPr="002F2BC5" w:rsidRDefault="00817399" w:rsidP="00817399">
      <w:pPr>
        <w:spacing w:line="269" w:lineRule="auto"/>
        <w:rPr>
          <w:rtl/>
        </w:rPr>
      </w:pPr>
    </w:p>
    <w:p w14:paraId="4A3D1226" w14:textId="77777777" w:rsidR="00817399" w:rsidRPr="002F2BC5" w:rsidRDefault="00817399" w:rsidP="00817399">
      <w:pPr>
        <w:pStyle w:val="afffffffa"/>
        <w:spacing w:line="269" w:lineRule="auto"/>
        <w:rPr>
          <w:rtl/>
        </w:rPr>
      </w:pPr>
      <w:bookmarkStart w:id="2049" w:name="_Toc191987158"/>
      <w:bookmarkStart w:id="2050" w:name="_Toc192093187"/>
      <w:bookmarkStart w:id="2051" w:name="_Toc192612895"/>
      <w:bookmarkStart w:id="2052" w:name="_Toc198312340"/>
      <w:bookmarkStart w:id="2053" w:name="_Toc198312824"/>
      <w:bookmarkStart w:id="2054" w:name="_Toc200636983"/>
      <w:bookmarkStart w:id="2055" w:name="_Toc200439981"/>
      <w:bookmarkStart w:id="2056" w:name="_Toc201241086"/>
      <w:r w:rsidRPr="002F2BC5">
        <w:rPr>
          <w:rFonts w:hint="cs"/>
          <w:rtl/>
        </w:rPr>
        <w:t xml:space="preserve">לצד זאת מומלץ למשרד הרווחה למפות </w:t>
      </w:r>
      <w:r w:rsidRPr="002F2BC5">
        <w:rPr>
          <w:rFonts w:hint="eastAsia"/>
          <w:rtl/>
        </w:rPr>
        <w:t>את</w:t>
      </w:r>
      <w:r w:rsidRPr="002F2BC5">
        <w:rPr>
          <w:rtl/>
        </w:rPr>
        <w:t xml:space="preserve"> החסמים לניצול התקציב </w:t>
      </w:r>
      <w:r w:rsidRPr="002F2BC5">
        <w:rPr>
          <w:rFonts w:hint="cs"/>
          <w:rtl/>
        </w:rPr>
        <w:t>שהוא מקצה</w:t>
      </w:r>
      <w:r w:rsidRPr="002F2BC5">
        <w:rPr>
          <w:rtl/>
        </w:rPr>
        <w:t xml:space="preserve"> לטובת שיקומן של נשים </w:t>
      </w:r>
      <w:r w:rsidRPr="002F2BC5">
        <w:rPr>
          <w:rFonts w:hint="cs"/>
          <w:rtl/>
        </w:rPr>
        <w:t>במסגרת תוכנית "דף חדש",</w:t>
      </w:r>
      <w:r w:rsidRPr="002F2BC5">
        <w:rPr>
          <w:rtl/>
        </w:rPr>
        <w:t xml:space="preserve"> </w:t>
      </w:r>
      <w:r w:rsidRPr="002F2BC5">
        <w:rPr>
          <w:rFonts w:hint="cs"/>
          <w:rtl/>
        </w:rPr>
        <w:t xml:space="preserve">לנוכח </w:t>
      </w:r>
      <w:r w:rsidRPr="002F2BC5">
        <w:rPr>
          <w:rtl/>
        </w:rPr>
        <w:t xml:space="preserve">הצלחתה </w:t>
      </w:r>
      <w:r w:rsidRPr="002F2BC5">
        <w:rPr>
          <w:rFonts w:hint="cs"/>
          <w:rtl/>
        </w:rPr>
        <w:t xml:space="preserve">של התוכנית </w:t>
      </w:r>
      <w:r w:rsidRPr="002F2BC5">
        <w:rPr>
          <w:rtl/>
        </w:rPr>
        <w:t>בשמירה על ביטחונן של הנשים והישארותן מחוץ למעגל האלימות</w:t>
      </w:r>
      <w:r w:rsidRPr="002F2BC5">
        <w:rPr>
          <w:rFonts w:hint="cs"/>
          <w:rtl/>
        </w:rPr>
        <w:t>, ובהתאם לכך לפעול להסרתם. לנוכח ריבוי תוכניות הסיוע והשונות ביניהן מבחינת אופן הקצאת התקציב ואופן הפעלתן, מומלץ למשרד הרווחה לפעול בשיתוף משרד האוצר לבחינת הדרך המתאימה, השקופה והיעילה ביותר לניהול התקציב שהוא מקצה לתוכניות הסיוע הללו.</w:t>
      </w:r>
      <w:bookmarkEnd w:id="2049"/>
      <w:bookmarkEnd w:id="2050"/>
      <w:bookmarkEnd w:id="2051"/>
      <w:bookmarkEnd w:id="2052"/>
      <w:bookmarkEnd w:id="2053"/>
      <w:bookmarkEnd w:id="2054"/>
      <w:bookmarkEnd w:id="2055"/>
      <w:bookmarkEnd w:id="2056"/>
    </w:p>
    <w:p w14:paraId="23EE2A40" w14:textId="77777777" w:rsidR="00817399" w:rsidRPr="002F2BC5" w:rsidRDefault="00817399" w:rsidP="00817399">
      <w:pPr>
        <w:spacing w:line="269" w:lineRule="auto"/>
        <w:rPr>
          <w:rtl/>
        </w:rPr>
      </w:pPr>
    </w:p>
    <w:p w14:paraId="02D7A90D" w14:textId="77777777" w:rsidR="00817399" w:rsidRPr="002F2BC5" w:rsidRDefault="00817399" w:rsidP="00817399">
      <w:pPr>
        <w:spacing w:line="269" w:lineRule="auto"/>
        <w:rPr>
          <w:rtl/>
        </w:rPr>
      </w:pPr>
      <w:bookmarkStart w:id="2057" w:name="_Toc198312341"/>
      <w:bookmarkStart w:id="2058" w:name="_Toc198312825"/>
      <w:bookmarkStart w:id="2059" w:name="_Toc200636984"/>
      <w:bookmarkStart w:id="2060" w:name="_Toc200439982"/>
      <w:bookmarkStart w:id="2061" w:name="_Toc201241087"/>
      <w:r w:rsidRPr="002F2BC5">
        <w:rPr>
          <w:rFonts w:hint="eastAsia"/>
          <w:rtl/>
        </w:rPr>
        <w:t>אגף</w:t>
      </w:r>
      <w:r w:rsidRPr="002F2BC5">
        <w:rPr>
          <w:rtl/>
        </w:rPr>
        <w:t xml:space="preserve"> התקציבים במשרד האוצר מסר בתשובתו כי הוא פועל בשיתוף פעולה עם משרד הרווחה בכל נושא שמשרד הרווחה מעלה כצורך או קושי וכי יפעל כך גם בנושאים שהעלתה הביקורת</w:t>
      </w:r>
      <w:r w:rsidRPr="002F2BC5">
        <w:rPr>
          <w:rFonts w:hint="cs"/>
          <w:rtl/>
        </w:rPr>
        <w:t>,</w:t>
      </w:r>
      <w:r w:rsidRPr="002F2BC5">
        <w:rPr>
          <w:rtl/>
        </w:rPr>
        <w:t xml:space="preserve"> הנוגעים בין היתר לאופן ניהול התקציב הייעודי והמעקב אחריו, </w:t>
      </w:r>
      <w:r w:rsidRPr="002F2BC5">
        <w:rPr>
          <w:rFonts w:hint="cs"/>
          <w:rtl/>
        </w:rPr>
        <w:t xml:space="preserve">אם </w:t>
      </w:r>
      <w:r w:rsidRPr="002F2BC5">
        <w:rPr>
          <w:rFonts w:hint="eastAsia"/>
          <w:rtl/>
        </w:rPr>
        <w:t>מעורבתו</w:t>
      </w:r>
      <w:r w:rsidRPr="002F2BC5">
        <w:rPr>
          <w:rtl/>
        </w:rPr>
        <w:t xml:space="preserve"> תידרש.</w:t>
      </w:r>
      <w:bookmarkEnd w:id="2057"/>
      <w:bookmarkEnd w:id="2058"/>
      <w:bookmarkEnd w:id="2059"/>
      <w:bookmarkEnd w:id="2060"/>
      <w:bookmarkEnd w:id="2061"/>
    </w:p>
    <w:p w14:paraId="267D1C5C" w14:textId="77777777" w:rsidR="00817399" w:rsidRPr="002F2BC5" w:rsidRDefault="00817399" w:rsidP="00817399">
      <w:pPr>
        <w:spacing w:line="269" w:lineRule="auto"/>
        <w:rPr>
          <w:rtl/>
        </w:rPr>
      </w:pPr>
    </w:p>
    <w:p w14:paraId="28B5B796" w14:textId="77777777" w:rsidR="00817399" w:rsidRPr="002F2BC5" w:rsidRDefault="00817399" w:rsidP="00817399">
      <w:pPr>
        <w:pStyle w:val="afffffff2"/>
        <w:spacing w:line="269" w:lineRule="auto"/>
        <w:rPr>
          <w:sz w:val="24"/>
          <w:rtl/>
        </w:rPr>
      </w:pPr>
      <w:r w:rsidRPr="002F2BC5">
        <w:rPr>
          <w:rFonts w:hint="cs"/>
          <w:rtl/>
        </w:rPr>
        <w:lastRenderedPageBreak/>
        <w:t>מידת תיקון הליקוי</w:t>
      </w:r>
    </w:p>
    <w:p w14:paraId="5E50CEE1" w14:textId="77777777" w:rsidR="00817399" w:rsidRPr="002F2BC5" w:rsidRDefault="00817399" w:rsidP="00817399">
      <w:pPr>
        <w:pStyle w:val="afffffff7"/>
        <w:spacing w:before="0" w:line="269" w:lineRule="auto"/>
        <w:rPr>
          <w:rtl/>
        </w:rPr>
      </w:pPr>
      <w:bookmarkStart w:id="2062" w:name="_Toc198312342"/>
      <w:bookmarkStart w:id="2063" w:name="_Toc198312826"/>
      <w:bookmarkStart w:id="2064" w:name="_Toc189072286"/>
      <w:r w:rsidRPr="002F2BC5">
        <w:rPr>
          <w:noProof/>
        </w:rPr>
        <w:drawing>
          <wp:inline distT="0" distB="0" distL="0" distR="0" wp14:anchorId="1C09F9D5" wp14:editId="45C22A7C">
            <wp:extent cx="4324350" cy="933450"/>
            <wp:effectExtent l="0" t="0" r="0" b="0"/>
            <wp:docPr id="50"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062"/>
      <w:bookmarkEnd w:id="2063"/>
    </w:p>
    <w:bookmarkEnd w:id="2064"/>
    <w:p w14:paraId="5D1D8253" w14:textId="77777777" w:rsidR="00817399" w:rsidRPr="002F2BC5" w:rsidRDefault="00817399" w:rsidP="00817399">
      <w:pPr>
        <w:spacing w:line="269" w:lineRule="auto"/>
        <w:rPr>
          <w:rtl/>
        </w:rPr>
      </w:pPr>
    </w:p>
    <w:p w14:paraId="501D9C44" w14:textId="77777777" w:rsidR="00817399" w:rsidRPr="002F2BC5" w:rsidRDefault="00817399" w:rsidP="00817399">
      <w:pPr>
        <w:pStyle w:val="6"/>
        <w:spacing w:line="269" w:lineRule="auto"/>
        <w:rPr>
          <w:rtl/>
        </w:rPr>
      </w:pPr>
      <w:bookmarkStart w:id="2065" w:name="_Toc189072287"/>
      <w:bookmarkStart w:id="2066" w:name="_Toc191987159"/>
      <w:bookmarkStart w:id="2067" w:name="_Toc193110642"/>
      <w:r w:rsidRPr="002F2BC5">
        <w:rPr>
          <w:rFonts w:hint="cs"/>
          <w:rtl/>
        </w:rPr>
        <w:t>סיוע בדיור לנפגעי אלימות בין בני זוג</w:t>
      </w:r>
      <w:bookmarkEnd w:id="2065"/>
      <w:bookmarkEnd w:id="2066"/>
      <w:bookmarkEnd w:id="2067"/>
    </w:p>
    <w:p w14:paraId="1B00CF0C" w14:textId="77777777" w:rsidR="00817399" w:rsidRPr="002F2BC5" w:rsidRDefault="00817399" w:rsidP="00817399">
      <w:pPr>
        <w:spacing w:line="269" w:lineRule="auto"/>
        <w:rPr>
          <w:rtl/>
        </w:rPr>
      </w:pPr>
    </w:p>
    <w:p w14:paraId="0913B9E2" w14:textId="77777777" w:rsidR="00817399" w:rsidRPr="002F2BC5" w:rsidRDefault="00817399" w:rsidP="00817399">
      <w:pPr>
        <w:pStyle w:val="1ff"/>
        <w:bidi/>
        <w:rPr>
          <w:rtl/>
        </w:rPr>
      </w:pPr>
      <w:bookmarkStart w:id="2068" w:name="_Toc191987160"/>
      <w:r w:rsidRPr="002F2BC5">
        <w:rPr>
          <w:rFonts w:hint="cs"/>
          <w:rtl/>
        </w:rPr>
        <w:t>סיוע בשכירת דירה לנפגעי אלימות</w:t>
      </w:r>
      <w:bookmarkEnd w:id="2068"/>
    </w:p>
    <w:p w14:paraId="54CEC142" w14:textId="77777777" w:rsidR="00817399" w:rsidRPr="002F2BC5" w:rsidRDefault="00817399" w:rsidP="00817399">
      <w:pPr>
        <w:spacing w:line="269" w:lineRule="auto"/>
        <w:rPr>
          <w:rtl/>
        </w:rPr>
      </w:pPr>
    </w:p>
    <w:p w14:paraId="1AD8D69F" w14:textId="77777777" w:rsidR="00817399" w:rsidRPr="002F2BC5" w:rsidRDefault="00817399" w:rsidP="00817399">
      <w:pPr>
        <w:spacing w:line="269" w:lineRule="auto"/>
        <w:rPr>
          <w:rtl/>
        </w:rPr>
      </w:pPr>
      <w:r w:rsidRPr="002F2BC5">
        <w:rPr>
          <w:rFonts w:hint="cs"/>
          <w:rtl/>
        </w:rPr>
        <w:t>משרד הבינוי והשיכון מעניק סיוע כספי לנפגעי אלימות לצורך שכירת דירה כדי להקל עליהם את היציאה לחיים עצמאיים</w:t>
      </w:r>
      <w:r w:rsidRPr="002F2BC5">
        <w:rPr>
          <w:rStyle w:val="af9"/>
          <w:rtl/>
        </w:rPr>
        <w:footnoteReference w:id="409"/>
      </w:r>
      <w:r w:rsidRPr="002F2BC5">
        <w:rPr>
          <w:rFonts w:hint="cs"/>
          <w:rtl/>
        </w:rPr>
        <w:t xml:space="preserve">. הזכאות לסיוע כאמור מוקנית לנשים ששהו בעבר במקלט; </w:t>
      </w:r>
      <w:bookmarkStart w:id="2069" w:name="_Hlk200627733"/>
      <w:r w:rsidRPr="002F2BC5">
        <w:rPr>
          <w:rFonts w:hint="cs"/>
          <w:rtl/>
        </w:rPr>
        <w:t>לנשים העומדות בתנאים המזכים בכניסה למקלט, אך אינן יכולות לשהות בו מסיבות שאינן תלויות בהן</w:t>
      </w:r>
      <w:bookmarkEnd w:id="2069"/>
      <w:r w:rsidRPr="002F2BC5">
        <w:rPr>
          <w:rFonts w:hint="cs"/>
          <w:rtl/>
        </w:rPr>
        <w:t xml:space="preserve">; או לנשים שהוצא להן צו הגנה או שהוצא לבן זוגן צו הרחקה ואינן יכולות להמשיך להתגורר בדירתן מפאת סכנה הנשקפת לחייהן. </w:t>
      </w:r>
      <w:r w:rsidRPr="002F2BC5">
        <w:rPr>
          <w:rtl/>
        </w:rPr>
        <w:t>הסיוע ניתן</w:t>
      </w:r>
      <w:r w:rsidRPr="002F2BC5">
        <w:rPr>
          <w:rFonts w:hint="cs"/>
          <w:rtl/>
        </w:rPr>
        <w:t xml:space="preserve"> באופן מדורג </w:t>
      </w:r>
      <w:r w:rsidRPr="002F2BC5">
        <w:rPr>
          <w:rtl/>
        </w:rPr>
        <w:t>לתקופה של עד שלוש שנים</w:t>
      </w:r>
      <w:r w:rsidRPr="002F2BC5">
        <w:rPr>
          <w:rFonts w:hint="cs"/>
          <w:rtl/>
        </w:rPr>
        <w:t>,</w:t>
      </w:r>
      <w:r w:rsidRPr="002F2BC5">
        <w:rPr>
          <w:rtl/>
        </w:rPr>
        <w:t xml:space="preserve"> ו</w:t>
      </w:r>
      <w:r w:rsidRPr="002F2BC5">
        <w:rPr>
          <w:rFonts w:hint="cs"/>
          <w:rtl/>
        </w:rPr>
        <w:t xml:space="preserve">גובהו </w:t>
      </w:r>
      <w:r w:rsidRPr="002F2BC5">
        <w:rPr>
          <w:rtl/>
        </w:rPr>
        <w:t>משתנה בהתאם</w:t>
      </w:r>
      <w:r w:rsidRPr="002F2BC5">
        <w:rPr>
          <w:rFonts w:hint="cs"/>
          <w:rtl/>
        </w:rPr>
        <w:t xml:space="preserve"> </w:t>
      </w:r>
      <w:r w:rsidRPr="002F2BC5">
        <w:rPr>
          <w:rtl/>
        </w:rPr>
        <w:t>להימצאותם של ילדים בחזקת</w:t>
      </w:r>
      <w:r w:rsidRPr="002F2BC5">
        <w:rPr>
          <w:rFonts w:hint="cs"/>
          <w:rtl/>
        </w:rPr>
        <w:t>ה של</w:t>
      </w:r>
      <w:r w:rsidRPr="002F2BC5">
        <w:rPr>
          <w:rtl/>
        </w:rPr>
        <w:t xml:space="preserve"> האישה</w:t>
      </w:r>
      <w:r w:rsidRPr="002F2BC5">
        <w:rPr>
          <w:rFonts w:hint="cs"/>
          <w:rtl/>
        </w:rPr>
        <w:t xml:space="preserve"> המגישה את הבקשה לקבלת סיוע: במסלולי הסיוע לאישה עם ילדים ניתן לה סיוע בסך של עד 1,370 ש"ח לחודש בשנה הראשונה ועד 883 ש"ח לחודש בשנה השלישית, ובמסלולי הסיוע לאישה ללא ילדים ניתן לה סיוע בסך של עד 1,160 ש"ח לחודש בשנה הראשונה עד 774 ש"ח לחודש בשנה השלישית.</w:t>
      </w:r>
    </w:p>
    <w:p w14:paraId="0BAE5CD8" w14:textId="77777777" w:rsidR="00817399" w:rsidRPr="002F2BC5" w:rsidRDefault="00817399" w:rsidP="00817399">
      <w:pPr>
        <w:spacing w:line="269" w:lineRule="auto"/>
        <w:rPr>
          <w:rtl/>
        </w:rPr>
      </w:pPr>
    </w:p>
    <w:p w14:paraId="3B2C7E18" w14:textId="77777777" w:rsidR="00817399" w:rsidRPr="002F2BC5" w:rsidRDefault="00817399" w:rsidP="00817399">
      <w:pPr>
        <w:spacing w:line="269" w:lineRule="auto"/>
        <w:rPr>
          <w:rtl/>
        </w:rPr>
      </w:pPr>
      <w:bookmarkStart w:id="2070" w:name="_Toc191987161"/>
      <w:r w:rsidRPr="002F2BC5">
        <w:rPr>
          <w:rStyle w:val="70"/>
          <w:rFonts w:hint="cs"/>
          <w:rtl/>
        </w:rPr>
        <w:t>הביקורת הקודמת:</w:t>
      </w:r>
      <w:bookmarkEnd w:id="2070"/>
      <w:r w:rsidRPr="002F2BC5">
        <w:rPr>
          <w:rStyle w:val="70"/>
          <w:rFonts w:hint="cs"/>
          <w:rtl/>
        </w:rPr>
        <w:t xml:space="preserve"> </w:t>
      </w:r>
      <w:r w:rsidRPr="002F2BC5">
        <w:rPr>
          <w:rFonts w:hint="cs"/>
          <w:rtl/>
        </w:rPr>
        <w:t>נמצא</w:t>
      </w:r>
      <w:r w:rsidRPr="002F2BC5">
        <w:rPr>
          <w:rtl/>
        </w:rPr>
        <w:t xml:space="preserve"> כי </w:t>
      </w:r>
      <w:r w:rsidRPr="002F2BC5">
        <w:rPr>
          <w:rFonts w:hint="cs"/>
          <w:rtl/>
        </w:rPr>
        <w:t>בשנים 2016 - 2019</w:t>
      </w:r>
      <w:r w:rsidRPr="002F2BC5">
        <w:rPr>
          <w:rtl/>
        </w:rPr>
        <w:t xml:space="preserve"> </w:t>
      </w:r>
      <w:r w:rsidRPr="002F2BC5">
        <w:rPr>
          <w:rFonts w:hint="cs"/>
          <w:rtl/>
        </w:rPr>
        <w:t>מספר הנשים שקיבלו סיוע ירד מ-1,551 בשנת 2016 ל-1,498 בשנת 2019, וסך המענקים הכולל ששולם ירד בכ-16%, מכ-16.5 מיליון ש"ח לכ-13.9 מיליון ש"ח, שלא בהלימה לירידה בבקשות הסיוע (כ-4%) ולעלייה במחירי השכירות הממוצעים החודשיים של שכר דירה חופשי (ש"ח), בשיעור של כ-6% לפי נתוני הלמ"ס (מ-3,715 ש"ח בשנת 2016 ל-3,948 ש"ח בשנת 2019). עוד הועלה כי סכום הסיוע נותר ללא שינוי בשנים הללו על אף העלייה המתמדת בעלויות השכירות בשוק החופשי</w:t>
      </w:r>
      <w:r w:rsidRPr="002F2BC5">
        <w:rPr>
          <w:rStyle w:val="af9"/>
          <w:rtl/>
        </w:rPr>
        <w:footnoteReference w:id="410"/>
      </w:r>
      <w:r w:rsidRPr="002F2BC5">
        <w:rPr>
          <w:rFonts w:hint="cs"/>
          <w:rtl/>
        </w:rPr>
        <w:t>.</w:t>
      </w:r>
    </w:p>
    <w:p w14:paraId="34EE3E54" w14:textId="77777777" w:rsidR="00817399" w:rsidRPr="002F2BC5" w:rsidRDefault="00817399" w:rsidP="00817399">
      <w:pPr>
        <w:spacing w:line="269" w:lineRule="auto"/>
        <w:rPr>
          <w:rtl/>
        </w:rPr>
      </w:pPr>
    </w:p>
    <w:p w14:paraId="32D9EDAA"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למשרד הבינוי והשיכון לבחון את מנגנוני הסיוע לנשים נפגעות אלימות בשכירת דירות ואת גובה הסיוע מול העלייה במחירי השכירות. </w:t>
      </w:r>
    </w:p>
    <w:p w14:paraId="6D7F61BB" w14:textId="77777777" w:rsidR="00817399" w:rsidRPr="002F2BC5" w:rsidRDefault="00817399" w:rsidP="00817399">
      <w:pPr>
        <w:spacing w:line="269" w:lineRule="auto"/>
        <w:rPr>
          <w:rtl/>
        </w:rPr>
      </w:pPr>
    </w:p>
    <w:p w14:paraId="4AD52E01" w14:textId="77777777" w:rsidR="00817399" w:rsidRPr="002F2BC5" w:rsidRDefault="00817399" w:rsidP="00817399">
      <w:pPr>
        <w:spacing w:line="269" w:lineRule="auto"/>
        <w:rPr>
          <w:rtl/>
        </w:rPr>
      </w:pPr>
      <w:r w:rsidRPr="002F2BC5">
        <w:rPr>
          <w:rFonts w:hint="cs"/>
          <w:rtl/>
        </w:rPr>
        <w:t>משרד הבינוי והשיכון מסר בתשובתו לביקורת הקודמת כי הוא מכיר בחשיבות הנושא ופועל לכך שכל אישה שנמצאה זכאית לכך תקבל את הסיוע שלו היא זכאית באופן מיידי. לצד זאת, עדכון גובה הסיוע בשכר הדירה מחייב תוספת תקציבית, ובהיעדר תקציב, לא עודכן הסכום במשך שנים רבות. עם זאת הוא מסר כי פעל להגדלת התקציב לטובת סיוע בדיור לנשים נפגעות אלימות בתוך מסגרת התקציב. עוד ציין בתשובתו כי סכום הסיוע בשכר הדירה עשוי להשתנות, כתלות בשנת מימוש הזכאות, אולם אין ביכולתו לפלח את הנתונים על מימוש הזכאות לפי שנת הזכאות.</w:t>
      </w:r>
    </w:p>
    <w:p w14:paraId="6F52CBEE" w14:textId="77777777" w:rsidR="00817399" w:rsidRPr="002F2BC5" w:rsidRDefault="00817399" w:rsidP="00817399">
      <w:pPr>
        <w:spacing w:line="269" w:lineRule="auto"/>
        <w:rPr>
          <w:rtl/>
        </w:rPr>
      </w:pPr>
    </w:p>
    <w:p w14:paraId="5666550F" w14:textId="77777777" w:rsidR="00817399" w:rsidRPr="002F2BC5" w:rsidRDefault="00817399" w:rsidP="00817399">
      <w:pPr>
        <w:spacing w:line="269" w:lineRule="auto"/>
        <w:rPr>
          <w:rtl/>
        </w:rPr>
      </w:pPr>
      <w:bookmarkStart w:id="2071" w:name="_Toc191987162"/>
      <w:r w:rsidRPr="002F2BC5">
        <w:rPr>
          <w:rStyle w:val="70"/>
          <w:rFonts w:hint="cs"/>
          <w:rtl/>
        </w:rPr>
        <w:t>ביקורת המעקב:</w:t>
      </w:r>
      <w:bookmarkEnd w:id="2071"/>
      <w:r w:rsidRPr="002F2BC5">
        <w:rPr>
          <w:rStyle w:val="70"/>
          <w:rFonts w:hint="cs"/>
          <w:rtl/>
        </w:rPr>
        <w:t xml:space="preserve"> </w:t>
      </w:r>
      <w:r w:rsidRPr="002F2BC5">
        <w:rPr>
          <w:rFonts w:hint="cs"/>
          <w:rtl/>
        </w:rPr>
        <w:t>בשנת 2023 פרסם משרד הבינוי והשיכון נוהל עבודה מעודכן הנוגע לתנאי הזכאות לסיוע בשכר דירה לנשים נפגעות אלימות (להלן - נוהל העבודה המעודכן)</w:t>
      </w:r>
      <w:r w:rsidRPr="002F2BC5">
        <w:rPr>
          <w:rStyle w:val="af9"/>
          <w:rtl/>
        </w:rPr>
        <w:footnoteReference w:id="411"/>
      </w:r>
      <w:r w:rsidRPr="002F2BC5">
        <w:rPr>
          <w:rFonts w:hint="cs"/>
          <w:rtl/>
        </w:rPr>
        <w:t>.</w:t>
      </w:r>
    </w:p>
    <w:p w14:paraId="2ED9F3FF" w14:textId="77777777" w:rsidR="00817399" w:rsidRPr="002F2BC5" w:rsidRDefault="00817399" w:rsidP="00817399">
      <w:pPr>
        <w:spacing w:line="269" w:lineRule="auto"/>
        <w:rPr>
          <w:rtl/>
        </w:rPr>
      </w:pPr>
    </w:p>
    <w:p w14:paraId="7A72456A" w14:textId="77777777" w:rsidR="00817399" w:rsidRPr="002F2BC5" w:rsidRDefault="00817399" w:rsidP="00817399">
      <w:pPr>
        <w:spacing w:line="269" w:lineRule="auto"/>
        <w:rPr>
          <w:b/>
          <w:bCs/>
          <w:rtl/>
        </w:rPr>
      </w:pPr>
      <w:r w:rsidRPr="002F2BC5">
        <w:rPr>
          <w:rFonts w:hint="cs"/>
          <w:b/>
          <w:bCs/>
          <w:rtl/>
        </w:rPr>
        <w:lastRenderedPageBreak/>
        <w:t xml:space="preserve">הנוהל המעודכן אומנם הרחיב את מעגל הזכאות לסיוע בשכר דירה, והוסיף למעגל זה גם נשים נפגעות אלימות שלא שהו במקלט. עם זאת, גובה סכומי הסיוע נותר ללא שינוי, וזאת אף כי המחירים הממוצעים החודשיים של שכר דירה חופשי (ש"ח) לפי נתוני הלמ"ס המשיכו לעלות מאז הביקורת הקודמת עד לסכום של כ-4,477 ש"ח לחודש בממוצע בשנת 2023 - עלייה של כ-13% לעומת כ-3,948 ש"ח בממוצע בשנת 2019. </w:t>
      </w:r>
    </w:p>
    <w:p w14:paraId="0CDDF42A" w14:textId="77777777" w:rsidR="00817399" w:rsidRPr="002F2BC5" w:rsidRDefault="00817399" w:rsidP="00817399">
      <w:pPr>
        <w:spacing w:line="269" w:lineRule="auto"/>
        <w:rPr>
          <w:rtl/>
        </w:rPr>
      </w:pPr>
    </w:p>
    <w:p w14:paraId="39EC9E17" w14:textId="699408C0" w:rsidR="00817399" w:rsidRDefault="00817399" w:rsidP="00817399">
      <w:pPr>
        <w:spacing w:line="269" w:lineRule="auto"/>
        <w:rPr>
          <w:rtl/>
        </w:rPr>
      </w:pPr>
      <w:r w:rsidRPr="002F2BC5">
        <w:rPr>
          <w:rFonts w:hint="cs"/>
          <w:rtl/>
        </w:rPr>
        <w:t xml:space="preserve">התנאים וסכומי הזכאות לפי </w:t>
      </w:r>
      <w:r w:rsidRPr="002F2BC5">
        <w:rPr>
          <w:rtl/>
        </w:rPr>
        <w:t>נוהל העבודה המעודכן של משרד הבינוי והשיכון לעניין הסיוע הכספי בשכר דירה לנשים נפגעות אלימות</w:t>
      </w:r>
      <w:r w:rsidRPr="002F2BC5">
        <w:rPr>
          <w:rFonts w:hint="cs"/>
          <w:rtl/>
        </w:rPr>
        <w:t xml:space="preserve"> מוצגים 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Ref186561508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18</w:t>
      </w:r>
      <w:r w:rsidRPr="002F2BC5">
        <w:rPr>
          <w:rtl/>
        </w:rPr>
        <w:fldChar w:fldCharType="end"/>
      </w:r>
      <w:r w:rsidRPr="002F2BC5">
        <w:rPr>
          <w:rFonts w:hint="cs"/>
          <w:rtl/>
        </w:rPr>
        <w:t xml:space="preserve"> שלהלן.</w:t>
      </w:r>
    </w:p>
    <w:p w14:paraId="45799FFD" w14:textId="77777777" w:rsidR="00E51497" w:rsidRPr="002F2BC5" w:rsidRDefault="00E51497" w:rsidP="00817399">
      <w:pPr>
        <w:spacing w:line="269" w:lineRule="auto"/>
        <w:rPr>
          <w:rtl/>
        </w:rPr>
      </w:pPr>
    </w:p>
    <w:p w14:paraId="65FB7943" w14:textId="77777777" w:rsidR="00817399" w:rsidRPr="002F2BC5" w:rsidRDefault="00817399" w:rsidP="00817399">
      <w:pPr>
        <w:pStyle w:val="a0"/>
        <w:spacing w:line="269" w:lineRule="auto"/>
        <w:rPr>
          <w:rtl/>
        </w:rPr>
      </w:pPr>
      <w:bookmarkStart w:id="2072" w:name="_Ref186561508"/>
      <w:bookmarkStart w:id="2073" w:name="_Toc192674063"/>
      <w:r w:rsidRPr="002F2BC5">
        <w:rPr>
          <w:b w:val="0"/>
          <w:bCs w:val="0"/>
          <w:rtl/>
        </w:rPr>
        <w:t xml:space="preserve">: </w:t>
      </w:r>
      <w:r w:rsidRPr="002F2BC5">
        <w:rPr>
          <w:rFonts w:hint="cs"/>
          <w:rtl/>
        </w:rPr>
        <w:t>התנאים וסכומי הזכאות לפי נוהל העבודה המעודכן של משרד הבינוי והשיכון לעניין הסיוע הכספי בשכר דירה לנשים נפגעות אלימות</w:t>
      </w:r>
      <w:bookmarkEnd w:id="2072"/>
      <w:r w:rsidRPr="002F2BC5">
        <w:rPr>
          <w:rFonts w:hint="cs"/>
          <w:rtl/>
        </w:rPr>
        <w:t>, נכון למועד סיום הביקורת, דצמבר 2024</w:t>
      </w:r>
      <w:bookmarkEnd w:id="2073"/>
    </w:p>
    <w:tbl>
      <w:tblPr>
        <w:bidiVisual/>
        <w:tblW w:w="8220" w:type="dxa"/>
        <w:tblInd w:w="991" w:type="dxa"/>
        <w:tblCellMar>
          <w:left w:w="170" w:type="dxa"/>
          <w:right w:w="170" w:type="dxa"/>
        </w:tblCellMar>
        <w:tblLook w:val="0420" w:firstRow="1" w:lastRow="0" w:firstColumn="0" w:lastColumn="0" w:noHBand="0" w:noVBand="1"/>
      </w:tblPr>
      <w:tblGrid>
        <w:gridCol w:w="3515"/>
        <w:gridCol w:w="1020"/>
        <w:gridCol w:w="1304"/>
        <w:gridCol w:w="1134"/>
        <w:gridCol w:w="1247"/>
      </w:tblGrid>
      <w:tr w:rsidR="00817399" w:rsidRPr="002F2BC5" w14:paraId="79546565" w14:textId="77777777" w:rsidTr="00B14D2A">
        <w:trPr>
          <w:trHeight w:val="300"/>
        </w:trPr>
        <w:tc>
          <w:tcPr>
            <w:tcW w:w="3515" w:type="dxa"/>
            <w:tcBorders>
              <w:top w:val="nil"/>
              <w:left w:val="nil"/>
              <w:bottom w:val="single" w:sz="4" w:space="0" w:color="auto"/>
              <w:right w:val="nil"/>
            </w:tcBorders>
            <w:shd w:val="clear" w:color="auto" w:fill="auto"/>
            <w:noWrap/>
            <w:vAlign w:val="center"/>
            <w:hideMark/>
          </w:tcPr>
          <w:p w14:paraId="7B67DCB2" w14:textId="77777777" w:rsidR="00817399" w:rsidRPr="002F2BC5" w:rsidRDefault="00817399" w:rsidP="00B14D2A">
            <w:pPr>
              <w:spacing w:line="269" w:lineRule="auto"/>
              <w:jc w:val="left"/>
              <w:rPr>
                <w:rFonts w:ascii="David" w:hAnsi="David"/>
                <w:b/>
                <w:bCs/>
                <w:szCs w:val="20"/>
              </w:rPr>
            </w:pPr>
            <w:r w:rsidRPr="002F2BC5">
              <w:rPr>
                <w:rFonts w:ascii="David" w:hAnsi="David"/>
                <w:b/>
                <w:bCs/>
                <w:szCs w:val="20"/>
                <w:rtl/>
              </w:rPr>
              <w:t>קבוצת הזכאות</w:t>
            </w:r>
          </w:p>
        </w:tc>
        <w:tc>
          <w:tcPr>
            <w:tcW w:w="1020" w:type="dxa"/>
            <w:tcBorders>
              <w:top w:val="nil"/>
              <w:left w:val="nil"/>
              <w:bottom w:val="single" w:sz="4" w:space="0" w:color="auto"/>
              <w:right w:val="nil"/>
            </w:tcBorders>
            <w:shd w:val="clear" w:color="auto" w:fill="auto"/>
            <w:noWrap/>
            <w:hideMark/>
          </w:tcPr>
          <w:p w14:paraId="5A8AA54E" w14:textId="77777777" w:rsidR="00817399" w:rsidRPr="002F2BC5" w:rsidRDefault="00817399" w:rsidP="00B14D2A">
            <w:pPr>
              <w:bidi w:val="0"/>
              <w:spacing w:line="269" w:lineRule="auto"/>
              <w:rPr>
                <w:rFonts w:ascii="David" w:hAnsi="David"/>
                <w:szCs w:val="20"/>
              </w:rPr>
            </w:pPr>
            <w:r w:rsidRPr="002F2BC5">
              <w:rPr>
                <w:rFonts w:ascii="David" w:hAnsi="David"/>
                <w:szCs w:val="20"/>
              </w:rPr>
              <w:t> </w:t>
            </w:r>
          </w:p>
        </w:tc>
        <w:tc>
          <w:tcPr>
            <w:tcW w:w="1304" w:type="dxa"/>
            <w:tcBorders>
              <w:top w:val="nil"/>
              <w:left w:val="nil"/>
              <w:bottom w:val="single" w:sz="4" w:space="0" w:color="auto"/>
              <w:right w:val="nil"/>
            </w:tcBorders>
            <w:shd w:val="clear" w:color="auto" w:fill="auto"/>
            <w:noWrap/>
            <w:vAlign w:val="center"/>
            <w:hideMark/>
          </w:tcPr>
          <w:p w14:paraId="13F478EE" w14:textId="77777777" w:rsidR="00817399" w:rsidRPr="002F2BC5" w:rsidRDefault="00817399" w:rsidP="00B14D2A">
            <w:pPr>
              <w:spacing w:line="269" w:lineRule="auto"/>
              <w:rPr>
                <w:rFonts w:ascii="David" w:hAnsi="David"/>
                <w:b/>
                <w:bCs/>
                <w:szCs w:val="20"/>
              </w:rPr>
            </w:pPr>
            <w:r w:rsidRPr="002F2BC5">
              <w:rPr>
                <w:rFonts w:ascii="David" w:hAnsi="David"/>
                <w:b/>
                <w:bCs/>
                <w:szCs w:val="20"/>
                <w:rtl/>
              </w:rPr>
              <w:t>שנה ראשונה*</w:t>
            </w:r>
          </w:p>
        </w:tc>
        <w:tc>
          <w:tcPr>
            <w:tcW w:w="1134" w:type="dxa"/>
            <w:tcBorders>
              <w:top w:val="nil"/>
              <w:left w:val="nil"/>
              <w:bottom w:val="single" w:sz="4" w:space="0" w:color="auto"/>
              <w:right w:val="nil"/>
            </w:tcBorders>
            <w:shd w:val="clear" w:color="auto" w:fill="auto"/>
            <w:noWrap/>
            <w:vAlign w:val="center"/>
            <w:hideMark/>
          </w:tcPr>
          <w:p w14:paraId="24D002E7" w14:textId="77777777" w:rsidR="00817399" w:rsidRPr="002F2BC5" w:rsidRDefault="00817399" w:rsidP="00B14D2A">
            <w:pPr>
              <w:spacing w:line="269" w:lineRule="auto"/>
              <w:rPr>
                <w:rFonts w:ascii="David" w:hAnsi="David"/>
                <w:b/>
                <w:bCs/>
                <w:szCs w:val="20"/>
                <w:rtl/>
              </w:rPr>
            </w:pPr>
            <w:r w:rsidRPr="002F2BC5">
              <w:rPr>
                <w:rFonts w:ascii="David" w:hAnsi="David"/>
                <w:b/>
                <w:bCs/>
                <w:szCs w:val="20"/>
                <w:rtl/>
              </w:rPr>
              <w:t>שנה שנייה</w:t>
            </w:r>
          </w:p>
        </w:tc>
        <w:tc>
          <w:tcPr>
            <w:tcW w:w="1247" w:type="dxa"/>
            <w:tcBorders>
              <w:top w:val="nil"/>
              <w:left w:val="nil"/>
              <w:bottom w:val="single" w:sz="4" w:space="0" w:color="auto"/>
              <w:right w:val="nil"/>
            </w:tcBorders>
            <w:shd w:val="clear" w:color="auto" w:fill="auto"/>
            <w:noWrap/>
            <w:vAlign w:val="center"/>
            <w:hideMark/>
          </w:tcPr>
          <w:p w14:paraId="5B0C137C" w14:textId="77777777" w:rsidR="00817399" w:rsidRPr="002F2BC5" w:rsidRDefault="00817399" w:rsidP="00B14D2A">
            <w:pPr>
              <w:spacing w:line="269" w:lineRule="auto"/>
              <w:rPr>
                <w:rFonts w:ascii="David" w:hAnsi="David"/>
                <w:b/>
                <w:bCs/>
                <w:szCs w:val="20"/>
                <w:rtl/>
              </w:rPr>
            </w:pPr>
            <w:r w:rsidRPr="002F2BC5">
              <w:rPr>
                <w:rFonts w:ascii="David" w:hAnsi="David"/>
                <w:b/>
                <w:bCs/>
                <w:szCs w:val="20"/>
                <w:rtl/>
              </w:rPr>
              <w:t>שנה שלישית</w:t>
            </w:r>
          </w:p>
        </w:tc>
      </w:tr>
      <w:tr w:rsidR="00817399" w:rsidRPr="002F2BC5" w14:paraId="1A2F12C2" w14:textId="77777777" w:rsidTr="00B14D2A">
        <w:trPr>
          <w:trHeight w:val="540"/>
        </w:trPr>
        <w:tc>
          <w:tcPr>
            <w:tcW w:w="3515" w:type="dxa"/>
            <w:vMerge w:val="restart"/>
            <w:tcBorders>
              <w:top w:val="nil"/>
              <w:left w:val="nil"/>
              <w:bottom w:val="single" w:sz="4" w:space="0" w:color="000000"/>
              <w:right w:val="nil"/>
            </w:tcBorders>
            <w:shd w:val="clear" w:color="auto" w:fill="auto"/>
            <w:vAlign w:val="center"/>
            <w:hideMark/>
          </w:tcPr>
          <w:p w14:paraId="35C2BC5E" w14:textId="77777777" w:rsidR="00817399" w:rsidRPr="002F2BC5" w:rsidRDefault="00817399" w:rsidP="00B14D2A">
            <w:pPr>
              <w:spacing w:line="269" w:lineRule="auto"/>
              <w:rPr>
                <w:rFonts w:ascii="David" w:hAnsi="David"/>
                <w:b/>
                <w:bCs/>
                <w:szCs w:val="20"/>
                <w:rtl/>
              </w:rPr>
            </w:pPr>
            <w:r w:rsidRPr="002F2BC5">
              <w:rPr>
                <w:rFonts w:ascii="David" w:hAnsi="David"/>
                <w:b/>
                <w:bCs/>
                <w:szCs w:val="20"/>
                <w:rtl/>
              </w:rPr>
              <w:t>נפגעות אלימות יוצאות מקלט שהוצא להן צו הגנה, או שהוצא לבן זוגן צו הרחקה, או שהן זכאיות לסל שירותים (משתתפות תוכנית "דף חדש")</w:t>
            </w:r>
          </w:p>
        </w:tc>
        <w:tc>
          <w:tcPr>
            <w:tcW w:w="1020" w:type="dxa"/>
            <w:tcBorders>
              <w:top w:val="nil"/>
              <w:left w:val="nil"/>
              <w:bottom w:val="single" w:sz="4" w:space="0" w:color="D9D9D9"/>
              <w:right w:val="nil"/>
            </w:tcBorders>
            <w:shd w:val="clear" w:color="auto" w:fill="auto"/>
            <w:noWrap/>
            <w:vAlign w:val="center"/>
            <w:hideMark/>
          </w:tcPr>
          <w:p w14:paraId="0AC1328D" w14:textId="77777777" w:rsidR="00817399" w:rsidRPr="002F2BC5" w:rsidRDefault="00817399" w:rsidP="00B14D2A">
            <w:pPr>
              <w:spacing w:line="269" w:lineRule="auto"/>
              <w:rPr>
                <w:rFonts w:ascii="David" w:hAnsi="David"/>
                <w:szCs w:val="20"/>
                <w:rtl/>
              </w:rPr>
            </w:pPr>
            <w:r w:rsidRPr="002F2BC5">
              <w:rPr>
                <w:rFonts w:ascii="David" w:hAnsi="David"/>
                <w:szCs w:val="20"/>
                <w:rtl/>
              </w:rPr>
              <w:t>עם ילדים</w:t>
            </w:r>
          </w:p>
        </w:tc>
        <w:tc>
          <w:tcPr>
            <w:tcW w:w="1304" w:type="dxa"/>
            <w:tcBorders>
              <w:top w:val="nil"/>
              <w:left w:val="nil"/>
              <w:bottom w:val="single" w:sz="4" w:space="0" w:color="D9D9D9"/>
              <w:right w:val="nil"/>
            </w:tcBorders>
            <w:shd w:val="clear" w:color="auto" w:fill="auto"/>
            <w:noWrap/>
            <w:vAlign w:val="center"/>
            <w:hideMark/>
          </w:tcPr>
          <w:p w14:paraId="30BCFAE1" w14:textId="77777777" w:rsidR="00817399" w:rsidRPr="002F2BC5" w:rsidRDefault="00817399" w:rsidP="00B14D2A">
            <w:pPr>
              <w:spacing w:line="269" w:lineRule="auto"/>
              <w:rPr>
                <w:rFonts w:ascii="David" w:hAnsi="David"/>
                <w:szCs w:val="20"/>
                <w:rtl/>
              </w:rPr>
            </w:pPr>
            <w:r w:rsidRPr="002F2BC5">
              <w:rPr>
                <w:rFonts w:ascii="David" w:hAnsi="David"/>
                <w:szCs w:val="20"/>
                <w:rtl/>
              </w:rPr>
              <w:t>1,370 ש"ח</w:t>
            </w:r>
          </w:p>
        </w:tc>
        <w:tc>
          <w:tcPr>
            <w:tcW w:w="1134" w:type="dxa"/>
            <w:tcBorders>
              <w:top w:val="nil"/>
              <w:left w:val="nil"/>
              <w:bottom w:val="single" w:sz="4" w:space="0" w:color="D9D9D9"/>
              <w:right w:val="nil"/>
            </w:tcBorders>
            <w:shd w:val="clear" w:color="auto" w:fill="auto"/>
            <w:noWrap/>
            <w:vAlign w:val="center"/>
            <w:hideMark/>
          </w:tcPr>
          <w:p w14:paraId="5CF1514B" w14:textId="77777777" w:rsidR="00817399" w:rsidRPr="002F2BC5" w:rsidRDefault="00817399" w:rsidP="00B14D2A">
            <w:pPr>
              <w:spacing w:line="269" w:lineRule="auto"/>
              <w:rPr>
                <w:rFonts w:ascii="David" w:hAnsi="David"/>
                <w:szCs w:val="20"/>
                <w:rtl/>
              </w:rPr>
            </w:pPr>
            <w:r w:rsidRPr="002F2BC5">
              <w:rPr>
                <w:rFonts w:ascii="David" w:hAnsi="David"/>
                <w:szCs w:val="20"/>
                <w:rtl/>
              </w:rPr>
              <w:t>1,104 ש"ח</w:t>
            </w:r>
          </w:p>
        </w:tc>
        <w:tc>
          <w:tcPr>
            <w:tcW w:w="1247" w:type="dxa"/>
            <w:tcBorders>
              <w:top w:val="nil"/>
              <w:left w:val="nil"/>
              <w:bottom w:val="single" w:sz="4" w:space="0" w:color="D9D9D9"/>
              <w:right w:val="nil"/>
            </w:tcBorders>
            <w:shd w:val="clear" w:color="auto" w:fill="auto"/>
            <w:noWrap/>
            <w:vAlign w:val="center"/>
            <w:hideMark/>
          </w:tcPr>
          <w:p w14:paraId="30C895FF" w14:textId="77777777" w:rsidR="00817399" w:rsidRPr="002F2BC5" w:rsidRDefault="00817399" w:rsidP="00B14D2A">
            <w:pPr>
              <w:spacing w:line="269" w:lineRule="auto"/>
              <w:rPr>
                <w:rFonts w:ascii="David" w:hAnsi="David"/>
                <w:szCs w:val="20"/>
                <w:rtl/>
              </w:rPr>
            </w:pPr>
            <w:r w:rsidRPr="002F2BC5">
              <w:rPr>
                <w:rFonts w:ascii="David" w:hAnsi="David"/>
                <w:szCs w:val="20"/>
                <w:rtl/>
              </w:rPr>
              <w:t>883 ש"ח</w:t>
            </w:r>
          </w:p>
        </w:tc>
      </w:tr>
      <w:tr w:rsidR="00817399" w:rsidRPr="002F2BC5" w14:paraId="3C57F17C" w14:textId="77777777" w:rsidTr="00B14D2A">
        <w:trPr>
          <w:trHeight w:val="540"/>
        </w:trPr>
        <w:tc>
          <w:tcPr>
            <w:tcW w:w="3515" w:type="dxa"/>
            <w:vMerge/>
            <w:tcBorders>
              <w:top w:val="nil"/>
              <w:left w:val="nil"/>
              <w:bottom w:val="single" w:sz="4" w:space="0" w:color="000000"/>
              <w:right w:val="nil"/>
            </w:tcBorders>
            <w:vAlign w:val="center"/>
            <w:hideMark/>
          </w:tcPr>
          <w:p w14:paraId="1AEF5C05" w14:textId="77777777" w:rsidR="00817399" w:rsidRPr="002F2BC5" w:rsidRDefault="00817399" w:rsidP="00B14D2A">
            <w:pPr>
              <w:spacing w:line="269" w:lineRule="auto"/>
              <w:rPr>
                <w:rFonts w:ascii="David" w:hAnsi="David"/>
                <w:b/>
                <w:bCs/>
                <w:szCs w:val="20"/>
              </w:rPr>
            </w:pPr>
          </w:p>
        </w:tc>
        <w:tc>
          <w:tcPr>
            <w:tcW w:w="1020" w:type="dxa"/>
            <w:tcBorders>
              <w:top w:val="nil"/>
              <w:left w:val="nil"/>
              <w:bottom w:val="single" w:sz="4" w:space="0" w:color="auto"/>
              <w:right w:val="nil"/>
            </w:tcBorders>
            <w:shd w:val="clear" w:color="auto" w:fill="auto"/>
            <w:noWrap/>
            <w:vAlign w:val="center"/>
            <w:hideMark/>
          </w:tcPr>
          <w:p w14:paraId="6BA9E07D" w14:textId="77777777" w:rsidR="00817399" w:rsidRPr="002F2BC5" w:rsidRDefault="00817399" w:rsidP="00B14D2A">
            <w:pPr>
              <w:spacing w:line="269" w:lineRule="auto"/>
              <w:rPr>
                <w:rFonts w:ascii="David" w:hAnsi="David"/>
                <w:szCs w:val="20"/>
                <w:rtl/>
              </w:rPr>
            </w:pPr>
            <w:r w:rsidRPr="002F2BC5">
              <w:rPr>
                <w:rFonts w:ascii="David" w:hAnsi="David"/>
                <w:szCs w:val="20"/>
                <w:rtl/>
              </w:rPr>
              <w:t>ללא ילדים</w:t>
            </w:r>
          </w:p>
        </w:tc>
        <w:tc>
          <w:tcPr>
            <w:tcW w:w="1304" w:type="dxa"/>
            <w:tcBorders>
              <w:top w:val="nil"/>
              <w:left w:val="nil"/>
              <w:bottom w:val="single" w:sz="4" w:space="0" w:color="auto"/>
              <w:right w:val="nil"/>
            </w:tcBorders>
            <w:shd w:val="clear" w:color="auto" w:fill="auto"/>
            <w:noWrap/>
            <w:vAlign w:val="center"/>
            <w:hideMark/>
          </w:tcPr>
          <w:p w14:paraId="6F160FD9" w14:textId="77777777" w:rsidR="00817399" w:rsidRPr="002F2BC5" w:rsidRDefault="00817399" w:rsidP="00B14D2A">
            <w:pPr>
              <w:spacing w:line="269" w:lineRule="auto"/>
              <w:rPr>
                <w:rFonts w:ascii="David" w:hAnsi="David"/>
                <w:szCs w:val="20"/>
                <w:rtl/>
              </w:rPr>
            </w:pPr>
            <w:r w:rsidRPr="002F2BC5">
              <w:rPr>
                <w:rFonts w:ascii="David" w:hAnsi="David"/>
                <w:szCs w:val="20"/>
                <w:rtl/>
              </w:rPr>
              <w:t>1,160 ש"ח</w:t>
            </w:r>
          </w:p>
        </w:tc>
        <w:tc>
          <w:tcPr>
            <w:tcW w:w="1134" w:type="dxa"/>
            <w:tcBorders>
              <w:top w:val="nil"/>
              <w:left w:val="nil"/>
              <w:bottom w:val="single" w:sz="4" w:space="0" w:color="auto"/>
              <w:right w:val="nil"/>
            </w:tcBorders>
            <w:shd w:val="clear" w:color="auto" w:fill="auto"/>
            <w:noWrap/>
            <w:vAlign w:val="center"/>
            <w:hideMark/>
          </w:tcPr>
          <w:p w14:paraId="3C6ADC29" w14:textId="77777777" w:rsidR="00817399" w:rsidRPr="002F2BC5" w:rsidRDefault="00817399" w:rsidP="00B14D2A">
            <w:pPr>
              <w:spacing w:line="269" w:lineRule="auto"/>
              <w:rPr>
                <w:rFonts w:ascii="David" w:hAnsi="David"/>
                <w:szCs w:val="20"/>
                <w:rtl/>
              </w:rPr>
            </w:pPr>
            <w:r w:rsidRPr="002F2BC5">
              <w:rPr>
                <w:rFonts w:ascii="David" w:hAnsi="David"/>
                <w:szCs w:val="20"/>
                <w:rtl/>
              </w:rPr>
              <w:t>957 ש"ח</w:t>
            </w:r>
          </w:p>
        </w:tc>
        <w:tc>
          <w:tcPr>
            <w:tcW w:w="1247" w:type="dxa"/>
            <w:tcBorders>
              <w:top w:val="nil"/>
              <w:left w:val="nil"/>
              <w:bottom w:val="single" w:sz="4" w:space="0" w:color="auto"/>
              <w:right w:val="nil"/>
            </w:tcBorders>
            <w:shd w:val="clear" w:color="auto" w:fill="auto"/>
            <w:noWrap/>
            <w:vAlign w:val="center"/>
            <w:hideMark/>
          </w:tcPr>
          <w:p w14:paraId="6A8CF320" w14:textId="77777777" w:rsidR="00817399" w:rsidRPr="002F2BC5" w:rsidRDefault="00817399" w:rsidP="00B14D2A">
            <w:pPr>
              <w:spacing w:line="269" w:lineRule="auto"/>
              <w:rPr>
                <w:rFonts w:ascii="David" w:hAnsi="David"/>
                <w:szCs w:val="20"/>
                <w:rtl/>
              </w:rPr>
            </w:pPr>
            <w:r w:rsidRPr="002F2BC5">
              <w:rPr>
                <w:rFonts w:ascii="David" w:hAnsi="David"/>
                <w:szCs w:val="20"/>
                <w:rtl/>
              </w:rPr>
              <w:t>774 ש"ח</w:t>
            </w:r>
          </w:p>
        </w:tc>
      </w:tr>
      <w:tr w:rsidR="00817399" w:rsidRPr="002F2BC5" w14:paraId="64CB1A4A" w14:textId="77777777" w:rsidTr="00B14D2A">
        <w:trPr>
          <w:trHeight w:val="540"/>
        </w:trPr>
        <w:tc>
          <w:tcPr>
            <w:tcW w:w="3515" w:type="dxa"/>
            <w:vMerge w:val="restart"/>
            <w:tcBorders>
              <w:top w:val="nil"/>
              <w:left w:val="nil"/>
              <w:bottom w:val="single" w:sz="4" w:space="0" w:color="000000"/>
              <w:right w:val="nil"/>
            </w:tcBorders>
            <w:shd w:val="clear" w:color="auto" w:fill="auto"/>
            <w:vAlign w:val="center"/>
            <w:hideMark/>
          </w:tcPr>
          <w:p w14:paraId="14D7FA3E" w14:textId="77777777" w:rsidR="00817399" w:rsidRPr="002F2BC5" w:rsidRDefault="00817399" w:rsidP="00B14D2A">
            <w:pPr>
              <w:spacing w:line="269" w:lineRule="auto"/>
              <w:rPr>
                <w:rFonts w:ascii="David" w:hAnsi="David"/>
                <w:b/>
                <w:bCs/>
                <w:szCs w:val="20"/>
                <w:rtl/>
              </w:rPr>
            </w:pPr>
            <w:r w:rsidRPr="002F2BC5">
              <w:rPr>
                <w:rFonts w:ascii="David" w:hAnsi="David"/>
                <w:b/>
                <w:bCs/>
                <w:szCs w:val="20"/>
                <w:rtl/>
              </w:rPr>
              <w:t>נשים יוצאות דירות מעבר**</w:t>
            </w:r>
          </w:p>
        </w:tc>
        <w:tc>
          <w:tcPr>
            <w:tcW w:w="1020" w:type="dxa"/>
            <w:tcBorders>
              <w:top w:val="nil"/>
              <w:left w:val="nil"/>
              <w:bottom w:val="single" w:sz="4" w:space="0" w:color="D9D9D9"/>
              <w:right w:val="nil"/>
            </w:tcBorders>
            <w:shd w:val="clear" w:color="auto" w:fill="auto"/>
            <w:noWrap/>
            <w:vAlign w:val="center"/>
            <w:hideMark/>
          </w:tcPr>
          <w:p w14:paraId="3CA7C7FB" w14:textId="77777777" w:rsidR="00817399" w:rsidRPr="002F2BC5" w:rsidRDefault="00817399" w:rsidP="00B14D2A">
            <w:pPr>
              <w:spacing w:line="269" w:lineRule="auto"/>
              <w:rPr>
                <w:rFonts w:ascii="David" w:hAnsi="David"/>
                <w:szCs w:val="20"/>
                <w:rtl/>
              </w:rPr>
            </w:pPr>
            <w:r w:rsidRPr="002F2BC5">
              <w:rPr>
                <w:rFonts w:ascii="David" w:hAnsi="David"/>
                <w:szCs w:val="20"/>
                <w:rtl/>
              </w:rPr>
              <w:t>עם ילדים</w:t>
            </w:r>
          </w:p>
        </w:tc>
        <w:tc>
          <w:tcPr>
            <w:tcW w:w="1304" w:type="dxa"/>
            <w:tcBorders>
              <w:top w:val="nil"/>
              <w:left w:val="nil"/>
              <w:bottom w:val="single" w:sz="4" w:space="0" w:color="D9D9D9"/>
              <w:right w:val="nil"/>
            </w:tcBorders>
            <w:shd w:val="clear" w:color="auto" w:fill="auto"/>
            <w:noWrap/>
            <w:vAlign w:val="center"/>
            <w:hideMark/>
          </w:tcPr>
          <w:p w14:paraId="0BAFCF83" w14:textId="77777777" w:rsidR="00817399" w:rsidRPr="002F2BC5" w:rsidRDefault="00817399" w:rsidP="00B14D2A">
            <w:pPr>
              <w:spacing w:line="269" w:lineRule="auto"/>
              <w:rPr>
                <w:rFonts w:ascii="David" w:hAnsi="David"/>
                <w:szCs w:val="20"/>
                <w:rtl/>
              </w:rPr>
            </w:pPr>
            <w:r w:rsidRPr="002F2BC5">
              <w:rPr>
                <w:rFonts w:ascii="David" w:hAnsi="David"/>
                <w:szCs w:val="20"/>
                <w:rtl/>
              </w:rPr>
              <w:t>1,170 ש"ח</w:t>
            </w:r>
          </w:p>
        </w:tc>
        <w:tc>
          <w:tcPr>
            <w:tcW w:w="1134" w:type="dxa"/>
            <w:tcBorders>
              <w:top w:val="nil"/>
              <w:left w:val="nil"/>
              <w:bottom w:val="single" w:sz="4" w:space="0" w:color="D9D9D9"/>
              <w:right w:val="nil"/>
            </w:tcBorders>
            <w:shd w:val="clear" w:color="auto" w:fill="auto"/>
            <w:noWrap/>
            <w:vAlign w:val="center"/>
            <w:hideMark/>
          </w:tcPr>
          <w:p w14:paraId="72B89A92" w14:textId="77777777" w:rsidR="00817399" w:rsidRPr="002F2BC5" w:rsidRDefault="00817399" w:rsidP="00B14D2A">
            <w:pPr>
              <w:spacing w:line="269" w:lineRule="auto"/>
              <w:rPr>
                <w:rFonts w:ascii="David" w:hAnsi="David"/>
                <w:szCs w:val="20"/>
                <w:rtl/>
              </w:rPr>
            </w:pPr>
            <w:r w:rsidRPr="002F2BC5">
              <w:rPr>
                <w:rFonts w:ascii="David" w:hAnsi="David"/>
                <w:szCs w:val="20"/>
                <w:rtl/>
              </w:rPr>
              <w:t>1,004 ש"ח</w:t>
            </w:r>
          </w:p>
        </w:tc>
        <w:tc>
          <w:tcPr>
            <w:tcW w:w="1247" w:type="dxa"/>
            <w:tcBorders>
              <w:top w:val="nil"/>
              <w:left w:val="nil"/>
              <w:bottom w:val="single" w:sz="4" w:space="0" w:color="D9D9D9"/>
              <w:right w:val="nil"/>
            </w:tcBorders>
            <w:shd w:val="clear" w:color="auto" w:fill="auto"/>
            <w:noWrap/>
            <w:vAlign w:val="center"/>
            <w:hideMark/>
          </w:tcPr>
          <w:p w14:paraId="2F0EC5E8" w14:textId="77777777" w:rsidR="00817399" w:rsidRPr="002F2BC5" w:rsidRDefault="00817399" w:rsidP="00B14D2A">
            <w:pPr>
              <w:spacing w:line="269" w:lineRule="auto"/>
              <w:rPr>
                <w:rFonts w:ascii="David" w:hAnsi="David"/>
                <w:szCs w:val="20"/>
                <w:rtl/>
              </w:rPr>
            </w:pPr>
            <w:r w:rsidRPr="002F2BC5">
              <w:rPr>
                <w:rFonts w:ascii="David" w:hAnsi="David"/>
                <w:szCs w:val="20"/>
                <w:rtl/>
              </w:rPr>
              <w:t>883 ש"ח</w:t>
            </w:r>
          </w:p>
        </w:tc>
      </w:tr>
      <w:tr w:rsidR="00817399" w:rsidRPr="002F2BC5" w14:paraId="7D12FB1D" w14:textId="77777777" w:rsidTr="00B14D2A">
        <w:trPr>
          <w:trHeight w:val="540"/>
        </w:trPr>
        <w:tc>
          <w:tcPr>
            <w:tcW w:w="3515" w:type="dxa"/>
            <w:vMerge/>
            <w:tcBorders>
              <w:top w:val="nil"/>
              <w:left w:val="nil"/>
              <w:bottom w:val="single" w:sz="4" w:space="0" w:color="000000"/>
              <w:right w:val="nil"/>
            </w:tcBorders>
            <w:vAlign w:val="center"/>
            <w:hideMark/>
          </w:tcPr>
          <w:p w14:paraId="5EBC6DE2" w14:textId="77777777" w:rsidR="00817399" w:rsidRPr="002F2BC5" w:rsidRDefault="00817399" w:rsidP="00B14D2A">
            <w:pPr>
              <w:spacing w:line="269" w:lineRule="auto"/>
              <w:rPr>
                <w:rFonts w:ascii="David" w:hAnsi="David"/>
                <w:szCs w:val="20"/>
              </w:rPr>
            </w:pPr>
          </w:p>
        </w:tc>
        <w:tc>
          <w:tcPr>
            <w:tcW w:w="1020" w:type="dxa"/>
            <w:tcBorders>
              <w:top w:val="nil"/>
              <w:left w:val="nil"/>
              <w:bottom w:val="single" w:sz="4" w:space="0" w:color="auto"/>
              <w:right w:val="nil"/>
            </w:tcBorders>
            <w:shd w:val="clear" w:color="auto" w:fill="auto"/>
            <w:noWrap/>
            <w:vAlign w:val="center"/>
            <w:hideMark/>
          </w:tcPr>
          <w:p w14:paraId="7DD0719B" w14:textId="77777777" w:rsidR="00817399" w:rsidRPr="002F2BC5" w:rsidRDefault="00817399" w:rsidP="00B14D2A">
            <w:pPr>
              <w:spacing w:line="269" w:lineRule="auto"/>
              <w:rPr>
                <w:rFonts w:ascii="David" w:hAnsi="David"/>
                <w:szCs w:val="20"/>
                <w:rtl/>
              </w:rPr>
            </w:pPr>
            <w:r w:rsidRPr="002F2BC5">
              <w:rPr>
                <w:rFonts w:ascii="David" w:hAnsi="David"/>
                <w:szCs w:val="20"/>
                <w:rtl/>
              </w:rPr>
              <w:t>ללא ילדים</w:t>
            </w:r>
          </w:p>
        </w:tc>
        <w:tc>
          <w:tcPr>
            <w:tcW w:w="1304" w:type="dxa"/>
            <w:tcBorders>
              <w:top w:val="nil"/>
              <w:left w:val="nil"/>
              <w:bottom w:val="single" w:sz="4" w:space="0" w:color="auto"/>
              <w:right w:val="nil"/>
            </w:tcBorders>
            <w:shd w:val="clear" w:color="auto" w:fill="auto"/>
            <w:noWrap/>
            <w:vAlign w:val="center"/>
            <w:hideMark/>
          </w:tcPr>
          <w:p w14:paraId="40A346D6" w14:textId="77777777" w:rsidR="00817399" w:rsidRPr="002F2BC5" w:rsidRDefault="00817399" w:rsidP="00B14D2A">
            <w:pPr>
              <w:spacing w:line="269" w:lineRule="auto"/>
              <w:rPr>
                <w:rFonts w:ascii="David" w:hAnsi="David"/>
                <w:szCs w:val="20"/>
                <w:rtl/>
              </w:rPr>
            </w:pPr>
            <w:r w:rsidRPr="002F2BC5">
              <w:rPr>
                <w:rFonts w:ascii="David" w:hAnsi="David"/>
                <w:szCs w:val="20"/>
                <w:rtl/>
              </w:rPr>
              <w:t>960 ש"ח</w:t>
            </w:r>
          </w:p>
        </w:tc>
        <w:tc>
          <w:tcPr>
            <w:tcW w:w="1134" w:type="dxa"/>
            <w:tcBorders>
              <w:top w:val="nil"/>
              <w:left w:val="nil"/>
              <w:bottom w:val="single" w:sz="4" w:space="0" w:color="auto"/>
              <w:right w:val="nil"/>
            </w:tcBorders>
            <w:shd w:val="clear" w:color="auto" w:fill="auto"/>
            <w:noWrap/>
            <w:vAlign w:val="center"/>
            <w:hideMark/>
          </w:tcPr>
          <w:p w14:paraId="52E15F93" w14:textId="77777777" w:rsidR="00817399" w:rsidRPr="002F2BC5" w:rsidRDefault="00817399" w:rsidP="00B14D2A">
            <w:pPr>
              <w:spacing w:line="269" w:lineRule="auto"/>
              <w:rPr>
                <w:rFonts w:ascii="David" w:hAnsi="David"/>
                <w:szCs w:val="20"/>
                <w:rtl/>
              </w:rPr>
            </w:pPr>
            <w:r w:rsidRPr="002F2BC5">
              <w:rPr>
                <w:rFonts w:ascii="David" w:hAnsi="David"/>
                <w:szCs w:val="20"/>
                <w:rtl/>
              </w:rPr>
              <w:t>857 ש"ח</w:t>
            </w:r>
          </w:p>
        </w:tc>
        <w:tc>
          <w:tcPr>
            <w:tcW w:w="1247" w:type="dxa"/>
            <w:tcBorders>
              <w:top w:val="nil"/>
              <w:left w:val="nil"/>
              <w:bottom w:val="single" w:sz="4" w:space="0" w:color="auto"/>
              <w:right w:val="nil"/>
            </w:tcBorders>
            <w:shd w:val="clear" w:color="auto" w:fill="auto"/>
            <w:noWrap/>
            <w:vAlign w:val="center"/>
            <w:hideMark/>
          </w:tcPr>
          <w:p w14:paraId="2B1C7075" w14:textId="77777777" w:rsidR="00817399" w:rsidRPr="002F2BC5" w:rsidRDefault="00817399" w:rsidP="00B14D2A">
            <w:pPr>
              <w:spacing w:line="269" w:lineRule="auto"/>
              <w:rPr>
                <w:rFonts w:ascii="David" w:hAnsi="David"/>
                <w:szCs w:val="20"/>
                <w:rtl/>
              </w:rPr>
            </w:pPr>
            <w:r w:rsidRPr="002F2BC5">
              <w:rPr>
                <w:rFonts w:ascii="David" w:hAnsi="David"/>
                <w:szCs w:val="20"/>
                <w:rtl/>
              </w:rPr>
              <w:t>774 ש"ח</w:t>
            </w:r>
          </w:p>
        </w:tc>
      </w:tr>
    </w:tbl>
    <w:p w14:paraId="5C3873BB" w14:textId="77777777" w:rsidR="00817399" w:rsidRPr="002F2BC5" w:rsidRDefault="00817399" w:rsidP="00817399">
      <w:pPr>
        <w:pStyle w:val="afffffff1"/>
        <w:bidi/>
        <w:spacing w:line="269" w:lineRule="auto"/>
        <w:rPr>
          <w:rtl/>
        </w:rPr>
      </w:pPr>
      <w:r w:rsidRPr="002F2BC5">
        <w:rPr>
          <w:rFonts w:hint="cs"/>
          <w:rtl/>
        </w:rPr>
        <w:t xml:space="preserve">לפי </w:t>
      </w:r>
      <w:r w:rsidRPr="002F2BC5">
        <w:rPr>
          <w:rtl/>
        </w:rPr>
        <w:t>נוהל העבודה המעודכן של משרד הבינוי והשיכון לעניין הסיוע הכספי בשכר דירה לנשים נפגעות אלימות</w:t>
      </w:r>
      <w:r w:rsidRPr="002F2BC5">
        <w:rPr>
          <w:rFonts w:hint="cs"/>
          <w:rtl/>
        </w:rPr>
        <w:t>, בעיבוד משרד מבקר המדינה.</w:t>
      </w:r>
    </w:p>
    <w:p w14:paraId="7CBCB1DC" w14:textId="77777777" w:rsidR="00817399" w:rsidRPr="002F2BC5" w:rsidRDefault="00817399" w:rsidP="00817399">
      <w:pPr>
        <w:pStyle w:val="afffffff1"/>
        <w:bidi/>
        <w:spacing w:line="269" w:lineRule="auto"/>
        <w:rPr>
          <w:rtl/>
        </w:rPr>
      </w:pPr>
      <w:r w:rsidRPr="002F2BC5">
        <w:rPr>
          <w:rtl/>
        </w:rPr>
        <w:t xml:space="preserve">* לפי הנוהל, בשנת הזכאות הראשונה הזכאות לסיוע </w:t>
      </w:r>
      <w:r w:rsidRPr="002F2BC5">
        <w:rPr>
          <w:rFonts w:hint="eastAsia"/>
          <w:rtl/>
        </w:rPr>
        <w:t>הכספי</w:t>
      </w:r>
      <w:r w:rsidRPr="002F2BC5">
        <w:rPr>
          <w:rtl/>
        </w:rPr>
        <w:t xml:space="preserve"> בשכר דירה אינה מותנית בבדיקת </w:t>
      </w:r>
      <w:r w:rsidRPr="002F2BC5">
        <w:rPr>
          <w:rFonts w:hint="eastAsia"/>
          <w:rtl/>
        </w:rPr>
        <w:t>הנכסים</w:t>
      </w:r>
      <w:r w:rsidRPr="002F2BC5">
        <w:rPr>
          <w:rtl/>
        </w:rPr>
        <w:t xml:space="preserve"> </w:t>
      </w:r>
      <w:r w:rsidRPr="002F2BC5">
        <w:rPr>
          <w:rFonts w:hint="eastAsia"/>
          <w:rtl/>
        </w:rPr>
        <w:t>שבבעלותה</w:t>
      </w:r>
      <w:r w:rsidRPr="002F2BC5">
        <w:rPr>
          <w:rtl/>
        </w:rPr>
        <w:t xml:space="preserve"> </w:t>
      </w:r>
      <w:r w:rsidRPr="002F2BC5">
        <w:rPr>
          <w:rFonts w:hint="eastAsia"/>
          <w:rtl/>
        </w:rPr>
        <w:t>של</w:t>
      </w:r>
      <w:r w:rsidRPr="002F2BC5">
        <w:rPr>
          <w:rtl/>
        </w:rPr>
        <w:t xml:space="preserve"> </w:t>
      </w:r>
      <w:r w:rsidRPr="002F2BC5">
        <w:rPr>
          <w:rFonts w:hint="eastAsia"/>
          <w:rtl/>
        </w:rPr>
        <w:t>מגישת</w:t>
      </w:r>
      <w:r w:rsidRPr="002F2BC5">
        <w:rPr>
          <w:rtl/>
        </w:rPr>
        <w:t xml:space="preserve"> </w:t>
      </w:r>
      <w:r w:rsidRPr="002F2BC5">
        <w:rPr>
          <w:rFonts w:hint="eastAsia"/>
          <w:rtl/>
        </w:rPr>
        <w:t>הבקשה</w:t>
      </w:r>
      <w:r w:rsidRPr="002F2BC5">
        <w:rPr>
          <w:rtl/>
        </w:rPr>
        <w:t>.</w:t>
      </w:r>
    </w:p>
    <w:p w14:paraId="6E003875" w14:textId="77777777" w:rsidR="00817399" w:rsidRPr="002F2BC5" w:rsidRDefault="00817399" w:rsidP="00817399">
      <w:pPr>
        <w:pStyle w:val="afffffff1"/>
        <w:bidi/>
        <w:spacing w:line="269" w:lineRule="auto"/>
        <w:rPr>
          <w:rtl/>
        </w:rPr>
      </w:pPr>
      <w:r w:rsidRPr="002F2BC5">
        <w:rPr>
          <w:rFonts w:hint="cs"/>
          <w:rtl/>
        </w:rPr>
        <w:t xml:space="preserve">** תקופת הזכאות הראשונה של נשים יוצאות דירות מעבר היא של 18 חודשים ולא 12 חודשים, ובסך הכול הן זכאיות לסיוע בשכר דירה לתקופה מצטברת של עד 42 חודשים. </w:t>
      </w:r>
    </w:p>
    <w:p w14:paraId="1982E44E" w14:textId="77777777" w:rsidR="00817399" w:rsidRPr="002F2BC5" w:rsidRDefault="00817399" w:rsidP="00817399">
      <w:pPr>
        <w:spacing w:line="269" w:lineRule="auto"/>
        <w:rPr>
          <w:rtl/>
        </w:rPr>
      </w:pPr>
    </w:p>
    <w:p w14:paraId="4D7D4B4B" w14:textId="77777777" w:rsidR="00817399" w:rsidRPr="002F2BC5" w:rsidRDefault="00817399" w:rsidP="00817399">
      <w:pPr>
        <w:spacing w:line="269" w:lineRule="auto"/>
        <w:rPr>
          <w:rtl/>
        </w:rPr>
      </w:pPr>
      <w:r w:rsidRPr="002F2BC5">
        <w:rPr>
          <w:rFonts w:hint="eastAsia"/>
          <w:b/>
          <w:bCs/>
          <w:rtl/>
        </w:rPr>
        <w:t>יוצא</w:t>
      </w:r>
      <w:r w:rsidRPr="002F2BC5">
        <w:rPr>
          <w:b/>
          <w:bCs/>
          <w:rtl/>
        </w:rPr>
        <w:t xml:space="preserve"> מן האמור כי </w:t>
      </w:r>
      <w:r w:rsidRPr="002F2BC5">
        <w:rPr>
          <w:rFonts w:hint="eastAsia"/>
          <w:b/>
          <w:bCs/>
          <w:rtl/>
        </w:rPr>
        <w:t>שכר</w:t>
      </w:r>
      <w:r w:rsidRPr="002F2BC5">
        <w:rPr>
          <w:b/>
          <w:bCs/>
          <w:rtl/>
        </w:rPr>
        <w:t xml:space="preserve"> </w:t>
      </w:r>
      <w:r w:rsidRPr="002F2BC5">
        <w:rPr>
          <w:rFonts w:hint="eastAsia"/>
          <w:b/>
          <w:bCs/>
          <w:rtl/>
        </w:rPr>
        <w:t>הדירה</w:t>
      </w:r>
      <w:r w:rsidRPr="002F2BC5">
        <w:rPr>
          <w:b/>
          <w:bCs/>
          <w:rtl/>
        </w:rPr>
        <w:t xml:space="preserve"> </w:t>
      </w:r>
      <w:r w:rsidRPr="002F2BC5">
        <w:rPr>
          <w:rFonts w:hint="eastAsia"/>
          <w:b/>
          <w:bCs/>
          <w:rtl/>
        </w:rPr>
        <w:t>החודשי</w:t>
      </w:r>
      <w:r w:rsidRPr="002F2BC5">
        <w:rPr>
          <w:b/>
          <w:bCs/>
          <w:rtl/>
        </w:rPr>
        <w:t xml:space="preserve"> </w:t>
      </w:r>
      <w:r w:rsidRPr="002F2BC5">
        <w:rPr>
          <w:rFonts w:hint="eastAsia"/>
          <w:b/>
          <w:bCs/>
          <w:rtl/>
        </w:rPr>
        <w:t>הממוצע</w:t>
      </w:r>
      <w:r w:rsidRPr="002F2BC5">
        <w:rPr>
          <w:rFonts w:hint="cs"/>
          <w:b/>
          <w:bCs/>
          <w:rtl/>
        </w:rPr>
        <w:t xml:space="preserve"> לשנת 2023 היה גבוה פי שלושה מגובה הסיוע הכספי החודשי בשכר דירה לנשים נפגעות אלימות עם ילדים בשנת זכאותן הראשונה (כ-4,477 ש"ח לחודש לעומת 1,370 ש"ח לחודש), נכון למועד סיום ביקורת המעקב, בדצמבר 2024.</w:t>
      </w:r>
    </w:p>
    <w:p w14:paraId="5ABE569C" w14:textId="77777777" w:rsidR="00817399" w:rsidRPr="002F2BC5" w:rsidRDefault="00817399" w:rsidP="00817399">
      <w:pPr>
        <w:spacing w:line="269" w:lineRule="auto"/>
        <w:rPr>
          <w:rtl/>
        </w:rPr>
      </w:pPr>
    </w:p>
    <w:p w14:paraId="530D7AC2" w14:textId="77777777" w:rsidR="00817399" w:rsidRPr="002F2BC5" w:rsidRDefault="00817399" w:rsidP="00817399">
      <w:pPr>
        <w:spacing w:line="269" w:lineRule="auto"/>
        <w:rPr>
          <w:rtl/>
        </w:rPr>
      </w:pPr>
      <w:r w:rsidRPr="002F2BC5">
        <w:rPr>
          <w:rFonts w:hint="cs"/>
          <w:rtl/>
        </w:rPr>
        <w:t xml:space="preserve">משרד הבינוי והשיכון מסר במהלך ביקורת המעקב, בנובמבר 2024, כי הוא מודע </w:t>
      </w:r>
      <w:r w:rsidRPr="002F2BC5">
        <w:rPr>
          <w:rtl/>
        </w:rPr>
        <w:t xml:space="preserve">לפער </w:t>
      </w:r>
      <w:r w:rsidRPr="002F2BC5">
        <w:rPr>
          <w:rFonts w:hint="cs"/>
          <w:rtl/>
        </w:rPr>
        <w:t>ש</w:t>
      </w:r>
      <w:r w:rsidRPr="002F2BC5">
        <w:rPr>
          <w:rtl/>
        </w:rPr>
        <w:t>ב</w:t>
      </w:r>
      <w:r w:rsidRPr="002F2BC5">
        <w:rPr>
          <w:rFonts w:hint="cs"/>
          <w:rtl/>
        </w:rPr>
        <w:t xml:space="preserve">ין </w:t>
      </w:r>
      <w:r w:rsidRPr="002F2BC5">
        <w:rPr>
          <w:rtl/>
        </w:rPr>
        <w:t xml:space="preserve">גובה הסיוע בשכר דירה </w:t>
      </w:r>
      <w:r w:rsidRPr="002F2BC5">
        <w:rPr>
          <w:rFonts w:hint="cs"/>
          <w:rtl/>
        </w:rPr>
        <w:t>לב</w:t>
      </w:r>
      <w:r w:rsidRPr="002F2BC5">
        <w:rPr>
          <w:rtl/>
        </w:rPr>
        <w:t xml:space="preserve">ין </w:t>
      </w:r>
      <w:r w:rsidRPr="002F2BC5">
        <w:rPr>
          <w:rFonts w:hint="cs"/>
          <w:rtl/>
        </w:rPr>
        <w:t xml:space="preserve">מחירי השכירות בשוק החופשי, וכי פער זה קיים זה שנים גם בתוכניות סיוע אחרות שאינן בתחום האלימות במשפחה. עוד מסר כי בשנת 2021 נעשתה פנייה של מנכ"ל המשרד דאז למשרד האוצר בבקשה לקבלת תוספת תקציבית שתאפשר עדכון בגובה הסיוע, אולם התוספת התקציבית שהתבקשה לא התקבלה לבסוף. נוסף על כך נמסר במהלך ביקורת המעקב כי משרד הבינוי והשיכון עדכן את התבחינים הקובעים את הזכאות לדיור ציבורי תוך מתן משקל רב יותר להיותה של המבקשת נפגעת אלימות בהחלטותיה של ועדת החריגים (שכן עצם היותה של אישה נפגעת אלימות במשפחה או יוצאת מקלט אינה מקנה לה באופן מובנה זכאות לדיור ציבורי). </w:t>
      </w:r>
    </w:p>
    <w:p w14:paraId="472B4762" w14:textId="77777777" w:rsidR="00817399" w:rsidRPr="002F2BC5" w:rsidRDefault="00817399" w:rsidP="00817399">
      <w:pPr>
        <w:spacing w:line="269" w:lineRule="auto"/>
        <w:rPr>
          <w:rtl/>
        </w:rPr>
      </w:pPr>
    </w:p>
    <w:p w14:paraId="625E4B73" w14:textId="4E9C966A" w:rsidR="00817399" w:rsidRPr="002F2BC5" w:rsidRDefault="00817399" w:rsidP="00817399">
      <w:pPr>
        <w:spacing w:line="269" w:lineRule="auto"/>
        <w:rPr>
          <w:rtl/>
        </w:rPr>
      </w:pPr>
      <w:r w:rsidRPr="002F2BC5">
        <w:rPr>
          <w:rFonts w:hint="cs"/>
          <w:rtl/>
        </w:rPr>
        <w:t>ביקורת המעקב העלתה עוד כי לפי נתוני משרד הבינוי והשיכון, בשנים 2021 - 2024 ניתן סיוע בשכר דירה בהיקף כספי מצטבר של כ-77.8 מיליון ש"ח לכ-4,500 מקבלי סיוע. ריכוז הנתונים על מספר הבקשות לסיוע, מספר מקבלי הסיוע וההיקף הכספי של הסיוע שניתן בשנים 2021 - 2024 מוצג ב</w:t>
      </w:r>
      <w:r w:rsidR="00E51497">
        <w:rPr>
          <w:rtl/>
        </w:rPr>
        <w:fldChar w:fldCharType="begin"/>
      </w:r>
      <w:r w:rsidR="00E51497">
        <w:rPr>
          <w:rtl/>
        </w:rPr>
        <w:instrText xml:space="preserve"> </w:instrText>
      </w:r>
      <w:r w:rsidR="00E51497">
        <w:rPr>
          <w:rFonts w:hint="cs"/>
        </w:rPr>
        <w:instrText>REF</w:instrText>
      </w:r>
      <w:r w:rsidR="00E51497">
        <w:rPr>
          <w:rFonts w:hint="cs"/>
          <w:rtl/>
        </w:rPr>
        <w:instrText xml:space="preserve"> _</w:instrText>
      </w:r>
      <w:r w:rsidR="00E51497">
        <w:rPr>
          <w:rFonts w:hint="cs"/>
        </w:rPr>
        <w:instrText>Ref203487291 \r \h</w:instrText>
      </w:r>
      <w:r w:rsidR="00E51497">
        <w:rPr>
          <w:rtl/>
        </w:rPr>
        <w:instrText xml:space="preserve"> </w:instrText>
      </w:r>
      <w:r w:rsidR="00E51497">
        <w:rPr>
          <w:rtl/>
        </w:rPr>
      </w:r>
      <w:r w:rsidR="00E51497">
        <w:rPr>
          <w:rtl/>
        </w:rPr>
        <w:fldChar w:fldCharType="separate"/>
      </w:r>
      <w:r w:rsidR="00BB5E31">
        <w:rPr>
          <w:cs/>
        </w:rPr>
        <w:t>‎</w:t>
      </w:r>
      <w:r w:rsidR="00BB5E31">
        <w:rPr>
          <w:rtl/>
        </w:rPr>
        <w:t>לוח 19</w:t>
      </w:r>
      <w:r w:rsidR="00E51497">
        <w:rPr>
          <w:rtl/>
        </w:rPr>
        <w:fldChar w:fldCharType="end"/>
      </w:r>
      <w:r w:rsidRPr="002F2BC5">
        <w:rPr>
          <w:rFonts w:hint="cs"/>
          <w:rtl/>
        </w:rPr>
        <w:t xml:space="preserve"> שלהלן.</w:t>
      </w:r>
    </w:p>
    <w:p w14:paraId="5681543E" w14:textId="77777777" w:rsidR="00817399" w:rsidRPr="002F2BC5" w:rsidRDefault="00817399" w:rsidP="00817399">
      <w:pPr>
        <w:spacing w:line="269" w:lineRule="auto"/>
        <w:rPr>
          <w:rtl/>
        </w:rPr>
      </w:pPr>
    </w:p>
    <w:p w14:paraId="3A89A3B8" w14:textId="77777777" w:rsidR="00817399" w:rsidRPr="002F2BC5" w:rsidRDefault="00817399" w:rsidP="00817399">
      <w:pPr>
        <w:bidi w:val="0"/>
        <w:spacing w:line="269" w:lineRule="auto"/>
        <w:rPr>
          <w:rtl/>
        </w:rPr>
      </w:pPr>
      <w:bookmarkStart w:id="2074" w:name="_Ref186559705"/>
      <w:bookmarkStart w:id="2075" w:name="_Toc192674064"/>
      <w:r w:rsidRPr="002F2BC5">
        <w:rPr>
          <w:b/>
          <w:bCs/>
          <w:rtl/>
        </w:rPr>
        <w:br w:type="page"/>
      </w:r>
    </w:p>
    <w:p w14:paraId="4D5A917A" w14:textId="77777777" w:rsidR="00817399" w:rsidRPr="002F2BC5" w:rsidRDefault="00817399" w:rsidP="00817399">
      <w:pPr>
        <w:pStyle w:val="a0"/>
        <w:spacing w:line="269" w:lineRule="auto"/>
        <w:rPr>
          <w:rtl/>
        </w:rPr>
      </w:pPr>
      <w:bookmarkStart w:id="2076" w:name="_Ref203487291"/>
      <w:r w:rsidRPr="002F2BC5">
        <w:rPr>
          <w:rFonts w:hint="cs"/>
          <w:b w:val="0"/>
          <w:bCs w:val="0"/>
          <w:rtl/>
        </w:rPr>
        <w:lastRenderedPageBreak/>
        <w:t xml:space="preserve">: </w:t>
      </w:r>
      <w:r w:rsidRPr="002F2BC5">
        <w:rPr>
          <w:rFonts w:hint="cs"/>
          <w:rtl/>
        </w:rPr>
        <w:t>בקשות לסיוע בשכר דירה והיקף הסיוע (בש"ח), 2021 - 2024</w:t>
      </w:r>
      <w:bookmarkEnd w:id="2074"/>
      <w:bookmarkEnd w:id="2075"/>
      <w:bookmarkEnd w:id="2076"/>
    </w:p>
    <w:tbl>
      <w:tblPr>
        <w:bidiVisual/>
        <w:tblW w:w="8245" w:type="dxa"/>
        <w:jc w:val="right"/>
        <w:tblLayout w:type="fixed"/>
        <w:tblCellMar>
          <w:left w:w="0" w:type="dxa"/>
          <w:right w:w="0" w:type="dxa"/>
        </w:tblCellMar>
        <w:tblLook w:val="04A0" w:firstRow="1" w:lastRow="0" w:firstColumn="1" w:lastColumn="0" w:noHBand="0" w:noVBand="1"/>
      </w:tblPr>
      <w:tblGrid>
        <w:gridCol w:w="850"/>
        <w:gridCol w:w="567"/>
        <w:gridCol w:w="737"/>
        <w:gridCol w:w="737"/>
        <w:gridCol w:w="737"/>
        <w:gridCol w:w="737"/>
        <w:gridCol w:w="57"/>
        <w:gridCol w:w="1020"/>
        <w:gridCol w:w="1134"/>
        <w:gridCol w:w="676"/>
        <w:gridCol w:w="993"/>
      </w:tblGrid>
      <w:tr w:rsidR="00817399" w:rsidRPr="002F2BC5" w14:paraId="7F6B4DB5" w14:textId="77777777" w:rsidTr="00B14D2A">
        <w:trPr>
          <w:trHeight w:val="20"/>
          <w:jc w:val="right"/>
        </w:trPr>
        <w:tc>
          <w:tcPr>
            <w:tcW w:w="850" w:type="dxa"/>
            <w:tcBorders>
              <w:left w:val="nil"/>
              <w:right w:val="nil"/>
            </w:tcBorders>
            <w:shd w:val="clear" w:color="auto" w:fill="auto"/>
            <w:vAlign w:val="bottom"/>
          </w:tcPr>
          <w:p w14:paraId="268BC1AD" w14:textId="77777777" w:rsidR="00817399" w:rsidRPr="002F2BC5" w:rsidDel="00BA624E" w:rsidRDefault="00817399" w:rsidP="00B14D2A">
            <w:pPr>
              <w:spacing w:line="269" w:lineRule="auto"/>
              <w:jc w:val="left"/>
              <w:rPr>
                <w:rFonts w:ascii="David" w:eastAsia="Times New Roman" w:hAnsi="David"/>
                <w:color w:val="000000"/>
                <w:sz w:val="18"/>
                <w:szCs w:val="18"/>
                <w:rtl/>
              </w:rPr>
            </w:pPr>
          </w:p>
        </w:tc>
        <w:tc>
          <w:tcPr>
            <w:tcW w:w="567" w:type="dxa"/>
            <w:tcBorders>
              <w:left w:val="nil"/>
              <w:right w:val="nil"/>
            </w:tcBorders>
            <w:vAlign w:val="bottom"/>
          </w:tcPr>
          <w:p w14:paraId="5A91C0D8" w14:textId="77777777" w:rsidR="00817399" w:rsidRPr="002F2BC5" w:rsidRDefault="00817399" w:rsidP="00B14D2A">
            <w:pPr>
              <w:spacing w:line="269" w:lineRule="auto"/>
              <w:jc w:val="left"/>
              <w:rPr>
                <w:rFonts w:ascii="David" w:eastAsia="Times New Roman" w:hAnsi="David"/>
                <w:color w:val="000000"/>
                <w:sz w:val="18"/>
                <w:szCs w:val="18"/>
                <w:rtl/>
              </w:rPr>
            </w:pPr>
          </w:p>
        </w:tc>
        <w:tc>
          <w:tcPr>
            <w:tcW w:w="737" w:type="dxa"/>
            <w:tcBorders>
              <w:left w:val="nil"/>
              <w:right w:val="single" w:sz="4" w:space="0" w:color="D9D9D9" w:themeColor="background1" w:themeShade="D9"/>
            </w:tcBorders>
            <w:shd w:val="clear" w:color="auto" w:fill="auto"/>
            <w:vAlign w:val="bottom"/>
          </w:tcPr>
          <w:p w14:paraId="24A004BF" w14:textId="77777777" w:rsidR="00817399" w:rsidRPr="002F2BC5" w:rsidDel="00046283" w:rsidRDefault="00817399" w:rsidP="00B14D2A">
            <w:pPr>
              <w:spacing w:line="269" w:lineRule="auto"/>
              <w:jc w:val="left"/>
              <w:rPr>
                <w:rFonts w:ascii="David" w:eastAsia="Times New Roman" w:hAnsi="David"/>
                <w:color w:val="000000"/>
                <w:sz w:val="18"/>
                <w:szCs w:val="18"/>
                <w:rtl/>
              </w:rPr>
            </w:pPr>
          </w:p>
        </w:tc>
        <w:tc>
          <w:tcPr>
            <w:tcW w:w="2211" w:type="dxa"/>
            <w:gridSpan w:val="3"/>
            <w:tcBorders>
              <w:left w:val="single" w:sz="4" w:space="0" w:color="D9D9D9" w:themeColor="background1" w:themeShade="D9"/>
              <w:right w:val="single" w:sz="4" w:space="0" w:color="D9D9D9" w:themeColor="background1" w:themeShade="D9"/>
            </w:tcBorders>
            <w:shd w:val="clear" w:color="auto" w:fill="F2F2F2" w:themeFill="background1" w:themeFillShade="F2"/>
            <w:vAlign w:val="bottom"/>
          </w:tcPr>
          <w:p w14:paraId="29E2EAE8" w14:textId="77777777" w:rsidR="00817399" w:rsidRPr="002F2BC5" w:rsidRDefault="00817399" w:rsidP="00B14D2A">
            <w:pPr>
              <w:spacing w:line="269" w:lineRule="auto"/>
              <w:jc w:val="center"/>
              <w:rPr>
                <w:rFonts w:ascii="David" w:eastAsia="Times New Roman" w:hAnsi="David"/>
                <w:color w:val="000000"/>
                <w:sz w:val="18"/>
                <w:szCs w:val="18"/>
                <w:rtl/>
              </w:rPr>
            </w:pPr>
            <w:r w:rsidRPr="002F2BC5">
              <w:rPr>
                <w:rFonts w:ascii="David" w:eastAsia="Times New Roman" w:hAnsi="David"/>
                <w:color w:val="000000"/>
                <w:sz w:val="18"/>
                <w:szCs w:val="18"/>
                <w:rtl/>
              </w:rPr>
              <w:t xml:space="preserve">התפלגות בקשות הסיוע </w:t>
            </w:r>
            <w:r w:rsidRPr="002F2BC5">
              <w:rPr>
                <w:rFonts w:ascii="David" w:eastAsia="Times New Roman" w:hAnsi="David"/>
                <w:color w:val="000000"/>
                <w:sz w:val="18"/>
                <w:szCs w:val="18"/>
                <w:rtl/>
              </w:rPr>
              <w:br/>
              <w:t>לפי שנת הזכאות</w:t>
            </w:r>
            <w:r w:rsidRPr="002F2BC5">
              <w:rPr>
                <w:rFonts w:ascii="David" w:eastAsia="Times New Roman" w:hAnsi="David"/>
                <w:color w:val="000000"/>
                <w:sz w:val="18"/>
                <w:szCs w:val="18"/>
                <w:vertAlign w:val="superscript"/>
                <w:rtl/>
              </w:rPr>
              <w:t>(3)</w:t>
            </w:r>
          </w:p>
        </w:tc>
        <w:tc>
          <w:tcPr>
            <w:tcW w:w="57" w:type="dxa"/>
            <w:tcBorders>
              <w:left w:val="single" w:sz="4" w:space="0" w:color="D9D9D9" w:themeColor="background1" w:themeShade="D9"/>
              <w:right w:val="nil"/>
            </w:tcBorders>
          </w:tcPr>
          <w:p w14:paraId="015A7FC1" w14:textId="77777777" w:rsidR="00817399" w:rsidRPr="002F2BC5" w:rsidRDefault="00817399" w:rsidP="00B14D2A">
            <w:pPr>
              <w:spacing w:line="269" w:lineRule="auto"/>
              <w:jc w:val="center"/>
              <w:rPr>
                <w:rFonts w:ascii="David" w:hAnsi="David"/>
                <w:color w:val="000000"/>
                <w:sz w:val="2"/>
                <w:szCs w:val="2"/>
                <w:rtl/>
              </w:rPr>
            </w:pPr>
          </w:p>
        </w:tc>
        <w:tc>
          <w:tcPr>
            <w:tcW w:w="2154" w:type="dxa"/>
            <w:gridSpan w:val="2"/>
            <w:tcBorders>
              <w:left w:val="nil"/>
              <w:right w:val="single" w:sz="4" w:space="0" w:color="D9D9D9" w:themeColor="background1" w:themeShade="D9"/>
            </w:tcBorders>
            <w:shd w:val="clear" w:color="auto" w:fill="F2F2F2" w:themeFill="background1" w:themeFillShade="F2"/>
            <w:vAlign w:val="bottom"/>
          </w:tcPr>
          <w:p w14:paraId="07E3CECE" w14:textId="77777777" w:rsidR="00817399" w:rsidRPr="002F2BC5" w:rsidRDefault="00817399" w:rsidP="00B14D2A">
            <w:pPr>
              <w:spacing w:line="269" w:lineRule="auto"/>
              <w:jc w:val="center"/>
              <w:rPr>
                <w:rFonts w:ascii="David" w:eastAsia="Times New Roman" w:hAnsi="David"/>
                <w:color w:val="000000"/>
                <w:sz w:val="18"/>
                <w:szCs w:val="18"/>
                <w:rtl/>
              </w:rPr>
            </w:pPr>
            <w:r w:rsidRPr="002F2BC5">
              <w:rPr>
                <w:rFonts w:ascii="David" w:eastAsia="Times New Roman" w:hAnsi="David"/>
                <w:color w:val="000000"/>
                <w:sz w:val="18"/>
                <w:szCs w:val="18"/>
                <w:rtl/>
              </w:rPr>
              <w:t xml:space="preserve">התפלגות בקשות הסיוע </w:t>
            </w:r>
            <w:r w:rsidRPr="002F2BC5">
              <w:rPr>
                <w:rFonts w:ascii="David" w:eastAsia="Times New Roman" w:hAnsi="David"/>
                <w:color w:val="000000"/>
                <w:sz w:val="18"/>
                <w:szCs w:val="18"/>
                <w:rtl/>
              </w:rPr>
              <w:br/>
              <w:t>לפי מאפייני הזכאים</w:t>
            </w:r>
            <w:r w:rsidRPr="002F2BC5">
              <w:rPr>
                <w:rFonts w:ascii="David" w:eastAsia="Times New Roman" w:hAnsi="David"/>
                <w:color w:val="000000"/>
                <w:sz w:val="18"/>
                <w:szCs w:val="18"/>
                <w:vertAlign w:val="superscript"/>
                <w:rtl/>
              </w:rPr>
              <w:t>(4)</w:t>
            </w:r>
          </w:p>
        </w:tc>
        <w:tc>
          <w:tcPr>
            <w:tcW w:w="676" w:type="dxa"/>
            <w:tcBorders>
              <w:left w:val="single" w:sz="4" w:space="0" w:color="D9D9D9" w:themeColor="background1" w:themeShade="D9"/>
              <w:right w:val="nil"/>
            </w:tcBorders>
            <w:vAlign w:val="bottom"/>
          </w:tcPr>
          <w:p w14:paraId="49817773" w14:textId="77777777" w:rsidR="00817399" w:rsidRPr="002F2BC5" w:rsidRDefault="00817399" w:rsidP="00B14D2A">
            <w:pPr>
              <w:spacing w:line="269" w:lineRule="auto"/>
              <w:jc w:val="left"/>
              <w:rPr>
                <w:rFonts w:ascii="David" w:eastAsia="Times New Roman" w:hAnsi="David"/>
                <w:color w:val="000000"/>
                <w:sz w:val="18"/>
                <w:szCs w:val="18"/>
                <w:rtl/>
              </w:rPr>
            </w:pPr>
          </w:p>
        </w:tc>
        <w:tc>
          <w:tcPr>
            <w:tcW w:w="993" w:type="dxa"/>
            <w:tcBorders>
              <w:left w:val="nil"/>
              <w:right w:val="nil"/>
            </w:tcBorders>
            <w:shd w:val="clear" w:color="auto" w:fill="auto"/>
            <w:vAlign w:val="bottom"/>
          </w:tcPr>
          <w:p w14:paraId="06D0481E" w14:textId="77777777" w:rsidR="00817399" w:rsidRPr="002F2BC5" w:rsidRDefault="00817399" w:rsidP="00B14D2A">
            <w:pPr>
              <w:spacing w:line="269" w:lineRule="auto"/>
              <w:jc w:val="left"/>
              <w:rPr>
                <w:rFonts w:ascii="David" w:eastAsia="Times New Roman" w:hAnsi="David"/>
                <w:color w:val="000000"/>
                <w:sz w:val="18"/>
                <w:szCs w:val="18"/>
                <w:rtl/>
              </w:rPr>
            </w:pPr>
          </w:p>
        </w:tc>
      </w:tr>
      <w:tr w:rsidR="00817399" w:rsidRPr="002F2BC5" w14:paraId="1AAC5464" w14:textId="77777777" w:rsidTr="00B14D2A">
        <w:trPr>
          <w:trHeight w:val="20"/>
          <w:jc w:val="right"/>
        </w:trPr>
        <w:tc>
          <w:tcPr>
            <w:tcW w:w="850" w:type="dxa"/>
            <w:tcBorders>
              <w:left w:val="nil"/>
              <w:bottom w:val="single" w:sz="4" w:space="0" w:color="000000"/>
              <w:right w:val="nil"/>
            </w:tcBorders>
            <w:shd w:val="clear" w:color="auto" w:fill="auto"/>
            <w:vAlign w:val="bottom"/>
            <w:hideMark/>
          </w:tcPr>
          <w:p w14:paraId="52911C67" w14:textId="77777777" w:rsidR="00817399" w:rsidRPr="002F2BC5" w:rsidRDefault="00817399" w:rsidP="00B14D2A">
            <w:pPr>
              <w:spacing w:line="269" w:lineRule="auto"/>
              <w:ind w:left="57"/>
              <w:jc w:val="left"/>
              <w:rPr>
                <w:rFonts w:ascii="David" w:eastAsia="Times New Roman" w:hAnsi="David"/>
                <w:color w:val="000000"/>
                <w:sz w:val="18"/>
                <w:szCs w:val="18"/>
              </w:rPr>
            </w:pPr>
            <w:r w:rsidRPr="002F2BC5">
              <w:rPr>
                <w:rFonts w:ascii="David" w:eastAsia="Times New Roman" w:hAnsi="David"/>
                <w:color w:val="000000"/>
                <w:sz w:val="18"/>
                <w:szCs w:val="18"/>
                <w:rtl/>
              </w:rPr>
              <w:t>שנה</w:t>
            </w:r>
            <w:r w:rsidRPr="002F2BC5">
              <w:rPr>
                <w:rFonts w:ascii="David" w:eastAsia="Times New Roman" w:hAnsi="David"/>
                <w:color w:val="000000"/>
                <w:sz w:val="18"/>
                <w:szCs w:val="18"/>
                <w:rtl/>
              </w:rPr>
              <w:br/>
              <w:t>קלנדרית</w:t>
            </w:r>
          </w:p>
        </w:tc>
        <w:tc>
          <w:tcPr>
            <w:tcW w:w="567" w:type="dxa"/>
            <w:tcBorders>
              <w:left w:val="nil"/>
              <w:bottom w:val="single" w:sz="4" w:space="0" w:color="auto"/>
              <w:right w:val="nil"/>
            </w:tcBorders>
            <w:vAlign w:val="bottom"/>
          </w:tcPr>
          <w:p w14:paraId="23FB7ACE"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מגישי בקשות סיוע</w:t>
            </w:r>
            <w:r w:rsidRPr="002F2BC5">
              <w:rPr>
                <w:rFonts w:ascii="David" w:eastAsia="Times New Roman" w:hAnsi="David"/>
                <w:color w:val="000000"/>
                <w:sz w:val="18"/>
                <w:szCs w:val="18"/>
                <w:vertAlign w:val="superscript"/>
                <w:rtl/>
              </w:rPr>
              <w:t>(1)</w:t>
            </w:r>
          </w:p>
        </w:tc>
        <w:tc>
          <w:tcPr>
            <w:tcW w:w="737" w:type="dxa"/>
            <w:tcBorders>
              <w:left w:val="nil"/>
              <w:bottom w:val="single" w:sz="4" w:space="0" w:color="auto"/>
              <w:right w:val="single" w:sz="4" w:space="0" w:color="D9D9D9" w:themeColor="background1" w:themeShade="D9"/>
            </w:tcBorders>
            <w:shd w:val="clear" w:color="auto" w:fill="auto"/>
            <w:vAlign w:val="bottom"/>
            <w:hideMark/>
          </w:tcPr>
          <w:p w14:paraId="01A2ED1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בקשות סיוע שהוגשו</w:t>
            </w:r>
            <w:r w:rsidRPr="002F2BC5">
              <w:rPr>
                <w:rFonts w:ascii="David" w:eastAsia="Times New Roman" w:hAnsi="David"/>
                <w:color w:val="000000"/>
                <w:sz w:val="18"/>
                <w:szCs w:val="18"/>
                <w:vertAlign w:val="superscript"/>
                <w:rtl/>
              </w:rPr>
              <w:t>(2)</w:t>
            </w:r>
          </w:p>
        </w:tc>
        <w:tc>
          <w:tcPr>
            <w:tcW w:w="737" w:type="dxa"/>
            <w:tcBorders>
              <w:left w:val="single" w:sz="4" w:space="0" w:color="D9D9D9" w:themeColor="background1" w:themeShade="D9"/>
              <w:bottom w:val="single" w:sz="4" w:space="0" w:color="auto"/>
              <w:right w:val="nil"/>
            </w:tcBorders>
            <w:vAlign w:val="bottom"/>
          </w:tcPr>
          <w:p w14:paraId="626DF39A"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בקשות סיוע בגין שנת זכאות ראשונה</w:t>
            </w:r>
          </w:p>
        </w:tc>
        <w:tc>
          <w:tcPr>
            <w:tcW w:w="737" w:type="dxa"/>
            <w:tcBorders>
              <w:left w:val="nil"/>
              <w:bottom w:val="single" w:sz="4" w:space="0" w:color="auto"/>
              <w:right w:val="nil"/>
            </w:tcBorders>
            <w:vAlign w:val="bottom"/>
          </w:tcPr>
          <w:p w14:paraId="2F2744E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בקשת סיוע בגין שנת זכאות שנייה</w:t>
            </w:r>
          </w:p>
        </w:tc>
        <w:tc>
          <w:tcPr>
            <w:tcW w:w="737" w:type="dxa"/>
            <w:tcBorders>
              <w:left w:val="nil"/>
              <w:bottom w:val="single" w:sz="4" w:space="0" w:color="auto"/>
              <w:right w:val="single" w:sz="4" w:space="0" w:color="D9D9D9" w:themeColor="background1" w:themeShade="D9"/>
            </w:tcBorders>
            <w:vAlign w:val="bottom"/>
          </w:tcPr>
          <w:p w14:paraId="108AE45B"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בקשות סיוע בגין שנת זכאות שלישית</w:t>
            </w:r>
          </w:p>
        </w:tc>
        <w:tc>
          <w:tcPr>
            <w:tcW w:w="57" w:type="dxa"/>
            <w:tcBorders>
              <w:left w:val="single" w:sz="4" w:space="0" w:color="D9D9D9" w:themeColor="background1" w:themeShade="D9"/>
              <w:bottom w:val="single" w:sz="4" w:space="0" w:color="auto"/>
              <w:right w:val="nil"/>
            </w:tcBorders>
          </w:tcPr>
          <w:p w14:paraId="3B671E66" w14:textId="77777777" w:rsidR="00817399" w:rsidRPr="002F2BC5" w:rsidRDefault="00817399" w:rsidP="00B14D2A">
            <w:pPr>
              <w:spacing w:line="269" w:lineRule="auto"/>
              <w:jc w:val="left"/>
              <w:rPr>
                <w:rFonts w:ascii="David" w:hAnsi="David"/>
                <w:color w:val="000000"/>
                <w:sz w:val="2"/>
                <w:szCs w:val="2"/>
                <w:rtl/>
              </w:rPr>
            </w:pPr>
          </w:p>
        </w:tc>
        <w:tc>
          <w:tcPr>
            <w:tcW w:w="1020" w:type="dxa"/>
            <w:tcBorders>
              <w:left w:val="nil"/>
              <w:bottom w:val="single" w:sz="4" w:space="0" w:color="auto"/>
              <w:right w:val="nil"/>
            </w:tcBorders>
            <w:shd w:val="clear" w:color="auto" w:fill="auto"/>
            <w:vAlign w:val="bottom"/>
            <w:hideMark/>
          </w:tcPr>
          <w:p w14:paraId="7E05F064"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בקשות סיוע של נפגעי אלימות ללא ילדים</w:t>
            </w:r>
          </w:p>
        </w:tc>
        <w:tc>
          <w:tcPr>
            <w:tcW w:w="1134" w:type="dxa"/>
            <w:tcBorders>
              <w:left w:val="nil"/>
              <w:bottom w:val="single" w:sz="4" w:space="0" w:color="auto"/>
              <w:right w:val="single" w:sz="4" w:space="0" w:color="D9D9D9" w:themeColor="background1" w:themeShade="D9"/>
            </w:tcBorders>
            <w:vAlign w:val="bottom"/>
          </w:tcPr>
          <w:p w14:paraId="44E41527" w14:textId="77777777" w:rsidR="00817399" w:rsidRPr="002F2BC5" w:rsidRDefault="00817399" w:rsidP="00B14D2A">
            <w:pPr>
              <w:spacing w:line="269" w:lineRule="auto"/>
              <w:ind w:left="57"/>
              <w:jc w:val="left"/>
              <w:rPr>
                <w:rFonts w:ascii="David" w:eastAsia="Times New Roman" w:hAnsi="David"/>
                <w:color w:val="000000"/>
                <w:sz w:val="18"/>
                <w:szCs w:val="18"/>
              </w:rPr>
            </w:pPr>
            <w:r w:rsidRPr="002F2BC5">
              <w:rPr>
                <w:rFonts w:ascii="David" w:eastAsia="Times New Roman" w:hAnsi="David"/>
                <w:color w:val="000000"/>
                <w:sz w:val="18"/>
                <w:szCs w:val="18"/>
                <w:rtl/>
              </w:rPr>
              <w:t xml:space="preserve">בקשות סיוע </w:t>
            </w:r>
            <w:r w:rsidRPr="002F2BC5">
              <w:rPr>
                <w:rFonts w:ascii="David" w:eastAsia="Times New Roman" w:hAnsi="David"/>
                <w:color w:val="000000"/>
                <w:sz w:val="18"/>
                <w:szCs w:val="18"/>
                <w:rtl/>
              </w:rPr>
              <w:br/>
              <w:t>של נפגעי אלימות שאינם</w:t>
            </w:r>
            <w:r w:rsidRPr="002F2BC5">
              <w:rPr>
                <w:rFonts w:ascii="David" w:eastAsia="Times New Roman" w:hAnsi="David"/>
                <w:color w:val="000000"/>
                <w:sz w:val="18"/>
                <w:szCs w:val="18"/>
                <w:rtl/>
              </w:rPr>
              <w:br/>
              <w:t>יוצאי מקלט</w:t>
            </w:r>
          </w:p>
        </w:tc>
        <w:tc>
          <w:tcPr>
            <w:tcW w:w="676" w:type="dxa"/>
            <w:tcBorders>
              <w:left w:val="single" w:sz="4" w:space="0" w:color="D9D9D9" w:themeColor="background1" w:themeShade="D9"/>
              <w:bottom w:val="single" w:sz="4" w:space="0" w:color="auto"/>
              <w:right w:val="nil"/>
            </w:tcBorders>
            <w:vAlign w:val="bottom"/>
          </w:tcPr>
          <w:p w14:paraId="7D0C5780" w14:textId="77777777" w:rsidR="00817399" w:rsidRPr="002F2BC5" w:rsidRDefault="00817399" w:rsidP="00B14D2A">
            <w:pPr>
              <w:spacing w:line="269" w:lineRule="auto"/>
              <w:ind w:left="57"/>
              <w:jc w:val="left"/>
              <w:rPr>
                <w:rFonts w:ascii="David" w:eastAsia="Times New Roman" w:hAnsi="David"/>
                <w:color w:val="000000"/>
                <w:sz w:val="18"/>
                <w:szCs w:val="18"/>
                <w:rtl/>
              </w:rPr>
            </w:pPr>
          </w:p>
          <w:p w14:paraId="5D85BDA3"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 xml:space="preserve">מספר </w:t>
            </w:r>
          </w:p>
          <w:p w14:paraId="6EC90508"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מקבלי</w:t>
            </w:r>
          </w:p>
          <w:p w14:paraId="30D2F68C"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הסיוע</w:t>
            </w:r>
            <w:r w:rsidRPr="002F2BC5">
              <w:rPr>
                <w:rFonts w:ascii="David" w:eastAsia="Times New Roman" w:hAnsi="David"/>
                <w:color w:val="000000"/>
                <w:sz w:val="18"/>
                <w:szCs w:val="18"/>
                <w:vertAlign w:val="superscript"/>
                <w:rtl/>
              </w:rPr>
              <w:t>(5)</w:t>
            </w:r>
          </w:p>
        </w:tc>
        <w:tc>
          <w:tcPr>
            <w:tcW w:w="993" w:type="dxa"/>
            <w:tcBorders>
              <w:left w:val="nil"/>
              <w:bottom w:val="single" w:sz="4" w:space="0" w:color="000000"/>
              <w:right w:val="nil"/>
            </w:tcBorders>
            <w:shd w:val="clear" w:color="auto" w:fill="auto"/>
            <w:vAlign w:val="bottom"/>
            <w:hideMark/>
          </w:tcPr>
          <w:p w14:paraId="28492F67" w14:textId="77777777" w:rsidR="00817399" w:rsidRPr="002F2BC5" w:rsidRDefault="00817399" w:rsidP="00B14D2A">
            <w:pPr>
              <w:spacing w:line="269" w:lineRule="auto"/>
              <w:ind w:left="57"/>
              <w:jc w:val="left"/>
              <w:rPr>
                <w:rFonts w:ascii="David" w:eastAsia="Times New Roman" w:hAnsi="David"/>
                <w:color w:val="000000"/>
                <w:sz w:val="18"/>
                <w:szCs w:val="18"/>
              </w:rPr>
            </w:pPr>
            <w:r w:rsidRPr="002F2BC5">
              <w:rPr>
                <w:rFonts w:ascii="David" w:eastAsia="Times New Roman" w:hAnsi="David"/>
                <w:color w:val="000000"/>
                <w:sz w:val="18"/>
                <w:szCs w:val="18"/>
                <w:rtl/>
              </w:rPr>
              <w:t>סה"כ היקף הסיוע הכספי ששולם בפועל</w:t>
            </w:r>
            <w:r w:rsidRPr="002F2BC5">
              <w:rPr>
                <w:rFonts w:ascii="David" w:eastAsia="Times New Roman" w:hAnsi="David"/>
                <w:color w:val="000000"/>
                <w:sz w:val="18"/>
                <w:szCs w:val="18"/>
                <w:vertAlign w:val="superscript"/>
                <w:rtl/>
              </w:rPr>
              <w:t>(6)</w:t>
            </w:r>
          </w:p>
        </w:tc>
      </w:tr>
      <w:tr w:rsidR="00817399" w:rsidRPr="002F2BC5" w14:paraId="1C42EAD2" w14:textId="77777777" w:rsidTr="00B14D2A">
        <w:trPr>
          <w:trHeight w:val="20"/>
          <w:jc w:val="right"/>
        </w:trPr>
        <w:tc>
          <w:tcPr>
            <w:tcW w:w="850" w:type="dxa"/>
            <w:tcBorders>
              <w:top w:val="nil"/>
              <w:left w:val="nil"/>
              <w:bottom w:val="single" w:sz="4" w:space="0" w:color="D9D9D9"/>
              <w:right w:val="nil"/>
            </w:tcBorders>
            <w:shd w:val="clear" w:color="auto" w:fill="auto"/>
            <w:noWrap/>
            <w:hideMark/>
          </w:tcPr>
          <w:p w14:paraId="602E4F3A"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2021</w:t>
            </w:r>
          </w:p>
        </w:tc>
        <w:tc>
          <w:tcPr>
            <w:tcW w:w="567" w:type="dxa"/>
            <w:tcBorders>
              <w:top w:val="nil"/>
              <w:left w:val="nil"/>
              <w:bottom w:val="single" w:sz="4" w:space="0" w:color="D9D9D9"/>
              <w:right w:val="nil"/>
            </w:tcBorders>
          </w:tcPr>
          <w:p w14:paraId="6BA2482C"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1,303</w:t>
            </w:r>
          </w:p>
        </w:tc>
        <w:tc>
          <w:tcPr>
            <w:tcW w:w="737" w:type="dxa"/>
            <w:tcBorders>
              <w:top w:val="nil"/>
              <w:left w:val="nil"/>
              <w:bottom w:val="single" w:sz="4" w:space="0" w:color="D9D9D9"/>
              <w:right w:val="single" w:sz="4" w:space="0" w:color="D9D9D9" w:themeColor="background1" w:themeShade="D9"/>
            </w:tcBorders>
            <w:shd w:val="clear" w:color="auto" w:fill="auto"/>
            <w:noWrap/>
            <w:hideMark/>
          </w:tcPr>
          <w:p w14:paraId="4BB7B39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1,572</w:t>
            </w:r>
          </w:p>
        </w:tc>
        <w:tc>
          <w:tcPr>
            <w:tcW w:w="737" w:type="dxa"/>
            <w:tcBorders>
              <w:top w:val="nil"/>
              <w:left w:val="single" w:sz="4" w:space="0" w:color="D9D9D9" w:themeColor="background1" w:themeShade="D9"/>
              <w:bottom w:val="single" w:sz="4" w:space="0" w:color="D9D9D9"/>
              <w:right w:val="nil"/>
            </w:tcBorders>
          </w:tcPr>
          <w:p w14:paraId="6171D8E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 xml:space="preserve">771 </w:t>
            </w:r>
          </w:p>
          <w:p w14:paraId="679B44CC"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(49%)</w:t>
            </w:r>
          </w:p>
        </w:tc>
        <w:tc>
          <w:tcPr>
            <w:tcW w:w="737" w:type="dxa"/>
            <w:tcBorders>
              <w:top w:val="nil"/>
              <w:left w:val="nil"/>
              <w:bottom w:val="single" w:sz="4" w:space="0" w:color="D9D9D9"/>
              <w:right w:val="nil"/>
            </w:tcBorders>
          </w:tcPr>
          <w:p w14:paraId="4AAB445D"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516</w:t>
            </w:r>
          </w:p>
          <w:p w14:paraId="276A8019"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(33%)</w:t>
            </w:r>
          </w:p>
        </w:tc>
        <w:tc>
          <w:tcPr>
            <w:tcW w:w="737" w:type="dxa"/>
            <w:tcBorders>
              <w:top w:val="nil"/>
              <w:left w:val="nil"/>
              <w:bottom w:val="single" w:sz="4" w:space="0" w:color="D9D9D9"/>
              <w:right w:val="single" w:sz="4" w:space="0" w:color="D9D9D9" w:themeColor="background1" w:themeShade="D9"/>
            </w:tcBorders>
          </w:tcPr>
          <w:p w14:paraId="3BC11088"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285</w:t>
            </w:r>
          </w:p>
          <w:p w14:paraId="78A3F5E3"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(18%)</w:t>
            </w:r>
          </w:p>
        </w:tc>
        <w:tc>
          <w:tcPr>
            <w:tcW w:w="57" w:type="dxa"/>
            <w:tcBorders>
              <w:top w:val="nil"/>
              <w:left w:val="single" w:sz="4" w:space="0" w:color="D9D9D9" w:themeColor="background1" w:themeShade="D9"/>
              <w:bottom w:val="single" w:sz="4" w:space="0" w:color="D9D9D9"/>
              <w:right w:val="nil"/>
            </w:tcBorders>
          </w:tcPr>
          <w:p w14:paraId="451D066B" w14:textId="77777777" w:rsidR="00817399" w:rsidRPr="002F2BC5" w:rsidRDefault="00817399" w:rsidP="00B14D2A">
            <w:pPr>
              <w:spacing w:line="269" w:lineRule="auto"/>
              <w:jc w:val="left"/>
              <w:rPr>
                <w:rFonts w:ascii="David" w:hAnsi="David"/>
                <w:color w:val="000000"/>
                <w:sz w:val="2"/>
                <w:szCs w:val="2"/>
              </w:rPr>
            </w:pPr>
          </w:p>
        </w:tc>
        <w:tc>
          <w:tcPr>
            <w:tcW w:w="1020" w:type="dxa"/>
            <w:tcBorders>
              <w:top w:val="nil"/>
              <w:left w:val="nil"/>
              <w:bottom w:val="single" w:sz="4" w:space="0" w:color="D9D9D9"/>
              <w:right w:val="nil"/>
            </w:tcBorders>
            <w:shd w:val="clear" w:color="auto" w:fill="auto"/>
            <w:noWrap/>
            <w:hideMark/>
          </w:tcPr>
          <w:p w14:paraId="058C0194"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233</w:t>
            </w:r>
          </w:p>
          <w:p w14:paraId="672541E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(18%)</w:t>
            </w:r>
          </w:p>
        </w:tc>
        <w:tc>
          <w:tcPr>
            <w:tcW w:w="1134" w:type="dxa"/>
            <w:tcBorders>
              <w:left w:val="nil"/>
              <w:bottom w:val="single" w:sz="4" w:space="0" w:color="D9D9D9"/>
              <w:right w:val="single" w:sz="4" w:space="0" w:color="D9D9D9" w:themeColor="background1" w:themeShade="D9"/>
            </w:tcBorders>
          </w:tcPr>
          <w:p w14:paraId="1B5E7BDC"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1,084</w:t>
            </w:r>
          </w:p>
          <w:p w14:paraId="12C27633"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(83%)</w:t>
            </w:r>
          </w:p>
        </w:tc>
        <w:tc>
          <w:tcPr>
            <w:tcW w:w="676" w:type="dxa"/>
            <w:tcBorders>
              <w:left w:val="single" w:sz="4" w:space="0" w:color="D9D9D9" w:themeColor="background1" w:themeShade="D9"/>
              <w:bottom w:val="single" w:sz="4" w:space="0" w:color="D9D9D9"/>
              <w:right w:val="nil"/>
            </w:tcBorders>
          </w:tcPr>
          <w:p w14:paraId="493D3CBF"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1,823</w:t>
            </w:r>
          </w:p>
        </w:tc>
        <w:tc>
          <w:tcPr>
            <w:tcW w:w="993" w:type="dxa"/>
            <w:tcBorders>
              <w:top w:val="nil"/>
              <w:left w:val="nil"/>
              <w:bottom w:val="single" w:sz="4" w:space="0" w:color="D9D9D9"/>
              <w:right w:val="nil"/>
            </w:tcBorders>
            <w:shd w:val="clear" w:color="auto" w:fill="auto"/>
            <w:noWrap/>
            <w:hideMark/>
          </w:tcPr>
          <w:p w14:paraId="4D504A6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16,586,996</w:t>
            </w:r>
          </w:p>
        </w:tc>
      </w:tr>
      <w:tr w:rsidR="00817399" w:rsidRPr="002F2BC5" w14:paraId="288D2231" w14:textId="77777777" w:rsidTr="00B14D2A">
        <w:trPr>
          <w:trHeight w:val="20"/>
          <w:jc w:val="right"/>
        </w:trPr>
        <w:tc>
          <w:tcPr>
            <w:tcW w:w="850" w:type="dxa"/>
            <w:tcBorders>
              <w:top w:val="nil"/>
              <w:left w:val="nil"/>
              <w:bottom w:val="single" w:sz="4" w:space="0" w:color="D9D9D9"/>
              <w:right w:val="nil"/>
            </w:tcBorders>
            <w:shd w:val="clear" w:color="auto" w:fill="auto"/>
            <w:noWrap/>
            <w:hideMark/>
          </w:tcPr>
          <w:p w14:paraId="4E3743DE"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2022</w:t>
            </w:r>
          </w:p>
        </w:tc>
        <w:tc>
          <w:tcPr>
            <w:tcW w:w="567" w:type="dxa"/>
            <w:tcBorders>
              <w:top w:val="nil"/>
              <w:left w:val="nil"/>
              <w:bottom w:val="single" w:sz="4" w:space="0" w:color="D9D9D9"/>
              <w:right w:val="nil"/>
            </w:tcBorders>
          </w:tcPr>
          <w:p w14:paraId="393383B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1,394</w:t>
            </w:r>
          </w:p>
        </w:tc>
        <w:tc>
          <w:tcPr>
            <w:tcW w:w="737" w:type="dxa"/>
            <w:tcBorders>
              <w:top w:val="nil"/>
              <w:left w:val="nil"/>
              <w:bottom w:val="single" w:sz="4" w:space="0" w:color="D9D9D9"/>
              <w:right w:val="single" w:sz="4" w:space="0" w:color="D9D9D9" w:themeColor="background1" w:themeShade="D9"/>
            </w:tcBorders>
            <w:shd w:val="clear" w:color="auto" w:fill="auto"/>
            <w:noWrap/>
            <w:hideMark/>
          </w:tcPr>
          <w:p w14:paraId="08513584"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1,847</w:t>
            </w:r>
          </w:p>
        </w:tc>
        <w:tc>
          <w:tcPr>
            <w:tcW w:w="737" w:type="dxa"/>
            <w:tcBorders>
              <w:top w:val="nil"/>
              <w:left w:val="single" w:sz="4" w:space="0" w:color="D9D9D9" w:themeColor="background1" w:themeShade="D9"/>
              <w:bottom w:val="single" w:sz="4" w:space="0" w:color="D9D9D9"/>
              <w:right w:val="nil"/>
            </w:tcBorders>
          </w:tcPr>
          <w:p w14:paraId="2E7EAC3F"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823</w:t>
            </w:r>
          </w:p>
          <w:p w14:paraId="4CA2B591"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(45%)</w:t>
            </w:r>
          </w:p>
        </w:tc>
        <w:tc>
          <w:tcPr>
            <w:tcW w:w="737" w:type="dxa"/>
            <w:tcBorders>
              <w:top w:val="nil"/>
              <w:left w:val="nil"/>
              <w:bottom w:val="single" w:sz="4" w:space="0" w:color="D9D9D9"/>
              <w:right w:val="nil"/>
            </w:tcBorders>
          </w:tcPr>
          <w:p w14:paraId="191C5CDC"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660</w:t>
            </w:r>
          </w:p>
          <w:p w14:paraId="70232DF3"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(36%)</w:t>
            </w:r>
          </w:p>
        </w:tc>
        <w:tc>
          <w:tcPr>
            <w:tcW w:w="737" w:type="dxa"/>
            <w:tcBorders>
              <w:top w:val="nil"/>
              <w:left w:val="nil"/>
              <w:bottom w:val="single" w:sz="4" w:space="0" w:color="D9D9D9"/>
              <w:right w:val="single" w:sz="4" w:space="0" w:color="D9D9D9" w:themeColor="background1" w:themeShade="D9"/>
            </w:tcBorders>
          </w:tcPr>
          <w:p w14:paraId="10A6AECD"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436</w:t>
            </w:r>
          </w:p>
          <w:p w14:paraId="658CBB1F"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(20%)</w:t>
            </w:r>
          </w:p>
        </w:tc>
        <w:tc>
          <w:tcPr>
            <w:tcW w:w="57" w:type="dxa"/>
            <w:tcBorders>
              <w:top w:val="nil"/>
              <w:left w:val="single" w:sz="4" w:space="0" w:color="D9D9D9" w:themeColor="background1" w:themeShade="D9"/>
              <w:bottom w:val="single" w:sz="4" w:space="0" w:color="D9D9D9"/>
              <w:right w:val="nil"/>
            </w:tcBorders>
          </w:tcPr>
          <w:p w14:paraId="62F38D7E" w14:textId="77777777" w:rsidR="00817399" w:rsidRPr="002F2BC5" w:rsidRDefault="00817399" w:rsidP="00B14D2A">
            <w:pPr>
              <w:spacing w:line="269" w:lineRule="auto"/>
              <w:jc w:val="left"/>
              <w:rPr>
                <w:rFonts w:ascii="David" w:hAnsi="David"/>
                <w:color w:val="000000"/>
                <w:sz w:val="2"/>
                <w:szCs w:val="2"/>
              </w:rPr>
            </w:pPr>
          </w:p>
        </w:tc>
        <w:tc>
          <w:tcPr>
            <w:tcW w:w="1020" w:type="dxa"/>
            <w:tcBorders>
              <w:top w:val="nil"/>
              <w:left w:val="nil"/>
              <w:bottom w:val="single" w:sz="4" w:space="0" w:color="D9D9D9"/>
              <w:right w:val="nil"/>
            </w:tcBorders>
            <w:shd w:val="clear" w:color="auto" w:fill="auto"/>
            <w:noWrap/>
            <w:hideMark/>
          </w:tcPr>
          <w:p w14:paraId="348816EE"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249</w:t>
            </w:r>
          </w:p>
          <w:p w14:paraId="63E4817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(18%)</w:t>
            </w:r>
          </w:p>
        </w:tc>
        <w:tc>
          <w:tcPr>
            <w:tcW w:w="1134" w:type="dxa"/>
            <w:tcBorders>
              <w:top w:val="nil"/>
              <w:left w:val="nil"/>
              <w:bottom w:val="single" w:sz="4" w:space="0" w:color="D9D9D9"/>
              <w:right w:val="single" w:sz="4" w:space="0" w:color="D9D9D9" w:themeColor="background1" w:themeShade="D9"/>
            </w:tcBorders>
          </w:tcPr>
          <w:p w14:paraId="5047F711"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1,165</w:t>
            </w:r>
          </w:p>
          <w:p w14:paraId="73DE2788"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(83%)</w:t>
            </w:r>
          </w:p>
        </w:tc>
        <w:tc>
          <w:tcPr>
            <w:tcW w:w="676" w:type="dxa"/>
            <w:tcBorders>
              <w:top w:val="nil"/>
              <w:left w:val="single" w:sz="4" w:space="0" w:color="D9D9D9" w:themeColor="background1" w:themeShade="D9"/>
              <w:bottom w:val="single" w:sz="4" w:space="0" w:color="D9D9D9"/>
              <w:right w:val="nil"/>
            </w:tcBorders>
          </w:tcPr>
          <w:p w14:paraId="2C9F7CE0"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1,985</w:t>
            </w:r>
          </w:p>
        </w:tc>
        <w:tc>
          <w:tcPr>
            <w:tcW w:w="993" w:type="dxa"/>
            <w:tcBorders>
              <w:top w:val="nil"/>
              <w:left w:val="nil"/>
              <w:bottom w:val="single" w:sz="4" w:space="0" w:color="D9D9D9"/>
              <w:right w:val="nil"/>
            </w:tcBorders>
            <w:shd w:val="clear" w:color="auto" w:fill="auto"/>
            <w:noWrap/>
            <w:hideMark/>
          </w:tcPr>
          <w:p w14:paraId="7D866993"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18,304,238</w:t>
            </w:r>
          </w:p>
        </w:tc>
      </w:tr>
      <w:tr w:rsidR="00817399" w:rsidRPr="002F2BC5" w14:paraId="37B65CC9" w14:textId="77777777" w:rsidTr="00B14D2A">
        <w:trPr>
          <w:trHeight w:val="20"/>
          <w:jc w:val="right"/>
        </w:trPr>
        <w:tc>
          <w:tcPr>
            <w:tcW w:w="850" w:type="dxa"/>
            <w:tcBorders>
              <w:top w:val="nil"/>
              <w:left w:val="nil"/>
              <w:bottom w:val="single" w:sz="4" w:space="0" w:color="D9D9D9"/>
              <w:right w:val="nil"/>
            </w:tcBorders>
            <w:shd w:val="clear" w:color="auto" w:fill="auto"/>
            <w:noWrap/>
            <w:hideMark/>
          </w:tcPr>
          <w:p w14:paraId="496579F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2023</w:t>
            </w:r>
          </w:p>
        </w:tc>
        <w:tc>
          <w:tcPr>
            <w:tcW w:w="567" w:type="dxa"/>
            <w:tcBorders>
              <w:top w:val="nil"/>
              <w:left w:val="nil"/>
              <w:bottom w:val="single" w:sz="4" w:space="0" w:color="D9D9D9"/>
              <w:right w:val="nil"/>
            </w:tcBorders>
          </w:tcPr>
          <w:p w14:paraId="550482C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1,564</w:t>
            </w:r>
          </w:p>
        </w:tc>
        <w:tc>
          <w:tcPr>
            <w:tcW w:w="737" w:type="dxa"/>
            <w:tcBorders>
              <w:top w:val="nil"/>
              <w:left w:val="nil"/>
              <w:bottom w:val="single" w:sz="4" w:space="0" w:color="D9D9D9"/>
              <w:right w:val="single" w:sz="4" w:space="0" w:color="D9D9D9" w:themeColor="background1" w:themeShade="D9"/>
            </w:tcBorders>
            <w:shd w:val="clear" w:color="auto" w:fill="auto"/>
            <w:noWrap/>
            <w:hideMark/>
          </w:tcPr>
          <w:p w14:paraId="2919A672"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1,840</w:t>
            </w:r>
          </w:p>
        </w:tc>
        <w:tc>
          <w:tcPr>
            <w:tcW w:w="737" w:type="dxa"/>
            <w:tcBorders>
              <w:top w:val="nil"/>
              <w:left w:val="single" w:sz="4" w:space="0" w:color="D9D9D9" w:themeColor="background1" w:themeShade="D9"/>
              <w:bottom w:val="single" w:sz="4" w:space="0" w:color="D9D9D9"/>
              <w:right w:val="nil"/>
            </w:tcBorders>
          </w:tcPr>
          <w:p w14:paraId="581325F3"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991</w:t>
            </w:r>
          </w:p>
          <w:p w14:paraId="71A3C081"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(54%)</w:t>
            </w:r>
          </w:p>
        </w:tc>
        <w:tc>
          <w:tcPr>
            <w:tcW w:w="737" w:type="dxa"/>
            <w:tcBorders>
              <w:top w:val="nil"/>
              <w:left w:val="nil"/>
              <w:bottom w:val="single" w:sz="4" w:space="0" w:color="D9D9D9"/>
              <w:right w:val="nil"/>
            </w:tcBorders>
          </w:tcPr>
          <w:p w14:paraId="321CFDEA"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516</w:t>
            </w:r>
          </w:p>
          <w:p w14:paraId="1D45C6F6"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(28%)</w:t>
            </w:r>
          </w:p>
        </w:tc>
        <w:tc>
          <w:tcPr>
            <w:tcW w:w="737" w:type="dxa"/>
            <w:tcBorders>
              <w:top w:val="nil"/>
              <w:left w:val="nil"/>
              <w:bottom w:val="single" w:sz="4" w:space="0" w:color="D9D9D9"/>
              <w:right w:val="single" w:sz="4" w:space="0" w:color="D9D9D9" w:themeColor="background1" w:themeShade="D9"/>
            </w:tcBorders>
          </w:tcPr>
          <w:p w14:paraId="18EE93C0"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33</w:t>
            </w:r>
          </w:p>
          <w:p w14:paraId="13A6F210"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(18%)</w:t>
            </w:r>
          </w:p>
        </w:tc>
        <w:tc>
          <w:tcPr>
            <w:tcW w:w="57" w:type="dxa"/>
            <w:tcBorders>
              <w:top w:val="nil"/>
              <w:left w:val="single" w:sz="4" w:space="0" w:color="D9D9D9" w:themeColor="background1" w:themeShade="D9"/>
              <w:bottom w:val="single" w:sz="4" w:space="0" w:color="D9D9D9"/>
              <w:right w:val="nil"/>
            </w:tcBorders>
          </w:tcPr>
          <w:p w14:paraId="06A103F7" w14:textId="77777777" w:rsidR="00817399" w:rsidRPr="002F2BC5" w:rsidRDefault="00817399" w:rsidP="00B14D2A">
            <w:pPr>
              <w:spacing w:line="269" w:lineRule="auto"/>
              <w:jc w:val="left"/>
              <w:rPr>
                <w:rFonts w:ascii="David" w:hAnsi="David"/>
                <w:color w:val="000000"/>
                <w:sz w:val="2"/>
                <w:szCs w:val="2"/>
              </w:rPr>
            </w:pPr>
          </w:p>
        </w:tc>
        <w:tc>
          <w:tcPr>
            <w:tcW w:w="1020" w:type="dxa"/>
            <w:tcBorders>
              <w:top w:val="nil"/>
              <w:left w:val="nil"/>
              <w:bottom w:val="single" w:sz="4" w:space="0" w:color="D9D9D9"/>
              <w:right w:val="nil"/>
            </w:tcBorders>
            <w:shd w:val="clear" w:color="auto" w:fill="auto"/>
            <w:noWrap/>
            <w:hideMark/>
          </w:tcPr>
          <w:p w14:paraId="6A21DE63"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327</w:t>
            </w:r>
          </w:p>
          <w:p w14:paraId="305D7CFE"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(21%)</w:t>
            </w:r>
          </w:p>
        </w:tc>
        <w:tc>
          <w:tcPr>
            <w:tcW w:w="1134" w:type="dxa"/>
            <w:tcBorders>
              <w:top w:val="nil"/>
              <w:left w:val="nil"/>
              <w:bottom w:val="single" w:sz="4" w:space="0" w:color="D9D9D9"/>
              <w:right w:val="single" w:sz="4" w:space="0" w:color="D9D9D9" w:themeColor="background1" w:themeShade="D9"/>
            </w:tcBorders>
          </w:tcPr>
          <w:p w14:paraId="0D90EDE0"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1,346</w:t>
            </w:r>
          </w:p>
          <w:p w14:paraId="0C025670"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(86%)</w:t>
            </w:r>
          </w:p>
        </w:tc>
        <w:tc>
          <w:tcPr>
            <w:tcW w:w="676" w:type="dxa"/>
            <w:tcBorders>
              <w:top w:val="nil"/>
              <w:left w:val="single" w:sz="4" w:space="0" w:color="D9D9D9" w:themeColor="background1" w:themeShade="D9"/>
              <w:bottom w:val="single" w:sz="4" w:space="0" w:color="D9D9D9"/>
              <w:right w:val="nil"/>
            </w:tcBorders>
          </w:tcPr>
          <w:p w14:paraId="50BAB2AB"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2,224</w:t>
            </w:r>
          </w:p>
        </w:tc>
        <w:tc>
          <w:tcPr>
            <w:tcW w:w="993" w:type="dxa"/>
            <w:tcBorders>
              <w:top w:val="nil"/>
              <w:left w:val="nil"/>
              <w:bottom w:val="single" w:sz="4" w:space="0" w:color="D9D9D9"/>
              <w:right w:val="nil"/>
            </w:tcBorders>
            <w:shd w:val="clear" w:color="auto" w:fill="auto"/>
            <w:noWrap/>
            <w:hideMark/>
          </w:tcPr>
          <w:p w14:paraId="25653BDD"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19,517,761</w:t>
            </w:r>
          </w:p>
        </w:tc>
      </w:tr>
      <w:tr w:rsidR="00817399" w:rsidRPr="002F2BC5" w14:paraId="4FB5E5E0" w14:textId="77777777" w:rsidTr="00B14D2A">
        <w:trPr>
          <w:trHeight w:val="20"/>
          <w:jc w:val="right"/>
        </w:trPr>
        <w:tc>
          <w:tcPr>
            <w:tcW w:w="850" w:type="dxa"/>
            <w:tcBorders>
              <w:top w:val="nil"/>
              <w:left w:val="nil"/>
              <w:bottom w:val="single" w:sz="4" w:space="0" w:color="D9D9D9"/>
              <w:right w:val="nil"/>
            </w:tcBorders>
            <w:shd w:val="clear" w:color="auto" w:fill="auto"/>
            <w:noWrap/>
            <w:hideMark/>
          </w:tcPr>
          <w:p w14:paraId="6A125A24"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2024</w:t>
            </w:r>
          </w:p>
        </w:tc>
        <w:tc>
          <w:tcPr>
            <w:tcW w:w="567" w:type="dxa"/>
            <w:tcBorders>
              <w:top w:val="nil"/>
              <w:left w:val="nil"/>
              <w:bottom w:val="single" w:sz="4" w:space="0" w:color="D9D9D9"/>
              <w:right w:val="nil"/>
            </w:tcBorders>
          </w:tcPr>
          <w:p w14:paraId="5D191016"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1,719</w:t>
            </w:r>
          </w:p>
        </w:tc>
        <w:tc>
          <w:tcPr>
            <w:tcW w:w="737" w:type="dxa"/>
            <w:tcBorders>
              <w:top w:val="nil"/>
              <w:left w:val="nil"/>
              <w:bottom w:val="single" w:sz="4" w:space="0" w:color="D9D9D9"/>
              <w:right w:val="single" w:sz="4" w:space="0" w:color="D9D9D9" w:themeColor="background1" w:themeShade="D9"/>
            </w:tcBorders>
            <w:shd w:val="clear" w:color="auto" w:fill="auto"/>
            <w:noWrap/>
            <w:hideMark/>
          </w:tcPr>
          <w:p w14:paraId="258B033F"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1,908</w:t>
            </w:r>
          </w:p>
        </w:tc>
        <w:tc>
          <w:tcPr>
            <w:tcW w:w="737" w:type="dxa"/>
            <w:tcBorders>
              <w:top w:val="nil"/>
              <w:left w:val="single" w:sz="4" w:space="0" w:color="D9D9D9" w:themeColor="background1" w:themeShade="D9"/>
              <w:bottom w:val="single" w:sz="4" w:space="0" w:color="D9D9D9"/>
              <w:right w:val="nil"/>
            </w:tcBorders>
          </w:tcPr>
          <w:p w14:paraId="610846E6"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 xml:space="preserve">1,068 </w:t>
            </w:r>
            <w:r w:rsidRPr="002F2BC5">
              <w:rPr>
                <w:rFonts w:ascii="David" w:eastAsia="Times New Roman" w:hAnsi="David"/>
                <w:color w:val="000000"/>
                <w:sz w:val="18"/>
                <w:szCs w:val="18"/>
              </w:rPr>
              <w:t>(56%)</w:t>
            </w:r>
          </w:p>
        </w:tc>
        <w:tc>
          <w:tcPr>
            <w:tcW w:w="737" w:type="dxa"/>
            <w:tcBorders>
              <w:top w:val="nil"/>
              <w:left w:val="nil"/>
              <w:bottom w:val="single" w:sz="4" w:space="0" w:color="D9D9D9"/>
              <w:right w:val="nil"/>
            </w:tcBorders>
          </w:tcPr>
          <w:p w14:paraId="1594DC8B"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611</w:t>
            </w:r>
          </w:p>
          <w:p w14:paraId="0ADD850F"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(32%)</w:t>
            </w:r>
          </w:p>
        </w:tc>
        <w:tc>
          <w:tcPr>
            <w:tcW w:w="737" w:type="dxa"/>
            <w:tcBorders>
              <w:top w:val="nil"/>
              <w:left w:val="nil"/>
              <w:bottom w:val="single" w:sz="4" w:space="0" w:color="D9D9D9"/>
              <w:right w:val="single" w:sz="4" w:space="0" w:color="D9D9D9" w:themeColor="background1" w:themeShade="D9"/>
            </w:tcBorders>
          </w:tcPr>
          <w:p w14:paraId="6F464BA4"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29</w:t>
            </w:r>
          </w:p>
          <w:p w14:paraId="76D0BF72" w14:textId="77777777" w:rsidR="00817399" w:rsidRPr="002F2BC5" w:rsidDel="004B5383"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(12%)</w:t>
            </w:r>
          </w:p>
        </w:tc>
        <w:tc>
          <w:tcPr>
            <w:tcW w:w="57" w:type="dxa"/>
            <w:tcBorders>
              <w:top w:val="nil"/>
              <w:left w:val="single" w:sz="4" w:space="0" w:color="D9D9D9" w:themeColor="background1" w:themeShade="D9"/>
              <w:bottom w:val="single" w:sz="4" w:space="0" w:color="D9D9D9"/>
              <w:right w:val="nil"/>
            </w:tcBorders>
          </w:tcPr>
          <w:p w14:paraId="414D75C5" w14:textId="77777777" w:rsidR="00817399" w:rsidRPr="002F2BC5" w:rsidRDefault="00817399" w:rsidP="00B14D2A">
            <w:pPr>
              <w:spacing w:line="269" w:lineRule="auto"/>
              <w:jc w:val="left"/>
              <w:rPr>
                <w:rFonts w:ascii="David" w:hAnsi="David"/>
                <w:color w:val="000000"/>
                <w:sz w:val="2"/>
                <w:szCs w:val="2"/>
              </w:rPr>
            </w:pPr>
          </w:p>
        </w:tc>
        <w:tc>
          <w:tcPr>
            <w:tcW w:w="1020" w:type="dxa"/>
            <w:tcBorders>
              <w:top w:val="nil"/>
              <w:left w:val="nil"/>
              <w:bottom w:val="single" w:sz="4" w:space="0" w:color="D9D9D9"/>
              <w:right w:val="nil"/>
            </w:tcBorders>
            <w:shd w:val="clear" w:color="auto" w:fill="auto"/>
            <w:noWrap/>
            <w:hideMark/>
          </w:tcPr>
          <w:p w14:paraId="53ABDC0F"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445</w:t>
            </w:r>
          </w:p>
          <w:p w14:paraId="03260EF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Pr>
              <w:t>(26%)</w:t>
            </w:r>
          </w:p>
        </w:tc>
        <w:tc>
          <w:tcPr>
            <w:tcW w:w="1134" w:type="dxa"/>
            <w:tcBorders>
              <w:top w:val="nil"/>
              <w:left w:val="nil"/>
              <w:bottom w:val="single" w:sz="4" w:space="0" w:color="D9D9D9"/>
              <w:right w:val="single" w:sz="4" w:space="0" w:color="D9D9D9" w:themeColor="background1" w:themeShade="D9"/>
            </w:tcBorders>
          </w:tcPr>
          <w:p w14:paraId="661888DF"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1,577</w:t>
            </w:r>
          </w:p>
          <w:p w14:paraId="5647B1DF" w14:textId="77777777" w:rsidR="00817399" w:rsidRPr="002F2BC5" w:rsidDel="00226B80"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(92%)</w:t>
            </w:r>
          </w:p>
        </w:tc>
        <w:tc>
          <w:tcPr>
            <w:tcW w:w="676" w:type="dxa"/>
            <w:tcBorders>
              <w:top w:val="nil"/>
              <w:left w:val="single" w:sz="4" w:space="0" w:color="D9D9D9" w:themeColor="background1" w:themeShade="D9"/>
              <w:bottom w:val="single" w:sz="4" w:space="0" w:color="D9D9D9"/>
              <w:right w:val="nil"/>
            </w:tcBorders>
          </w:tcPr>
          <w:p w14:paraId="177FA73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2,468</w:t>
            </w:r>
          </w:p>
        </w:tc>
        <w:tc>
          <w:tcPr>
            <w:tcW w:w="993" w:type="dxa"/>
            <w:tcBorders>
              <w:top w:val="nil"/>
              <w:left w:val="nil"/>
              <w:bottom w:val="single" w:sz="4" w:space="0" w:color="D9D9D9"/>
              <w:right w:val="nil"/>
            </w:tcBorders>
            <w:shd w:val="clear" w:color="auto" w:fill="auto"/>
            <w:noWrap/>
            <w:hideMark/>
          </w:tcPr>
          <w:p w14:paraId="173E6503"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23,381,559</w:t>
            </w:r>
          </w:p>
        </w:tc>
      </w:tr>
      <w:tr w:rsidR="00817399" w:rsidRPr="002F2BC5" w14:paraId="30F7CA8D" w14:textId="77777777" w:rsidTr="00B14D2A">
        <w:trPr>
          <w:trHeight w:val="20"/>
          <w:jc w:val="right"/>
        </w:trPr>
        <w:tc>
          <w:tcPr>
            <w:tcW w:w="850" w:type="dxa"/>
            <w:tcBorders>
              <w:top w:val="single" w:sz="4" w:space="0" w:color="D9D9D9"/>
              <w:left w:val="nil"/>
              <w:bottom w:val="single" w:sz="4" w:space="0" w:color="auto"/>
              <w:right w:val="nil"/>
            </w:tcBorders>
            <w:shd w:val="clear" w:color="auto" w:fill="F2F2F2" w:themeFill="background1" w:themeFillShade="F2"/>
            <w:noWrap/>
          </w:tcPr>
          <w:p w14:paraId="1040AEA6"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 xml:space="preserve">השינוי </w:t>
            </w:r>
          </w:p>
          <w:p w14:paraId="1C78DBD7"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בין השנים</w:t>
            </w:r>
          </w:p>
          <w:p w14:paraId="6396902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(ההפרש)</w:t>
            </w:r>
          </w:p>
        </w:tc>
        <w:tc>
          <w:tcPr>
            <w:tcW w:w="567" w:type="dxa"/>
            <w:tcBorders>
              <w:top w:val="single" w:sz="4" w:space="0" w:color="D9D9D9"/>
              <w:left w:val="nil"/>
              <w:bottom w:val="single" w:sz="4" w:space="0" w:color="auto"/>
              <w:right w:val="nil"/>
            </w:tcBorders>
            <w:shd w:val="clear" w:color="auto" w:fill="F2F2F2" w:themeFill="background1" w:themeFillShade="F2"/>
          </w:tcPr>
          <w:p w14:paraId="2225528F"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416</w:t>
            </w:r>
          </w:p>
          <w:p w14:paraId="0CDCED60"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(32%)</w:t>
            </w:r>
          </w:p>
        </w:tc>
        <w:tc>
          <w:tcPr>
            <w:tcW w:w="737" w:type="dxa"/>
            <w:tcBorders>
              <w:top w:val="single" w:sz="4" w:space="0" w:color="D9D9D9"/>
              <w:left w:val="nil"/>
              <w:bottom w:val="single" w:sz="4" w:space="0" w:color="auto"/>
              <w:right w:val="single" w:sz="4" w:space="0" w:color="D9D9D9" w:themeColor="background1" w:themeShade="D9"/>
            </w:tcBorders>
            <w:shd w:val="clear" w:color="auto" w:fill="F2F2F2" w:themeFill="background1" w:themeFillShade="F2"/>
            <w:noWrap/>
          </w:tcPr>
          <w:p w14:paraId="128B42E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 xml:space="preserve">336 </w:t>
            </w:r>
          </w:p>
          <w:p w14:paraId="03929F9E"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(21%)</w:t>
            </w:r>
          </w:p>
        </w:tc>
        <w:tc>
          <w:tcPr>
            <w:tcW w:w="737" w:type="dxa"/>
            <w:tcBorders>
              <w:top w:val="single" w:sz="4" w:space="0" w:color="D9D9D9"/>
              <w:left w:val="single" w:sz="4" w:space="0" w:color="D9D9D9" w:themeColor="background1" w:themeShade="D9"/>
              <w:bottom w:val="single" w:sz="4" w:space="0" w:color="auto"/>
              <w:right w:val="nil"/>
            </w:tcBorders>
            <w:shd w:val="clear" w:color="auto" w:fill="F2F2F2" w:themeFill="background1" w:themeFillShade="F2"/>
          </w:tcPr>
          <w:p w14:paraId="2B022201"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297</w:t>
            </w:r>
          </w:p>
          <w:p w14:paraId="0BDF3D4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(39%)</w:t>
            </w:r>
          </w:p>
        </w:tc>
        <w:tc>
          <w:tcPr>
            <w:tcW w:w="737" w:type="dxa"/>
            <w:tcBorders>
              <w:top w:val="single" w:sz="4" w:space="0" w:color="D9D9D9"/>
              <w:left w:val="nil"/>
              <w:bottom w:val="single" w:sz="4" w:space="0" w:color="auto"/>
              <w:right w:val="nil"/>
            </w:tcBorders>
            <w:shd w:val="clear" w:color="auto" w:fill="F2F2F2" w:themeFill="background1" w:themeFillShade="F2"/>
          </w:tcPr>
          <w:p w14:paraId="0E3EC07C"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95</w:t>
            </w:r>
          </w:p>
          <w:p w14:paraId="186B19E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(18%)</w:t>
            </w:r>
          </w:p>
        </w:tc>
        <w:tc>
          <w:tcPr>
            <w:tcW w:w="737" w:type="dxa"/>
            <w:tcBorders>
              <w:top w:val="single" w:sz="4" w:space="0" w:color="D9D9D9"/>
              <w:left w:val="nil"/>
              <w:bottom w:val="single" w:sz="4" w:space="0" w:color="auto"/>
              <w:right w:val="single" w:sz="4" w:space="0" w:color="D9D9D9" w:themeColor="background1" w:themeShade="D9"/>
            </w:tcBorders>
            <w:shd w:val="clear" w:color="auto" w:fill="F2F2F2" w:themeFill="background1" w:themeFillShade="F2"/>
          </w:tcPr>
          <w:p w14:paraId="5FCDB05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56-</w:t>
            </w:r>
          </w:p>
          <w:p w14:paraId="70F322B7"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(20%-)</w:t>
            </w:r>
          </w:p>
        </w:tc>
        <w:tc>
          <w:tcPr>
            <w:tcW w:w="57" w:type="dxa"/>
            <w:tcBorders>
              <w:top w:val="single" w:sz="4" w:space="0" w:color="D9D9D9"/>
              <w:left w:val="single" w:sz="4" w:space="0" w:color="D9D9D9" w:themeColor="background1" w:themeShade="D9"/>
              <w:bottom w:val="single" w:sz="4" w:space="0" w:color="auto"/>
              <w:right w:val="nil"/>
            </w:tcBorders>
            <w:shd w:val="clear" w:color="auto" w:fill="F2F2F2" w:themeFill="background1" w:themeFillShade="F2"/>
          </w:tcPr>
          <w:p w14:paraId="3A87C543" w14:textId="77777777" w:rsidR="00817399" w:rsidRPr="002F2BC5" w:rsidRDefault="00817399" w:rsidP="00B14D2A">
            <w:pPr>
              <w:spacing w:line="269" w:lineRule="auto"/>
              <w:jc w:val="left"/>
              <w:rPr>
                <w:rFonts w:ascii="David" w:eastAsia="Times New Roman" w:hAnsi="David"/>
                <w:color w:val="000000"/>
                <w:sz w:val="2"/>
                <w:szCs w:val="2"/>
                <w:rtl/>
              </w:rPr>
            </w:pPr>
          </w:p>
        </w:tc>
        <w:tc>
          <w:tcPr>
            <w:tcW w:w="1020" w:type="dxa"/>
            <w:tcBorders>
              <w:top w:val="single" w:sz="4" w:space="0" w:color="D9D9D9"/>
              <w:left w:val="nil"/>
              <w:bottom w:val="single" w:sz="4" w:space="0" w:color="auto"/>
              <w:right w:val="nil"/>
            </w:tcBorders>
            <w:shd w:val="clear" w:color="auto" w:fill="F2F2F2" w:themeFill="background1" w:themeFillShade="F2"/>
            <w:noWrap/>
          </w:tcPr>
          <w:p w14:paraId="05A75BB5"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hint="cs"/>
                <w:color w:val="000000"/>
                <w:sz w:val="18"/>
                <w:szCs w:val="18"/>
                <w:rtl/>
              </w:rPr>
              <w:t>212</w:t>
            </w:r>
          </w:p>
          <w:p w14:paraId="0075E35C" w14:textId="77777777" w:rsidR="00817399" w:rsidRPr="002F2BC5" w:rsidRDefault="00817399" w:rsidP="00B14D2A">
            <w:pPr>
              <w:spacing w:line="269" w:lineRule="auto"/>
              <w:ind w:left="57"/>
              <w:jc w:val="left"/>
              <w:rPr>
                <w:rFonts w:ascii="David" w:eastAsia="Times New Roman" w:hAnsi="David"/>
                <w:color w:val="000000"/>
                <w:sz w:val="18"/>
                <w:szCs w:val="18"/>
              </w:rPr>
            </w:pPr>
            <w:r w:rsidRPr="002F2BC5">
              <w:rPr>
                <w:rFonts w:ascii="David" w:eastAsia="Times New Roman" w:hAnsi="David"/>
                <w:color w:val="000000"/>
                <w:sz w:val="18"/>
                <w:szCs w:val="18"/>
                <w:rtl/>
              </w:rPr>
              <w:t>(91%)</w:t>
            </w:r>
          </w:p>
        </w:tc>
        <w:tc>
          <w:tcPr>
            <w:tcW w:w="1134" w:type="dxa"/>
            <w:tcBorders>
              <w:top w:val="single" w:sz="4" w:space="0" w:color="D9D9D9"/>
              <w:left w:val="nil"/>
              <w:bottom w:val="single" w:sz="4" w:space="0" w:color="auto"/>
              <w:right w:val="single" w:sz="4" w:space="0" w:color="D9D9D9" w:themeColor="background1" w:themeShade="D9"/>
            </w:tcBorders>
            <w:shd w:val="clear" w:color="auto" w:fill="F2F2F2" w:themeFill="background1" w:themeFillShade="F2"/>
          </w:tcPr>
          <w:p w14:paraId="459FE12A"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493</w:t>
            </w:r>
          </w:p>
          <w:p w14:paraId="218DF090"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(45%)</w:t>
            </w:r>
          </w:p>
        </w:tc>
        <w:tc>
          <w:tcPr>
            <w:tcW w:w="676" w:type="dxa"/>
            <w:tcBorders>
              <w:top w:val="single" w:sz="4" w:space="0" w:color="D9D9D9"/>
              <w:left w:val="single" w:sz="4" w:space="0" w:color="D9D9D9" w:themeColor="background1" w:themeShade="D9"/>
              <w:bottom w:val="single" w:sz="4" w:space="0" w:color="auto"/>
              <w:right w:val="nil"/>
            </w:tcBorders>
            <w:shd w:val="clear" w:color="auto" w:fill="F2F2F2" w:themeFill="background1" w:themeFillShade="F2"/>
          </w:tcPr>
          <w:p w14:paraId="5D527D42"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645</w:t>
            </w:r>
          </w:p>
          <w:p w14:paraId="409C289D"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(35%)</w:t>
            </w:r>
          </w:p>
        </w:tc>
        <w:tc>
          <w:tcPr>
            <w:tcW w:w="993" w:type="dxa"/>
            <w:tcBorders>
              <w:top w:val="single" w:sz="4" w:space="0" w:color="D9D9D9"/>
              <w:left w:val="nil"/>
              <w:bottom w:val="single" w:sz="4" w:space="0" w:color="auto"/>
              <w:right w:val="nil"/>
            </w:tcBorders>
            <w:shd w:val="clear" w:color="auto" w:fill="F2F2F2" w:themeFill="background1" w:themeFillShade="F2"/>
            <w:noWrap/>
          </w:tcPr>
          <w:p w14:paraId="41CEEE7E"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6,794,563</w:t>
            </w:r>
          </w:p>
          <w:p w14:paraId="3AA04159" w14:textId="77777777" w:rsidR="00817399" w:rsidRPr="002F2BC5" w:rsidRDefault="00817399" w:rsidP="00B14D2A">
            <w:pPr>
              <w:spacing w:line="269" w:lineRule="auto"/>
              <w:ind w:left="57"/>
              <w:jc w:val="left"/>
              <w:rPr>
                <w:rFonts w:ascii="David" w:eastAsia="Times New Roman" w:hAnsi="David"/>
                <w:color w:val="000000"/>
                <w:sz w:val="18"/>
                <w:szCs w:val="18"/>
                <w:rtl/>
              </w:rPr>
            </w:pPr>
            <w:r w:rsidRPr="002F2BC5">
              <w:rPr>
                <w:rFonts w:ascii="David" w:eastAsia="Times New Roman" w:hAnsi="David"/>
                <w:color w:val="000000"/>
                <w:sz w:val="18"/>
                <w:szCs w:val="18"/>
                <w:rtl/>
              </w:rPr>
              <w:t>(41%)</w:t>
            </w:r>
          </w:p>
        </w:tc>
      </w:tr>
    </w:tbl>
    <w:p w14:paraId="2D22472F" w14:textId="77777777" w:rsidR="00817399" w:rsidRPr="002F2BC5" w:rsidRDefault="00817399" w:rsidP="00817399">
      <w:pPr>
        <w:pStyle w:val="afffffff1"/>
        <w:bidi/>
        <w:spacing w:line="269" w:lineRule="auto"/>
        <w:rPr>
          <w:rtl/>
        </w:rPr>
      </w:pPr>
      <w:r w:rsidRPr="002F2BC5">
        <w:rPr>
          <w:rFonts w:hint="cs"/>
          <w:rtl/>
        </w:rPr>
        <w:t>לפי נתוני משרד הבינוי והשיכון, בעיבוד משרד מבקר המדינה.</w:t>
      </w:r>
    </w:p>
    <w:p w14:paraId="1711A640" w14:textId="77777777" w:rsidR="00817399" w:rsidRPr="002F2BC5" w:rsidRDefault="00817399" w:rsidP="00817399">
      <w:pPr>
        <w:pStyle w:val="afffffff1"/>
        <w:bidi/>
        <w:spacing w:line="269" w:lineRule="auto"/>
        <w:rPr>
          <w:rtl/>
        </w:rPr>
      </w:pPr>
      <w:r w:rsidRPr="002F2BC5">
        <w:rPr>
          <w:rFonts w:hint="cs"/>
          <w:vertAlign w:val="superscript"/>
          <w:rtl/>
        </w:rPr>
        <w:t>(1)</w:t>
      </w:r>
      <w:r w:rsidRPr="002F2BC5">
        <w:rPr>
          <w:rFonts w:hint="cs"/>
          <w:rtl/>
        </w:rPr>
        <w:t xml:space="preserve"> תקופת הזכאות מתחילה ומסתיימת במהלך השנה, ולכן בשנה נתונה אדם יכול להגיש בקשה יותר מפעם אחת, אך לעניין חישוב מספר מגישי בקשות הסיוע בכל שנה קלנדרית הוא נספר פעם אחת בלבד.</w:t>
      </w:r>
    </w:p>
    <w:p w14:paraId="1B23A65E" w14:textId="77777777" w:rsidR="00817399" w:rsidRPr="002F2BC5" w:rsidRDefault="00817399" w:rsidP="00817399">
      <w:pPr>
        <w:pStyle w:val="afffffff1"/>
        <w:bidi/>
        <w:spacing w:line="269" w:lineRule="auto"/>
        <w:rPr>
          <w:rtl/>
        </w:rPr>
      </w:pPr>
      <w:r w:rsidRPr="002F2BC5">
        <w:rPr>
          <w:rFonts w:hint="cs"/>
          <w:vertAlign w:val="superscript"/>
          <w:rtl/>
        </w:rPr>
        <w:t>(2)</w:t>
      </w:r>
      <w:r w:rsidRPr="002F2BC5">
        <w:rPr>
          <w:rFonts w:hint="cs"/>
          <w:rtl/>
        </w:rPr>
        <w:t xml:space="preserve"> </w:t>
      </w:r>
      <w:r w:rsidRPr="002F2BC5">
        <w:rPr>
          <w:rtl/>
        </w:rPr>
        <w:t xml:space="preserve">מספר הבקשות גבוה יותר ממספר מגישי </w:t>
      </w:r>
      <w:r w:rsidRPr="002F2BC5">
        <w:rPr>
          <w:rFonts w:hint="cs"/>
          <w:rtl/>
        </w:rPr>
        <w:t>ה</w:t>
      </w:r>
      <w:r w:rsidRPr="002F2BC5">
        <w:rPr>
          <w:rtl/>
        </w:rPr>
        <w:t>בקשה</w:t>
      </w:r>
      <w:r w:rsidRPr="002F2BC5">
        <w:rPr>
          <w:rFonts w:hint="cs"/>
          <w:rtl/>
        </w:rPr>
        <w:t>,</w:t>
      </w:r>
      <w:r w:rsidRPr="002F2BC5">
        <w:rPr>
          <w:rtl/>
        </w:rPr>
        <w:t xml:space="preserve"> משום שמגיש בקשה יכול להגיש בשנה נתונה יותר מבקשה אחת.</w:t>
      </w:r>
      <w:r w:rsidRPr="002F2BC5">
        <w:rPr>
          <w:rFonts w:hint="cs"/>
          <w:rtl/>
        </w:rPr>
        <w:t xml:space="preserve"> </w:t>
      </w:r>
    </w:p>
    <w:p w14:paraId="41B211B4" w14:textId="77777777" w:rsidR="00817399" w:rsidRPr="002F2BC5" w:rsidRDefault="00817399" w:rsidP="00817399">
      <w:pPr>
        <w:pStyle w:val="afffffff1"/>
        <w:bidi/>
        <w:spacing w:line="269" w:lineRule="auto"/>
        <w:rPr>
          <w:rtl/>
        </w:rPr>
      </w:pPr>
      <w:r w:rsidRPr="002F2BC5">
        <w:rPr>
          <w:rFonts w:hint="cs"/>
          <w:vertAlign w:val="superscript"/>
          <w:rtl/>
        </w:rPr>
        <w:t>(3)</w:t>
      </w:r>
      <w:r w:rsidRPr="002F2BC5">
        <w:rPr>
          <w:rFonts w:hint="cs"/>
          <w:rtl/>
        </w:rPr>
        <w:t xml:space="preserve"> הנתון מתייחס למספר בקשות הסיוע שהוגשו בגין שנת הזכאות הראשונה, השנייה או השלישית, לפי העניין. </w:t>
      </w:r>
    </w:p>
    <w:p w14:paraId="675E1103" w14:textId="77777777" w:rsidR="00817399" w:rsidRPr="002F2BC5" w:rsidRDefault="00817399" w:rsidP="00817399">
      <w:pPr>
        <w:pStyle w:val="afffffff1"/>
        <w:bidi/>
        <w:spacing w:line="269" w:lineRule="auto"/>
        <w:rPr>
          <w:rtl/>
        </w:rPr>
      </w:pPr>
      <w:r w:rsidRPr="002F2BC5">
        <w:rPr>
          <w:rFonts w:hint="cs"/>
          <w:vertAlign w:val="superscript"/>
          <w:rtl/>
        </w:rPr>
        <w:t>(4)</w:t>
      </w:r>
      <w:r w:rsidRPr="002F2BC5">
        <w:rPr>
          <w:rFonts w:hint="cs"/>
          <w:rtl/>
        </w:rPr>
        <w:t xml:space="preserve"> הנתון מתייחס למספר מקבלי הסיוע בפועל בכל שנה קלנדרית בגין תקופת הזכאות שבין 2021 ל-2024,, והוא כולל גם מגישי בקשות סיוע שהחלו לקבל סיוע לפני שנת 2021. כל מקבל סיוע נספר פעם אחת בשנה קלנדרית, ללא קשר למספר הבקשות שבגינן קיבל סיוע באותה השנה. </w:t>
      </w:r>
    </w:p>
    <w:p w14:paraId="1EBF8C24" w14:textId="77777777" w:rsidR="00817399" w:rsidRPr="002F2BC5" w:rsidRDefault="00817399" w:rsidP="00817399">
      <w:pPr>
        <w:pStyle w:val="afffffff1"/>
        <w:bidi/>
        <w:spacing w:line="269" w:lineRule="auto"/>
        <w:rPr>
          <w:rtl/>
        </w:rPr>
      </w:pPr>
      <w:r w:rsidRPr="002F2BC5">
        <w:rPr>
          <w:rFonts w:hint="cs"/>
          <w:vertAlign w:val="superscript"/>
          <w:rtl/>
        </w:rPr>
        <w:t>(5)</w:t>
      </w:r>
      <w:r w:rsidRPr="002F2BC5">
        <w:rPr>
          <w:rFonts w:hint="cs"/>
          <w:rtl/>
        </w:rPr>
        <w:t xml:space="preserve"> ישנה חפיפה מסוימת בין בקשות הסיוע של נפגעי אלימות ללא ילדים ובקשות הסיוע של נפגעי אלימות שאינם יוצאי מקלט. </w:t>
      </w:r>
    </w:p>
    <w:p w14:paraId="356FF1B5" w14:textId="77777777" w:rsidR="00817399" w:rsidRPr="002F2BC5" w:rsidRDefault="00817399" w:rsidP="00817399">
      <w:pPr>
        <w:pStyle w:val="afffffff1"/>
        <w:bidi/>
        <w:spacing w:line="269" w:lineRule="auto"/>
        <w:rPr>
          <w:rtl/>
        </w:rPr>
      </w:pPr>
      <w:r w:rsidRPr="002F2BC5">
        <w:rPr>
          <w:rFonts w:hint="cs"/>
          <w:vertAlign w:val="superscript"/>
          <w:rtl/>
        </w:rPr>
        <w:t>(6)</w:t>
      </w:r>
      <w:r w:rsidRPr="002F2BC5">
        <w:rPr>
          <w:rFonts w:hint="cs"/>
          <w:rtl/>
        </w:rPr>
        <w:t xml:space="preserve"> </w:t>
      </w:r>
      <w:r w:rsidRPr="002F2BC5">
        <w:rPr>
          <w:rtl/>
        </w:rPr>
        <w:t xml:space="preserve">הנתון מתייחס לתשלומים בפועל </w:t>
      </w:r>
      <w:r w:rsidRPr="002F2BC5">
        <w:rPr>
          <w:rFonts w:hint="cs"/>
          <w:rtl/>
        </w:rPr>
        <w:t>בגין תקופת הזכאות שבין 2021 ל-2024,</w:t>
      </w:r>
      <w:r w:rsidRPr="002F2BC5">
        <w:rPr>
          <w:rtl/>
        </w:rPr>
        <w:t xml:space="preserve"> והוא כולל תשלומים בגין בקשות סיוע שהוגשו בשנים קודמות. </w:t>
      </w:r>
    </w:p>
    <w:p w14:paraId="2298822D" w14:textId="77777777" w:rsidR="00817399" w:rsidRPr="002F2BC5" w:rsidRDefault="00817399" w:rsidP="00817399">
      <w:pPr>
        <w:spacing w:line="269" w:lineRule="auto"/>
        <w:rPr>
          <w:rtl/>
        </w:rPr>
      </w:pPr>
    </w:p>
    <w:p w14:paraId="4FC6AE85" w14:textId="77777777" w:rsidR="00817399" w:rsidRPr="002F2BC5" w:rsidRDefault="00817399" w:rsidP="00817399">
      <w:pPr>
        <w:pStyle w:val="a9"/>
        <w:spacing w:line="269" w:lineRule="auto"/>
        <w:rPr>
          <w:rtl/>
        </w:rPr>
      </w:pPr>
      <w:bookmarkStart w:id="2077" w:name="_Ref189043519"/>
      <w:bookmarkStart w:id="2078" w:name="_Toc192672917"/>
      <w:r w:rsidRPr="002F2BC5">
        <w:rPr>
          <w:rFonts w:hint="cs"/>
          <w:rtl/>
        </w:rPr>
        <w:lastRenderedPageBreak/>
        <w:t xml:space="preserve">: </w:t>
      </w:r>
      <w:r w:rsidRPr="002F2BC5">
        <w:rPr>
          <w:rFonts w:hint="eastAsia"/>
          <w:b w:val="0"/>
          <w:bCs/>
          <w:rtl/>
        </w:rPr>
        <w:t>היקף</w:t>
      </w:r>
      <w:r w:rsidRPr="002F2BC5">
        <w:rPr>
          <w:b w:val="0"/>
          <w:bCs/>
          <w:rtl/>
        </w:rPr>
        <w:t xml:space="preserve"> הסיוע (שנתי </w:t>
      </w:r>
      <w:r w:rsidRPr="002F2BC5">
        <w:rPr>
          <w:rFonts w:hint="eastAsia"/>
          <w:b w:val="0"/>
          <w:bCs/>
          <w:rtl/>
        </w:rPr>
        <w:t>מצטבר</w:t>
      </w:r>
      <w:r w:rsidRPr="002F2BC5">
        <w:rPr>
          <w:b w:val="0"/>
          <w:bCs/>
          <w:rtl/>
        </w:rPr>
        <w:t xml:space="preserve"> </w:t>
      </w:r>
      <w:r w:rsidRPr="002F2BC5">
        <w:rPr>
          <w:rFonts w:hint="eastAsia"/>
          <w:b w:val="0"/>
          <w:bCs/>
          <w:rtl/>
        </w:rPr>
        <w:t>וממוצע</w:t>
      </w:r>
      <w:r w:rsidRPr="002F2BC5">
        <w:rPr>
          <w:b w:val="0"/>
          <w:bCs/>
          <w:rtl/>
        </w:rPr>
        <w:t xml:space="preserve"> </w:t>
      </w:r>
      <w:r w:rsidRPr="002F2BC5">
        <w:rPr>
          <w:rFonts w:hint="eastAsia"/>
          <w:b w:val="0"/>
          <w:bCs/>
          <w:rtl/>
        </w:rPr>
        <w:t>חודשי</w:t>
      </w:r>
      <w:r w:rsidRPr="002F2BC5">
        <w:rPr>
          <w:b w:val="0"/>
          <w:bCs/>
          <w:rtl/>
        </w:rPr>
        <w:t xml:space="preserve"> </w:t>
      </w:r>
      <w:r w:rsidRPr="002F2BC5">
        <w:rPr>
          <w:rFonts w:hint="eastAsia"/>
          <w:b w:val="0"/>
          <w:bCs/>
          <w:rtl/>
        </w:rPr>
        <w:t>לזכאי</w:t>
      </w:r>
      <w:r w:rsidRPr="002F2BC5">
        <w:rPr>
          <w:b w:val="0"/>
          <w:bCs/>
          <w:rtl/>
        </w:rPr>
        <w:t xml:space="preserve">) </w:t>
      </w:r>
      <w:r w:rsidRPr="002F2BC5">
        <w:rPr>
          <w:rFonts w:hint="eastAsia"/>
          <w:b w:val="0"/>
          <w:bCs/>
          <w:rtl/>
        </w:rPr>
        <w:t>ומספר</w:t>
      </w:r>
      <w:r w:rsidRPr="002F2BC5">
        <w:rPr>
          <w:b w:val="0"/>
          <w:bCs/>
          <w:rtl/>
        </w:rPr>
        <w:t xml:space="preserve"> </w:t>
      </w:r>
      <w:r w:rsidRPr="002F2BC5">
        <w:rPr>
          <w:rFonts w:hint="eastAsia"/>
          <w:b w:val="0"/>
          <w:bCs/>
          <w:rtl/>
        </w:rPr>
        <w:t>מקבלי</w:t>
      </w:r>
      <w:r w:rsidRPr="002F2BC5">
        <w:rPr>
          <w:b w:val="0"/>
          <w:bCs/>
          <w:rtl/>
        </w:rPr>
        <w:t xml:space="preserve"> </w:t>
      </w:r>
      <w:r w:rsidRPr="002F2BC5">
        <w:rPr>
          <w:rFonts w:hint="eastAsia"/>
          <w:b w:val="0"/>
          <w:bCs/>
          <w:rtl/>
        </w:rPr>
        <w:t>הסיוע</w:t>
      </w:r>
      <w:r w:rsidRPr="002F2BC5">
        <w:rPr>
          <w:b w:val="0"/>
          <w:bCs/>
          <w:rtl/>
        </w:rPr>
        <w:t xml:space="preserve"> </w:t>
      </w:r>
      <w:r w:rsidRPr="002F2BC5">
        <w:rPr>
          <w:rFonts w:hint="eastAsia"/>
          <w:b w:val="0"/>
          <w:bCs/>
          <w:rtl/>
        </w:rPr>
        <w:t>לפי</w:t>
      </w:r>
      <w:r w:rsidRPr="002F2BC5">
        <w:rPr>
          <w:b w:val="0"/>
          <w:bCs/>
          <w:rtl/>
        </w:rPr>
        <w:t xml:space="preserve"> </w:t>
      </w:r>
      <w:r w:rsidRPr="002F2BC5">
        <w:rPr>
          <w:rFonts w:hint="eastAsia"/>
          <w:b w:val="0"/>
          <w:bCs/>
          <w:rtl/>
        </w:rPr>
        <w:t>מאפיינים</w:t>
      </w:r>
      <w:r w:rsidRPr="002F2BC5">
        <w:rPr>
          <w:b w:val="0"/>
          <w:bCs/>
          <w:rtl/>
        </w:rPr>
        <w:t xml:space="preserve"> </w:t>
      </w:r>
      <w:r w:rsidRPr="002F2BC5">
        <w:rPr>
          <w:rFonts w:hint="eastAsia"/>
          <w:b w:val="0"/>
          <w:bCs/>
          <w:rtl/>
        </w:rPr>
        <w:t>שונים</w:t>
      </w:r>
      <w:r w:rsidRPr="002F2BC5">
        <w:rPr>
          <w:b w:val="0"/>
          <w:bCs/>
          <w:rtl/>
        </w:rPr>
        <w:t>, 2021 - 2024</w:t>
      </w:r>
      <w:bookmarkEnd w:id="2077"/>
      <w:r w:rsidRPr="002F2BC5">
        <w:rPr>
          <w:rFonts w:hint="cs"/>
          <w:rtl/>
        </w:rPr>
        <w:t>*</w:t>
      </w:r>
      <w:bookmarkEnd w:id="2078"/>
    </w:p>
    <w:p w14:paraId="14220AAC" w14:textId="77777777" w:rsidR="00817399" w:rsidRPr="002F2BC5" w:rsidRDefault="00817399" w:rsidP="00817399">
      <w:pPr>
        <w:pStyle w:val="afffffff4"/>
        <w:bidi/>
        <w:spacing w:before="0" w:after="0" w:line="269" w:lineRule="auto"/>
      </w:pPr>
      <w:r w:rsidRPr="002F2BC5">
        <w:rPr>
          <w:noProof/>
        </w:rPr>
        <w:drawing>
          <wp:inline distT="0" distB="0" distL="0" distR="0" wp14:anchorId="44E4A32D" wp14:editId="1254BDCE">
            <wp:extent cx="3960000" cy="3781278"/>
            <wp:effectExtent l="0" t="0" r="8255" b="5715"/>
            <wp:docPr id="2052770960" name="תמונה 205277096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3867" r="33037"/>
                    <a:stretch/>
                  </pic:blipFill>
                  <pic:spPr bwMode="auto">
                    <a:xfrm>
                      <a:off x="0" y="0"/>
                      <a:ext cx="3960000" cy="3781278"/>
                    </a:xfrm>
                    <a:prstGeom prst="rect">
                      <a:avLst/>
                    </a:prstGeom>
                    <a:ln>
                      <a:noFill/>
                    </a:ln>
                    <a:extLst>
                      <a:ext uri="{53640926-AAD7-44D8-BBD7-CCE9431645EC}">
                        <a14:shadowObscured xmlns:a14="http://schemas.microsoft.com/office/drawing/2010/main"/>
                      </a:ext>
                    </a:extLst>
                  </pic:spPr>
                </pic:pic>
              </a:graphicData>
            </a:graphic>
          </wp:inline>
        </w:drawing>
      </w:r>
    </w:p>
    <w:p w14:paraId="7900209A" w14:textId="77777777" w:rsidR="00817399" w:rsidRPr="002F2BC5" w:rsidRDefault="00817399" w:rsidP="00817399">
      <w:pPr>
        <w:pStyle w:val="afffffff1"/>
        <w:bidi/>
        <w:spacing w:line="269" w:lineRule="auto"/>
        <w:rPr>
          <w:rtl/>
        </w:rPr>
      </w:pPr>
      <w:r w:rsidRPr="002F2BC5">
        <w:rPr>
          <w:rFonts w:hint="cs"/>
          <w:rtl/>
        </w:rPr>
        <w:t>לפי נתוני משרד הבינוי והשיכון, בעיבוד משרד מבקר המדינה.</w:t>
      </w:r>
    </w:p>
    <w:p w14:paraId="14EFB606" w14:textId="77777777" w:rsidR="00817399" w:rsidRPr="002F2BC5" w:rsidRDefault="00817399" w:rsidP="00817399">
      <w:pPr>
        <w:pStyle w:val="afffffff1"/>
        <w:bidi/>
        <w:spacing w:line="269" w:lineRule="auto"/>
        <w:rPr>
          <w:rtl/>
        </w:rPr>
      </w:pPr>
      <w:r w:rsidRPr="002F2BC5">
        <w:rPr>
          <w:rFonts w:hint="cs"/>
          <w:rtl/>
        </w:rPr>
        <w:t>* בנוגע לנשים יוצאות דירות מעבר, הנתון מתייחס ל-18 חודשי הזכאות הראשונים.</w:t>
      </w:r>
    </w:p>
    <w:p w14:paraId="4B26C43E" w14:textId="77777777" w:rsidR="00817399" w:rsidRPr="002F2BC5" w:rsidRDefault="00817399" w:rsidP="00817399">
      <w:pPr>
        <w:spacing w:line="269" w:lineRule="auto"/>
        <w:rPr>
          <w:rtl/>
        </w:rPr>
      </w:pPr>
    </w:p>
    <w:p w14:paraId="294363FA" w14:textId="32F30FEE" w:rsidR="00817399" w:rsidRPr="002F2BC5" w:rsidRDefault="00817399" w:rsidP="00817399">
      <w:pPr>
        <w:spacing w:line="269" w:lineRule="auto"/>
        <w:rPr>
          <w:b/>
          <w:bCs/>
          <w:rtl/>
        </w:rPr>
      </w:pPr>
      <w:r w:rsidRPr="002F2BC5">
        <w:rPr>
          <w:rFonts w:hint="eastAsia"/>
          <w:b/>
          <w:bCs/>
          <w:rtl/>
        </w:rPr>
        <w:t>מנתוני</w:t>
      </w:r>
      <w:r w:rsidRPr="002F2BC5">
        <w:rPr>
          <w:b/>
          <w:bCs/>
          <w:rtl/>
        </w:rPr>
        <w:t xml:space="preserve"> משרד הבינוי והשיכון </w:t>
      </w:r>
      <w:r w:rsidRPr="002F2BC5">
        <w:rPr>
          <w:rFonts w:hint="eastAsia"/>
          <w:b/>
          <w:bCs/>
          <w:rtl/>
        </w:rPr>
        <w:t>המוצגים</w:t>
      </w:r>
      <w:r w:rsidRPr="002F2BC5">
        <w:rPr>
          <w:b/>
          <w:bCs/>
          <w:rtl/>
        </w:rPr>
        <w:t xml:space="preserve"> </w:t>
      </w:r>
      <w:r w:rsidRPr="002F2BC5">
        <w:rPr>
          <w:rFonts w:hint="eastAsia"/>
          <w:b/>
          <w:bCs/>
          <w:rtl/>
        </w:rPr>
        <w:t>ב</w:t>
      </w:r>
      <w:r w:rsidR="00E51497">
        <w:rPr>
          <w:b/>
          <w:bCs/>
          <w:rtl/>
        </w:rPr>
        <w:fldChar w:fldCharType="begin"/>
      </w:r>
      <w:r w:rsidR="00E51497">
        <w:rPr>
          <w:b/>
          <w:bCs/>
          <w:rtl/>
        </w:rPr>
        <w:instrText xml:space="preserve"> </w:instrText>
      </w:r>
      <w:r w:rsidR="00E51497">
        <w:rPr>
          <w:rFonts w:hint="eastAsia"/>
          <w:b/>
          <w:bCs/>
        </w:rPr>
        <w:instrText>REF</w:instrText>
      </w:r>
      <w:r w:rsidR="00E51497">
        <w:rPr>
          <w:rFonts w:hint="eastAsia"/>
          <w:b/>
          <w:bCs/>
          <w:rtl/>
        </w:rPr>
        <w:instrText xml:space="preserve"> _</w:instrText>
      </w:r>
      <w:r w:rsidR="00E51497">
        <w:rPr>
          <w:rFonts w:hint="eastAsia"/>
          <w:b/>
          <w:bCs/>
        </w:rPr>
        <w:instrText>Ref203487291 \r \h</w:instrText>
      </w:r>
      <w:r w:rsidR="00E51497">
        <w:rPr>
          <w:b/>
          <w:bCs/>
          <w:rtl/>
        </w:rPr>
        <w:instrText xml:space="preserve"> </w:instrText>
      </w:r>
      <w:r w:rsidR="00E51497">
        <w:rPr>
          <w:b/>
          <w:bCs/>
          <w:rtl/>
        </w:rPr>
      </w:r>
      <w:r w:rsidR="00E51497">
        <w:rPr>
          <w:b/>
          <w:bCs/>
          <w:rtl/>
        </w:rPr>
        <w:fldChar w:fldCharType="separate"/>
      </w:r>
      <w:r w:rsidR="00BB5E31">
        <w:rPr>
          <w:b/>
          <w:bCs/>
          <w:cs/>
        </w:rPr>
        <w:t>‎</w:t>
      </w:r>
      <w:r w:rsidR="00BB5E31">
        <w:rPr>
          <w:b/>
          <w:bCs/>
          <w:rtl/>
        </w:rPr>
        <w:t>לוח 19</w:t>
      </w:r>
      <w:r w:rsidR="00E51497">
        <w:rPr>
          <w:b/>
          <w:bCs/>
          <w:rtl/>
        </w:rPr>
        <w:fldChar w:fldCharType="end"/>
      </w:r>
      <w:r w:rsidRPr="002F2BC5">
        <w:rPr>
          <w:b/>
          <w:bCs/>
          <w:rtl/>
        </w:rPr>
        <w:t xml:space="preserve"> </w:t>
      </w:r>
      <w:r w:rsidRPr="002F2BC5">
        <w:rPr>
          <w:rFonts w:hint="cs"/>
          <w:b/>
          <w:bCs/>
          <w:rtl/>
        </w:rPr>
        <w:t>וב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Ref189043519 \n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תרשים 25</w:t>
      </w:r>
      <w:r w:rsidRPr="002F2BC5">
        <w:rPr>
          <w:b/>
          <w:bCs/>
          <w:rtl/>
        </w:rPr>
        <w:fldChar w:fldCharType="end"/>
      </w:r>
      <w:r w:rsidRPr="002F2BC5">
        <w:rPr>
          <w:rFonts w:hint="cs"/>
          <w:rtl/>
        </w:rPr>
        <w:t xml:space="preserve"> </w:t>
      </w:r>
      <w:r w:rsidRPr="002F2BC5">
        <w:rPr>
          <w:rFonts w:hint="eastAsia"/>
          <w:b/>
          <w:bCs/>
          <w:rtl/>
        </w:rPr>
        <w:t>עולה</w:t>
      </w:r>
      <w:r w:rsidRPr="002F2BC5">
        <w:rPr>
          <w:b/>
          <w:bCs/>
          <w:rtl/>
        </w:rPr>
        <w:t xml:space="preserve"> כי </w:t>
      </w:r>
      <w:r w:rsidRPr="002F2BC5">
        <w:rPr>
          <w:rFonts w:hint="eastAsia"/>
          <w:b/>
          <w:bCs/>
          <w:rtl/>
        </w:rPr>
        <w:t>חלה</w:t>
      </w:r>
      <w:r w:rsidRPr="002F2BC5">
        <w:rPr>
          <w:b/>
          <w:bCs/>
          <w:rtl/>
        </w:rPr>
        <w:t xml:space="preserve"> עלייה עקבית במספר נפגעי האלימות </w:t>
      </w:r>
      <w:r w:rsidRPr="002F2BC5">
        <w:rPr>
          <w:rFonts w:hint="eastAsia"/>
          <w:b/>
          <w:bCs/>
          <w:rtl/>
        </w:rPr>
        <w:t>שהגישו</w:t>
      </w:r>
      <w:r w:rsidRPr="002F2BC5">
        <w:rPr>
          <w:b/>
          <w:bCs/>
          <w:rtl/>
        </w:rPr>
        <w:t xml:space="preserve"> </w:t>
      </w:r>
      <w:r w:rsidRPr="002F2BC5">
        <w:rPr>
          <w:rFonts w:hint="eastAsia"/>
          <w:b/>
          <w:bCs/>
          <w:rtl/>
        </w:rPr>
        <w:t>בקשה</w:t>
      </w:r>
      <w:r w:rsidRPr="002F2BC5">
        <w:rPr>
          <w:b/>
          <w:bCs/>
          <w:rtl/>
        </w:rPr>
        <w:t xml:space="preserve"> </w:t>
      </w:r>
      <w:r w:rsidRPr="002F2BC5">
        <w:rPr>
          <w:rFonts w:hint="eastAsia"/>
          <w:b/>
          <w:bCs/>
          <w:rtl/>
        </w:rPr>
        <w:t>לסיוע</w:t>
      </w:r>
      <w:r w:rsidRPr="002F2BC5">
        <w:rPr>
          <w:b/>
          <w:bCs/>
          <w:rtl/>
        </w:rPr>
        <w:t xml:space="preserve"> בשכר דירה, </w:t>
      </w:r>
      <w:r w:rsidRPr="002F2BC5">
        <w:rPr>
          <w:rFonts w:hint="eastAsia"/>
          <w:b/>
          <w:bCs/>
          <w:rtl/>
        </w:rPr>
        <w:t>מ</w:t>
      </w:r>
      <w:r w:rsidRPr="002F2BC5">
        <w:rPr>
          <w:b/>
          <w:bCs/>
          <w:rtl/>
        </w:rPr>
        <w:t xml:space="preserve">-1,303 </w:t>
      </w:r>
      <w:r w:rsidRPr="002F2BC5">
        <w:rPr>
          <w:rFonts w:hint="eastAsia"/>
          <w:b/>
          <w:bCs/>
          <w:rtl/>
        </w:rPr>
        <w:t>בשנת</w:t>
      </w:r>
      <w:r w:rsidRPr="002F2BC5">
        <w:rPr>
          <w:b/>
          <w:bCs/>
          <w:rtl/>
        </w:rPr>
        <w:t xml:space="preserve"> 2021 </w:t>
      </w:r>
      <w:r w:rsidRPr="002F2BC5">
        <w:rPr>
          <w:rFonts w:hint="eastAsia"/>
          <w:b/>
          <w:bCs/>
          <w:rtl/>
        </w:rPr>
        <w:t>ל</w:t>
      </w:r>
      <w:r w:rsidRPr="002F2BC5">
        <w:rPr>
          <w:b/>
          <w:bCs/>
          <w:rtl/>
        </w:rPr>
        <w:t xml:space="preserve">-1,719 בשנת 2024 - </w:t>
      </w:r>
      <w:r w:rsidRPr="002F2BC5">
        <w:rPr>
          <w:rFonts w:hint="eastAsia"/>
          <w:b/>
          <w:bCs/>
          <w:rtl/>
        </w:rPr>
        <w:t>עלייה</w:t>
      </w:r>
      <w:r w:rsidRPr="002F2BC5">
        <w:rPr>
          <w:b/>
          <w:bCs/>
          <w:rtl/>
        </w:rPr>
        <w:t xml:space="preserve"> של </w:t>
      </w:r>
      <w:r w:rsidRPr="002F2BC5">
        <w:rPr>
          <w:rFonts w:hint="eastAsia"/>
          <w:b/>
          <w:bCs/>
          <w:rtl/>
        </w:rPr>
        <w:t>כ</w:t>
      </w:r>
      <w:r w:rsidRPr="002F2BC5">
        <w:rPr>
          <w:b/>
          <w:bCs/>
          <w:rtl/>
        </w:rPr>
        <w:t xml:space="preserve">-32%. אשר להיקף הכספי של הסיוע, בשנים 2021 - 2024 </w:t>
      </w:r>
      <w:r w:rsidRPr="002F2BC5">
        <w:rPr>
          <w:rFonts w:hint="eastAsia"/>
          <w:b/>
          <w:bCs/>
          <w:rtl/>
        </w:rPr>
        <w:t>חלה</w:t>
      </w:r>
      <w:r w:rsidRPr="002F2BC5">
        <w:rPr>
          <w:b/>
          <w:bCs/>
          <w:rtl/>
        </w:rPr>
        <w:t xml:space="preserve"> </w:t>
      </w:r>
      <w:r w:rsidRPr="002F2BC5">
        <w:rPr>
          <w:rFonts w:hint="eastAsia"/>
          <w:b/>
          <w:bCs/>
          <w:rtl/>
        </w:rPr>
        <w:t>עלייה</w:t>
      </w:r>
      <w:r w:rsidRPr="002F2BC5">
        <w:rPr>
          <w:b/>
          <w:bCs/>
          <w:rtl/>
        </w:rPr>
        <w:t xml:space="preserve"> </w:t>
      </w:r>
      <w:r w:rsidRPr="002F2BC5">
        <w:rPr>
          <w:rFonts w:hint="eastAsia"/>
          <w:b/>
          <w:bCs/>
          <w:rtl/>
        </w:rPr>
        <w:t>עקבית</w:t>
      </w:r>
      <w:r w:rsidRPr="002F2BC5">
        <w:rPr>
          <w:b/>
          <w:bCs/>
          <w:rtl/>
        </w:rPr>
        <w:t xml:space="preserve"> </w:t>
      </w:r>
      <w:r w:rsidRPr="002F2BC5">
        <w:rPr>
          <w:rFonts w:hint="eastAsia"/>
          <w:b/>
          <w:bCs/>
          <w:rtl/>
        </w:rPr>
        <w:t>בהיקף</w:t>
      </w:r>
      <w:r w:rsidRPr="002F2BC5">
        <w:rPr>
          <w:b/>
          <w:bCs/>
          <w:rtl/>
        </w:rPr>
        <w:t xml:space="preserve"> </w:t>
      </w:r>
      <w:r w:rsidRPr="002F2BC5">
        <w:rPr>
          <w:rFonts w:hint="eastAsia"/>
          <w:b/>
          <w:bCs/>
          <w:rtl/>
        </w:rPr>
        <w:t>הסיוע</w:t>
      </w:r>
      <w:r w:rsidRPr="002F2BC5">
        <w:rPr>
          <w:rFonts w:hint="cs"/>
          <w:b/>
          <w:bCs/>
          <w:rtl/>
        </w:rPr>
        <w:t xml:space="preserve"> </w:t>
      </w:r>
      <w:r w:rsidRPr="002F2BC5">
        <w:rPr>
          <w:rFonts w:hint="eastAsia"/>
          <w:b/>
          <w:bCs/>
          <w:rtl/>
        </w:rPr>
        <w:t>המצטבר</w:t>
      </w:r>
      <w:r w:rsidRPr="002F2BC5">
        <w:rPr>
          <w:b/>
          <w:bCs/>
          <w:rtl/>
        </w:rPr>
        <w:t xml:space="preserve"> ששולם בפועל</w:t>
      </w:r>
      <w:r w:rsidRPr="002F2BC5">
        <w:rPr>
          <w:rFonts w:hint="cs"/>
          <w:b/>
          <w:bCs/>
          <w:rtl/>
        </w:rPr>
        <w:t xml:space="preserve"> בגין תקופת זכאות זו</w:t>
      </w:r>
      <w:r w:rsidRPr="002F2BC5">
        <w:rPr>
          <w:b/>
          <w:bCs/>
          <w:rtl/>
        </w:rPr>
        <w:t xml:space="preserve">, </w:t>
      </w:r>
      <w:r w:rsidRPr="002F2BC5">
        <w:rPr>
          <w:rFonts w:hint="eastAsia"/>
          <w:b/>
          <w:bCs/>
          <w:rtl/>
        </w:rPr>
        <w:t>עלייה</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כ</w:t>
      </w:r>
      <w:r w:rsidRPr="002F2BC5">
        <w:rPr>
          <w:b/>
          <w:bCs/>
          <w:rtl/>
        </w:rPr>
        <w:t>-4</w:t>
      </w:r>
      <w:r w:rsidRPr="002F2BC5">
        <w:rPr>
          <w:rFonts w:hint="cs"/>
          <w:b/>
          <w:bCs/>
          <w:rtl/>
        </w:rPr>
        <w:t>1</w:t>
      </w:r>
      <w:r w:rsidRPr="002F2BC5">
        <w:rPr>
          <w:b/>
          <w:bCs/>
          <w:rtl/>
        </w:rPr>
        <w:t>% (מ</w:t>
      </w:r>
      <w:r w:rsidRPr="002F2BC5">
        <w:rPr>
          <w:rFonts w:hint="eastAsia"/>
          <w:b/>
          <w:bCs/>
          <w:rtl/>
        </w:rPr>
        <w:t>כ</w:t>
      </w:r>
      <w:r w:rsidRPr="002F2BC5">
        <w:rPr>
          <w:b/>
          <w:bCs/>
          <w:rtl/>
        </w:rPr>
        <w:t>-16.</w:t>
      </w:r>
      <w:r w:rsidRPr="002F2BC5">
        <w:rPr>
          <w:rFonts w:hint="cs"/>
          <w:b/>
          <w:bCs/>
          <w:rtl/>
        </w:rPr>
        <w:t>6</w:t>
      </w:r>
      <w:r w:rsidRPr="002F2BC5">
        <w:rPr>
          <w:b/>
          <w:bCs/>
          <w:rtl/>
        </w:rPr>
        <w:t xml:space="preserve"> מיליוני ש"ח ששולמו בפועל בשנת 2021 לכ-23.4 </w:t>
      </w:r>
      <w:r w:rsidRPr="002F2BC5">
        <w:rPr>
          <w:rFonts w:hint="eastAsia"/>
          <w:b/>
          <w:bCs/>
          <w:rtl/>
        </w:rPr>
        <w:t>מיליוני</w:t>
      </w:r>
      <w:r w:rsidRPr="002F2BC5">
        <w:rPr>
          <w:b/>
          <w:bCs/>
          <w:rtl/>
        </w:rPr>
        <w:t xml:space="preserve"> </w:t>
      </w:r>
      <w:r w:rsidRPr="002F2BC5">
        <w:rPr>
          <w:rFonts w:hint="eastAsia"/>
          <w:b/>
          <w:bCs/>
          <w:rtl/>
        </w:rPr>
        <w:t>ש</w:t>
      </w:r>
      <w:r w:rsidRPr="002F2BC5">
        <w:rPr>
          <w:b/>
          <w:bCs/>
          <w:rtl/>
        </w:rPr>
        <w:t xml:space="preserve">"ח </w:t>
      </w:r>
      <w:r w:rsidRPr="002F2BC5">
        <w:rPr>
          <w:rFonts w:hint="eastAsia"/>
          <w:b/>
          <w:bCs/>
          <w:rtl/>
        </w:rPr>
        <w:t>ששולמו</w:t>
      </w:r>
      <w:r w:rsidRPr="002F2BC5">
        <w:rPr>
          <w:b/>
          <w:bCs/>
          <w:rtl/>
        </w:rPr>
        <w:t xml:space="preserve"> </w:t>
      </w:r>
      <w:r w:rsidRPr="002F2BC5">
        <w:rPr>
          <w:rFonts w:hint="eastAsia"/>
          <w:b/>
          <w:bCs/>
          <w:rtl/>
        </w:rPr>
        <w:t>בפועל</w:t>
      </w:r>
      <w:r w:rsidRPr="002F2BC5">
        <w:rPr>
          <w:b/>
          <w:bCs/>
          <w:rtl/>
        </w:rPr>
        <w:t xml:space="preserve"> </w:t>
      </w:r>
      <w:r w:rsidRPr="002F2BC5">
        <w:rPr>
          <w:rFonts w:hint="eastAsia"/>
          <w:b/>
          <w:bCs/>
          <w:rtl/>
        </w:rPr>
        <w:t>בשנת</w:t>
      </w:r>
      <w:r w:rsidRPr="002F2BC5">
        <w:rPr>
          <w:b/>
          <w:bCs/>
          <w:rtl/>
        </w:rPr>
        <w:t xml:space="preserve"> 2024). </w:t>
      </w:r>
      <w:r w:rsidRPr="002F2BC5">
        <w:rPr>
          <w:rFonts w:hint="eastAsia"/>
          <w:b/>
          <w:bCs/>
          <w:rtl/>
        </w:rPr>
        <w:t>עוד</w:t>
      </w:r>
      <w:r w:rsidRPr="002F2BC5">
        <w:rPr>
          <w:b/>
          <w:bCs/>
          <w:rtl/>
        </w:rPr>
        <w:t xml:space="preserve"> </w:t>
      </w:r>
      <w:r w:rsidRPr="002F2BC5">
        <w:rPr>
          <w:rFonts w:hint="cs"/>
          <w:b/>
          <w:bCs/>
          <w:rtl/>
        </w:rPr>
        <w:t xml:space="preserve">עולה </w:t>
      </w:r>
      <w:r w:rsidRPr="002F2BC5">
        <w:rPr>
          <w:rFonts w:hint="eastAsia"/>
          <w:b/>
          <w:bCs/>
          <w:rtl/>
        </w:rPr>
        <w:t>כי</w:t>
      </w:r>
      <w:r w:rsidRPr="002F2BC5">
        <w:rPr>
          <w:b/>
          <w:bCs/>
          <w:rtl/>
        </w:rPr>
        <w:t xml:space="preserve"> </w:t>
      </w:r>
      <w:r w:rsidRPr="002F2BC5">
        <w:rPr>
          <w:rFonts w:hint="eastAsia"/>
          <w:b/>
          <w:bCs/>
          <w:rtl/>
        </w:rPr>
        <w:t>בין</w:t>
      </w:r>
      <w:r w:rsidRPr="002F2BC5">
        <w:rPr>
          <w:b/>
          <w:bCs/>
          <w:rtl/>
        </w:rPr>
        <w:t xml:space="preserve"> </w:t>
      </w:r>
      <w:r w:rsidRPr="002F2BC5">
        <w:rPr>
          <w:rFonts w:hint="eastAsia"/>
          <w:b/>
          <w:bCs/>
          <w:rtl/>
        </w:rPr>
        <w:t>השנים</w:t>
      </w:r>
      <w:r w:rsidRPr="002F2BC5">
        <w:rPr>
          <w:b/>
          <w:bCs/>
          <w:rtl/>
        </w:rPr>
        <w:t xml:space="preserve"> 2021 - 2024 </w:t>
      </w:r>
      <w:r w:rsidRPr="002F2BC5">
        <w:rPr>
          <w:rFonts w:hint="eastAsia"/>
          <w:b/>
          <w:bCs/>
          <w:rtl/>
        </w:rPr>
        <w:t>חלה</w:t>
      </w:r>
      <w:r w:rsidRPr="002F2BC5">
        <w:rPr>
          <w:b/>
          <w:bCs/>
          <w:rtl/>
        </w:rPr>
        <w:t xml:space="preserve"> </w:t>
      </w:r>
      <w:r w:rsidRPr="002F2BC5">
        <w:rPr>
          <w:rFonts w:hint="eastAsia"/>
          <w:b/>
          <w:bCs/>
          <w:rtl/>
        </w:rPr>
        <w:t>עלייה</w:t>
      </w:r>
      <w:r w:rsidRPr="002F2BC5">
        <w:rPr>
          <w:b/>
          <w:bCs/>
          <w:rtl/>
        </w:rPr>
        <w:t xml:space="preserve"> </w:t>
      </w:r>
      <w:r w:rsidRPr="002F2BC5">
        <w:rPr>
          <w:rFonts w:hint="eastAsia"/>
          <w:b/>
          <w:bCs/>
          <w:rtl/>
        </w:rPr>
        <w:t>בשיעור</w:t>
      </w:r>
      <w:r w:rsidRPr="002F2BC5">
        <w:rPr>
          <w:b/>
          <w:bCs/>
          <w:rtl/>
        </w:rPr>
        <w:t xml:space="preserve"> </w:t>
      </w:r>
      <w:r w:rsidRPr="002F2BC5">
        <w:rPr>
          <w:rFonts w:hint="eastAsia"/>
          <w:b/>
          <w:bCs/>
          <w:rtl/>
        </w:rPr>
        <w:t>מקבלי</w:t>
      </w:r>
      <w:r w:rsidRPr="002F2BC5">
        <w:rPr>
          <w:b/>
          <w:bCs/>
          <w:rtl/>
        </w:rPr>
        <w:t xml:space="preserve"> </w:t>
      </w:r>
      <w:r w:rsidRPr="002F2BC5">
        <w:rPr>
          <w:rFonts w:hint="eastAsia"/>
          <w:b/>
          <w:bCs/>
          <w:rtl/>
        </w:rPr>
        <w:t>הסיוע</w:t>
      </w:r>
      <w:r w:rsidRPr="002F2BC5">
        <w:rPr>
          <w:b/>
          <w:bCs/>
          <w:rtl/>
        </w:rPr>
        <w:t xml:space="preserve"> </w:t>
      </w:r>
      <w:r w:rsidRPr="002F2BC5">
        <w:rPr>
          <w:rFonts w:hint="eastAsia"/>
          <w:b/>
          <w:bCs/>
          <w:rtl/>
        </w:rPr>
        <w:t>המשתייכים</w:t>
      </w:r>
      <w:r w:rsidRPr="002F2BC5">
        <w:rPr>
          <w:b/>
          <w:bCs/>
          <w:rtl/>
        </w:rPr>
        <w:t xml:space="preserve"> </w:t>
      </w:r>
      <w:r w:rsidRPr="002F2BC5">
        <w:rPr>
          <w:rFonts w:hint="eastAsia"/>
          <w:b/>
          <w:bCs/>
          <w:rtl/>
        </w:rPr>
        <w:t>לקבוצת</w:t>
      </w:r>
      <w:r w:rsidRPr="002F2BC5">
        <w:rPr>
          <w:b/>
          <w:bCs/>
          <w:rtl/>
        </w:rPr>
        <w:t xml:space="preserve"> </w:t>
      </w:r>
      <w:r w:rsidRPr="002F2BC5">
        <w:rPr>
          <w:rFonts w:hint="eastAsia"/>
          <w:b/>
          <w:bCs/>
          <w:rtl/>
        </w:rPr>
        <w:t>הזכאות</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נפגע</w:t>
      </w:r>
      <w:r w:rsidRPr="002F2BC5">
        <w:rPr>
          <w:rFonts w:hint="cs"/>
          <w:b/>
          <w:bCs/>
          <w:rtl/>
        </w:rPr>
        <w:t>י</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שאינ</w:t>
      </w:r>
      <w:r w:rsidRPr="002F2BC5">
        <w:rPr>
          <w:rFonts w:hint="cs"/>
          <w:b/>
          <w:bCs/>
          <w:rtl/>
        </w:rPr>
        <w:t>ם</w:t>
      </w:r>
      <w:r w:rsidRPr="002F2BC5">
        <w:rPr>
          <w:b/>
          <w:bCs/>
          <w:rtl/>
        </w:rPr>
        <w:t xml:space="preserve"> </w:t>
      </w:r>
      <w:r w:rsidRPr="002F2BC5">
        <w:rPr>
          <w:rFonts w:hint="eastAsia"/>
          <w:b/>
          <w:bCs/>
          <w:rtl/>
        </w:rPr>
        <w:t>יוצא</w:t>
      </w:r>
      <w:r w:rsidRPr="002F2BC5">
        <w:rPr>
          <w:rFonts w:hint="cs"/>
          <w:b/>
          <w:bCs/>
          <w:rtl/>
        </w:rPr>
        <w:t>י</w:t>
      </w:r>
      <w:r w:rsidRPr="002F2BC5">
        <w:rPr>
          <w:b/>
          <w:bCs/>
          <w:rtl/>
        </w:rPr>
        <w:t xml:space="preserve"> </w:t>
      </w:r>
      <w:r w:rsidRPr="002F2BC5">
        <w:rPr>
          <w:rFonts w:hint="eastAsia"/>
          <w:b/>
          <w:bCs/>
          <w:rtl/>
        </w:rPr>
        <w:t>מקלט</w:t>
      </w:r>
      <w:r w:rsidRPr="002F2BC5">
        <w:rPr>
          <w:b/>
          <w:bCs/>
          <w:rtl/>
        </w:rPr>
        <w:t xml:space="preserve">, </w:t>
      </w:r>
      <w:r w:rsidRPr="002F2BC5">
        <w:rPr>
          <w:rFonts w:hint="eastAsia"/>
          <w:b/>
          <w:bCs/>
          <w:rtl/>
        </w:rPr>
        <w:t>הזכאי</w:t>
      </w:r>
      <w:r w:rsidRPr="002F2BC5">
        <w:rPr>
          <w:rFonts w:hint="cs"/>
          <w:b/>
          <w:bCs/>
          <w:rtl/>
        </w:rPr>
        <w:t>ם</w:t>
      </w:r>
      <w:r w:rsidRPr="002F2BC5">
        <w:rPr>
          <w:b/>
          <w:bCs/>
          <w:rtl/>
        </w:rPr>
        <w:t xml:space="preserve"> </w:t>
      </w:r>
      <w:r w:rsidRPr="002F2BC5">
        <w:rPr>
          <w:rFonts w:hint="eastAsia"/>
          <w:b/>
          <w:bCs/>
          <w:rtl/>
        </w:rPr>
        <w:t>לסל</w:t>
      </w:r>
      <w:r w:rsidRPr="002F2BC5">
        <w:rPr>
          <w:b/>
          <w:bCs/>
          <w:rtl/>
        </w:rPr>
        <w:t xml:space="preserve"> </w:t>
      </w:r>
      <w:r w:rsidRPr="002F2BC5">
        <w:rPr>
          <w:rFonts w:hint="eastAsia"/>
          <w:b/>
          <w:bCs/>
          <w:rtl/>
        </w:rPr>
        <w:t>שירותים</w:t>
      </w:r>
      <w:r w:rsidRPr="002F2BC5">
        <w:rPr>
          <w:b/>
          <w:bCs/>
          <w:rtl/>
        </w:rPr>
        <w:t xml:space="preserve"> וכן </w:t>
      </w:r>
      <w:r w:rsidRPr="002F2BC5">
        <w:rPr>
          <w:rFonts w:hint="eastAsia"/>
          <w:b/>
          <w:bCs/>
          <w:rtl/>
        </w:rPr>
        <w:t>בשיעורם</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מקבלי</w:t>
      </w:r>
      <w:r w:rsidRPr="002F2BC5">
        <w:rPr>
          <w:b/>
          <w:bCs/>
          <w:rtl/>
        </w:rPr>
        <w:t xml:space="preserve"> </w:t>
      </w:r>
      <w:r w:rsidRPr="002F2BC5">
        <w:rPr>
          <w:rFonts w:hint="eastAsia"/>
          <w:b/>
          <w:bCs/>
          <w:rtl/>
        </w:rPr>
        <w:t>סיוע</w:t>
      </w:r>
      <w:r w:rsidRPr="002F2BC5">
        <w:rPr>
          <w:b/>
          <w:bCs/>
          <w:rtl/>
        </w:rPr>
        <w:t xml:space="preserve"> </w:t>
      </w:r>
      <w:r w:rsidRPr="002F2BC5">
        <w:rPr>
          <w:rFonts w:hint="eastAsia"/>
          <w:b/>
          <w:bCs/>
          <w:rtl/>
        </w:rPr>
        <w:t>ללא</w:t>
      </w:r>
      <w:r w:rsidRPr="002F2BC5">
        <w:rPr>
          <w:b/>
          <w:bCs/>
          <w:rtl/>
        </w:rPr>
        <w:t xml:space="preserve"> </w:t>
      </w:r>
      <w:r w:rsidRPr="002F2BC5">
        <w:rPr>
          <w:rFonts w:hint="eastAsia"/>
          <w:b/>
          <w:bCs/>
          <w:rtl/>
        </w:rPr>
        <w:t>ילדים</w:t>
      </w:r>
      <w:r w:rsidRPr="002F2BC5">
        <w:rPr>
          <w:b/>
          <w:bCs/>
          <w:rtl/>
        </w:rPr>
        <w:t xml:space="preserve">. </w:t>
      </w:r>
    </w:p>
    <w:p w14:paraId="195F456A" w14:textId="77777777" w:rsidR="00817399" w:rsidRPr="002F2BC5" w:rsidRDefault="00817399" w:rsidP="00817399">
      <w:pPr>
        <w:spacing w:line="269" w:lineRule="auto"/>
        <w:rPr>
          <w:rtl/>
        </w:rPr>
      </w:pPr>
    </w:p>
    <w:p w14:paraId="76F6B3F1" w14:textId="77777777" w:rsidR="00817399" w:rsidRPr="002F2BC5" w:rsidRDefault="00817399" w:rsidP="00817399">
      <w:pPr>
        <w:spacing w:line="269" w:lineRule="auto"/>
        <w:rPr>
          <w:rtl/>
        </w:rPr>
      </w:pPr>
      <w:r w:rsidRPr="002F2BC5">
        <w:rPr>
          <w:rFonts w:hint="cs"/>
          <w:rtl/>
        </w:rPr>
        <w:t>מניתוח נתוני משרד הבינוי והשיכון על הבקשות לסיוע שהוגשו בשנים 2021 - 2022 עולה עוד כי חלה עלייה בשיעורן של הבקשות שהוגשו בשנים הללו בגין שנת הזכאות הראשונה, מ-771 בשנת 2021 ל-1,068 בשנת 2024 - עלייה של כ-39%. לצד זאת הועלה כי כשליש ממי שהגישו בקשה לקבלת סיוע בשכירת דירה בשנים הללו מימשו את זכאותם בשנת הזכאות הראשונה בלבד (קיבלו סיוע בשכירת דירה לתקופה של עד 12 חודשים); בשנת 2021 כ-38% ממקבלי הסיוע מימשו את זכאותם בשנת הזכאות הראשונה בלבד (309 מתוך 807), ובשנת 2022 עמד שיעור זה על כ-36% (276 מתוך 768). בקרב אלו שהגישו בקשה לקבלת סיוע בשנת 2023, כ-49% מימשו את זכאותם בשנת הזכאות הראשונה בלבד (444 מתוך 912).</w:t>
      </w:r>
    </w:p>
    <w:p w14:paraId="71622CD8" w14:textId="77777777" w:rsidR="00817399" w:rsidRPr="002F2BC5" w:rsidRDefault="00817399" w:rsidP="00817399">
      <w:pPr>
        <w:spacing w:line="269" w:lineRule="auto"/>
        <w:rPr>
          <w:rtl/>
        </w:rPr>
      </w:pPr>
    </w:p>
    <w:p w14:paraId="5E5F43E4" w14:textId="77777777" w:rsidR="00817399" w:rsidRPr="002F2BC5" w:rsidRDefault="00817399" w:rsidP="00817399">
      <w:pPr>
        <w:pStyle w:val="afffffff9"/>
        <w:spacing w:line="269" w:lineRule="auto"/>
        <w:rPr>
          <w:rtl/>
        </w:rPr>
      </w:pPr>
      <w:bookmarkStart w:id="2079" w:name="_Toc191987163"/>
      <w:bookmarkStart w:id="2080" w:name="_Toc192093188"/>
      <w:bookmarkStart w:id="2081" w:name="_Toc192612896"/>
      <w:bookmarkStart w:id="2082" w:name="_Toc198312343"/>
      <w:bookmarkStart w:id="2083" w:name="_Toc198312827"/>
      <w:bookmarkStart w:id="2084" w:name="_Toc200636985"/>
      <w:bookmarkStart w:id="2085" w:name="_Toc200439983"/>
      <w:bookmarkStart w:id="2086" w:name="_Toc201241088"/>
      <w:r w:rsidRPr="002F2BC5">
        <w:rPr>
          <w:rFonts w:hint="cs"/>
          <w:rtl/>
        </w:rPr>
        <w:t>הביקורת הקודמת העלתה כי בשנים 2016 - 2019 חלה ירידה במספר הנשים שקיבלו סיוע בשכר דירה וכן בסך המענקים הכולל ששולם (</w:t>
      </w:r>
      <w:r w:rsidRPr="002F2BC5">
        <w:rPr>
          <w:rFonts w:hint="eastAsia"/>
          <w:rtl/>
        </w:rPr>
        <w:t>ירידה</w:t>
      </w:r>
      <w:r w:rsidRPr="002F2BC5">
        <w:rPr>
          <w:rtl/>
        </w:rPr>
        <w:t xml:space="preserve"> בשיעור של </w:t>
      </w:r>
      <w:r w:rsidRPr="002F2BC5">
        <w:rPr>
          <w:rFonts w:hint="cs"/>
          <w:rtl/>
        </w:rPr>
        <w:t xml:space="preserve">כ-4% ושל </w:t>
      </w:r>
      <w:r w:rsidRPr="002F2BC5">
        <w:rPr>
          <w:rFonts w:hint="eastAsia"/>
          <w:rtl/>
        </w:rPr>
        <w:t>כ</w:t>
      </w:r>
      <w:r w:rsidRPr="002F2BC5">
        <w:rPr>
          <w:rtl/>
        </w:rPr>
        <w:t>-</w:t>
      </w:r>
      <w:r w:rsidRPr="002F2BC5">
        <w:rPr>
          <w:rFonts w:hint="cs"/>
          <w:rtl/>
        </w:rPr>
        <w:t>16%, בהתאמה</w:t>
      </w:r>
      <w:r w:rsidRPr="002F2BC5">
        <w:rPr>
          <w:rtl/>
        </w:rPr>
        <w:t xml:space="preserve">). בנוסף לכך,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סכום</w:t>
      </w:r>
      <w:r w:rsidRPr="002F2BC5">
        <w:rPr>
          <w:rtl/>
        </w:rPr>
        <w:t xml:space="preserve"> </w:t>
      </w:r>
      <w:r w:rsidRPr="002F2BC5">
        <w:rPr>
          <w:rFonts w:hint="eastAsia"/>
          <w:rtl/>
        </w:rPr>
        <w:t>הסיוע</w:t>
      </w:r>
      <w:r w:rsidRPr="002F2BC5">
        <w:rPr>
          <w:rtl/>
        </w:rPr>
        <w:t xml:space="preserve"> </w:t>
      </w:r>
      <w:r w:rsidRPr="002F2BC5">
        <w:rPr>
          <w:rFonts w:hint="eastAsia"/>
          <w:rtl/>
        </w:rPr>
        <w:t>נותר</w:t>
      </w:r>
      <w:r w:rsidRPr="002F2BC5">
        <w:rPr>
          <w:rtl/>
        </w:rPr>
        <w:t xml:space="preserve"> </w:t>
      </w:r>
      <w:r w:rsidRPr="002F2BC5">
        <w:rPr>
          <w:rFonts w:hint="eastAsia"/>
          <w:rtl/>
        </w:rPr>
        <w:t>ללא</w:t>
      </w:r>
      <w:r w:rsidRPr="002F2BC5">
        <w:rPr>
          <w:rtl/>
        </w:rPr>
        <w:t xml:space="preserve"> </w:t>
      </w:r>
      <w:r w:rsidRPr="002F2BC5">
        <w:rPr>
          <w:rFonts w:hint="eastAsia"/>
          <w:rtl/>
        </w:rPr>
        <w:t>שינוי</w:t>
      </w:r>
      <w:r w:rsidRPr="002F2BC5">
        <w:rPr>
          <w:rtl/>
        </w:rPr>
        <w:t xml:space="preserve"> </w:t>
      </w:r>
      <w:r w:rsidRPr="002F2BC5">
        <w:rPr>
          <w:rFonts w:hint="eastAsia"/>
          <w:rtl/>
        </w:rPr>
        <w:t>בשנים</w:t>
      </w:r>
      <w:r w:rsidRPr="002F2BC5">
        <w:rPr>
          <w:rtl/>
        </w:rPr>
        <w:t xml:space="preserve"> </w:t>
      </w:r>
      <w:r w:rsidRPr="002F2BC5">
        <w:rPr>
          <w:rFonts w:hint="eastAsia"/>
          <w:rtl/>
        </w:rPr>
        <w:t>הללו</w:t>
      </w:r>
      <w:r w:rsidRPr="002F2BC5">
        <w:rPr>
          <w:rtl/>
        </w:rPr>
        <w:t xml:space="preserve"> </w:t>
      </w:r>
      <w:r w:rsidRPr="002F2BC5">
        <w:rPr>
          <w:rFonts w:hint="eastAsia"/>
          <w:rtl/>
        </w:rPr>
        <w:t>על</w:t>
      </w:r>
      <w:r w:rsidRPr="002F2BC5">
        <w:rPr>
          <w:rtl/>
        </w:rPr>
        <w:t xml:space="preserve"> </w:t>
      </w:r>
      <w:r w:rsidRPr="002F2BC5">
        <w:rPr>
          <w:rFonts w:hint="eastAsia"/>
          <w:rtl/>
        </w:rPr>
        <w:t>אף</w:t>
      </w:r>
      <w:r w:rsidRPr="002F2BC5">
        <w:rPr>
          <w:rtl/>
        </w:rPr>
        <w:t xml:space="preserve"> </w:t>
      </w:r>
      <w:r w:rsidRPr="002F2BC5">
        <w:rPr>
          <w:rFonts w:hint="eastAsia"/>
          <w:rtl/>
        </w:rPr>
        <w:t>העלייה</w:t>
      </w:r>
      <w:r w:rsidRPr="002F2BC5">
        <w:rPr>
          <w:rtl/>
        </w:rPr>
        <w:t xml:space="preserve"> </w:t>
      </w:r>
      <w:r w:rsidRPr="002F2BC5">
        <w:rPr>
          <w:rFonts w:hint="eastAsia"/>
          <w:rtl/>
        </w:rPr>
        <w:t>המתמדת</w:t>
      </w:r>
      <w:r w:rsidRPr="002F2BC5">
        <w:rPr>
          <w:rtl/>
        </w:rPr>
        <w:t xml:space="preserve"> </w:t>
      </w:r>
      <w:r w:rsidRPr="002F2BC5">
        <w:rPr>
          <w:rFonts w:hint="eastAsia"/>
          <w:rtl/>
        </w:rPr>
        <w:t>בעלויות</w:t>
      </w:r>
      <w:r w:rsidRPr="002F2BC5">
        <w:rPr>
          <w:rtl/>
        </w:rPr>
        <w:t xml:space="preserve"> </w:t>
      </w:r>
      <w:r w:rsidRPr="002F2BC5">
        <w:rPr>
          <w:rFonts w:hint="eastAsia"/>
          <w:rtl/>
        </w:rPr>
        <w:t>השכירות</w:t>
      </w:r>
      <w:r w:rsidRPr="002F2BC5">
        <w:rPr>
          <w:rtl/>
        </w:rPr>
        <w:t xml:space="preserve"> </w:t>
      </w:r>
      <w:r w:rsidRPr="002F2BC5">
        <w:rPr>
          <w:rFonts w:hint="eastAsia"/>
          <w:rtl/>
        </w:rPr>
        <w:t>בשוק</w:t>
      </w:r>
      <w:r w:rsidRPr="002F2BC5">
        <w:rPr>
          <w:rtl/>
        </w:rPr>
        <w:t xml:space="preserve"> </w:t>
      </w:r>
      <w:r w:rsidRPr="002F2BC5">
        <w:rPr>
          <w:rFonts w:hint="eastAsia"/>
          <w:rtl/>
        </w:rPr>
        <w:t>החופשי</w:t>
      </w:r>
      <w:r w:rsidRPr="002F2BC5">
        <w:rPr>
          <w:rtl/>
        </w:rPr>
        <w:t xml:space="preserve">. בביקורת המעקב </w:t>
      </w:r>
      <w:r w:rsidRPr="002F2BC5">
        <w:rPr>
          <w:rFonts w:hint="eastAsia"/>
          <w:rtl/>
        </w:rPr>
        <w:t>הועלה</w:t>
      </w:r>
      <w:r w:rsidRPr="002F2BC5">
        <w:rPr>
          <w:rtl/>
        </w:rPr>
        <w:t xml:space="preserve"> כי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cs"/>
          <w:rtl/>
        </w:rPr>
        <w:t>חלקית</w:t>
      </w:r>
      <w:r w:rsidRPr="002F2BC5">
        <w:rPr>
          <w:rtl/>
        </w:rPr>
        <w:t xml:space="preserve"> וכי </w:t>
      </w:r>
      <w:r w:rsidRPr="002F2BC5">
        <w:rPr>
          <w:rFonts w:hint="eastAsia"/>
          <w:rtl/>
        </w:rPr>
        <w:t>בשנים</w:t>
      </w:r>
      <w:r w:rsidRPr="002F2BC5">
        <w:rPr>
          <w:rtl/>
        </w:rPr>
        <w:t xml:space="preserve"> 2021 - 2024 חלה עלייה עקבית במספר נפגעי האלימות שקיבלו סיוע בשכר דירה (</w:t>
      </w:r>
      <w:r w:rsidRPr="002F2BC5">
        <w:rPr>
          <w:rFonts w:hint="eastAsia"/>
          <w:rtl/>
        </w:rPr>
        <w:t>עלייה</w:t>
      </w:r>
      <w:r w:rsidRPr="002F2BC5">
        <w:rPr>
          <w:rtl/>
        </w:rPr>
        <w:t xml:space="preserve"> של </w:t>
      </w:r>
      <w:r w:rsidR="00D06E6C">
        <w:rPr>
          <w:rtl/>
        </w:rPr>
        <w:br/>
      </w:r>
      <w:r w:rsidRPr="002F2BC5">
        <w:rPr>
          <w:rFonts w:hint="eastAsia"/>
          <w:rtl/>
        </w:rPr>
        <w:t>כ</w:t>
      </w:r>
      <w:r w:rsidRPr="002F2BC5">
        <w:rPr>
          <w:rtl/>
        </w:rPr>
        <w:t>-32%)</w:t>
      </w:r>
      <w:r w:rsidRPr="002F2BC5">
        <w:rPr>
          <w:rFonts w:hint="cs"/>
          <w:rtl/>
        </w:rPr>
        <w:t xml:space="preserve"> וכן</w:t>
      </w:r>
      <w:r w:rsidRPr="002F2BC5">
        <w:rPr>
          <w:rtl/>
        </w:rPr>
        <w:t xml:space="preserve"> </w:t>
      </w:r>
      <w:r w:rsidRPr="002F2BC5">
        <w:rPr>
          <w:rFonts w:hint="eastAsia"/>
          <w:rtl/>
        </w:rPr>
        <w:t>בהיקף</w:t>
      </w:r>
      <w:r w:rsidRPr="002F2BC5">
        <w:rPr>
          <w:rtl/>
        </w:rPr>
        <w:t xml:space="preserve"> </w:t>
      </w:r>
      <w:r w:rsidRPr="002F2BC5">
        <w:rPr>
          <w:rFonts w:hint="eastAsia"/>
          <w:rtl/>
        </w:rPr>
        <w:t>הסיוע</w:t>
      </w:r>
      <w:r w:rsidRPr="002F2BC5">
        <w:rPr>
          <w:rtl/>
        </w:rPr>
        <w:t xml:space="preserve"> </w:t>
      </w:r>
      <w:r w:rsidRPr="002F2BC5">
        <w:rPr>
          <w:rFonts w:hint="cs"/>
          <w:rtl/>
        </w:rPr>
        <w:t xml:space="preserve">הכספי </w:t>
      </w:r>
      <w:r w:rsidRPr="002F2BC5">
        <w:rPr>
          <w:rFonts w:hint="eastAsia"/>
          <w:rtl/>
        </w:rPr>
        <w:t>המצטבר</w:t>
      </w:r>
      <w:r w:rsidRPr="002F2BC5">
        <w:rPr>
          <w:rtl/>
        </w:rPr>
        <w:t xml:space="preserve"> </w:t>
      </w:r>
      <w:r w:rsidRPr="002F2BC5">
        <w:rPr>
          <w:rFonts w:hint="cs"/>
          <w:rtl/>
        </w:rPr>
        <w:t>ששולם בפועל בשנים הללו</w:t>
      </w:r>
      <w:r w:rsidRPr="002F2BC5">
        <w:rPr>
          <w:rtl/>
        </w:rPr>
        <w:t>, בשיעור של כ-</w:t>
      </w:r>
      <w:r w:rsidRPr="002F2BC5">
        <w:rPr>
          <w:rFonts w:hint="cs"/>
          <w:rtl/>
        </w:rPr>
        <w:t>41</w:t>
      </w:r>
      <w:r w:rsidRPr="002F2BC5">
        <w:rPr>
          <w:rtl/>
        </w:rPr>
        <w:t xml:space="preserve">% </w:t>
      </w:r>
      <w:r w:rsidR="00D06E6C">
        <w:rPr>
          <w:rtl/>
        </w:rPr>
        <w:br/>
      </w:r>
      <w:r w:rsidRPr="002F2BC5">
        <w:rPr>
          <w:rtl/>
        </w:rPr>
        <w:lastRenderedPageBreak/>
        <w:t>(מ</w:t>
      </w:r>
      <w:r w:rsidRPr="002F2BC5">
        <w:rPr>
          <w:rFonts w:hint="eastAsia"/>
          <w:rtl/>
        </w:rPr>
        <w:t>כ</w:t>
      </w:r>
      <w:r w:rsidRPr="002F2BC5">
        <w:rPr>
          <w:rtl/>
        </w:rPr>
        <w:t>-</w:t>
      </w:r>
      <w:r w:rsidRPr="002F2BC5">
        <w:rPr>
          <w:rFonts w:hint="cs"/>
          <w:rtl/>
        </w:rPr>
        <w:t xml:space="preserve">16.6 </w:t>
      </w:r>
      <w:r w:rsidRPr="002F2BC5">
        <w:rPr>
          <w:rtl/>
        </w:rPr>
        <w:t>מיליוני ש"ח בשנת 2021 לכ-23.4 מיליוני ש"ח בשנת 2024).</w:t>
      </w:r>
      <w:r w:rsidRPr="002F2BC5">
        <w:rPr>
          <w:rFonts w:hint="cs"/>
          <w:rtl/>
        </w:rPr>
        <w:t xml:space="preserve"> לצד זאת הועלה כי </w:t>
      </w:r>
      <w:r w:rsidRPr="002F2BC5">
        <w:rPr>
          <w:rtl/>
        </w:rPr>
        <w:t xml:space="preserve">גובה סכומי הסיוע נותר ללא שינוי, וזאת אף כי המחירים הממוצעים החודשיים של שכר דירה חופשי (ש"ח) לפי נתוני הלמ"ס </w:t>
      </w:r>
      <w:r w:rsidRPr="002F2BC5">
        <w:rPr>
          <w:rFonts w:hint="cs"/>
          <w:rtl/>
        </w:rPr>
        <w:t>עלו ב</w:t>
      </w:r>
      <w:r w:rsidRPr="002F2BC5">
        <w:rPr>
          <w:rtl/>
        </w:rPr>
        <w:t xml:space="preserve">כ-13% </w:t>
      </w:r>
      <w:r w:rsidRPr="002F2BC5">
        <w:rPr>
          <w:rFonts w:hint="cs"/>
          <w:rtl/>
        </w:rPr>
        <w:t>בשנים 2019 - 2023</w:t>
      </w:r>
      <w:r w:rsidRPr="002F2BC5">
        <w:rPr>
          <w:rtl/>
        </w:rPr>
        <w:t>.</w:t>
      </w:r>
      <w:r w:rsidRPr="002F2BC5">
        <w:rPr>
          <w:rFonts w:hint="cs"/>
          <w:rtl/>
        </w:rPr>
        <w:t xml:space="preserve"> כך, נכון למועד סיום ביקורת המעקב, בדצמבר 2024, שכר הדירה החודשי הממוצע לשנת 2023 היה גבוה פי שלושה מגובה הסיוע הכספי החודשי בשכר דירה לנשים נפגעות אלימות עם ילדים בשנת זכאותן הראשונה (כ-4,477 ש"ח לחודש לעומת 1,370 ש"ח לחודש).</w:t>
      </w:r>
      <w:bookmarkEnd w:id="2079"/>
      <w:bookmarkEnd w:id="2080"/>
      <w:bookmarkEnd w:id="2081"/>
      <w:bookmarkEnd w:id="2082"/>
      <w:bookmarkEnd w:id="2083"/>
      <w:bookmarkEnd w:id="2084"/>
      <w:bookmarkEnd w:id="2085"/>
      <w:bookmarkEnd w:id="2086"/>
    </w:p>
    <w:p w14:paraId="07BC718D" w14:textId="77777777" w:rsidR="00817399" w:rsidRPr="002F2BC5" w:rsidRDefault="00817399" w:rsidP="00817399">
      <w:pPr>
        <w:spacing w:line="269" w:lineRule="auto"/>
        <w:rPr>
          <w:rtl/>
        </w:rPr>
      </w:pPr>
    </w:p>
    <w:p w14:paraId="635CDB07" w14:textId="77777777" w:rsidR="00817399" w:rsidRPr="002F2BC5" w:rsidRDefault="00817399" w:rsidP="00817399">
      <w:pPr>
        <w:pStyle w:val="afffffff9"/>
        <w:spacing w:line="269" w:lineRule="auto"/>
        <w:rPr>
          <w:rtl/>
        </w:rPr>
      </w:pPr>
      <w:bookmarkStart w:id="2087" w:name="_Toc191987164"/>
      <w:bookmarkStart w:id="2088" w:name="_Toc192093189"/>
      <w:bookmarkStart w:id="2089" w:name="_Toc192612897"/>
      <w:bookmarkStart w:id="2090" w:name="_Toc198312344"/>
      <w:bookmarkStart w:id="2091" w:name="_Toc198312828"/>
      <w:bookmarkStart w:id="2092" w:name="_Toc200636986"/>
      <w:bookmarkStart w:id="2093" w:name="_Toc200439984"/>
      <w:bookmarkStart w:id="2094" w:name="_Toc201241089"/>
      <w:r w:rsidRPr="002F2BC5">
        <w:rPr>
          <w:rFonts w:hint="cs"/>
          <w:rtl/>
        </w:rPr>
        <w:t>ביקורת המעקב העלתה עוד כי משרד הרווחה או משרד הבינוי והשיכון לא בחנו את יעילות ומועילות ההסדר, ובתוך כך את היקף מימוש הזכאות בכל אחת מתקופות הזכאות על פי ההבחנה בין נשים עם ילדים לכאלו שאינן עם ילדים. כן לא נבדק שיעורן של כלל הנשים שהיו זכאיות לסיוע בשכר דירה אף אם לא הגישו בקשה לממש את זכאותן לסיוע, בהתחשב בכך שבשנת הזכאות הראשונה אופן מימוש הזכאות פשוט וקל יותר בהשוואה לאופן מימוש הזכאות בשנת הזכאות השנייה ובשנת הזכאות השלישית. לא נעשתה גם מדידה תוצאתית של מידת התרומה של הסיוע בשכר הדירה לשיקומן של הנשים נפגעות האלימות בטווח הקצר והארוך</w:t>
      </w:r>
      <w:r w:rsidRPr="002F2BC5">
        <w:rPr>
          <w:rStyle w:val="af9"/>
          <w:b w:val="0"/>
          <w:bCs w:val="0"/>
          <w:rtl/>
        </w:rPr>
        <w:footnoteReference w:id="412"/>
      </w:r>
      <w:r w:rsidRPr="002F2BC5">
        <w:rPr>
          <w:rFonts w:hint="cs"/>
          <w:rtl/>
        </w:rPr>
        <w:t>. לביצוע מעקב ובקרה בנושאים אלו חשיבות רבה במיוחד, שכן מימוש הזכאות נעשה באמצעות נותני שירותים חיצוניים ולא במישרין באמצעות משרד הבינוי והשיכון</w:t>
      </w:r>
      <w:r w:rsidRPr="002F2BC5">
        <w:rPr>
          <w:rStyle w:val="af9"/>
          <w:b w:val="0"/>
          <w:bCs w:val="0"/>
          <w:rtl/>
        </w:rPr>
        <w:footnoteReference w:id="413"/>
      </w:r>
      <w:r w:rsidRPr="002F2BC5">
        <w:rPr>
          <w:rFonts w:hint="cs"/>
          <w:rtl/>
        </w:rPr>
        <w:t>.</w:t>
      </w:r>
      <w:bookmarkEnd w:id="2087"/>
      <w:bookmarkEnd w:id="2088"/>
      <w:bookmarkEnd w:id="2089"/>
      <w:bookmarkEnd w:id="2090"/>
      <w:bookmarkEnd w:id="2091"/>
      <w:bookmarkEnd w:id="2092"/>
      <w:bookmarkEnd w:id="2093"/>
      <w:bookmarkEnd w:id="2094"/>
    </w:p>
    <w:p w14:paraId="7C4B8D35" w14:textId="77777777" w:rsidR="00817399" w:rsidRPr="002F2BC5" w:rsidRDefault="00817399" w:rsidP="00817399">
      <w:pPr>
        <w:spacing w:line="269" w:lineRule="auto"/>
        <w:rPr>
          <w:rtl/>
        </w:rPr>
      </w:pPr>
    </w:p>
    <w:p w14:paraId="79751925" w14:textId="77777777" w:rsidR="00817399" w:rsidRPr="002F2BC5" w:rsidRDefault="00817399" w:rsidP="00817399">
      <w:pPr>
        <w:spacing w:line="269" w:lineRule="auto"/>
        <w:rPr>
          <w:rtl/>
        </w:rPr>
      </w:pPr>
      <w:r w:rsidRPr="002F2BC5">
        <w:rPr>
          <w:rFonts w:hint="cs"/>
          <w:rtl/>
        </w:rPr>
        <w:t xml:space="preserve">משרד הבינוי והשיכון מסר בתשובתו מאפריל 2025 כי הוא </w:t>
      </w:r>
      <w:r w:rsidRPr="002F2BC5">
        <w:rPr>
          <w:rtl/>
        </w:rPr>
        <w:t>מודע לפער שבין גובה הסיוע לבין מחירי השכירות</w:t>
      </w:r>
      <w:r w:rsidRPr="002F2BC5">
        <w:rPr>
          <w:rFonts w:hint="cs"/>
          <w:rtl/>
        </w:rPr>
        <w:t>, כפי שגם מסר במהלך ביקורת המעקב, וכי אף שהנושא עולה בשנים האחרונות בשיחות בעל פה במהלך דיוני התקציב, הוא אינו מקודם לנוכח היקף התקציב הנדרש ומגבלות תקציב המדינה. לצד זאת הוסיף כי בשנים 2016 ו-2019 הוגדל תקציב התוכנית מתוך תוספת תקציבית שקיבל וייעד לצורך כך וכן באמצעות הסטה של תקציב מתחום פעילות אחר, וכן ציין את הרחבת קבוצות הזכאות לסיוע בשכר דירה בעקבות עבודת מטה שקיים בשיתוף משרד הרווחה. בהתייחס לבחינת יעילות ומועילות ההסדר הוא ציין כי יירתם וישתף פעולה בכל בדיקה וצורך שיועלו מצד משרד הרווחה, כמי שנושא באחריות המקצועית לאוכלוסייה מקבלת הסיוע.</w:t>
      </w:r>
    </w:p>
    <w:p w14:paraId="1C529A0D" w14:textId="77777777" w:rsidR="00817399" w:rsidRPr="002F2BC5" w:rsidRDefault="00817399" w:rsidP="00817399">
      <w:pPr>
        <w:spacing w:line="269" w:lineRule="auto"/>
        <w:rPr>
          <w:rtl/>
        </w:rPr>
      </w:pPr>
    </w:p>
    <w:p w14:paraId="27ECB712" w14:textId="77777777" w:rsidR="00817399" w:rsidRPr="002F2BC5" w:rsidRDefault="00817399" w:rsidP="00817399">
      <w:pPr>
        <w:pStyle w:val="afffffffa"/>
        <w:spacing w:line="269" w:lineRule="auto"/>
        <w:rPr>
          <w:rtl/>
        </w:rPr>
      </w:pPr>
      <w:bookmarkStart w:id="2095" w:name="_Toc191987165"/>
      <w:bookmarkStart w:id="2096" w:name="_Toc192093190"/>
      <w:bookmarkStart w:id="2097" w:name="_Toc192612898"/>
      <w:bookmarkStart w:id="2098" w:name="_Toc198312345"/>
      <w:bookmarkStart w:id="2099" w:name="_Toc198312829"/>
      <w:bookmarkStart w:id="2100" w:name="_Toc200636987"/>
      <w:bookmarkStart w:id="2101" w:name="_Toc200439985"/>
      <w:bookmarkStart w:id="2102" w:name="_Toc201241090"/>
      <w:r w:rsidRPr="002F2BC5">
        <w:rPr>
          <w:rFonts w:hint="cs"/>
          <w:rtl/>
        </w:rPr>
        <w:t>מומלץ למשרד הרווחה, בשיתוף משרד הבינוי והשיכון, להעריך באופן עיתי ושיטתי את יעילות ומועילות ההסדר המקנה זכאות לנשים נפגעות אלימות לסיוע בשכר הדירה, ובתוך כך לבחון את מיצוי הזכאות גם בקרב מי שלא פנתה בבקשה לסיוע כאמור אך עמדה בתנאי הזכאות. כמו כן משרד מבקר המדינה שב וממליץ למשרד הבינוי והשיכון לפעול לעדכון גובה הסיוע בשכר הדירה לנוכח העלייה העקבית במחירי השכירות בשוק החופשי והחשש כי הפער בגובה הסיוע מול מחירי השוק החופשי עלול לסכל את השגת תכליותיו של ההסדר.</w:t>
      </w:r>
      <w:bookmarkEnd w:id="2095"/>
      <w:bookmarkEnd w:id="2096"/>
      <w:bookmarkEnd w:id="2097"/>
      <w:bookmarkEnd w:id="2098"/>
      <w:bookmarkEnd w:id="2099"/>
      <w:bookmarkEnd w:id="2100"/>
      <w:bookmarkEnd w:id="2101"/>
      <w:bookmarkEnd w:id="2102"/>
    </w:p>
    <w:p w14:paraId="3F37F8EB" w14:textId="77777777" w:rsidR="00817399" w:rsidRPr="002F2BC5" w:rsidRDefault="00817399" w:rsidP="00817399">
      <w:pPr>
        <w:spacing w:line="269" w:lineRule="auto"/>
        <w:rPr>
          <w:rtl/>
        </w:rPr>
      </w:pPr>
    </w:p>
    <w:p w14:paraId="61551EDE"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98E2023" w14:textId="77777777" w:rsidR="00817399" w:rsidRPr="002F2BC5" w:rsidRDefault="00817399" w:rsidP="00817399">
      <w:pPr>
        <w:pStyle w:val="afffffff7"/>
        <w:spacing w:before="0" w:line="269" w:lineRule="auto"/>
      </w:pPr>
      <w:bookmarkStart w:id="2103" w:name="_Toc198312346"/>
      <w:bookmarkStart w:id="2104" w:name="_Toc198312830"/>
      <w:bookmarkStart w:id="2105" w:name="_Toc189072288"/>
      <w:r w:rsidRPr="002F2BC5">
        <w:rPr>
          <w:noProof/>
          <w:sz w:val="24"/>
        </w:rPr>
        <w:drawing>
          <wp:inline distT="0" distB="0" distL="0" distR="0" wp14:anchorId="5802541D" wp14:editId="6C61B2ED">
            <wp:extent cx="4324350" cy="933450"/>
            <wp:effectExtent l="0" t="0" r="0" b="0"/>
            <wp:docPr id="8" name="תמונה 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1056"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103"/>
      <w:bookmarkEnd w:id="2104"/>
    </w:p>
    <w:bookmarkEnd w:id="2105"/>
    <w:p w14:paraId="7C73B15B" w14:textId="77777777" w:rsidR="00817399" w:rsidRPr="002F2BC5" w:rsidRDefault="00817399" w:rsidP="00817399">
      <w:pPr>
        <w:spacing w:line="269" w:lineRule="auto"/>
        <w:ind w:left="312"/>
        <w:rPr>
          <w:rtl/>
        </w:rPr>
      </w:pPr>
    </w:p>
    <w:p w14:paraId="7D67FDAB" w14:textId="77777777" w:rsidR="00817399" w:rsidRPr="002F2BC5" w:rsidRDefault="00817399" w:rsidP="00817399">
      <w:pPr>
        <w:bidi w:val="0"/>
        <w:spacing w:line="269" w:lineRule="auto"/>
        <w:rPr>
          <w:b/>
          <w:bCs/>
          <w:u w:val="single"/>
          <w:rtl/>
        </w:rPr>
      </w:pPr>
      <w:bookmarkStart w:id="2106" w:name="_Toc191987166"/>
      <w:r w:rsidRPr="002F2BC5">
        <w:rPr>
          <w:rtl/>
        </w:rPr>
        <w:br w:type="page"/>
      </w:r>
    </w:p>
    <w:p w14:paraId="197B9504" w14:textId="77777777" w:rsidR="00817399" w:rsidRPr="002F2BC5" w:rsidRDefault="00817399" w:rsidP="00817399">
      <w:pPr>
        <w:pStyle w:val="1ff"/>
        <w:bidi/>
      </w:pPr>
      <w:r w:rsidRPr="002F2BC5">
        <w:rPr>
          <w:rFonts w:hint="cs"/>
          <w:rtl/>
        </w:rPr>
        <w:lastRenderedPageBreak/>
        <w:t>הנחה בתשלום הארנונה לנשים יוצאות מקלט</w:t>
      </w:r>
      <w:bookmarkEnd w:id="2106"/>
    </w:p>
    <w:p w14:paraId="351072BA" w14:textId="77777777" w:rsidR="00817399" w:rsidRPr="002F2BC5" w:rsidRDefault="00817399" w:rsidP="00817399">
      <w:pPr>
        <w:spacing w:line="269" w:lineRule="auto"/>
        <w:rPr>
          <w:rtl/>
        </w:rPr>
      </w:pPr>
    </w:p>
    <w:p w14:paraId="530E0CDB" w14:textId="77777777" w:rsidR="00817399" w:rsidRPr="002F2BC5" w:rsidRDefault="00817399" w:rsidP="00817399">
      <w:pPr>
        <w:spacing w:line="269" w:lineRule="auto"/>
        <w:rPr>
          <w:rtl/>
        </w:rPr>
      </w:pPr>
      <w:r w:rsidRPr="002F2BC5">
        <w:rPr>
          <w:rFonts w:hint="cs"/>
          <w:rtl/>
        </w:rPr>
        <w:t xml:space="preserve">נשים יוצאות מקלט שאינן חוזרות להתגורר עם בן הזוג שנהג כלפיהן באלימות עשויות להיות זכאיות, בכפוף לתנאים מסוימים, להנחה בתשלום הארנונה, מתוקף הגדרתן בדין בנסיבות אלו כ"הורה יחיד". ההחלטה על מתן ההנחה נתונה לשיקול דעתה של הרשות המקומית, ובלבד שהאישה </w:t>
      </w:r>
      <w:r w:rsidRPr="002F2BC5">
        <w:rPr>
          <w:rtl/>
        </w:rPr>
        <w:t xml:space="preserve">שהתה במקלט </w:t>
      </w:r>
      <w:r w:rsidRPr="002F2BC5">
        <w:rPr>
          <w:rFonts w:hint="cs"/>
          <w:rtl/>
        </w:rPr>
        <w:t xml:space="preserve">לפחות שלושה חודשים, </w:t>
      </w:r>
      <w:r w:rsidRPr="002F2BC5">
        <w:rPr>
          <w:rtl/>
        </w:rPr>
        <w:t xml:space="preserve">פתחה על פי דין </w:t>
      </w:r>
      <w:r w:rsidRPr="002F2BC5">
        <w:rPr>
          <w:rFonts w:hint="cs"/>
          <w:rtl/>
        </w:rPr>
        <w:t>בהליך של שחרור</w:t>
      </w:r>
      <w:r w:rsidRPr="002F2BC5">
        <w:rPr>
          <w:rtl/>
        </w:rPr>
        <w:t xml:space="preserve"> מקשר הנישואין</w:t>
      </w:r>
      <w:r w:rsidRPr="002F2BC5">
        <w:rPr>
          <w:rFonts w:hint="cs"/>
          <w:rtl/>
        </w:rPr>
        <w:t xml:space="preserve"> ופעלה במסגרת הליך זה במשך שישה חודשים לפחות,</w:t>
      </w:r>
      <w:r w:rsidRPr="002F2BC5">
        <w:rPr>
          <w:rtl/>
        </w:rPr>
        <w:t xml:space="preserve"> או ש</w:t>
      </w:r>
      <w:r w:rsidRPr="002F2BC5">
        <w:rPr>
          <w:rFonts w:hint="cs"/>
          <w:rtl/>
        </w:rPr>
        <w:t>לא פתחה הליך כאמור ו</w:t>
      </w:r>
      <w:r w:rsidRPr="002F2BC5">
        <w:rPr>
          <w:rtl/>
        </w:rPr>
        <w:t>המחלקה לשירותים חברתיים אישרה כי יש ב</w:t>
      </w:r>
      <w:r w:rsidRPr="002F2BC5">
        <w:rPr>
          <w:rFonts w:hint="cs"/>
          <w:rtl/>
        </w:rPr>
        <w:t>פתיחת הליך כאמור</w:t>
      </w:r>
      <w:r w:rsidRPr="002F2BC5">
        <w:rPr>
          <w:rtl/>
        </w:rPr>
        <w:t xml:space="preserve"> כדי לסכן את חייה או את חיי ילד</w:t>
      </w:r>
      <w:r w:rsidRPr="002F2BC5">
        <w:rPr>
          <w:rFonts w:hint="cs"/>
          <w:rtl/>
        </w:rPr>
        <w:t>י</w:t>
      </w:r>
      <w:r w:rsidRPr="002F2BC5">
        <w:rPr>
          <w:rtl/>
        </w:rPr>
        <w:t>ה</w:t>
      </w:r>
      <w:r w:rsidRPr="002F2BC5">
        <w:rPr>
          <w:rStyle w:val="af9"/>
          <w:rtl/>
        </w:rPr>
        <w:footnoteReference w:id="414"/>
      </w:r>
      <w:r w:rsidRPr="002F2BC5">
        <w:rPr>
          <w:rFonts w:hint="cs"/>
          <w:rtl/>
        </w:rPr>
        <w:t xml:space="preserve">. </w:t>
      </w:r>
    </w:p>
    <w:p w14:paraId="5D100BBE" w14:textId="77777777" w:rsidR="00817399" w:rsidRPr="002F2BC5" w:rsidRDefault="00817399" w:rsidP="00817399">
      <w:pPr>
        <w:spacing w:line="269" w:lineRule="auto"/>
        <w:rPr>
          <w:rtl/>
        </w:rPr>
      </w:pPr>
    </w:p>
    <w:p w14:paraId="4B9F5E3A" w14:textId="77777777" w:rsidR="00817399" w:rsidRPr="002F2BC5" w:rsidRDefault="00817399" w:rsidP="00817399">
      <w:pPr>
        <w:spacing w:line="269" w:lineRule="auto"/>
        <w:rPr>
          <w:rtl/>
        </w:rPr>
      </w:pPr>
      <w:r w:rsidRPr="002F2BC5">
        <w:rPr>
          <w:rFonts w:hint="eastAsia"/>
          <w:rtl/>
        </w:rPr>
        <w:t>עם</w:t>
      </w:r>
      <w:r w:rsidRPr="002F2BC5">
        <w:rPr>
          <w:rtl/>
        </w:rPr>
        <w:t xml:space="preserve"> זאת, </w:t>
      </w:r>
      <w:r w:rsidRPr="002F2BC5">
        <w:rPr>
          <w:rFonts w:hint="eastAsia"/>
          <w:rtl/>
        </w:rPr>
        <w:t>יש</w:t>
      </w:r>
      <w:r w:rsidRPr="002F2BC5">
        <w:rPr>
          <w:rtl/>
        </w:rPr>
        <w:t xml:space="preserve"> </w:t>
      </w:r>
      <w:r w:rsidRPr="002F2BC5">
        <w:rPr>
          <w:rFonts w:hint="eastAsia"/>
          <w:rtl/>
        </w:rPr>
        <w:t>להדגיש</w:t>
      </w:r>
      <w:r w:rsidRPr="002F2BC5">
        <w:rPr>
          <w:rtl/>
        </w:rPr>
        <w:t xml:space="preserve"> </w:t>
      </w:r>
      <w:r w:rsidRPr="002F2BC5">
        <w:rPr>
          <w:rFonts w:hint="eastAsia"/>
          <w:rtl/>
        </w:rPr>
        <w:t>כי</w:t>
      </w:r>
      <w:r w:rsidRPr="002F2BC5">
        <w:rPr>
          <w:rtl/>
        </w:rPr>
        <w:t xml:space="preserve"> </w:t>
      </w:r>
      <w:r w:rsidRPr="002F2BC5">
        <w:rPr>
          <w:rFonts w:hint="eastAsia"/>
          <w:rtl/>
        </w:rPr>
        <w:t>עצם</w:t>
      </w:r>
      <w:r w:rsidRPr="002F2BC5">
        <w:rPr>
          <w:rtl/>
        </w:rPr>
        <w:t xml:space="preserve"> </w:t>
      </w:r>
      <w:r w:rsidRPr="002F2BC5">
        <w:rPr>
          <w:rFonts w:hint="eastAsia"/>
          <w:rtl/>
        </w:rPr>
        <w:t>ההחלטה</w:t>
      </w:r>
      <w:r w:rsidRPr="002F2BC5">
        <w:rPr>
          <w:rtl/>
        </w:rPr>
        <w:t xml:space="preserve"> </w:t>
      </w:r>
      <w:r w:rsidRPr="002F2BC5">
        <w:rPr>
          <w:rFonts w:hint="eastAsia"/>
          <w:rtl/>
        </w:rPr>
        <w:t>על</w:t>
      </w:r>
      <w:r w:rsidRPr="002F2BC5">
        <w:rPr>
          <w:rtl/>
        </w:rPr>
        <w:t xml:space="preserve"> </w:t>
      </w:r>
      <w:r w:rsidRPr="002F2BC5">
        <w:rPr>
          <w:rFonts w:hint="eastAsia"/>
          <w:rtl/>
        </w:rPr>
        <w:t>מתן</w:t>
      </w:r>
      <w:r w:rsidRPr="002F2BC5">
        <w:rPr>
          <w:rtl/>
        </w:rPr>
        <w:t xml:space="preserve"> </w:t>
      </w:r>
      <w:r w:rsidRPr="002F2BC5">
        <w:rPr>
          <w:rFonts w:hint="eastAsia"/>
          <w:rtl/>
        </w:rPr>
        <w:t>הנחה</w:t>
      </w:r>
      <w:r w:rsidRPr="002F2BC5">
        <w:rPr>
          <w:rtl/>
        </w:rPr>
        <w:t xml:space="preserve"> אינה מבטיחה את מימושה בפועל. </w:t>
      </w:r>
      <w:r w:rsidRPr="002F2BC5">
        <w:rPr>
          <w:rFonts w:hint="eastAsia"/>
          <w:rtl/>
        </w:rPr>
        <w:t>משכך</w:t>
      </w:r>
      <w:r w:rsidRPr="002F2BC5">
        <w:rPr>
          <w:rtl/>
        </w:rPr>
        <w:t xml:space="preserve"> ישנה חשיבות רבה </w:t>
      </w:r>
      <w:r w:rsidRPr="002F2BC5">
        <w:rPr>
          <w:rFonts w:hint="eastAsia"/>
          <w:rtl/>
        </w:rPr>
        <w:t>בין</w:t>
      </w:r>
      <w:r w:rsidRPr="002F2BC5">
        <w:rPr>
          <w:rtl/>
        </w:rPr>
        <w:t xml:space="preserve"> השאר לקיום </w:t>
      </w:r>
      <w:r w:rsidRPr="002F2BC5">
        <w:rPr>
          <w:rFonts w:hint="eastAsia"/>
          <w:rtl/>
        </w:rPr>
        <w:t>מעקב</w:t>
      </w:r>
      <w:r w:rsidRPr="002F2BC5">
        <w:rPr>
          <w:rtl/>
        </w:rPr>
        <w:t xml:space="preserve"> </w:t>
      </w:r>
      <w:r w:rsidRPr="002F2BC5">
        <w:rPr>
          <w:rFonts w:hint="eastAsia"/>
          <w:rtl/>
        </w:rPr>
        <w:t>סדור</w:t>
      </w:r>
      <w:r w:rsidRPr="002F2BC5">
        <w:rPr>
          <w:rtl/>
        </w:rPr>
        <w:t xml:space="preserve"> </w:t>
      </w:r>
      <w:r w:rsidRPr="002F2BC5">
        <w:rPr>
          <w:rFonts w:hint="eastAsia"/>
          <w:rtl/>
        </w:rPr>
        <w:t>אחר</w:t>
      </w:r>
      <w:r w:rsidRPr="002F2BC5">
        <w:rPr>
          <w:rtl/>
        </w:rPr>
        <w:t xml:space="preserve"> </w:t>
      </w:r>
      <w:r w:rsidRPr="002F2BC5">
        <w:rPr>
          <w:rFonts w:hint="eastAsia"/>
          <w:rtl/>
        </w:rPr>
        <w:t>מימוש</w:t>
      </w:r>
      <w:r w:rsidRPr="002F2BC5">
        <w:rPr>
          <w:rtl/>
        </w:rPr>
        <w:t xml:space="preserve"> </w:t>
      </w:r>
      <w:r w:rsidRPr="002F2BC5">
        <w:rPr>
          <w:rFonts w:hint="eastAsia"/>
          <w:rtl/>
        </w:rPr>
        <w:t>הזכאות</w:t>
      </w:r>
      <w:r w:rsidRPr="002F2BC5">
        <w:rPr>
          <w:rtl/>
        </w:rPr>
        <w:t xml:space="preserve"> להנחה, על מנת </w:t>
      </w:r>
      <w:r w:rsidRPr="002F2BC5">
        <w:rPr>
          <w:rFonts w:hint="eastAsia"/>
          <w:rtl/>
        </w:rPr>
        <w:t>לזהות</w:t>
      </w:r>
      <w:r w:rsidRPr="002F2BC5">
        <w:rPr>
          <w:rtl/>
        </w:rPr>
        <w:t xml:space="preserve"> נשים </w:t>
      </w:r>
      <w:r w:rsidRPr="002F2BC5">
        <w:rPr>
          <w:rFonts w:hint="eastAsia"/>
          <w:rtl/>
        </w:rPr>
        <w:t>שאינן</w:t>
      </w:r>
      <w:r w:rsidRPr="002F2BC5">
        <w:rPr>
          <w:rtl/>
        </w:rPr>
        <w:t xml:space="preserve"> מממשות את זכאותן, בין משום שאינן מודעות כלל לעצם הזכאות ולכן אינן פועלות למימושה, </w:t>
      </w:r>
      <w:r w:rsidRPr="002F2BC5">
        <w:rPr>
          <w:rFonts w:hint="eastAsia"/>
          <w:rtl/>
        </w:rPr>
        <w:t>ובין</w:t>
      </w:r>
      <w:r w:rsidRPr="002F2BC5">
        <w:rPr>
          <w:rtl/>
        </w:rPr>
        <w:t xml:space="preserve"> משום שעומד</w:t>
      </w:r>
      <w:r w:rsidRPr="002F2BC5">
        <w:rPr>
          <w:rFonts w:hint="eastAsia"/>
          <w:rtl/>
        </w:rPr>
        <w:t>ים</w:t>
      </w:r>
      <w:r w:rsidRPr="002F2BC5">
        <w:rPr>
          <w:rtl/>
        </w:rPr>
        <w:t xml:space="preserve"> בפניהן חסמים אחרים שאינם מאפשרים להן לממש את זכאותן. ניהול מעקב סדור אחר מימוש הזכאות עשוי לסייע גם בזיהוי חסמים מערכתיים </w:t>
      </w:r>
      <w:r w:rsidRPr="002F2BC5">
        <w:rPr>
          <w:rFonts w:hint="eastAsia"/>
          <w:rtl/>
        </w:rPr>
        <w:t>במימוש</w:t>
      </w:r>
      <w:r w:rsidRPr="002F2BC5">
        <w:rPr>
          <w:rtl/>
        </w:rPr>
        <w:t xml:space="preserve"> הזכאות להנחה </w:t>
      </w:r>
      <w:r w:rsidRPr="002F2BC5">
        <w:rPr>
          <w:rFonts w:hint="eastAsia"/>
          <w:rtl/>
        </w:rPr>
        <w:t>או</w:t>
      </w:r>
      <w:r w:rsidRPr="002F2BC5">
        <w:rPr>
          <w:rtl/>
        </w:rPr>
        <w:t xml:space="preserve"> </w:t>
      </w:r>
      <w:r w:rsidRPr="002F2BC5">
        <w:rPr>
          <w:rFonts w:hint="eastAsia"/>
          <w:rtl/>
        </w:rPr>
        <w:t>בזיהוי</w:t>
      </w:r>
      <w:r w:rsidRPr="002F2BC5">
        <w:rPr>
          <w:rtl/>
        </w:rPr>
        <w:t xml:space="preserve"> </w:t>
      </w:r>
      <w:r w:rsidRPr="002F2BC5">
        <w:rPr>
          <w:rFonts w:hint="eastAsia"/>
          <w:rtl/>
        </w:rPr>
        <w:t>חסמים</w:t>
      </w:r>
      <w:r w:rsidRPr="002F2BC5">
        <w:rPr>
          <w:rtl/>
        </w:rPr>
        <w:t xml:space="preserve"> </w:t>
      </w:r>
      <w:r w:rsidRPr="002F2BC5">
        <w:rPr>
          <w:rFonts w:hint="eastAsia"/>
          <w:rtl/>
        </w:rPr>
        <w:t>המשותפים</w:t>
      </w:r>
      <w:r w:rsidRPr="002F2BC5">
        <w:rPr>
          <w:rtl/>
        </w:rPr>
        <w:t xml:space="preserve"> </w:t>
      </w:r>
      <w:r w:rsidRPr="002F2BC5">
        <w:rPr>
          <w:rFonts w:hint="eastAsia"/>
          <w:rtl/>
        </w:rPr>
        <w:t>לרשויות</w:t>
      </w:r>
      <w:r w:rsidRPr="002F2BC5">
        <w:rPr>
          <w:rtl/>
        </w:rPr>
        <w:t xml:space="preserve"> </w:t>
      </w:r>
      <w:r w:rsidRPr="002F2BC5">
        <w:rPr>
          <w:rFonts w:hint="eastAsia"/>
          <w:rtl/>
        </w:rPr>
        <w:t>מקומיות</w:t>
      </w:r>
      <w:r w:rsidRPr="002F2BC5">
        <w:rPr>
          <w:rtl/>
        </w:rPr>
        <w:t xml:space="preserve"> </w:t>
      </w:r>
      <w:r w:rsidRPr="002F2BC5">
        <w:rPr>
          <w:rFonts w:hint="eastAsia"/>
          <w:rtl/>
        </w:rPr>
        <w:t>בעלות</w:t>
      </w:r>
      <w:r w:rsidRPr="002F2BC5">
        <w:rPr>
          <w:rtl/>
        </w:rPr>
        <w:t xml:space="preserve"> </w:t>
      </w:r>
      <w:r w:rsidRPr="002F2BC5">
        <w:rPr>
          <w:rFonts w:hint="eastAsia"/>
          <w:rtl/>
        </w:rPr>
        <w:t>מאפיינים</w:t>
      </w:r>
      <w:r w:rsidRPr="002F2BC5">
        <w:rPr>
          <w:rtl/>
        </w:rPr>
        <w:t xml:space="preserve"> </w:t>
      </w:r>
      <w:r w:rsidRPr="002F2BC5">
        <w:rPr>
          <w:rFonts w:hint="eastAsia"/>
          <w:rtl/>
        </w:rPr>
        <w:t>מסוימים</w:t>
      </w:r>
      <w:r w:rsidRPr="002F2BC5">
        <w:rPr>
          <w:rtl/>
        </w:rPr>
        <w:t>.</w:t>
      </w:r>
    </w:p>
    <w:p w14:paraId="3BEEA79E" w14:textId="77777777" w:rsidR="00817399" w:rsidRPr="002F2BC5" w:rsidRDefault="00817399" w:rsidP="00817399">
      <w:pPr>
        <w:spacing w:line="269" w:lineRule="auto"/>
        <w:rPr>
          <w:rtl/>
        </w:rPr>
      </w:pPr>
    </w:p>
    <w:p w14:paraId="4DA13C5A" w14:textId="77777777" w:rsidR="00817399" w:rsidRPr="002F2BC5" w:rsidRDefault="00817399" w:rsidP="00817399">
      <w:pPr>
        <w:spacing w:line="269" w:lineRule="auto"/>
        <w:rPr>
          <w:rtl/>
        </w:rPr>
      </w:pPr>
      <w:bookmarkStart w:id="2108" w:name="_Toc191987167"/>
      <w:r w:rsidRPr="002F2BC5">
        <w:rPr>
          <w:rStyle w:val="70"/>
          <w:rFonts w:hint="cs"/>
          <w:rtl/>
        </w:rPr>
        <w:t>הביקורת הקודמת:</w:t>
      </w:r>
      <w:bookmarkEnd w:id="2108"/>
      <w:r w:rsidRPr="002F2BC5">
        <w:rPr>
          <w:rStyle w:val="70"/>
          <w:rFonts w:hint="cs"/>
          <w:rtl/>
        </w:rPr>
        <w:t xml:space="preserve"> </w:t>
      </w:r>
      <w:r w:rsidRPr="002F2BC5">
        <w:rPr>
          <w:rFonts w:hint="cs"/>
          <w:rtl/>
        </w:rPr>
        <w:t xml:space="preserve">נמצא כי רק ארבע מכלל הרשויות המקומיות שנבדקו - עיריות </w:t>
      </w:r>
      <w:r w:rsidRPr="002F2BC5">
        <w:rPr>
          <w:rFonts w:hint="cs"/>
          <w:b/>
          <w:bCs/>
          <w:rtl/>
        </w:rPr>
        <w:t>בית שמש</w:t>
      </w:r>
      <w:r w:rsidRPr="002F2BC5">
        <w:rPr>
          <w:rFonts w:hint="cs"/>
          <w:rtl/>
        </w:rPr>
        <w:t xml:space="preserve">, </w:t>
      </w:r>
      <w:r w:rsidRPr="002F2BC5">
        <w:rPr>
          <w:rFonts w:hint="cs"/>
          <w:b/>
          <w:bCs/>
          <w:rtl/>
        </w:rPr>
        <w:t>חדרה</w:t>
      </w:r>
      <w:r w:rsidRPr="002F2BC5">
        <w:rPr>
          <w:rFonts w:hint="cs"/>
          <w:rtl/>
        </w:rPr>
        <w:t xml:space="preserve"> ו</w:t>
      </w:r>
      <w:r w:rsidRPr="002F2BC5">
        <w:rPr>
          <w:rFonts w:hint="cs"/>
          <w:b/>
          <w:bCs/>
          <w:rtl/>
        </w:rPr>
        <w:t>ראש העין</w:t>
      </w:r>
      <w:r w:rsidRPr="002F2BC5">
        <w:rPr>
          <w:rFonts w:hint="cs"/>
          <w:rtl/>
        </w:rPr>
        <w:t xml:space="preserve"> והמועצה המקומית </w:t>
      </w:r>
      <w:r w:rsidRPr="002F2BC5">
        <w:rPr>
          <w:rFonts w:hint="cs"/>
          <w:b/>
          <w:bCs/>
          <w:rtl/>
        </w:rPr>
        <w:t>קדימה-צורן</w:t>
      </w:r>
      <w:r w:rsidRPr="002F2BC5">
        <w:rPr>
          <w:rFonts w:hint="cs"/>
          <w:rtl/>
        </w:rPr>
        <w:t xml:space="preserve"> - מסרו שהן מעניקות הנחה בארנונה בהתאם להסדר האמור. עם זאת, אף אחת מהרשויות שנבדקו לא פרסמה באתר האינטרנט שלה את דבר האפשרות לקבל הנחה בארנונה. </w:t>
      </w:r>
    </w:p>
    <w:p w14:paraId="3D952E60" w14:textId="77777777" w:rsidR="00817399" w:rsidRPr="002F2BC5" w:rsidRDefault="00817399" w:rsidP="00817399">
      <w:pPr>
        <w:spacing w:line="269" w:lineRule="auto"/>
        <w:rPr>
          <w:rtl/>
        </w:rPr>
      </w:pPr>
    </w:p>
    <w:p w14:paraId="1F20DF03" w14:textId="77777777" w:rsidR="00817399" w:rsidRPr="002F2BC5" w:rsidRDefault="00817399" w:rsidP="00817399">
      <w:pPr>
        <w:spacing w:line="269" w:lineRule="auto"/>
        <w:rPr>
          <w:rtl/>
        </w:rPr>
      </w:pPr>
      <w:r w:rsidRPr="002F2BC5">
        <w:rPr>
          <w:rFonts w:hint="cs"/>
          <w:rtl/>
        </w:rPr>
        <w:t>משרד מבקר המדינה המליץ בביקורת הקודמת כי כלל הרשויות המקומיות יבחנו את האפשרות להעניק לנשים יוצאות מקלט הנחה בארנונה, בכפוף לזכאותן בחוק, ויפרסמו מידע על זכאות זו בדומה לפרסום בדבר יתר ההנחות בארנונה שהן מעניקות. נוסף על כך משרד מבקר המדינה המליץ למשרד הפנים לעקוב אחר מתן ההנחה על ידי כלל הרשויות המקומיות בנושא זה.</w:t>
      </w:r>
    </w:p>
    <w:p w14:paraId="4B182A2A" w14:textId="77777777" w:rsidR="00817399" w:rsidRPr="002F2BC5" w:rsidRDefault="00817399" w:rsidP="00817399">
      <w:pPr>
        <w:spacing w:line="269" w:lineRule="auto"/>
        <w:rPr>
          <w:rtl/>
        </w:rPr>
      </w:pPr>
    </w:p>
    <w:p w14:paraId="7916704F"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בני</w:t>
      </w:r>
      <w:r w:rsidRPr="002F2BC5">
        <w:rPr>
          <w:b/>
          <w:bCs/>
          <w:rtl/>
        </w:rPr>
        <w:t xml:space="preserve"> ברק</w:t>
      </w:r>
      <w:r w:rsidRPr="002F2BC5">
        <w:rPr>
          <w:rtl/>
        </w:rPr>
        <w:t xml:space="preserve"> </w:t>
      </w:r>
      <w:r w:rsidRPr="002F2BC5">
        <w:rPr>
          <w:rFonts w:hint="cs"/>
          <w:rtl/>
        </w:rPr>
        <w:t>מסרה בתשובתה לביקורת הקודמת כי בוועדת ההנחות הרשותית נוכחת גם נציגת המחלקה לשירותים חברתיים, ואפשר להפנות אליה דוח סוציאלי בנסיבות של משפחות הסובלות מאלימות ומצבן מצדיק הנחה. משרד הפנים מסר כי הרשויות המקומיות לרוב מפרסמות את צו המיסים שלהם ובו מפורסמת הזכאות להנחה, אך הוא לא מנהל מעקב</w:t>
      </w:r>
      <w:r w:rsidRPr="002F2BC5">
        <w:rPr>
          <w:rtl/>
        </w:rPr>
        <w:t xml:space="preserve"> אחר </w:t>
      </w:r>
      <w:r w:rsidRPr="002F2BC5">
        <w:rPr>
          <w:rFonts w:hint="cs"/>
          <w:rtl/>
        </w:rPr>
        <w:t>הפרסום בנושא זה.</w:t>
      </w:r>
    </w:p>
    <w:p w14:paraId="6CDF8BD8" w14:textId="77777777" w:rsidR="00817399" w:rsidRPr="002F2BC5" w:rsidRDefault="00817399" w:rsidP="00817399">
      <w:pPr>
        <w:spacing w:line="269" w:lineRule="auto"/>
        <w:rPr>
          <w:rtl/>
        </w:rPr>
      </w:pPr>
    </w:p>
    <w:p w14:paraId="5704D521" w14:textId="77777777" w:rsidR="00817399" w:rsidRPr="002F2BC5" w:rsidRDefault="00817399" w:rsidP="00817399">
      <w:pPr>
        <w:spacing w:line="269" w:lineRule="auto"/>
        <w:rPr>
          <w:rtl/>
        </w:rPr>
      </w:pPr>
      <w:bookmarkStart w:id="2109" w:name="_Toc191987168"/>
      <w:r w:rsidRPr="002F2BC5">
        <w:rPr>
          <w:rStyle w:val="70"/>
          <w:rFonts w:hint="eastAsia"/>
          <w:rtl/>
        </w:rPr>
        <w:t>ביקורת</w:t>
      </w:r>
      <w:r w:rsidRPr="002F2BC5">
        <w:rPr>
          <w:rStyle w:val="70"/>
          <w:rtl/>
        </w:rPr>
        <w:t xml:space="preserve"> </w:t>
      </w:r>
      <w:r w:rsidRPr="002F2BC5">
        <w:rPr>
          <w:rStyle w:val="70"/>
          <w:rFonts w:hint="eastAsia"/>
          <w:rtl/>
        </w:rPr>
        <w:t>המעקב</w:t>
      </w:r>
      <w:r w:rsidRPr="002F2BC5">
        <w:rPr>
          <w:rStyle w:val="70"/>
          <w:rtl/>
        </w:rPr>
        <w:t xml:space="preserve">: </w:t>
      </w:r>
      <w:r w:rsidRPr="002F2BC5">
        <w:rPr>
          <w:rFonts w:hint="eastAsia"/>
          <w:b/>
          <w:rtl/>
        </w:rPr>
        <w:t>נמצא</w:t>
      </w:r>
      <w:r w:rsidRPr="002F2BC5">
        <w:rPr>
          <w:b/>
          <w:rtl/>
        </w:rPr>
        <w:t xml:space="preserve"> </w:t>
      </w:r>
      <w:r w:rsidRPr="002F2BC5">
        <w:rPr>
          <w:rFonts w:hint="eastAsia"/>
          <w:b/>
          <w:rtl/>
        </w:rPr>
        <w:t>כי</w:t>
      </w:r>
      <w:r w:rsidRPr="002F2BC5">
        <w:rPr>
          <w:rStyle w:val="70"/>
          <w:rtl/>
        </w:rPr>
        <w:t xml:space="preserve"> </w:t>
      </w:r>
      <w:r w:rsidRPr="002F2BC5">
        <w:rPr>
          <w:rFonts w:hint="eastAsia"/>
          <w:rtl/>
        </w:rPr>
        <w:t>לפי</w:t>
      </w:r>
      <w:r w:rsidRPr="002F2BC5">
        <w:rPr>
          <w:rtl/>
        </w:rPr>
        <w:t xml:space="preserve"> התשובות על השאלונים </w:t>
      </w:r>
      <w:r w:rsidRPr="002F2BC5">
        <w:rPr>
          <w:rFonts w:hint="eastAsia"/>
          <w:rtl/>
        </w:rPr>
        <w:t>וצווי</w:t>
      </w:r>
      <w:r w:rsidRPr="002F2BC5">
        <w:rPr>
          <w:rtl/>
        </w:rPr>
        <w:t xml:space="preserve"> הארנונה שפרסמו </w:t>
      </w:r>
      <w:r w:rsidRPr="002F2BC5">
        <w:rPr>
          <w:rFonts w:hint="eastAsia"/>
          <w:rtl/>
        </w:rPr>
        <w:t>הרשויות</w:t>
      </w:r>
      <w:r w:rsidRPr="002F2BC5">
        <w:rPr>
          <w:rtl/>
        </w:rPr>
        <w:t xml:space="preserve"> </w:t>
      </w:r>
      <w:r w:rsidRPr="002F2BC5">
        <w:rPr>
          <w:rFonts w:hint="eastAsia"/>
          <w:rtl/>
        </w:rPr>
        <w:t>המקומיות</w:t>
      </w:r>
      <w:r w:rsidRPr="002F2BC5">
        <w:rPr>
          <w:rtl/>
        </w:rPr>
        <w:t xml:space="preserve"> </w:t>
      </w:r>
      <w:r w:rsidRPr="002F2BC5">
        <w:rPr>
          <w:rFonts w:hint="eastAsia"/>
          <w:rtl/>
        </w:rPr>
        <w:t>שנבדקו</w:t>
      </w:r>
      <w:r w:rsidRPr="002F2BC5">
        <w:rPr>
          <w:rtl/>
        </w:rPr>
        <w:t xml:space="preserve"> לשנת 2024, כולן </w:t>
      </w:r>
      <w:r w:rsidRPr="002F2BC5">
        <w:rPr>
          <w:rFonts w:hint="eastAsia"/>
          <w:rtl/>
        </w:rPr>
        <w:t>מעניקות</w:t>
      </w:r>
      <w:r w:rsidRPr="002F2BC5">
        <w:rPr>
          <w:rtl/>
        </w:rPr>
        <w:t xml:space="preserve"> </w:t>
      </w:r>
      <w:r w:rsidRPr="002F2BC5">
        <w:rPr>
          <w:rFonts w:hint="eastAsia"/>
          <w:rtl/>
        </w:rPr>
        <w:t>הנחה</w:t>
      </w:r>
      <w:r w:rsidRPr="002F2BC5">
        <w:rPr>
          <w:rtl/>
        </w:rPr>
        <w:t xml:space="preserve"> בארנונה </w:t>
      </w:r>
      <w:r w:rsidRPr="002F2BC5">
        <w:rPr>
          <w:rFonts w:hint="eastAsia"/>
          <w:rtl/>
        </w:rPr>
        <w:t>לנשים</w:t>
      </w:r>
      <w:r w:rsidRPr="002F2BC5">
        <w:rPr>
          <w:rtl/>
        </w:rPr>
        <w:t xml:space="preserve"> </w:t>
      </w:r>
      <w:r w:rsidRPr="002F2BC5">
        <w:rPr>
          <w:rFonts w:hint="eastAsia"/>
          <w:rtl/>
        </w:rPr>
        <w:t>יוצאות</w:t>
      </w:r>
      <w:r w:rsidRPr="002F2BC5">
        <w:rPr>
          <w:rtl/>
        </w:rPr>
        <w:t xml:space="preserve"> </w:t>
      </w:r>
      <w:r w:rsidRPr="002F2BC5">
        <w:rPr>
          <w:rFonts w:hint="eastAsia"/>
          <w:rtl/>
        </w:rPr>
        <w:t>מקלט</w:t>
      </w:r>
      <w:r w:rsidRPr="002F2BC5">
        <w:rPr>
          <w:rStyle w:val="af9"/>
          <w:rtl/>
        </w:rPr>
        <w:footnoteReference w:id="415"/>
      </w:r>
      <w:r w:rsidRPr="002F2BC5">
        <w:rPr>
          <w:rtl/>
        </w:rPr>
        <w:t xml:space="preserve">. </w:t>
      </w:r>
      <w:r w:rsidRPr="002F2BC5">
        <w:rPr>
          <w:rFonts w:hint="eastAsia"/>
          <w:rtl/>
        </w:rPr>
        <w:t>לצד</w:t>
      </w:r>
      <w:r w:rsidRPr="002F2BC5">
        <w:rPr>
          <w:rtl/>
        </w:rPr>
        <w:t xml:space="preserve"> </w:t>
      </w:r>
      <w:r w:rsidRPr="002F2BC5">
        <w:rPr>
          <w:rFonts w:hint="eastAsia"/>
          <w:rtl/>
        </w:rPr>
        <w:t>זאת</w:t>
      </w:r>
      <w:r w:rsidRPr="002F2BC5">
        <w:rPr>
          <w:rtl/>
        </w:rPr>
        <w:t>,</w:t>
      </w:r>
      <w:bookmarkEnd w:id="2109"/>
      <w:r w:rsidRPr="002F2BC5">
        <w:rPr>
          <w:rtl/>
        </w:rPr>
        <w:t xml:space="preserve"> </w:t>
      </w:r>
      <w:r w:rsidRPr="002F2BC5">
        <w:rPr>
          <w:rFonts w:hint="cs"/>
          <w:rtl/>
        </w:rPr>
        <w:t>משרד מבקר המדינה בדק במסגרת ביקורת המעקב באוגוסט 2024 את אתרי המרשתת של הרשויות המקומיות שנבדקו ובחן אם הן מפרסמות בהם את דבר הזכאות של נשים יוצאות מקלט להנחה בתשלום הארנונה.</w:t>
      </w:r>
    </w:p>
    <w:p w14:paraId="6F712FF9" w14:textId="77777777" w:rsidR="00817399" w:rsidRPr="002F2BC5" w:rsidRDefault="00817399" w:rsidP="00817399">
      <w:pPr>
        <w:spacing w:line="269" w:lineRule="auto"/>
        <w:rPr>
          <w:rtl/>
        </w:rPr>
      </w:pPr>
    </w:p>
    <w:p w14:paraId="644A4D41" w14:textId="77777777" w:rsidR="00817399" w:rsidRPr="002F2BC5" w:rsidRDefault="00817399" w:rsidP="00817399">
      <w:pPr>
        <w:spacing w:line="269" w:lineRule="auto"/>
        <w:rPr>
          <w:b/>
          <w:bCs/>
          <w:rtl/>
        </w:rPr>
      </w:pPr>
      <w:r w:rsidRPr="002F2BC5">
        <w:rPr>
          <w:rFonts w:hint="cs"/>
          <w:b/>
          <w:bCs/>
          <w:rtl/>
        </w:rPr>
        <w:t xml:space="preserve">נכון למועד הבדיקה, באוגוסט 2024, מבין הרשויות המקומיות שנבדקו, שתיים בלבד (עיריית דימונה והמועצה המקומית קדימה-צורן) פרסמו מידע באתר המרשתת שלהן על זכאותן של </w:t>
      </w:r>
      <w:r w:rsidRPr="002F2BC5">
        <w:rPr>
          <w:rFonts w:hint="cs"/>
          <w:b/>
          <w:bCs/>
          <w:rtl/>
        </w:rPr>
        <w:lastRenderedPageBreak/>
        <w:t>נשים יוצאות מקלט להנחה בארנונה</w:t>
      </w:r>
      <w:r w:rsidRPr="002F2BC5">
        <w:rPr>
          <w:rStyle w:val="af9"/>
          <w:b/>
          <w:bCs/>
          <w:rtl/>
        </w:rPr>
        <w:footnoteReference w:id="416"/>
      </w:r>
      <w:r w:rsidRPr="002F2BC5">
        <w:rPr>
          <w:rFonts w:hint="cs"/>
          <w:b/>
          <w:bCs/>
          <w:rtl/>
        </w:rPr>
        <w:t>. מהתשובות על השאלונים עלה עוד כי 11 מתוך 14 הרשויות המקומיות שנבדקו אינן מפרסמות מידע על זכאותן של נשים יוצאות מקלט לסיוע חומרי גם בתחומים אחרים.</w:t>
      </w:r>
    </w:p>
    <w:p w14:paraId="1182A2BD" w14:textId="77777777" w:rsidR="00817399" w:rsidRPr="002F2BC5" w:rsidRDefault="00817399" w:rsidP="00817399">
      <w:pPr>
        <w:spacing w:line="269" w:lineRule="auto"/>
        <w:rPr>
          <w:rtl/>
        </w:rPr>
      </w:pPr>
    </w:p>
    <w:p w14:paraId="5BA9E441" w14:textId="77777777" w:rsidR="00817399" w:rsidRPr="002F2BC5" w:rsidRDefault="00817399" w:rsidP="00817399">
      <w:pPr>
        <w:spacing w:line="269" w:lineRule="auto"/>
      </w:pPr>
      <w:r w:rsidRPr="002F2BC5">
        <w:rPr>
          <w:rFonts w:hint="cs"/>
          <w:rtl/>
        </w:rPr>
        <w:t xml:space="preserve">העיריות </w:t>
      </w:r>
      <w:r w:rsidRPr="002F2BC5">
        <w:rPr>
          <w:rFonts w:hint="cs"/>
          <w:b/>
          <w:bCs/>
          <w:rtl/>
        </w:rPr>
        <w:t>בית שמש</w:t>
      </w:r>
      <w:r w:rsidRPr="002F2BC5">
        <w:rPr>
          <w:rFonts w:hint="cs"/>
          <w:rtl/>
        </w:rPr>
        <w:t xml:space="preserve">, </w:t>
      </w:r>
      <w:r w:rsidRPr="002F2BC5">
        <w:rPr>
          <w:rFonts w:hint="cs"/>
          <w:b/>
          <w:bCs/>
          <w:rtl/>
        </w:rPr>
        <w:t>חדרה</w:t>
      </w:r>
      <w:r w:rsidRPr="002F2BC5">
        <w:rPr>
          <w:rFonts w:hint="cs"/>
          <w:rtl/>
        </w:rPr>
        <w:t xml:space="preserve"> ו</w:t>
      </w:r>
      <w:r w:rsidRPr="002F2BC5">
        <w:rPr>
          <w:rFonts w:hint="cs"/>
          <w:b/>
          <w:bCs/>
          <w:rtl/>
        </w:rPr>
        <w:t>עכו</w:t>
      </w:r>
      <w:r w:rsidRPr="002F2BC5">
        <w:rPr>
          <w:rFonts w:hint="cs"/>
          <w:rtl/>
        </w:rPr>
        <w:t xml:space="preserve"> ציינו בשאלון כי יבחנו את האפשרות לפרסם את המידע על זכאותן של נשים לסיוע חומרי בתחומים שונים, והמועצה האזורית </w:t>
      </w:r>
      <w:r w:rsidRPr="002F2BC5">
        <w:rPr>
          <w:rFonts w:hint="cs"/>
          <w:b/>
          <w:bCs/>
          <w:rtl/>
        </w:rPr>
        <w:t>דרום השרון</w:t>
      </w:r>
      <w:r w:rsidRPr="002F2BC5">
        <w:rPr>
          <w:rFonts w:hint="cs"/>
          <w:rtl/>
        </w:rPr>
        <w:t xml:space="preserve"> ציינה בשאלון כי תפעל לפרסום המידע באתר המרשתת של המועצה.</w:t>
      </w:r>
    </w:p>
    <w:p w14:paraId="1FA68947" w14:textId="77777777" w:rsidR="00817399" w:rsidRPr="002F2BC5" w:rsidRDefault="00817399" w:rsidP="00817399">
      <w:pPr>
        <w:spacing w:line="269" w:lineRule="auto"/>
        <w:rPr>
          <w:rtl/>
        </w:rPr>
      </w:pPr>
    </w:p>
    <w:p w14:paraId="52ED1F57" w14:textId="77777777" w:rsidR="00817399" w:rsidRPr="002F2BC5" w:rsidRDefault="00817399" w:rsidP="00817399">
      <w:pPr>
        <w:spacing w:line="269" w:lineRule="auto"/>
        <w:rPr>
          <w:rtl/>
        </w:rPr>
      </w:pPr>
      <w:r w:rsidRPr="002F2BC5">
        <w:rPr>
          <w:rFonts w:hint="eastAsia"/>
          <w:rtl/>
        </w:rPr>
        <w:t>במסגרת</w:t>
      </w:r>
      <w:r w:rsidRPr="002F2BC5">
        <w:rPr>
          <w:rtl/>
        </w:rPr>
        <w:t xml:space="preserve"> </w:t>
      </w:r>
      <w:r w:rsidRPr="002F2BC5">
        <w:rPr>
          <w:rFonts w:hint="eastAsia"/>
          <w:rtl/>
        </w:rPr>
        <w:t>הביקורת</w:t>
      </w:r>
      <w:r w:rsidRPr="002F2BC5">
        <w:rPr>
          <w:rtl/>
        </w:rPr>
        <w:t xml:space="preserve"> </w:t>
      </w:r>
      <w:r w:rsidRPr="002F2BC5">
        <w:rPr>
          <w:rFonts w:hint="eastAsia"/>
          <w:rtl/>
        </w:rPr>
        <w:t>הנוכחית</w:t>
      </w:r>
      <w:r w:rsidRPr="002F2BC5">
        <w:rPr>
          <w:rtl/>
        </w:rPr>
        <w:t xml:space="preserve"> </w:t>
      </w:r>
      <w:r w:rsidRPr="002F2BC5">
        <w:rPr>
          <w:rFonts w:hint="eastAsia"/>
          <w:rtl/>
        </w:rPr>
        <w:t>התבקשו</w:t>
      </w:r>
      <w:r w:rsidRPr="002F2BC5">
        <w:rPr>
          <w:rtl/>
        </w:rPr>
        <w:t xml:space="preserve"> הרשויות המקומיות להעביר נתונים גם על מימוש הזכאות להנחה בארנונה</w:t>
      </w:r>
      <w:r w:rsidRPr="002F2BC5">
        <w:rPr>
          <w:rFonts w:hint="cs"/>
          <w:rtl/>
        </w:rPr>
        <w:t xml:space="preserve"> (מספר הבקשות שהוגשו לקבלת הנחה בארנונה וההנחות שניתנו בפועל)</w:t>
      </w:r>
      <w:r w:rsidRPr="002F2BC5">
        <w:rPr>
          <w:rtl/>
        </w:rPr>
        <w:t xml:space="preserve">. אלא </w:t>
      </w:r>
      <w:r w:rsidRPr="002F2BC5">
        <w:rPr>
          <w:rFonts w:hint="eastAsia"/>
          <w:rtl/>
        </w:rPr>
        <w:t>שרוב</w:t>
      </w:r>
      <w:r w:rsidRPr="002F2BC5">
        <w:rPr>
          <w:rtl/>
        </w:rPr>
        <w:t xml:space="preserve"> </w:t>
      </w:r>
      <w:r w:rsidRPr="002F2BC5">
        <w:rPr>
          <w:rFonts w:hint="eastAsia"/>
          <w:rtl/>
        </w:rPr>
        <w:t>המחלקות</w:t>
      </w:r>
      <w:r w:rsidRPr="002F2BC5">
        <w:rPr>
          <w:rtl/>
        </w:rPr>
        <w:t xml:space="preserve"> או המרכזים (9 מתוך 14) השיבו כי </w:t>
      </w:r>
      <w:r w:rsidRPr="002F2BC5">
        <w:rPr>
          <w:rFonts w:hint="eastAsia"/>
          <w:rtl/>
        </w:rPr>
        <w:t>אין</w:t>
      </w:r>
      <w:r w:rsidRPr="002F2BC5">
        <w:rPr>
          <w:rtl/>
        </w:rPr>
        <w:t xml:space="preserve"> </w:t>
      </w:r>
      <w:r w:rsidRPr="002F2BC5">
        <w:rPr>
          <w:rFonts w:hint="eastAsia"/>
          <w:rtl/>
        </w:rPr>
        <w:t>בידיה</w:t>
      </w:r>
      <w:r w:rsidRPr="002F2BC5">
        <w:rPr>
          <w:rFonts w:hint="cs"/>
          <w:rtl/>
        </w:rPr>
        <w:t>ם</w:t>
      </w:r>
      <w:r w:rsidRPr="002F2BC5">
        <w:rPr>
          <w:rtl/>
        </w:rPr>
        <w:t xml:space="preserve"> </w:t>
      </w:r>
      <w:r w:rsidRPr="002F2BC5">
        <w:rPr>
          <w:rFonts w:hint="eastAsia"/>
          <w:rtl/>
        </w:rPr>
        <w:t>נתונים</w:t>
      </w:r>
      <w:r w:rsidRPr="002F2BC5">
        <w:rPr>
          <w:rtl/>
        </w:rPr>
        <w:t xml:space="preserve"> </w:t>
      </w:r>
      <w:r w:rsidRPr="002F2BC5">
        <w:rPr>
          <w:rFonts w:hint="cs"/>
          <w:rtl/>
        </w:rPr>
        <w:t>בנושא זה</w:t>
      </w:r>
      <w:r w:rsidRPr="002F2BC5">
        <w:rPr>
          <w:rtl/>
        </w:rPr>
        <w:t xml:space="preserve">. </w:t>
      </w:r>
      <w:r w:rsidRPr="002F2BC5">
        <w:rPr>
          <w:rFonts w:hint="cs"/>
          <w:rtl/>
        </w:rPr>
        <w:t xml:space="preserve">חלק מהרשויות השיבו שהן מסייעות בהגשת הבקשה להנחה בארנונה, אך הן אינן מנהלות מעקב אחר ההחלטה בבקשה או אחר מימוש הזכאות להנחה, כך שהן לא הציגו נתונים על מספר הבקשות להנחה בארנונה שהוגשו בסיוען. אחרות השיבו כי מחלקת הארנונה ברשות המקומית מסרה להן שלא קיימים נתונים על הבקשות שהוגשו לקבלת הנחה בתשלום הארנונה, או על ההנחות שניתנו בפועל על ידי הרשות המקומית. </w:t>
      </w:r>
    </w:p>
    <w:p w14:paraId="6DD82F6F" w14:textId="77777777" w:rsidR="00817399" w:rsidRPr="002F2BC5" w:rsidRDefault="00817399" w:rsidP="00817399">
      <w:pPr>
        <w:spacing w:line="269" w:lineRule="auto"/>
        <w:rPr>
          <w:rtl/>
        </w:rPr>
      </w:pPr>
    </w:p>
    <w:p w14:paraId="19A0A592" w14:textId="77777777" w:rsidR="00817399" w:rsidRPr="002F2BC5" w:rsidRDefault="00817399" w:rsidP="00817399">
      <w:pPr>
        <w:spacing w:line="269" w:lineRule="auto"/>
        <w:rPr>
          <w:b/>
          <w:bCs/>
          <w:rtl/>
        </w:rPr>
      </w:pPr>
      <w:r w:rsidRPr="002F2BC5">
        <w:rPr>
          <w:rFonts w:hint="eastAsia"/>
          <w:b/>
          <w:bCs/>
          <w:rtl/>
        </w:rPr>
        <w:t>רק</w:t>
      </w:r>
      <w:r w:rsidRPr="002F2BC5">
        <w:rPr>
          <w:b/>
          <w:bCs/>
          <w:rtl/>
        </w:rPr>
        <w:t xml:space="preserve"> שתיים מבין הרשויות המקומיות שנבדקו (עיריית </w:t>
      </w:r>
      <w:r w:rsidRPr="002F2BC5">
        <w:rPr>
          <w:rFonts w:hint="eastAsia"/>
          <w:b/>
          <w:bCs/>
          <w:rtl/>
        </w:rPr>
        <w:t>ראש</w:t>
      </w:r>
      <w:r w:rsidRPr="002F2BC5">
        <w:rPr>
          <w:b/>
          <w:bCs/>
          <w:rtl/>
        </w:rPr>
        <w:t xml:space="preserve"> </w:t>
      </w:r>
      <w:r w:rsidRPr="002F2BC5">
        <w:rPr>
          <w:rFonts w:hint="eastAsia"/>
          <w:b/>
          <w:bCs/>
          <w:rtl/>
        </w:rPr>
        <w:t>העין</w:t>
      </w:r>
      <w:r w:rsidRPr="002F2BC5">
        <w:rPr>
          <w:b/>
          <w:bCs/>
          <w:rtl/>
        </w:rPr>
        <w:t xml:space="preserve"> והמועצה האזורית </w:t>
      </w:r>
      <w:r w:rsidRPr="002F2BC5">
        <w:rPr>
          <w:rFonts w:hint="eastAsia"/>
          <w:b/>
          <w:bCs/>
          <w:rtl/>
        </w:rPr>
        <w:t>דרום</w:t>
      </w:r>
      <w:r w:rsidRPr="002F2BC5">
        <w:rPr>
          <w:b/>
          <w:bCs/>
          <w:rtl/>
        </w:rPr>
        <w:t xml:space="preserve"> </w:t>
      </w:r>
      <w:r w:rsidRPr="002F2BC5">
        <w:rPr>
          <w:rFonts w:hint="eastAsia"/>
          <w:b/>
          <w:bCs/>
          <w:rtl/>
        </w:rPr>
        <w:t>השרון</w:t>
      </w:r>
      <w:r w:rsidRPr="002F2BC5">
        <w:rPr>
          <w:b/>
          <w:bCs/>
          <w:rtl/>
        </w:rPr>
        <w:t xml:space="preserve">) העבירו נתונים על מימוש הזכאות לקבלת הנחה בארנונה, אם כי מתשובתה של המועצה האזורית </w:t>
      </w:r>
      <w:r w:rsidRPr="002F2BC5">
        <w:rPr>
          <w:rFonts w:hint="eastAsia"/>
          <w:b/>
          <w:bCs/>
          <w:rtl/>
        </w:rPr>
        <w:t>דרום</w:t>
      </w:r>
      <w:r w:rsidRPr="002F2BC5">
        <w:rPr>
          <w:b/>
          <w:bCs/>
          <w:rtl/>
        </w:rPr>
        <w:t xml:space="preserve"> </w:t>
      </w:r>
      <w:r w:rsidRPr="002F2BC5">
        <w:rPr>
          <w:rFonts w:hint="eastAsia"/>
          <w:b/>
          <w:bCs/>
          <w:rtl/>
        </w:rPr>
        <w:t>השרון</w:t>
      </w:r>
      <w:r w:rsidRPr="002F2BC5">
        <w:rPr>
          <w:b/>
          <w:bCs/>
          <w:rtl/>
        </w:rPr>
        <w:t xml:space="preserve"> עלה שהיא אינה מנהלת מעקב שיטתי וסדור בנושא זה, ואילו הנתונים שהעבירה עיריית </w:t>
      </w:r>
      <w:r w:rsidRPr="002F2BC5">
        <w:rPr>
          <w:rFonts w:hint="eastAsia"/>
          <w:b/>
          <w:bCs/>
          <w:rtl/>
        </w:rPr>
        <w:t>ראש</w:t>
      </w:r>
      <w:r w:rsidRPr="002F2BC5">
        <w:rPr>
          <w:b/>
          <w:bCs/>
          <w:rtl/>
        </w:rPr>
        <w:t xml:space="preserve"> </w:t>
      </w:r>
      <w:r w:rsidRPr="002F2BC5">
        <w:rPr>
          <w:rFonts w:hint="eastAsia"/>
          <w:b/>
          <w:bCs/>
          <w:rtl/>
        </w:rPr>
        <w:t>העין</w:t>
      </w:r>
      <w:r w:rsidRPr="002F2BC5">
        <w:rPr>
          <w:b/>
          <w:bCs/>
          <w:rtl/>
        </w:rPr>
        <w:t xml:space="preserve"> לא היו בהלימה למספר הנשים שהופנו על ידה למקלטים בשנים שנבדקו. </w:t>
      </w:r>
      <w:r w:rsidRPr="002F2BC5">
        <w:rPr>
          <w:rFonts w:hint="eastAsia"/>
          <w:b/>
          <w:bCs/>
          <w:rtl/>
        </w:rPr>
        <w:t>שלוש</w:t>
      </w:r>
      <w:r w:rsidRPr="002F2BC5">
        <w:rPr>
          <w:b/>
          <w:bCs/>
          <w:rtl/>
        </w:rPr>
        <w:t xml:space="preserve"> </w:t>
      </w:r>
      <w:r w:rsidRPr="002F2BC5">
        <w:rPr>
          <w:rFonts w:hint="eastAsia"/>
          <w:b/>
          <w:bCs/>
          <w:rtl/>
        </w:rPr>
        <w:t>רשויות</w:t>
      </w:r>
      <w:r w:rsidRPr="002F2BC5">
        <w:rPr>
          <w:b/>
          <w:bCs/>
          <w:rtl/>
        </w:rPr>
        <w:t xml:space="preserve"> </w:t>
      </w:r>
      <w:r w:rsidRPr="002F2BC5">
        <w:rPr>
          <w:rFonts w:hint="eastAsia"/>
          <w:b/>
          <w:bCs/>
          <w:rtl/>
        </w:rPr>
        <w:t>מקומיות</w:t>
      </w:r>
      <w:r w:rsidRPr="002F2BC5">
        <w:rPr>
          <w:b/>
          <w:bCs/>
          <w:rtl/>
        </w:rPr>
        <w:t xml:space="preserve"> </w:t>
      </w:r>
      <w:r w:rsidRPr="002F2BC5">
        <w:rPr>
          <w:rFonts w:hint="eastAsia"/>
          <w:b/>
          <w:bCs/>
          <w:rtl/>
        </w:rPr>
        <w:t>נוספות</w:t>
      </w:r>
      <w:r w:rsidRPr="002F2BC5">
        <w:rPr>
          <w:b/>
          <w:bCs/>
          <w:rtl/>
        </w:rPr>
        <w:t xml:space="preserve"> </w:t>
      </w:r>
      <w:r w:rsidRPr="002F2BC5">
        <w:rPr>
          <w:rFonts w:hint="eastAsia"/>
          <w:b/>
          <w:bCs/>
          <w:rtl/>
        </w:rPr>
        <w:t>לא</w:t>
      </w:r>
      <w:r w:rsidRPr="002F2BC5">
        <w:rPr>
          <w:b/>
          <w:bCs/>
          <w:rtl/>
        </w:rPr>
        <w:t xml:space="preserve"> </w:t>
      </w:r>
      <w:r w:rsidRPr="002F2BC5">
        <w:rPr>
          <w:rFonts w:hint="eastAsia"/>
          <w:b/>
          <w:bCs/>
          <w:rtl/>
        </w:rPr>
        <w:t>ציינו</w:t>
      </w:r>
      <w:r w:rsidRPr="002F2BC5">
        <w:rPr>
          <w:b/>
          <w:bCs/>
          <w:rtl/>
        </w:rPr>
        <w:t xml:space="preserve"> </w:t>
      </w:r>
      <w:r w:rsidRPr="002F2BC5">
        <w:rPr>
          <w:rFonts w:hint="eastAsia"/>
          <w:b/>
          <w:bCs/>
          <w:rtl/>
        </w:rPr>
        <w:t>במפורש</w:t>
      </w:r>
      <w:r w:rsidRPr="002F2BC5">
        <w:rPr>
          <w:b/>
          <w:bCs/>
          <w:rtl/>
        </w:rPr>
        <w:t xml:space="preserve"> </w:t>
      </w:r>
      <w:r w:rsidRPr="002F2BC5">
        <w:rPr>
          <w:rFonts w:hint="eastAsia"/>
          <w:b/>
          <w:bCs/>
          <w:rtl/>
        </w:rPr>
        <w:t>במענה</w:t>
      </w:r>
      <w:r w:rsidRPr="002F2BC5">
        <w:rPr>
          <w:b/>
          <w:bCs/>
          <w:rtl/>
        </w:rPr>
        <w:t xml:space="preserve"> </w:t>
      </w:r>
      <w:r w:rsidRPr="002F2BC5">
        <w:rPr>
          <w:rFonts w:hint="eastAsia"/>
          <w:b/>
          <w:bCs/>
          <w:rtl/>
        </w:rPr>
        <w:t>לשאלון</w:t>
      </w:r>
      <w:r w:rsidRPr="002F2BC5">
        <w:rPr>
          <w:b/>
          <w:bCs/>
          <w:rtl/>
        </w:rPr>
        <w:t xml:space="preserve"> </w:t>
      </w:r>
      <w:r w:rsidRPr="002F2BC5">
        <w:rPr>
          <w:rFonts w:hint="eastAsia"/>
          <w:b/>
          <w:bCs/>
          <w:rtl/>
        </w:rPr>
        <w:t>שאין</w:t>
      </w:r>
      <w:r w:rsidRPr="002F2BC5">
        <w:rPr>
          <w:b/>
          <w:bCs/>
          <w:rtl/>
        </w:rPr>
        <w:t xml:space="preserve"> </w:t>
      </w:r>
      <w:r w:rsidRPr="002F2BC5">
        <w:rPr>
          <w:rFonts w:hint="eastAsia"/>
          <w:b/>
          <w:bCs/>
          <w:rtl/>
        </w:rPr>
        <w:t>בידיהן</w:t>
      </w:r>
      <w:r w:rsidRPr="002F2BC5">
        <w:rPr>
          <w:b/>
          <w:bCs/>
          <w:rtl/>
        </w:rPr>
        <w:t xml:space="preserve"> </w:t>
      </w:r>
      <w:r w:rsidRPr="002F2BC5">
        <w:rPr>
          <w:rFonts w:hint="eastAsia"/>
          <w:b/>
          <w:bCs/>
          <w:rtl/>
        </w:rPr>
        <w:t>נתונים</w:t>
      </w:r>
      <w:r w:rsidRPr="002F2BC5">
        <w:rPr>
          <w:b/>
          <w:bCs/>
          <w:rtl/>
        </w:rPr>
        <w:t xml:space="preserve">, </w:t>
      </w:r>
      <w:r w:rsidRPr="002F2BC5">
        <w:rPr>
          <w:rFonts w:hint="eastAsia"/>
          <w:b/>
          <w:bCs/>
          <w:rtl/>
        </w:rPr>
        <w:t>אך</w:t>
      </w:r>
      <w:r w:rsidRPr="002F2BC5">
        <w:rPr>
          <w:b/>
          <w:bCs/>
          <w:rtl/>
        </w:rPr>
        <w:t xml:space="preserve"> </w:t>
      </w:r>
      <w:r w:rsidRPr="002F2BC5">
        <w:rPr>
          <w:rFonts w:hint="eastAsia"/>
          <w:b/>
          <w:bCs/>
          <w:rtl/>
        </w:rPr>
        <w:t>לפי</w:t>
      </w:r>
      <w:r w:rsidRPr="002F2BC5">
        <w:rPr>
          <w:b/>
          <w:bCs/>
          <w:rtl/>
        </w:rPr>
        <w:t xml:space="preserve"> </w:t>
      </w:r>
      <w:r w:rsidRPr="002F2BC5">
        <w:rPr>
          <w:rFonts w:hint="eastAsia"/>
          <w:b/>
          <w:bCs/>
          <w:rtl/>
        </w:rPr>
        <w:t>המידע</w:t>
      </w:r>
      <w:r w:rsidRPr="002F2BC5">
        <w:rPr>
          <w:b/>
          <w:bCs/>
          <w:rtl/>
        </w:rPr>
        <w:t xml:space="preserve"> </w:t>
      </w:r>
      <w:r w:rsidRPr="002F2BC5">
        <w:rPr>
          <w:rFonts w:hint="eastAsia"/>
          <w:b/>
          <w:bCs/>
          <w:rtl/>
        </w:rPr>
        <w:t>שמסרו</w:t>
      </w:r>
      <w:r w:rsidRPr="002F2BC5">
        <w:rPr>
          <w:b/>
          <w:bCs/>
          <w:rtl/>
        </w:rPr>
        <w:t xml:space="preserve"> </w:t>
      </w:r>
      <w:r w:rsidRPr="002F2BC5">
        <w:rPr>
          <w:rFonts w:hint="eastAsia"/>
          <w:b/>
          <w:bCs/>
          <w:rtl/>
        </w:rPr>
        <w:t>אף</w:t>
      </w:r>
      <w:r w:rsidRPr="002F2BC5">
        <w:rPr>
          <w:b/>
          <w:bCs/>
          <w:rtl/>
        </w:rPr>
        <w:t xml:space="preserve"> </w:t>
      </w:r>
      <w:r w:rsidRPr="002F2BC5">
        <w:rPr>
          <w:rFonts w:hint="eastAsia"/>
          <w:b/>
          <w:bCs/>
          <w:rtl/>
        </w:rPr>
        <w:t>לא</w:t>
      </w:r>
      <w:r w:rsidRPr="002F2BC5">
        <w:rPr>
          <w:b/>
          <w:bCs/>
          <w:rtl/>
        </w:rPr>
        <w:t xml:space="preserve"> </w:t>
      </w:r>
      <w:r w:rsidRPr="002F2BC5">
        <w:rPr>
          <w:rFonts w:hint="eastAsia"/>
          <w:b/>
          <w:bCs/>
          <w:rtl/>
        </w:rPr>
        <w:t>אישה</w:t>
      </w:r>
      <w:r w:rsidRPr="002F2BC5">
        <w:rPr>
          <w:b/>
          <w:bCs/>
          <w:rtl/>
        </w:rPr>
        <w:t xml:space="preserve"> </w:t>
      </w:r>
      <w:r w:rsidRPr="002F2BC5">
        <w:rPr>
          <w:rFonts w:hint="eastAsia"/>
          <w:b/>
          <w:bCs/>
          <w:rtl/>
        </w:rPr>
        <w:t>אחת</w:t>
      </w:r>
      <w:r w:rsidRPr="002F2BC5">
        <w:rPr>
          <w:b/>
          <w:bCs/>
          <w:rtl/>
        </w:rPr>
        <w:t xml:space="preserve"> </w:t>
      </w:r>
      <w:r w:rsidRPr="002F2BC5">
        <w:rPr>
          <w:rFonts w:hint="eastAsia"/>
          <w:b/>
          <w:bCs/>
          <w:rtl/>
        </w:rPr>
        <w:t>הגישה</w:t>
      </w:r>
      <w:r w:rsidRPr="002F2BC5">
        <w:rPr>
          <w:b/>
          <w:bCs/>
          <w:rtl/>
        </w:rPr>
        <w:t xml:space="preserve"> </w:t>
      </w:r>
      <w:r w:rsidRPr="002F2BC5">
        <w:rPr>
          <w:rFonts w:hint="eastAsia"/>
          <w:b/>
          <w:bCs/>
          <w:rtl/>
        </w:rPr>
        <w:t>בקשה</w:t>
      </w:r>
      <w:r w:rsidRPr="002F2BC5">
        <w:rPr>
          <w:b/>
          <w:bCs/>
          <w:rtl/>
        </w:rPr>
        <w:t xml:space="preserve"> </w:t>
      </w:r>
      <w:r w:rsidRPr="002F2BC5">
        <w:rPr>
          <w:rFonts w:hint="eastAsia"/>
          <w:b/>
          <w:bCs/>
          <w:rtl/>
        </w:rPr>
        <w:t>להנחה</w:t>
      </w:r>
      <w:r w:rsidRPr="002F2BC5">
        <w:rPr>
          <w:b/>
          <w:bCs/>
          <w:rtl/>
        </w:rPr>
        <w:t xml:space="preserve"> </w:t>
      </w:r>
      <w:r w:rsidRPr="002F2BC5">
        <w:rPr>
          <w:rFonts w:hint="eastAsia"/>
          <w:b/>
          <w:bCs/>
          <w:rtl/>
        </w:rPr>
        <w:t>בארנונה</w:t>
      </w:r>
      <w:r w:rsidRPr="002F2BC5">
        <w:rPr>
          <w:b/>
          <w:bCs/>
          <w:rtl/>
        </w:rPr>
        <w:t xml:space="preserve"> </w:t>
      </w:r>
      <w:r w:rsidRPr="002F2BC5">
        <w:rPr>
          <w:rFonts w:hint="eastAsia"/>
          <w:b/>
          <w:bCs/>
          <w:rtl/>
        </w:rPr>
        <w:t>בשנים</w:t>
      </w:r>
      <w:r w:rsidRPr="002F2BC5">
        <w:rPr>
          <w:b/>
          <w:bCs/>
          <w:rtl/>
        </w:rPr>
        <w:t xml:space="preserve"> 2020 - אוגוסט 2024.</w:t>
      </w:r>
    </w:p>
    <w:p w14:paraId="42FC8969" w14:textId="77777777" w:rsidR="00817399" w:rsidRPr="002F2BC5" w:rsidRDefault="00817399" w:rsidP="00817399">
      <w:pPr>
        <w:spacing w:line="269" w:lineRule="auto"/>
        <w:rPr>
          <w:rtl/>
        </w:rPr>
      </w:pPr>
    </w:p>
    <w:p w14:paraId="6D3063E6" w14:textId="77777777" w:rsidR="00817399" w:rsidRPr="002F2BC5" w:rsidRDefault="00817399" w:rsidP="00817399">
      <w:pPr>
        <w:spacing w:line="269" w:lineRule="auto"/>
        <w:rPr>
          <w:rtl/>
        </w:rPr>
      </w:pPr>
      <w:r w:rsidRPr="002F2BC5">
        <w:rPr>
          <w:rFonts w:hint="cs"/>
          <w:rtl/>
        </w:rPr>
        <w:t xml:space="preserve">יצוין כי נתונים על מספר הבקשות שהוגשו להנחה בארנונה, לפי סיבת הזכאות וסכום ההנחה שניתן, מוצגים בדוחות הכספיים המבוקרים של הרשויות המקומיות שעורכים עבור משרד הפנים רואי חשבון חיצוניים מטעמו (להלן - רואי החשבון החיצוניים). אלא שהנתון המוצג בדוח הכספי המבוקר אינו כולל הבחנה בין בקשות להנחה של נשים יוצאות מקלט לבין בקשות שהוגשו על ידי "הורה יחיד" אחר. </w:t>
      </w:r>
    </w:p>
    <w:p w14:paraId="747557D3" w14:textId="77777777" w:rsidR="00817399" w:rsidRPr="002F2BC5" w:rsidRDefault="00817399" w:rsidP="00817399">
      <w:pPr>
        <w:spacing w:line="269" w:lineRule="auto"/>
        <w:rPr>
          <w:rtl/>
        </w:rPr>
      </w:pPr>
    </w:p>
    <w:p w14:paraId="54B741CC" w14:textId="77777777" w:rsidR="00817399" w:rsidRPr="002F2BC5" w:rsidRDefault="00817399" w:rsidP="00817399">
      <w:pPr>
        <w:pStyle w:val="afffffff9"/>
        <w:spacing w:line="269" w:lineRule="auto"/>
        <w:rPr>
          <w:rtl/>
        </w:rPr>
      </w:pPr>
      <w:bookmarkStart w:id="2110" w:name="_Toc191987169"/>
      <w:bookmarkStart w:id="2111" w:name="_Toc192093191"/>
      <w:bookmarkStart w:id="2112" w:name="_Toc192612899"/>
      <w:bookmarkStart w:id="2113" w:name="_Toc198312347"/>
      <w:bookmarkStart w:id="2114" w:name="_Toc198312831"/>
      <w:bookmarkStart w:id="2115" w:name="_Toc200636988"/>
      <w:bookmarkStart w:id="2116" w:name="_Toc200439986"/>
      <w:bookmarkStart w:id="2117" w:name="_Toc201241091"/>
      <w:r w:rsidRPr="002F2BC5">
        <w:rPr>
          <w:rFonts w:hint="eastAsia"/>
          <w:rtl/>
        </w:rPr>
        <w:t>הביקורת</w:t>
      </w:r>
      <w:r w:rsidRPr="002F2BC5">
        <w:rPr>
          <w:rtl/>
        </w:rPr>
        <w:t xml:space="preserve"> הקודמת העלתה כי רק ארבע מכלל הרשויות המקומיות שנבדקו - עיריות </w:t>
      </w:r>
      <w:r w:rsidRPr="002F2BC5">
        <w:rPr>
          <w:rFonts w:hint="eastAsia"/>
          <w:rtl/>
        </w:rPr>
        <w:t>בית</w:t>
      </w:r>
      <w:r w:rsidRPr="002F2BC5">
        <w:rPr>
          <w:rtl/>
        </w:rPr>
        <w:t xml:space="preserve"> </w:t>
      </w:r>
      <w:r w:rsidRPr="002F2BC5">
        <w:rPr>
          <w:rFonts w:hint="eastAsia"/>
          <w:rtl/>
        </w:rPr>
        <w:t>שמש</w:t>
      </w:r>
      <w:r w:rsidRPr="002F2BC5">
        <w:rPr>
          <w:rtl/>
        </w:rPr>
        <w:t xml:space="preserve">, </w:t>
      </w:r>
      <w:r w:rsidRPr="002F2BC5">
        <w:rPr>
          <w:rFonts w:hint="eastAsia"/>
          <w:rtl/>
        </w:rPr>
        <w:t>חדרה</w:t>
      </w:r>
      <w:r w:rsidRPr="002F2BC5">
        <w:rPr>
          <w:rtl/>
        </w:rPr>
        <w:t xml:space="preserve"> ו</w:t>
      </w:r>
      <w:r w:rsidRPr="002F2BC5">
        <w:rPr>
          <w:rFonts w:hint="eastAsia"/>
          <w:rtl/>
        </w:rPr>
        <w:t>ראש</w:t>
      </w:r>
      <w:r w:rsidRPr="002F2BC5">
        <w:rPr>
          <w:rtl/>
        </w:rPr>
        <w:t xml:space="preserve"> </w:t>
      </w:r>
      <w:r w:rsidRPr="002F2BC5">
        <w:rPr>
          <w:rFonts w:hint="eastAsia"/>
          <w:rtl/>
        </w:rPr>
        <w:t>העין</w:t>
      </w:r>
      <w:r w:rsidRPr="002F2BC5">
        <w:rPr>
          <w:rtl/>
        </w:rPr>
        <w:t xml:space="preserve"> והמועצה המקומית </w:t>
      </w:r>
      <w:r w:rsidRPr="002F2BC5">
        <w:rPr>
          <w:rFonts w:hint="eastAsia"/>
          <w:rtl/>
        </w:rPr>
        <w:t>קדימה</w:t>
      </w:r>
      <w:r w:rsidRPr="002F2BC5">
        <w:rPr>
          <w:rtl/>
        </w:rPr>
        <w:t xml:space="preserve">-צורן - מסרו שהן מעניקות הנחה בארנונה </w:t>
      </w:r>
      <w:r w:rsidRPr="002F2BC5">
        <w:rPr>
          <w:rFonts w:hint="cs"/>
          <w:rtl/>
        </w:rPr>
        <w:t>לנשים יוצאות מקלט</w:t>
      </w:r>
      <w:r w:rsidRPr="002F2BC5">
        <w:rPr>
          <w:rtl/>
        </w:rPr>
        <w:t>. עם זאת, אף אחת מהרשויות שנבדקו לא פרסמה באתר האינטרנט שלה את דבר האפשרות לקבל הנחה בארנונה</w:t>
      </w:r>
      <w:r w:rsidRPr="002F2BC5">
        <w:rPr>
          <w:rFonts w:hint="cs"/>
          <w:rtl/>
        </w:rPr>
        <w:t xml:space="preserve"> לפי ההסדר האמור</w:t>
      </w:r>
      <w:r w:rsidRPr="002F2BC5">
        <w:rPr>
          <w:rtl/>
        </w:rPr>
        <w:t>.</w:t>
      </w:r>
      <w:r w:rsidRPr="002F2BC5">
        <w:rPr>
          <w:rFonts w:hint="cs"/>
          <w:rtl/>
        </w:rPr>
        <w:t xml:space="preserve"> בביקורת המעקב הועלה כי הליקוי תוקן במידה חלקית. נכון למועד הבדיקה, באוגוסט 2024, מבין הרשויות המקומיות שנבדקו, </w:t>
      </w:r>
      <w:r w:rsidRPr="002F2BC5">
        <w:rPr>
          <w:rFonts w:hint="eastAsia"/>
          <w:rtl/>
        </w:rPr>
        <w:t>כולן</w:t>
      </w:r>
      <w:r w:rsidRPr="002F2BC5">
        <w:rPr>
          <w:rtl/>
        </w:rPr>
        <w:t xml:space="preserve"> העניקו הנחה בארנונה לנשים יוצאות מקלט</w:t>
      </w:r>
      <w:r w:rsidRPr="002F2BC5">
        <w:rPr>
          <w:rFonts w:hint="cs"/>
          <w:rtl/>
        </w:rPr>
        <w:t xml:space="preserve"> אך שתיים בלבד (עיריית דימונה והמועצה המקומית קדימה-צורן) פרסמו על כך מידע באתר המרשתת שלהן.</w:t>
      </w:r>
      <w:r w:rsidRPr="002F2BC5">
        <w:rPr>
          <w:rtl/>
        </w:rPr>
        <w:t xml:space="preserve"> </w:t>
      </w:r>
      <w:r w:rsidRPr="002F2BC5">
        <w:rPr>
          <w:rFonts w:hint="cs"/>
          <w:rtl/>
        </w:rPr>
        <w:t xml:space="preserve">הביקורת הנוכחית העלתה עוד </w:t>
      </w:r>
      <w:r w:rsidRPr="002F2BC5">
        <w:rPr>
          <w:rFonts w:hint="eastAsia"/>
          <w:rtl/>
        </w:rPr>
        <w:t>כי</w:t>
      </w:r>
      <w:r w:rsidRPr="002F2BC5">
        <w:rPr>
          <w:rtl/>
        </w:rPr>
        <w:t xml:space="preserve"> </w:t>
      </w:r>
      <w:r w:rsidRPr="002F2BC5">
        <w:rPr>
          <w:rFonts w:hint="eastAsia"/>
          <w:rtl/>
        </w:rPr>
        <w:t>רוב</w:t>
      </w:r>
      <w:r w:rsidRPr="002F2BC5">
        <w:rPr>
          <w:rtl/>
        </w:rPr>
        <w:t xml:space="preserve"> </w:t>
      </w:r>
      <w:r w:rsidRPr="002F2BC5">
        <w:rPr>
          <w:rFonts w:hint="eastAsia"/>
          <w:rtl/>
        </w:rPr>
        <w:t>המחלקות</w:t>
      </w:r>
      <w:r w:rsidRPr="002F2BC5">
        <w:rPr>
          <w:rtl/>
        </w:rPr>
        <w:t xml:space="preserve"> </w:t>
      </w:r>
      <w:r w:rsidRPr="002F2BC5">
        <w:rPr>
          <w:rFonts w:hint="cs"/>
          <w:rtl/>
        </w:rPr>
        <w:t xml:space="preserve">לשירותים חברתיים </w:t>
      </w:r>
      <w:r w:rsidRPr="002F2BC5">
        <w:rPr>
          <w:rtl/>
        </w:rPr>
        <w:t xml:space="preserve">או המרכזים </w:t>
      </w:r>
      <w:r w:rsidRPr="002F2BC5">
        <w:rPr>
          <w:rFonts w:hint="cs"/>
          <w:rtl/>
        </w:rPr>
        <w:t xml:space="preserve">לטיפול ומניעת אלימות במשפחה ברשויות המקומיות שנבדקו </w:t>
      </w:r>
      <w:r w:rsidRPr="002F2BC5">
        <w:rPr>
          <w:rtl/>
        </w:rPr>
        <w:t xml:space="preserve">(9 מתוך 14) </w:t>
      </w:r>
      <w:r w:rsidRPr="002F2BC5">
        <w:rPr>
          <w:rFonts w:hint="eastAsia"/>
          <w:rtl/>
        </w:rPr>
        <w:t>אינ</w:t>
      </w:r>
      <w:r w:rsidRPr="002F2BC5">
        <w:rPr>
          <w:rFonts w:hint="cs"/>
          <w:rtl/>
        </w:rPr>
        <w:t>ם</w:t>
      </w:r>
      <w:r w:rsidRPr="002F2BC5">
        <w:rPr>
          <w:rtl/>
        </w:rPr>
        <w:t xml:space="preserve"> מנה</w:t>
      </w:r>
      <w:r w:rsidRPr="002F2BC5">
        <w:rPr>
          <w:rFonts w:hint="cs"/>
          <w:rtl/>
        </w:rPr>
        <w:t>לים</w:t>
      </w:r>
      <w:r w:rsidRPr="002F2BC5">
        <w:rPr>
          <w:rtl/>
        </w:rPr>
        <w:t xml:space="preserve"> מעקב אחר ההחלטה בבקשה להנחה בארנונה או אחר מימוש הזכאות להנחה, כך </w:t>
      </w:r>
      <w:r w:rsidRPr="002F2BC5">
        <w:rPr>
          <w:rFonts w:hint="cs"/>
          <w:rtl/>
        </w:rPr>
        <w:t>שלא היו בידיהם</w:t>
      </w:r>
      <w:r w:rsidRPr="002F2BC5">
        <w:rPr>
          <w:rtl/>
        </w:rPr>
        <w:t xml:space="preserve"> נתונים על מספר הבקשות להנחה בארנונה שהוגשו בסיוע</w:t>
      </w:r>
      <w:r w:rsidRPr="002F2BC5">
        <w:rPr>
          <w:rFonts w:hint="cs"/>
          <w:rtl/>
        </w:rPr>
        <w:t xml:space="preserve">ם </w:t>
      </w:r>
      <w:r w:rsidRPr="002F2BC5">
        <w:rPr>
          <w:rFonts w:hint="eastAsia"/>
          <w:rtl/>
        </w:rPr>
        <w:t>או</w:t>
      </w:r>
      <w:r w:rsidRPr="002F2BC5">
        <w:rPr>
          <w:rtl/>
        </w:rPr>
        <w:t xml:space="preserve"> </w:t>
      </w:r>
      <w:r w:rsidRPr="002F2BC5">
        <w:rPr>
          <w:rFonts w:hint="eastAsia"/>
          <w:rtl/>
        </w:rPr>
        <w:t>על</w:t>
      </w:r>
      <w:r w:rsidRPr="002F2BC5">
        <w:rPr>
          <w:rtl/>
        </w:rPr>
        <w:t xml:space="preserve"> </w:t>
      </w:r>
      <w:r w:rsidRPr="002F2BC5">
        <w:rPr>
          <w:rFonts w:hint="eastAsia"/>
          <w:rtl/>
        </w:rPr>
        <w:t>ההנחות</w:t>
      </w:r>
      <w:r w:rsidRPr="002F2BC5">
        <w:rPr>
          <w:rtl/>
        </w:rPr>
        <w:t xml:space="preserve"> </w:t>
      </w:r>
      <w:r w:rsidRPr="002F2BC5">
        <w:rPr>
          <w:rFonts w:hint="eastAsia"/>
          <w:rtl/>
        </w:rPr>
        <w:t>שניתנו</w:t>
      </w:r>
      <w:r w:rsidRPr="002F2BC5">
        <w:rPr>
          <w:rtl/>
        </w:rPr>
        <w:t xml:space="preserve"> </w:t>
      </w:r>
      <w:r w:rsidRPr="002F2BC5">
        <w:rPr>
          <w:rFonts w:hint="eastAsia"/>
          <w:rtl/>
        </w:rPr>
        <w:t>בפועל</w:t>
      </w:r>
      <w:r w:rsidRPr="002F2BC5">
        <w:rPr>
          <w:rtl/>
        </w:rPr>
        <w:t xml:space="preserve"> </w:t>
      </w:r>
      <w:r w:rsidRPr="002F2BC5">
        <w:rPr>
          <w:rFonts w:hint="eastAsia"/>
          <w:rtl/>
        </w:rPr>
        <w:t>על</w:t>
      </w:r>
      <w:r w:rsidRPr="002F2BC5">
        <w:rPr>
          <w:rtl/>
        </w:rPr>
        <w:t xml:space="preserve"> </w:t>
      </w:r>
      <w:r w:rsidRPr="002F2BC5">
        <w:rPr>
          <w:rFonts w:hint="eastAsia"/>
          <w:rtl/>
        </w:rPr>
        <w:t>ידי</w:t>
      </w:r>
      <w:r w:rsidRPr="002F2BC5">
        <w:rPr>
          <w:rtl/>
        </w:rPr>
        <w:t xml:space="preserve"> </w:t>
      </w:r>
      <w:r w:rsidRPr="002F2BC5">
        <w:rPr>
          <w:rFonts w:hint="eastAsia"/>
          <w:rtl/>
        </w:rPr>
        <w:t>הרשות</w:t>
      </w:r>
      <w:r w:rsidRPr="002F2BC5">
        <w:rPr>
          <w:rtl/>
        </w:rPr>
        <w:t xml:space="preserve"> </w:t>
      </w:r>
      <w:r w:rsidRPr="002F2BC5">
        <w:rPr>
          <w:rFonts w:hint="eastAsia"/>
          <w:rtl/>
        </w:rPr>
        <w:t>המקומית</w:t>
      </w:r>
      <w:r w:rsidRPr="002F2BC5">
        <w:rPr>
          <w:rtl/>
        </w:rPr>
        <w:t>.</w:t>
      </w:r>
      <w:bookmarkEnd w:id="2110"/>
      <w:bookmarkEnd w:id="2111"/>
      <w:bookmarkEnd w:id="2112"/>
      <w:bookmarkEnd w:id="2113"/>
      <w:bookmarkEnd w:id="2114"/>
      <w:bookmarkEnd w:id="2115"/>
      <w:bookmarkEnd w:id="2116"/>
      <w:bookmarkEnd w:id="2117"/>
    </w:p>
    <w:p w14:paraId="15640A9A" w14:textId="77777777" w:rsidR="00817399" w:rsidRPr="002F2BC5" w:rsidRDefault="00817399" w:rsidP="00817399">
      <w:pPr>
        <w:spacing w:line="269" w:lineRule="auto"/>
        <w:rPr>
          <w:rtl/>
        </w:rPr>
      </w:pPr>
    </w:p>
    <w:p w14:paraId="39F7611B" w14:textId="77777777" w:rsidR="00817399" w:rsidRPr="002F2BC5" w:rsidRDefault="00817399" w:rsidP="00817399">
      <w:pPr>
        <w:spacing w:line="269" w:lineRule="auto"/>
        <w:rPr>
          <w:rtl/>
        </w:rPr>
      </w:pPr>
      <w:r w:rsidRPr="002F2BC5">
        <w:rPr>
          <w:rFonts w:hint="cs"/>
          <w:rtl/>
        </w:rPr>
        <w:t xml:space="preserve">עיריית </w:t>
      </w:r>
      <w:r w:rsidRPr="002F2BC5">
        <w:rPr>
          <w:rFonts w:hint="cs"/>
          <w:b/>
          <w:bCs/>
          <w:rtl/>
        </w:rPr>
        <w:t>רהט</w:t>
      </w:r>
      <w:r w:rsidRPr="002F2BC5">
        <w:rPr>
          <w:rFonts w:hint="cs"/>
          <w:rtl/>
        </w:rPr>
        <w:t xml:space="preserve"> מסרה בתשובתה כי החל מאוקטובר 2024 היא מפרסמת באתר המרשתת שלה מידע בדבר זכאותן של נשים יוצאות מקלט להנחה בארנונה וזכאותן של נשים נפגעות אלימות לסיוע חומרי.</w:t>
      </w:r>
    </w:p>
    <w:p w14:paraId="62551442" w14:textId="77777777" w:rsidR="00817399" w:rsidRPr="002F2BC5" w:rsidRDefault="00817399" w:rsidP="00817399">
      <w:pPr>
        <w:spacing w:line="269" w:lineRule="auto"/>
        <w:rPr>
          <w:rtl/>
        </w:rPr>
      </w:pPr>
    </w:p>
    <w:p w14:paraId="74F724CE" w14:textId="77777777" w:rsidR="00817399" w:rsidRPr="002F2BC5" w:rsidRDefault="00817399" w:rsidP="00817399">
      <w:pPr>
        <w:spacing w:line="269" w:lineRule="auto"/>
        <w:rPr>
          <w:rtl/>
        </w:rPr>
      </w:pPr>
      <w:r w:rsidRPr="002F2BC5">
        <w:rPr>
          <w:rFonts w:hint="eastAsia"/>
          <w:rtl/>
        </w:rPr>
        <w:lastRenderedPageBreak/>
        <w:t>מרכז</w:t>
      </w:r>
      <w:r w:rsidRPr="002F2BC5">
        <w:rPr>
          <w:rtl/>
        </w:rPr>
        <w:t xml:space="preserve"> השלטון המקומי מסר בתשובתו כי חלקן היחסי של ההנחות בארנונה להורה יחיד, ובהן ההנחות לנשים יוצאות מקלט, </w:t>
      </w:r>
      <w:r w:rsidRPr="002F2BC5">
        <w:rPr>
          <w:rFonts w:hint="eastAsia"/>
          <w:rtl/>
        </w:rPr>
        <w:t>מתוך</w:t>
      </w:r>
      <w:r w:rsidRPr="002F2BC5">
        <w:rPr>
          <w:rtl/>
        </w:rPr>
        <w:t xml:space="preserve"> סך ההנחות בארנונה למגורים </w:t>
      </w:r>
      <w:r w:rsidRPr="002F2BC5">
        <w:rPr>
          <w:rFonts w:hint="eastAsia"/>
          <w:rtl/>
        </w:rPr>
        <w:t>הוא</w:t>
      </w:r>
      <w:r w:rsidRPr="002F2BC5">
        <w:rPr>
          <w:rtl/>
        </w:rPr>
        <w:t xml:space="preserve"> מזערי, ויש להניח כי </w:t>
      </w:r>
      <w:r w:rsidRPr="002F2BC5">
        <w:rPr>
          <w:rFonts w:hint="eastAsia"/>
          <w:rtl/>
        </w:rPr>
        <w:t>גם</w:t>
      </w:r>
      <w:r w:rsidRPr="002F2BC5">
        <w:rPr>
          <w:rtl/>
        </w:rPr>
        <w:t xml:space="preserve"> </w:t>
      </w:r>
      <w:r w:rsidRPr="002F2BC5">
        <w:rPr>
          <w:rFonts w:hint="eastAsia"/>
          <w:rtl/>
        </w:rPr>
        <w:t>חלקן</w:t>
      </w:r>
      <w:r w:rsidRPr="002F2BC5">
        <w:rPr>
          <w:rtl/>
        </w:rPr>
        <w:t xml:space="preserve"> </w:t>
      </w:r>
      <w:r w:rsidRPr="002F2BC5">
        <w:rPr>
          <w:rFonts w:hint="eastAsia"/>
          <w:rtl/>
        </w:rPr>
        <w:t>היחסי</w:t>
      </w:r>
      <w:r w:rsidRPr="002F2BC5">
        <w:rPr>
          <w:rtl/>
        </w:rPr>
        <w:t xml:space="preserve"> </w:t>
      </w:r>
      <w:r w:rsidRPr="002F2BC5">
        <w:rPr>
          <w:rFonts w:hint="eastAsia"/>
          <w:rtl/>
        </w:rPr>
        <w:t>של</w:t>
      </w:r>
      <w:r w:rsidRPr="002F2BC5">
        <w:rPr>
          <w:rtl/>
        </w:rPr>
        <w:t xml:space="preserve"> </w:t>
      </w:r>
      <w:r w:rsidRPr="002F2BC5">
        <w:rPr>
          <w:rFonts w:hint="eastAsia"/>
          <w:rtl/>
        </w:rPr>
        <w:t>ההנחות</w:t>
      </w:r>
      <w:r w:rsidRPr="002F2BC5">
        <w:rPr>
          <w:rtl/>
        </w:rPr>
        <w:t xml:space="preserve"> </w:t>
      </w:r>
      <w:r w:rsidRPr="002F2BC5">
        <w:rPr>
          <w:rFonts w:hint="eastAsia"/>
          <w:rtl/>
        </w:rPr>
        <w:t>בארנונה</w:t>
      </w:r>
      <w:r w:rsidRPr="002F2BC5">
        <w:rPr>
          <w:rtl/>
        </w:rPr>
        <w:t xml:space="preserve"> לנשים יוצאות מקלט מסך ההנחות בארנונה להורה יחיד </w:t>
      </w:r>
      <w:r w:rsidRPr="002F2BC5">
        <w:rPr>
          <w:rFonts w:hint="eastAsia"/>
          <w:rtl/>
        </w:rPr>
        <w:t>הוא</w:t>
      </w:r>
      <w:r w:rsidRPr="002F2BC5">
        <w:rPr>
          <w:rtl/>
        </w:rPr>
        <w:t xml:space="preserve"> מזערי. </w:t>
      </w:r>
      <w:r w:rsidRPr="002F2BC5">
        <w:rPr>
          <w:rFonts w:hint="eastAsia"/>
          <w:rtl/>
        </w:rPr>
        <w:t>לפי</w:t>
      </w:r>
      <w:r w:rsidRPr="002F2BC5">
        <w:rPr>
          <w:rtl/>
        </w:rPr>
        <w:t xml:space="preserve"> התשובה, מרבית הרשויות המקומיות מפרסמות באתרי המרשתת שלהן מידע </w:t>
      </w:r>
      <w:r w:rsidRPr="002F2BC5">
        <w:rPr>
          <w:rFonts w:hint="eastAsia"/>
          <w:rtl/>
        </w:rPr>
        <w:t>על</w:t>
      </w:r>
      <w:r w:rsidRPr="002F2BC5">
        <w:rPr>
          <w:rtl/>
        </w:rPr>
        <w:t xml:space="preserve"> </w:t>
      </w:r>
      <w:r w:rsidRPr="002F2BC5">
        <w:rPr>
          <w:rFonts w:hint="eastAsia"/>
          <w:rtl/>
        </w:rPr>
        <w:t>העילות</w:t>
      </w:r>
      <w:r w:rsidRPr="002F2BC5">
        <w:rPr>
          <w:rtl/>
        </w:rPr>
        <w:t xml:space="preserve"> </w:t>
      </w:r>
      <w:r w:rsidRPr="002F2BC5">
        <w:rPr>
          <w:rFonts w:hint="eastAsia"/>
          <w:rtl/>
        </w:rPr>
        <w:t>העשויות</w:t>
      </w:r>
      <w:r w:rsidRPr="002F2BC5">
        <w:rPr>
          <w:rtl/>
        </w:rPr>
        <w:t xml:space="preserve"> </w:t>
      </w:r>
      <w:r w:rsidRPr="002F2BC5">
        <w:rPr>
          <w:rFonts w:hint="eastAsia"/>
          <w:rtl/>
        </w:rPr>
        <w:t>לזכות</w:t>
      </w:r>
      <w:r w:rsidRPr="002F2BC5">
        <w:rPr>
          <w:rtl/>
        </w:rPr>
        <w:t xml:space="preserve"> </w:t>
      </w:r>
      <w:r w:rsidRPr="002F2BC5">
        <w:rPr>
          <w:rFonts w:hint="eastAsia"/>
          <w:rtl/>
        </w:rPr>
        <w:t>בהנחה</w:t>
      </w:r>
      <w:r w:rsidRPr="002F2BC5">
        <w:rPr>
          <w:rtl/>
        </w:rPr>
        <w:t xml:space="preserve"> בארנונה, </w:t>
      </w:r>
      <w:r w:rsidRPr="002F2BC5">
        <w:rPr>
          <w:rFonts w:hint="cs"/>
          <w:rtl/>
        </w:rPr>
        <w:t>ו</w:t>
      </w:r>
      <w:r w:rsidRPr="002F2BC5">
        <w:rPr>
          <w:rtl/>
        </w:rPr>
        <w:t xml:space="preserve">בכלל זה </w:t>
      </w:r>
      <w:r w:rsidRPr="002F2BC5">
        <w:rPr>
          <w:rFonts w:hint="eastAsia"/>
          <w:rtl/>
        </w:rPr>
        <w:t>הזכאות</w:t>
      </w:r>
      <w:r w:rsidRPr="002F2BC5">
        <w:rPr>
          <w:rtl/>
        </w:rPr>
        <w:t xml:space="preserve"> </w:t>
      </w:r>
      <w:r w:rsidRPr="002F2BC5">
        <w:rPr>
          <w:rFonts w:hint="eastAsia"/>
          <w:rtl/>
        </w:rPr>
        <w:t>של</w:t>
      </w:r>
      <w:r w:rsidRPr="002F2BC5">
        <w:rPr>
          <w:rtl/>
        </w:rPr>
        <w:t xml:space="preserve"> </w:t>
      </w:r>
      <w:r w:rsidRPr="002F2BC5">
        <w:rPr>
          <w:rFonts w:hint="eastAsia"/>
          <w:rtl/>
        </w:rPr>
        <w:t>הורה</w:t>
      </w:r>
      <w:r w:rsidRPr="002F2BC5">
        <w:rPr>
          <w:rtl/>
        </w:rPr>
        <w:t xml:space="preserve"> יחיד להנחה, וכי במרבית הרשויות </w:t>
      </w:r>
      <w:r w:rsidRPr="002F2BC5">
        <w:rPr>
          <w:rFonts w:hint="eastAsia"/>
          <w:rtl/>
        </w:rPr>
        <w:t>הגשת</w:t>
      </w:r>
      <w:r w:rsidRPr="002F2BC5">
        <w:rPr>
          <w:rtl/>
        </w:rPr>
        <w:t xml:space="preserve"> </w:t>
      </w:r>
      <w:r w:rsidRPr="002F2BC5">
        <w:rPr>
          <w:rFonts w:hint="eastAsia"/>
          <w:rtl/>
        </w:rPr>
        <w:t>הבקשה</w:t>
      </w:r>
      <w:r w:rsidRPr="002F2BC5">
        <w:rPr>
          <w:rtl/>
        </w:rPr>
        <w:t xml:space="preserve"> </w:t>
      </w:r>
      <w:r w:rsidRPr="002F2BC5">
        <w:rPr>
          <w:rFonts w:hint="eastAsia"/>
          <w:rtl/>
        </w:rPr>
        <w:t>להנחה</w:t>
      </w:r>
      <w:r w:rsidRPr="002F2BC5">
        <w:rPr>
          <w:rtl/>
        </w:rPr>
        <w:t xml:space="preserve"> </w:t>
      </w:r>
      <w:r w:rsidRPr="002F2BC5">
        <w:rPr>
          <w:rFonts w:hint="eastAsia"/>
          <w:rtl/>
        </w:rPr>
        <w:t>נעשית</w:t>
      </w:r>
      <w:r w:rsidRPr="002F2BC5">
        <w:rPr>
          <w:rtl/>
        </w:rPr>
        <w:t xml:space="preserve"> </w:t>
      </w:r>
      <w:r w:rsidRPr="002F2BC5">
        <w:rPr>
          <w:rFonts w:hint="eastAsia"/>
          <w:rtl/>
        </w:rPr>
        <w:t>באופן</w:t>
      </w:r>
      <w:r w:rsidRPr="002F2BC5">
        <w:rPr>
          <w:rtl/>
        </w:rPr>
        <w:t xml:space="preserve"> </w:t>
      </w:r>
      <w:r w:rsidRPr="002F2BC5">
        <w:rPr>
          <w:rFonts w:hint="eastAsia"/>
          <w:rtl/>
        </w:rPr>
        <w:t>מקוון</w:t>
      </w:r>
      <w:r w:rsidRPr="002F2BC5">
        <w:rPr>
          <w:rtl/>
        </w:rPr>
        <w:t xml:space="preserve"> </w:t>
      </w:r>
      <w:r w:rsidRPr="002F2BC5">
        <w:rPr>
          <w:rFonts w:hint="eastAsia"/>
          <w:rtl/>
        </w:rPr>
        <w:t>ומתבצע</w:t>
      </w:r>
      <w:r w:rsidRPr="002F2BC5">
        <w:rPr>
          <w:rtl/>
        </w:rPr>
        <w:t xml:space="preserve"> </w:t>
      </w:r>
      <w:r w:rsidRPr="002F2BC5">
        <w:rPr>
          <w:rFonts w:hint="eastAsia"/>
          <w:rtl/>
        </w:rPr>
        <w:t>מעקב</w:t>
      </w:r>
      <w:r w:rsidRPr="002F2BC5">
        <w:rPr>
          <w:rtl/>
        </w:rPr>
        <w:t xml:space="preserve"> </w:t>
      </w:r>
      <w:r w:rsidRPr="002F2BC5">
        <w:rPr>
          <w:rFonts w:hint="eastAsia"/>
          <w:rtl/>
        </w:rPr>
        <w:t>ממוחשב</w:t>
      </w:r>
      <w:r w:rsidRPr="002F2BC5">
        <w:rPr>
          <w:rtl/>
        </w:rPr>
        <w:t xml:space="preserve">, </w:t>
      </w:r>
      <w:r w:rsidRPr="002F2BC5">
        <w:rPr>
          <w:rFonts w:hint="eastAsia"/>
          <w:rtl/>
        </w:rPr>
        <w:t>אך</w:t>
      </w:r>
      <w:r w:rsidRPr="002F2BC5">
        <w:rPr>
          <w:rtl/>
        </w:rPr>
        <w:t xml:space="preserve"> </w:t>
      </w:r>
      <w:r w:rsidRPr="002F2BC5">
        <w:rPr>
          <w:rFonts w:hint="eastAsia"/>
          <w:rtl/>
        </w:rPr>
        <w:t>לאו</w:t>
      </w:r>
      <w:r w:rsidRPr="002F2BC5">
        <w:rPr>
          <w:rtl/>
        </w:rPr>
        <w:t xml:space="preserve"> </w:t>
      </w:r>
      <w:r w:rsidRPr="002F2BC5">
        <w:rPr>
          <w:rFonts w:hint="eastAsia"/>
          <w:rtl/>
        </w:rPr>
        <w:t>דווקא</w:t>
      </w:r>
      <w:r w:rsidRPr="002F2BC5">
        <w:rPr>
          <w:rtl/>
        </w:rPr>
        <w:t xml:space="preserve"> </w:t>
      </w:r>
      <w:r w:rsidRPr="002F2BC5">
        <w:rPr>
          <w:rFonts w:hint="eastAsia"/>
          <w:rtl/>
        </w:rPr>
        <w:t>על</w:t>
      </w:r>
      <w:r w:rsidRPr="002F2BC5">
        <w:rPr>
          <w:rtl/>
        </w:rPr>
        <w:t xml:space="preserve"> </w:t>
      </w:r>
      <w:r w:rsidRPr="002F2BC5">
        <w:rPr>
          <w:rFonts w:hint="eastAsia"/>
          <w:rtl/>
        </w:rPr>
        <w:t>בקשות</w:t>
      </w:r>
      <w:r w:rsidRPr="002F2BC5">
        <w:rPr>
          <w:rtl/>
        </w:rPr>
        <w:t xml:space="preserve"> </w:t>
      </w:r>
      <w:r w:rsidRPr="002F2BC5">
        <w:rPr>
          <w:rFonts w:hint="eastAsia"/>
          <w:rtl/>
        </w:rPr>
        <w:t>שהגישו</w:t>
      </w:r>
      <w:r w:rsidRPr="002F2BC5">
        <w:rPr>
          <w:rtl/>
        </w:rPr>
        <w:t xml:space="preserve"> </w:t>
      </w:r>
      <w:r w:rsidRPr="002F2BC5">
        <w:rPr>
          <w:rFonts w:hint="eastAsia"/>
          <w:rtl/>
        </w:rPr>
        <w:t>נשים</w:t>
      </w:r>
      <w:r w:rsidRPr="002F2BC5">
        <w:rPr>
          <w:rtl/>
        </w:rPr>
        <w:t xml:space="preserve"> </w:t>
      </w:r>
      <w:r w:rsidRPr="002F2BC5">
        <w:rPr>
          <w:rFonts w:hint="eastAsia"/>
          <w:rtl/>
        </w:rPr>
        <w:t>יוצאות</w:t>
      </w:r>
      <w:r w:rsidRPr="002F2BC5">
        <w:rPr>
          <w:rtl/>
        </w:rPr>
        <w:t xml:space="preserve"> </w:t>
      </w:r>
      <w:r w:rsidRPr="002F2BC5">
        <w:rPr>
          <w:rFonts w:hint="eastAsia"/>
          <w:rtl/>
        </w:rPr>
        <w:t>מקלט</w:t>
      </w:r>
      <w:r w:rsidRPr="002F2BC5">
        <w:rPr>
          <w:rtl/>
        </w:rPr>
        <w:t>.</w:t>
      </w:r>
    </w:p>
    <w:p w14:paraId="484BE434" w14:textId="77777777" w:rsidR="00817399" w:rsidRPr="002F2BC5" w:rsidRDefault="00817399" w:rsidP="00817399">
      <w:pPr>
        <w:spacing w:line="269" w:lineRule="auto"/>
        <w:rPr>
          <w:rtl/>
        </w:rPr>
      </w:pPr>
    </w:p>
    <w:p w14:paraId="227E71FD" w14:textId="77777777" w:rsidR="00817399" w:rsidRPr="002F2BC5" w:rsidRDefault="00817399" w:rsidP="00817399">
      <w:pPr>
        <w:pStyle w:val="afffffffa"/>
        <w:spacing w:line="269" w:lineRule="auto"/>
        <w:rPr>
          <w:rtl/>
        </w:rPr>
      </w:pPr>
      <w:bookmarkStart w:id="2118" w:name="_Toc191987170"/>
      <w:bookmarkStart w:id="2119" w:name="_Toc192093192"/>
      <w:bookmarkStart w:id="2120" w:name="_Toc192612900"/>
      <w:bookmarkStart w:id="2121" w:name="_Toc198312348"/>
      <w:bookmarkStart w:id="2122" w:name="_Toc198312832"/>
      <w:bookmarkStart w:id="2123" w:name="_Toc200636989"/>
      <w:bookmarkStart w:id="2124" w:name="_Toc200439987"/>
      <w:bookmarkStart w:id="2125" w:name="_Toc201241092"/>
      <w:r w:rsidRPr="002F2BC5">
        <w:rPr>
          <w:rFonts w:hint="cs"/>
          <w:rtl/>
        </w:rPr>
        <w:t xml:space="preserve">מומלץ לעיריות </w:t>
      </w:r>
      <w:r w:rsidRPr="002F2BC5">
        <w:rPr>
          <w:rtl/>
        </w:rPr>
        <w:t>בית שמש</w:t>
      </w:r>
      <w:r w:rsidRPr="002F2BC5">
        <w:rPr>
          <w:rFonts w:hint="cs"/>
          <w:rtl/>
        </w:rPr>
        <w:t xml:space="preserve">, </w:t>
      </w:r>
      <w:r w:rsidRPr="002F2BC5">
        <w:rPr>
          <w:rtl/>
        </w:rPr>
        <w:t>בני ברק</w:t>
      </w:r>
      <w:r w:rsidRPr="002F2BC5">
        <w:rPr>
          <w:rFonts w:hint="cs"/>
          <w:rtl/>
        </w:rPr>
        <w:t xml:space="preserve">, </w:t>
      </w:r>
      <w:r w:rsidRPr="002F2BC5">
        <w:rPr>
          <w:rtl/>
        </w:rPr>
        <w:t>חדרה</w:t>
      </w:r>
      <w:r w:rsidRPr="002F2BC5">
        <w:rPr>
          <w:rFonts w:hint="cs"/>
          <w:rtl/>
        </w:rPr>
        <w:t xml:space="preserve">, </w:t>
      </w:r>
      <w:r w:rsidRPr="002F2BC5">
        <w:rPr>
          <w:rtl/>
        </w:rPr>
        <w:t>יבנה</w:t>
      </w:r>
      <w:r w:rsidRPr="002F2BC5">
        <w:rPr>
          <w:rFonts w:hint="cs"/>
          <w:rtl/>
        </w:rPr>
        <w:t xml:space="preserve">, </w:t>
      </w:r>
      <w:r w:rsidRPr="002F2BC5">
        <w:rPr>
          <w:rtl/>
        </w:rPr>
        <w:t>סח'נין</w:t>
      </w:r>
      <w:r w:rsidRPr="002F2BC5">
        <w:rPr>
          <w:rFonts w:hint="cs"/>
          <w:rtl/>
        </w:rPr>
        <w:t xml:space="preserve">, </w:t>
      </w:r>
      <w:r w:rsidRPr="002F2BC5">
        <w:rPr>
          <w:rtl/>
        </w:rPr>
        <w:t>עכו</w:t>
      </w:r>
      <w:r w:rsidRPr="002F2BC5">
        <w:rPr>
          <w:rFonts w:hint="cs"/>
          <w:rtl/>
        </w:rPr>
        <w:t xml:space="preserve">, </w:t>
      </w:r>
      <w:r w:rsidRPr="002F2BC5">
        <w:rPr>
          <w:rtl/>
        </w:rPr>
        <w:t>קריית מלאכי</w:t>
      </w:r>
      <w:r w:rsidRPr="002F2BC5">
        <w:rPr>
          <w:rFonts w:hint="cs"/>
          <w:rtl/>
        </w:rPr>
        <w:t xml:space="preserve"> ו</w:t>
      </w:r>
      <w:r w:rsidRPr="002F2BC5">
        <w:rPr>
          <w:rtl/>
        </w:rPr>
        <w:t>ראש העין</w:t>
      </w:r>
      <w:r w:rsidRPr="002F2BC5">
        <w:rPr>
          <w:rFonts w:hint="cs"/>
          <w:rtl/>
        </w:rPr>
        <w:t xml:space="preserve">, למועצה המקומית </w:t>
      </w:r>
      <w:r w:rsidRPr="002F2BC5">
        <w:rPr>
          <w:rtl/>
        </w:rPr>
        <w:t>ש</w:t>
      </w:r>
      <w:r w:rsidRPr="002F2BC5">
        <w:rPr>
          <w:rFonts w:hint="cs"/>
          <w:rtl/>
        </w:rPr>
        <w:t>י</w:t>
      </w:r>
      <w:r w:rsidRPr="002F2BC5">
        <w:rPr>
          <w:rtl/>
        </w:rPr>
        <w:t>בלי - אום אל-</w:t>
      </w:r>
      <w:r w:rsidRPr="002F2BC5">
        <w:rPr>
          <w:rFonts w:hint="cs"/>
          <w:rtl/>
        </w:rPr>
        <w:t>ר'</w:t>
      </w:r>
      <w:r w:rsidRPr="002F2BC5">
        <w:rPr>
          <w:rtl/>
        </w:rPr>
        <w:t>נם</w:t>
      </w:r>
      <w:r w:rsidRPr="002F2BC5">
        <w:rPr>
          <w:rFonts w:hint="cs"/>
          <w:rtl/>
        </w:rPr>
        <w:t xml:space="preserve"> ולמועצות האזוריות </w:t>
      </w:r>
      <w:r w:rsidRPr="002F2BC5">
        <w:rPr>
          <w:rtl/>
        </w:rPr>
        <w:t>דרום השרון</w:t>
      </w:r>
      <w:r w:rsidRPr="002F2BC5">
        <w:rPr>
          <w:rFonts w:hint="cs"/>
          <w:rtl/>
        </w:rPr>
        <w:t xml:space="preserve"> ו</w:t>
      </w:r>
      <w:r w:rsidRPr="002F2BC5">
        <w:rPr>
          <w:rtl/>
        </w:rPr>
        <w:t>מטה יהודה</w:t>
      </w:r>
      <w:r w:rsidRPr="002F2BC5">
        <w:rPr>
          <w:rFonts w:hint="cs"/>
          <w:rtl/>
        </w:rPr>
        <w:t xml:space="preserve"> לפרסם באתר המרשתת שלהן מידע בדבר זכאותן של נשים יוצאות מקלט להנחה בארנונה. עוד מומלץ לעיריות </w:t>
      </w:r>
      <w:r w:rsidRPr="002F2BC5">
        <w:rPr>
          <w:rtl/>
        </w:rPr>
        <w:t>בית שמש</w:t>
      </w:r>
      <w:r w:rsidRPr="002F2BC5">
        <w:rPr>
          <w:rFonts w:hint="cs"/>
          <w:rtl/>
        </w:rPr>
        <w:t xml:space="preserve">, </w:t>
      </w:r>
      <w:r w:rsidRPr="002F2BC5">
        <w:rPr>
          <w:rtl/>
        </w:rPr>
        <w:t>בני ברק</w:t>
      </w:r>
      <w:r w:rsidRPr="002F2BC5">
        <w:rPr>
          <w:rFonts w:hint="cs"/>
          <w:rtl/>
        </w:rPr>
        <w:t xml:space="preserve">, דימונה, </w:t>
      </w:r>
      <w:r w:rsidRPr="002F2BC5">
        <w:rPr>
          <w:rtl/>
        </w:rPr>
        <w:t>חדרה</w:t>
      </w:r>
      <w:r w:rsidRPr="002F2BC5">
        <w:rPr>
          <w:rFonts w:hint="cs"/>
          <w:rtl/>
        </w:rPr>
        <w:t xml:space="preserve">, </w:t>
      </w:r>
      <w:r w:rsidRPr="002F2BC5">
        <w:rPr>
          <w:rtl/>
        </w:rPr>
        <w:t>יבנה</w:t>
      </w:r>
      <w:r w:rsidRPr="002F2BC5">
        <w:rPr>
          <w:rFonts w:hint="cs"/>
          <w:rtl/>
        </w:rPr>
        <w:t xml:space="preserve">, </w:t>
      </w:r>
      <w:r w:rsidRPr="002F2BC5">
        <w:rPr>
          <w:rtl/>
        </w:rPr>
        <w:t>סח'נין</w:t>
      </w:r>
      <w:r w:rsidRPr="002F2BC5">
        <w:rPr>
          <w:rFonts w:hint="cs"/>
          <w:rtl/>
        </w:rPr>
        <w:t xml:space="preserve">, </w:t>
      </w:r>
      <w:r w:rsidRPr="002F2BC5">
        <w:rPr>
          <w:rtl/>
        </w:rPr>
        <w:t>עכו</w:t>
      </w:r>
      <w:r w:rsidRPr="002F2BC5">
        <w:rPr>
          <w:rFonts w:hint="cs"/>
          <w:rtl/>
        </w:rPr>
        <w:t xml:space="preserve">, </w:t>
      </w:r>
      <w:r w:rsidRPr="002F2BC5">
        <w:rPr>
          <w:rtl/>
        </w:rPr>
        <w:t>קריית מלאכי</w:t>
      </w:r>
      <w:r w:rsidRPr="002F2BC5">
        <w:rPr>
          <w:rFonts w:hint="cs"/>
          <w:rtl/>
        </w:rPr>
        <w:t xml:space="preserve"> ו</w:t>
      </w:r>
      <w:r w:rsidRPr="002F2BC5">
        <w:rPr>
          <w:rtl/>
        </w:rPr>
        <w:t>רהט</w:t>
      </w:r>
      <w:r w:rsidRPr="002F2BC5">
        <w:rPr>
          <w:rFonts w:hint="cs"/>
          <w:rtl/>
        </w:rPr>
        <w:t>, למועצות המקומיות קדימה-צורן ו</w:t>
      </w:r>
      <w:r w:rsidRPr="002F2BC5">
        <w:rPr>
          <w:rtl/>
        </w:rPr>
        <w:t>ש</w:t>
      </w:r>
      <w:r w:rsidRPr="002F2BC5">
        <w:rPr>
          <w:rFonts w:hint="cs"/>
          <w:rtl/>
        </w:rPr>
        <w:t>י</w:t>
      </w:r>
      <w:r w:rsidRPr="002F2BC5">
        <w:rPr>
          <w:rtl/>
        </w:rPr>
        <w:t>בלי - אום אל-</w:t>
      </w:r>
      <w:r w:rsidRPr="002F2BC5">
        <w:rPr>
          <w:rFonts w:hint="cs"/>
          <w:rtl/>
        </w:rPr>
        <w:t>ר'</w:t>
      </w:r>
      <w:r w:rsidRPr="002F2BC5">
        <w:rPr>
          <w:rtl/>
        </w:rPr>
        <w:t>נם</w:t>
      </w:r>
      <w:r w:rsidRPr="002F2BC5">
        <w:rPr>
          <w:rFonts w:hint="cs"/>
          <w:rtl/>
        </w:rPr>
        <w:t xml:space="preserve"> ולמועצות האזוריות </w:t>
      </w:r>
      <w:r w:rsidRPr="002F2BC5">
        <w:rPr>
          <w:rtl/>
        </w:rPr>
        <w:t>דרום השרון</w:t>
      </w:r>
      <w:r w:rsidRPr="002F2BC5">
        <w:rPr>
          <w:rFonts w:hint="cs"/>
          <w:rtl/>
        </w:rPr>
        <w:t xml:space="preserve"> ו</w:t>
      </w:r>
      <w:r w:rsidRPr="002F2BC5">
        <w:rPr>
          <w:rtl/>
        </w:rPr>
        <w:t>מטה יהודה</w:t>
      </w:r>
      <w:r w:rsidRPr="002F2BC5">
        <w:rPr>
          <w:rFonts w:hint="cs"/>
          <w:rtl/>
        </w:rPr>
        <w:t xml:space="preserve"> לנהל מעקב שיטתי וסדור אחר מיצוי זכויותיהן של נשים יוצאות מקלט המתגוררות בתחומן בכל הקשור להנחה בתשלום הארנונה, לרבות עצם הגשת הבקשה להנחה וכן ההחלטה שהתקבלה בעניינה.</w:t>
      </w:r>
      <w:bookmarkEnd w:id="2118"/>
      <w:bookmarkEnd w:id="2119"/>
      <w:bookmarkEnd w:id="2120"/>
      <w:bookmarkEnd w:id="2121"/>
      <w:bookmarkEnd w:id="2122"/>
      <w:bookmarkEnd w:id="2123"/>
      <w:bookmarkEnd w:id="2124"/>
      <w:bookmarkEnd w:id="2125"/>
    </w:p>
    <w:p w14:paraId="67E7BB3E" w14:textId="77777777" w:rsidR="00817399" w:rsidRPr="002F2BC5" w:rsidRDefault="00817399" w:rsidP="00817399">
      <w:pPr>
        <w:spacing w:line="269" w:lineRule="auto"/>
        <w:rPr>
          <w:rtl/>
        </w:rPr>
      </w:pPr>
    </w:p>
    <w:p w14:paraId="40072C8A" w14:textId="77777777" w:rsidR="00817399" w:rsidRPr="002F2BC5" w:rsidRDefault="00817399" w:rsidP="00817399">
      <w:pPr>
        <w:spacing w:line="269" w:lineRule="auto"/>
        <w:rPr>
          <w:rtl/>
        </w:rPr>
      </w:pPr>
      <w:r w:rsidRPr="002F2BC5">
        <w:rPr>
          <w:rFonts w:hint="cs"/>
          <w:rtl/>
        </w:rPr>
        <w:t xml:space="preserve">העיריות </w:t>
      </w:r>
      <w:r w:rsidRPr="002F2BC5">
        <w:rPr>
          <w:rFonts w:hint="eastAsia"/>
          <w:b/>
          <w:bCs/>
          <w:rtl/>
        </w:rPr>
        <w:t>בית</w:t>
      </w:r>
      <w:r w:rsidRPr="002F2BC5">
        <w:rPr>
          <w:b/>
          <w:bCs/>
          <w:rtl/>
        </w:rPr>
        <w:t xml:space="preserve"> </w:t>
      </w:r>
      <w:r w:rsidRPr="002F2BC5">
        <w:rPr>
          <w:rFonts w:hint="eastAsia"/>
          <w:b/>
          <w:bCs/>
          <w:rtl/>
        </w:rPr>
        <w:t>שמש</w:t>
      </w:r>
      <w:r w:rsidRPr="002F2BC5">
        <w:rPr>
          <w:rFonts w:hint="cs"/>
          <w:rtl/>
        </w:rPr>
        <w:t xml:space="preserve">, </w:t>
      </w:r>
      <w:r w:rsidRPr="002F2BC5">
        <w:rPr>
          <w:rFonts w:hint="cs"/>
          <w:b/>
          <w:bCs/>
          <w:rtl/>
        </w:rPr>
        <w:t>יבנה</w:t>
      </w:r>
      <w:r w:rsidRPr="002F2BC5">
        <w:rPr>
          <w:rtl/>
        </w:rPr>
        <w:t xml:space="preserve">, </w:t>
      </w:r>
      <w:r w:rsidRPr="002F2BC5">
        <w:rPr>
          <w:rFonts w:hint="eastAsia"/>
          <w:b/>
          <w:bCs/>
          <w:rtl/>
        </w:rPr>
        <w:t>עכו</w:t>
      </w:r>
      <w:r w:rsidRPr="002F2BC5">
        <w:rPr>
          <w:rFonts w:hint="cs"/>
          <w:rtl/>
        </w:rPr>
        <w:t xml:space="preserve">, </w:t>
      </w:r>
      <w:r w:rsidRPr="002F2BC5">
        <w:rPr>
          <w:rFonts w:hint="eastAsia"/>
          <w:b/>
          <w:bCs/>
          <w:rtl/>
        </w:rPr>
        <w:t>ראש</w:t>
      </w:r>
      <w:r w:rsidRPr="002F2BC5">
        <w:rPr>
          <w:rtl/>
        </w:rPr>
        <w:t xml:space="preserve"> </w:t>
      </w:r>
      <w:r w:rsidRPr="002F2BC5">
        <w:rPr>
          <w:rFonts w:hint="eastAsia"/>
          <w:b/>
          <w:bCs/>
          <w:rtl/>
        </w:rPr>
        <w:t>העין</w:t>
      </w:r>
      <w:r w:rsidRPr="002F2BC5">
        <w:rPr>
          <w:rFonts w:hint="cs"/>
          <w:rtl/>
        </w:rPr>
        <w:t xml:space="preserve"> ו</w:t>
      </w:r>
      <w:r w:rsidRPr="002F2BC5">
        <w:rPr>
          <w:rFonts w:hint="cs"/>
          <w:b/>
          <w:bCs/>
          <w:rtl/>
        </w:rPr>
        <w:t xml:space="preserve">קריית מלאכי </w:t>
      </w:r>
      <w:r w:rsidRPr="002F2BC5">
        <w:rPr>
          <w:rFonts w:hint="cs"/>
          <w:rtl/>
        </w:rPr>
        <w:t xml:space="preserve">והמועצה האזורית </w:t>
      </w:r>
      <w:r w:rsidRPr="002F2BC5">
        <w:rPr>
          <w:rFonts w:hint="eastAsia"/>
          <w:b/>
          <w:bCs/>
          <w:rtl/>
        </w:rPr>
        <w:t>מטה</w:t>
      </w:r>
      <w:r w:rsidRPr="002F2BC5">
        <w:rPr>
          <w:b/>
          <w:bCs/>
          <w:rtl/>
        </w:rPr>
        <w:t xml:space="preserve"> </w:t>
      </w:r>
      <w:r w:rsidRPr="002F2BC5">
        <w:rPr>
          <w:rFonts w:hint="eastAsia"/>
          <w:b/>
          <w:bCs/>
          <w:rtl/>
        </w:rPr>
        <w:t>יהודה</w:t>
      </w:r>
      <w:r w:rsidRPr="002F2BC5">
        <w:rPr>
          <w:rFonts w:hint="cs"/>
          <w:rtl/>
        </w:rPr>
        <w:t xml:space="preserve"> מסרו בתשובותיהן כי יפעלו לפרסום באתרי המרשתת שלהן את המידע בדבר זכאותן של נשים יוצאות מקלט להנחה בארנונה. עיריית יבנה הוסיפה כי היא מעניקה את ההנחה האמורה כנדרש בדין, וכי האגף לשירותים חברתיים בעירייה נותן את מלוא תשומת הלב לנושא מיצוי זכויותיהן של נשים יוצאות מקלט, ובכלל זה זכותן להנחה בארנונה, אך מידע בעניין זה אינו מועבר לעירייה מהמקלט בנסיבות שבהן האישה אינה פונה לעירייה באופן עצמאי. המועצה האזורית מטה יהודה הוסיפה כי תפעל לכך ש</w:t>
      </w:r>
      <w:r w:rsidRPr="002F2BC5">
        <w:rPr>
          <w:rtl/>
        </w:rPr>
        <w:t>מח</w:t>
      </w:r>
      <w:r w:rsidRPr="002F2BC5">
        <w:rPr>
          <w:rFonts w:hint="cs"/>
          <w:rtl/>
        </w:rPr>
        <w:t>לקת</w:t>
      </w:r>
      <w:r w:rsidRPr="002F2BC5">
        <w:rPr>
          <w:rtl/>
        </w:rPr>
        <w:t xml:space="preserve"> הגבייה במועצה תנהל מעקב אחר מיצוי זכויותיהן של נשים יוצאות מקלט בכל הקשור להנחה בתשלום הארנונה,</w:t>
      </w:r>
      <w:r w:rsidRPr="002F2BC5">
        <w:rPr>
          <w:rFonts w:hint="cs"/>
          <w:rtl/>
        </w:rPr>
        <w:t xml:space="preserve"> </w:t>
      </w:r>
      <w:r w:rsidRPr="002F2BC5">
        <w:rPr>
          <w:rtl/>
        </w:rPr>
        <w:t>לרבות עצם הגשת הבקשה להנחה וכן ההחלטה שהתקבלה בעניינה.</w:t>
      </w:r>
      <w:r w:rsidRPr="002F2BC5">
        <w:rPr>
          <w:rFonts w:hint="cs"/>
          <w:rtl/>
        </w:rPr>
        <w:t xml:space="preserve"> עיריית בית שמש הוסיפה גם היא לעניין המעקב אחר מתן ההנחה כי תבחן שיתוף פעולה בנושא עם מחלקת הגבייה בעירייה. גם המועצה המקומית </w:t>
      </w:r>
      <w:r w:rsidRPr="002F2BC5">
        <w:rPr>
          <w:rFonts w:hint="cs"/>
          <w:b/>
          <w:bCs/>
          <w:rtl/>
        </w:rPr>
        <w:t>קדימה-צורן</w:t>
      </w:r>
      <w:r w:rsidRPr="002F2BC5">
        <w:rPr>
          <w:rFonts w:hint="cs"/>
          <w:rtl/>
        </w:rPr>
        <w:t xml:space="preserve"> מסרה בתשובתה כי היא מקבלת את המלצת הביקורת האמורה לעניין המעקב</w:t>
      </w:r>
      <w:r w:rsidRPr="002F2BC5">
        <w:rPr>
          <w:rtl/>
        </w:rPr>
        <w:t xml:space="preserve"> אחר מיצוי זכויותיהן של נשים יוצאות</w:t>
      </w:r>
      <w:r w:rsidRPr="002F2BC5">
        <w:rPr>
          <w:rFonts w:hint="cs"/>
          <w:rtl/>
        </w:rPr>
        <w:t xml:space="preserve"> </w:t>
      </w:r>
      <w:r w:rsidRPr="002F2BC5">
        <w:rPr>
          <w:rtl/>
        </w:rPr>
        <w:t>מקלט בכל הקשור להנחה בתשלום הארנונה</w:t>
      </w:r>
      <w:r w:rsidRPr="002F2BC5">
        <w:rPr>
          <w:rFonts w:hint="cs"/>
          <w:rtl/>
        </w:rPr>
        <w:t xml:space="preserve">. </w:t>
      </w:r>
    </w:p>
    <w:p w14:paraId="6E447D00" w14:textId="77777777" w:rsidR="00817399" w:rsidRPr="002F2BC5" w:rsidRDefault="00817399" w:rsidP="00817399">
      <w:pPr>
        <w:spacing w:line="269" w:lineRule="auto"/>
        <w:rPr>
          <w:rtl/>
        </w:rPr>
      </w:pPr>
    </w:p>
    <w:p w14:paraId="547C6528" w14:textId="77777777" w:rsidR="00817399" w:rsidRPr="002F2BC5" w:rsidRDefault="00817399" w:rsidP="00817399">
      <w:pPr>
        <w:spacing w:line="269" w:lineRule="auto"/>
        <w:rPr>
          <w:rtl/>
        </w:rPr>
      </w:pPr>
      <w:r w:rsidRPr="002F2BC5">
        <w:rPr>
          <w:rFonts w:hint="cs"/>
          <w:rtl/>
        </w:rPr>
        <w:t xml:space="preserve">עיריית </w:t>
      </w:r>
      <w:r w:rsidRPr="002F2BC5">
        <w:rPr>
          <w:rFonts w:hint="eastAsia"/>
          <w:b/>
          <w:bCs/>
          <w:rtl/>
        </w:rPr>
        <w:t>חדרה</w:t>
      </w:r>
      <w:r w:rsidRPr="002F2BC5">
        <w:rPr>
          <w:rFonts w:hint="cs"/>
          <w:rtl/>
        </w:rPr>
        <w:t xml:space="preserve"> מסרה בתשובתה כי החלה לבחון את האפשרות לפרסם באתר המרשתת שלה מידע באשר לזכאותן של נשים יוצאות מקלט להנחה בארנונה, ולצד זאת הוסיפה כי היא מעניקה את ההנחה בהתאם להסדר האמור. גם המועצה האזורית </w:t>
      </w:r>
      <w:r w:rsidRPr="002F2BC5">
        <w:rPr>
          <w:rFonts w:hint="cs"/>
          <w:b/>
          <w:bCs/>
          <w:rtl/>
        </w:rPr>
        <w:t>דרום השרון</w:t>
      </w:r>
      <w:r w:rsidRPr="002F2BC5">
        <w:rPr>
          <w:rFonts w:hint="cs"/>
          <w:rtl/>
        </w:rPr>
        <w:t xml:space="preserve"> מסרה בתשובתה כי תבחן את האפשרות לפרסם מידע מעודכן בנוגע לזכאותן של נשים יוצאות מקלט להנחה בארנונה. עיריית </w:t>
      </w:r>
      <w:r w:rsidRPr="002F2BC5">
        <w:rPr>
          <w:rFonts w:hint="cs"/>
          <w:b/>
          <w:bCs/>
          <w:rtl/>
        </w:rPr>
        <w:t>בני ברק</w:t>
      </w:r>
      <w:r w:rsidRPr="002F2BC5">
        <w:rPr>
          <w:rFonts w:hint="cs"/>
          <w:rtl/>
        </w:rPr>
        <w:t xml:space="preserve"> מסרה בתשובתה כי ההערה החשובה תועבר לידיעת אגף הגבייה בעירייה. עיריית </w:t>
      </w:r>
      <w:r w:rsidRPr="002F2BC5">
        <w:rPr>
          <w:rFonts w:hint="eastAsia"/>
          <w:b/>
          <w:bCs/>
          <w:rtl/>
        </w:rPr>
        <w:t>דימונה</w:t>
      </w:r>
      <w:r w:rsidRPr="002F2BC5">
        <w:rPr>
          <w:rFonts w:hint="cs"/>
          <w:rtl/>
        </w:rPr>
        <w:t xml:space="preserve"> מסרה בתשובתה כי היא מלווה נפגעות אלימות במיצוי זכויותיהן במגוון תחומים, ובכלל זה בתחום הסיוע החומרי, והוסיפה כי במידת הצורך תיכלל בדוח הסוציאלי בקשה למתן הנחה בארנונה או הסדר חוב</w:t>
      </w:r>
      <w:r w:rsidRPr="002F2BC5">
        <w:rPr>
          <w:rStyle w:val="af9"/>
          <w:rtl/>
        </w:rPr>
        <w:footnoteReference w:id="417"/>
      </w:r>
      <w:r w:rsidRPr="002F2BC5">
        <w:rPr>
          <w:rFonts w:hint="cs"/>
          <w:rtl/>
        </w:rPr>
        <w:t>.</w:t>
      </w:r>
    </w:p>
    <w:p w14:paraId="4341889F" w14:textId="77777777" w:rsidR="00817399" w:rsidRPr="002F2BC5" w:rsidRDefault="00817399" w:rsidP="00817399">
      <w:pPr>
        <w:spacing w:line="269" w:lineRule="auto"/>
        <w:rPr>
          <w:rtl/>
        </w:rPr>
      </w:pPr>
    </w:p>
    <w:p w14:paraId="4423147A" w14:textId="77777777" w:rsidR="00817399" w:rsidRPr="002F2BC5" w:rsidRDefault="00817399" w:rsidP="00817399">
      <w:pPr>
        <w:spacing w:line="269" w:lineRule="auto"/>
        <w:rPr>
          <w:rtl/>
        </w:rPr>
      </w:pPr>
      <w:r w:rsidRPr="002F2BC5">
        <w:rPr>
          <w:rFonts w:hint="eastAsia"/>
          <w:rtl/>
        </w:rPr>
        <w:t>המועצה</w:t>
      </w:r>
      <w:r w:rsidRPr="002F2BC5">
        <w:rPr>
          <w:rtl/>
        </w:rPr>
        <w:t xml:space="preserve"> המקומית </w:t>
      </w:r>
      <w:r w:rsidRPr="002F2BC5">
        <w:rPr>
          <w:b/>
          <w:bCs/>
          <w:rtl/>
        </w:rPr>
        <w:t>שיבלי - אום אל-ר'נם</w:t>
      </w:r>
      <w:r w:rsidRPr="002F2BC5">
        <w:rPr>
          <w:rtl/>
        </w:rPr>
        <w:t xml:space="preserve"> מסרה בתש</w:t>
      </w:r>
      <w:r w:rsidRPr="002F2BC5">
        <w:rPr>
          <w:rFonts w:hint="eastAsia"/>
          <w:rtl/>
        </w:rPr>
        <w:t>ובתה</w:t>
      </w:r>
      <w:r w:rsidRPr="002F2BC5">
        <w:rPr>
          <w:rtl/>
        </w:rPr>
        <w:t xml:space="preserve"> כי מספרן של </w:t>
      </w:r>
      <w:r w:rsidRPr="002F2BC5">
        <w:rPr>
          <w:rFonts w:hint="eastAsia"/>
          <w:rtl/>
        </w:rPr>
        <w:t>הנשים</w:t>
      </w:r>
      <w:r w:rsidRPr="002F2BC5">
        <w:rPr>
          <w:rtl/>
        </w:rPr>
        <w:t xml:space="preserve"> </w:t>
      </w:r>
      <w:r w:rsidRPr="002F2BC5">
        <w:rPr>
          <w:rFonts w:hint="eastAsia"/>
          <w:rtl/>
        </w:rPr>
        <w:t>שהן</w:t>
      </w:r>
      <w:r w:rsidRPr="002F2BC5">
        <w:rPr>
          <w:rtl/>
        </w:rPr>
        <w:t xml:space="preserve"> </w:t>
      </w:r>
      <w:r w:rsidRPr="002F2BC5">
        <w:rPr>
          <w:rFonts w:hint="eastAsia"/>
          <w:rtl/>
        </w:rPr>
        <w:t>יוצאות</w:t>
      </w:r>
      <w:r w:rsidRPr="002F2BC5">
        <w:rPr>
          <w:rtl/>
        </w:rPr>
        <w:t xml:space="preserve"> מקלט בתחומי המועצה מצומצם</w:t>
      </w:r>
      <w:r w:rsidRPr="002F2BC5">
        <w:rPr>
          <w:rFonts w:hint="cs"/>
          <w:rtl/>
        </w:rPr>
        <w:t>,</w:t>
      </w:r>
      <w:r w:rsidRPr="002F2BC5">
        <w:rPr>
          <w:rtl/>
        </w:rPr>
        <w:t xml:space="preserve"> וכי בשנתיים שקדמו לתשובתה לא היו מקרים כאלו</w:t>
      </w:r>
      <w:r w:rsidRPr="002F2BC5">
        <w:rPr>
          <w:rFonts w:hint="cs"/>
          <w:rtl/>
        </w:rPr>
        <w:t>,</w:t>
      </w:r>
      <w:r w:rsidRPr="002F2BC5">
        <w:rPr>
          <w:rtl/>
        </w:rPr>
        <w:t xml:space="preserve"> ומסיבה </w:t>
      </w:r>
      <w:r w:rsidRPr="002F2BC5">
        <w:rPr>
          <w:rFonts w:hint="eastAsia"/>
          <w:rtl/>
        </w:rPr>
        <w:t>זו</w:t>
      </w:r>
      <w:r w:rsidRPr="002F2BC5">
        <w:rPr>
          <w:rtl/>
        </w:rPr>
        <w:t xml:space="preserve"> </w:t>
      </w:r>
      <w:r w:rsidRPr="002F2BC5">
        <w:rPr>
          <w:rFonts w:hint="eastAsia"/>
          <w:rtl/>
        </w:rPr>
        <w:t>לא</w:t>
      </w:r>
      <w:r w:rsidRPr="002F2BC5">
        <w:rPr>
          <w:rtl/>
        </w:rPr>
        <w:t xml:space="preserve"> פורסם מי</w:t>
      </w:r>
      <w:r w:rsidRPr="002F2BC5">
        <w:rPr>
          <w:rFonts w:hint="eastAsia"/>
          <w:rtl/>
        </w:rPr>
        <w:t>דע</w:t>
      </w:r>
      <w:r w:rsidRPr="002F2BC5">
        <w:rPr>
          <w:rtl/>
        </w:rPr>
        <w:t xml:space="preserve"> בנושא באתר המרשתת של המועצה. לצד זאת ציינה כי תפעל לפרסום </w:t>
      </w:r>
      <w:r w:rsidRPr="002F2BC5">
        <w:rPr>
          <w:rFonts w:hint="eastAsia"/>
          <w:rtl/>
        </w:rPr>
        <w:t>ולהנגשת</w:t>
      </w:r>
      <w:r w:rsidRPr="002F2BC5">
        <w:rPr>
          <w:rtl/>
        </w:rPr>
        <w:t xml:space="preserve"> המידע לציבור </w:t>
      </w:r>
      <w:r w:rsidRPr="002F2BC5">
        <w:rPr>
          <w:rFonts w:hint="cs"/>
          <w:rtl/>
        </w:rPr>
        <w:t xml:space="preserve">אם </w:t>
      </w:r>
      <w:r w:rsidRPr="002F2BC5">
        <w:rPr>
          <w:rtl/>
        </w:rPr>
        <w:t>תהיה לכך רלוונטיות בעתיד.</w:t>
      </w:r>
    </w:p>
    <w:p w14:paraId="10D5688F" w14:textId="77777777" w:rsidR="00817399" w:rsidRPr="002F2BC5" w:rsidRDefault="00817399" w:rsidP="00817399">
      <w:pPr>
        <w:spacing w:line="269" w:lineRule="auto"/>
        <w:rPr>
          <w:rtl/>
        </w:rPr>
      </w:pPr>
    </w:p>
    <w:p w14:paraId="6619006D" w14:textId="77777777" w:rsidR="00817399" w:rsidRPr="002F2BC5" w:rsidRDefault="00817399" w:rsidP="00817399">
      <w:pPr>
        <w:spacing w:line="269" w:lineRule="auto"/>
        <w:rPr>
          <w:rtl/>
        </w:rPr>
      </w:pPr>
      <w:bookmarkStart w:id="2126" w:name="_Hlk200363129"/>
      <w:r w:rsidRPr="002F2BC5">
        <w:rPr>
          <w:rFonts w:hint="eastAsia"/>
          <w:rtl/>
        </w:rPr>
        <w:t>משרד</w:t>
      </w:r>
      <w:r w:rsidRPr="002F2BC5">
        <w:rPr>
          <w:rtl/>
        </w:rPr>
        <w:t xml:space="preserve"> הפנים מסר בתשובתו מיוני 2025 כי </w:t>
      </w:r>
      <w:r w:rsidRPr="002F2BC5">
        <w:rPr>
          <w:rFonts w:hint="eastAsia"/>
          <w:rtl/>
        </w:rPr>
        <w:t>שעה</w:t>
      </w:r>
      <w:r w:rsidRPr="002F2BC5">
        <w:rPr>
          <w:rtl/>
        </w:rPr>
        <w:t xml:space="preserve"> </w:t>
      </w:r>
      <w:r w:rsidRPr="002F2BC5">
        <w:rPr>
          <w:rFonts w:hint="eastAsia"/>
          <w:rtl/>
        </w:rPr>
        <w:t>שמוקנית</w:t>
      </w:r>
      <w:r w:rsidRPr="002F2BC5">
        <w:rPr>
          <w:rtl/>
        </w:rPr>
        <w:t xml:space="preserve"> לרשות המקומית </w:t>
      </w:r>
      <w:r w:rsidRPr="002F2BC5">
        <w:rPr>
          <w:rFonts w:hint="eastAsia"/>
          <w:rtl/>
        </w:rPr>
        <w:t>לפי</w:t>
      </w:r>
      <w:r w:rsidRPr="002F2BC5">
        <w:rPr>
          <w:rtl/>
        </w:rPr>
        <w:t xml:space="preserve"> הדין </w:t>
      </w:r>
      <w:r w:rsidRPr="002F2BC5">
        <w:rPr>
          <w:rFonts w:hint="eastAsia"/>
          <w:rtl/>
        </w:rPr>
        <w:t>סמכות</w:t>
      </w:r>
      <w:r w:rsidRPr="002F2BC5">
        <w:rPr>
          <w:rtl/>
        </w:rPr>
        <w:t xml:space="preserve"> רשות להעניק הנחה בארנונה, בכלל זה </w:t>
      </w:r>
      <w:r w:rsidRPr="002F2BC5">
        <w:rPr>
          <w:rFonts w:hint="eastAsia"/>
          <w:rtl/>
        </w:rPr>
        <w:t>הנחה</w:t>
      </w:r>
      <w:r w:rsidRPr="002F2BC5">
        <w:rPr>
          <w:rtl/>
        </w:rPr>
        <w:t xml:space="preserve"> </w:t>
      </w:r>
      <w:r w:rsidRPr="002F2BC5">
        <w:rPr>
          <w:rFonts w:hint="eastAsia"/>
          <w:rtl/>
        </w:rPr>
        <w:t>בארנונה</w:t>
      </w:r>
      <w:r w:rsidRPr="002F2BC5">
        <w:rPr>
          <w:rtl/>
        </w:rPr>
        <w:t xml:space="preserve"> </w:t>
      </w:r>
      <w:r w:rsidRPr="002F2BC5">
        <w:rPr>
          <w:rFonts w:hint="eastAsia"/>
          <w:rtl/>
        </w:rPr>
        <w:t>לנשים</w:t>
      </w:r>
      <w:r w:rsidRPr="002F2BC5">
        <w:rPr>
          <w:rtl/>
        </w:rPr>
        <w:t xml:space="preserve"> </w:t>
      </w:r>
      <w:r w:rsidRPr="002F2BC5">
        <w:rPr>
          <w:rFonts w:hint="eastAsia"/>
          <w:rtl/>
        </w:rPr>
        <w:t>יוצאות</w:t>
      </w:r>
      <w:r w:rsidRPr="002F2BC5">
        <w:rPr>
          <w:rtl/>
        </w:rPr>
        <w:t xml:space="preserve"> </w:t>
      </w:r>
      <w:r w:rsidRPr="002F2BC5">
        <w:rPr>
          <w:rFonts w:hint="eastAsia"/>
          <w:rtl/>
        </w:rPr>
        <w:t>מקלט</w:t>
      </w:r>
      <w:r w:rsidRPr="002F2BC5">
        <w:rPr>
          <w:rtl/>
        </w:rPr>
        <w:t xml:space="preserve">, </w:t>
      </w:r>
      <w:r w:rsidRPr="002F2BC5">
        <w:rPr>
          <w:rFonts w:hint="eastAsia"/>
          <w:rtl/>
        </w:rPr>
        <w:t>ההחלטה</w:t>
      </w:r>
      <w:r w:rsidRPr="002F2BC5">
        <w:rPr>
          <w:rtl/>
        </w:rPr>
        <w:t xml:space="preserve"> על כך </w:t>
      </w:r>
      <w:r w:rsidRPr="002F2BC5">
        <w:rPr>
          <w:rFonts w:hint="eastAsia"/>
          <w:rtl/>
        </w:rPr>
        <w:t>נתונה</w:t>
      </w:r>
      <w:r w:rsidRPr="002F2BC5">
        <w:rPr>
          <w:rtl/>
        </w:rPr>
        <w:t xml:space="preserve"> </w:t>
      </w:r>
      <w:r w:rsidRPr="002F2BC5">
        <w:rPr>
          <w:rFonts w:hint="eastAsia"/>
          <w:rtl/>
        </w:rPr>
        <w:t>לשיקול</w:t>
      </w:r>
      <w:r w:rsidRPr="002F2BC5">
        <w:rPr>
          <w:rtl/>
        </w:rPr>
        <w:t xml:space="preserve"> </w:t>
      </w:r>
      <w:r w:rsidRPr="002F2BC5">
        <w:rPr>
          <w:rFonts w:hint="eastAsia"/>
          <w:rtl/>
        </w:rPr>
        <w:t>דעתה</w:t>
      </w:r>
      <w:r w:rsidRPr="002F2BC5">
        <w:rPr>
          <w:rtl/>
        </w:rPr>
        <w:t xml:space="preserve">, </w:t>
      </w:r>
      <w:r w:rsidRPr="002F2BC5">
        <w:rPr>
          <w:rFonts w:hint="eastAsia"/>
          <w:rtl/>
        </w:rPr>
        <w:t>בין</w:t>
      </w:r>
      <w:r w:rsidRPr="002F2BC5">
        <w:rPr>
          <w:rtl/>
        </w:rPr>
        <w:t xml:space="preserve"> </w:t>
      </w:r>
      <w:r w:rsidRPr="002F2BC5">
        <w:rPr>
          <w:rFonts w:hint="eastAsia"/>
          <w:rtl/>
        </w:rPr>
        <w:t>היתר</w:t>
      </w:r>
      <w:r w:rsidRPr="002F2BC5">
        <w:rPr>
          <w:rtl/>
        </w:rPr>
        <w:t xml:space="preserve"> </w:t>
      </w:r>
      <w:r w:rsidRPr="002F2BC5">
        <w:rPr>
          <w:rFonts w:hint="eastAsia"/>
          <w:rtl/>
        </w:rPr>
        <w:t>בהתחשב</w:t>
      </w:r>
      <w:r w:rsidRPr="002F2BC5">
        <w:rPr>
          <w:rtl/>
        </w:rPr>
        <w:t xml:space="preserve"> </w:t>
      </w:r>
      <w:r w:rsidRPr="002F2BC5">
        <w:rPr>
          <w:rFonts w:hint="eastAsia"/>
          <w:rtl/>
        </w:rPr>
        <w:t>ביכולותיה</w:t>
      </w:r>
      <w:r w:rsidRPr="002F2BC5">
        <w:rPr>
          <w:rtl/>
        </w:rPr>
        <w:t xml:space="preserve"> הכספיות והתקציביות, לנוכח משמעות הענקת </w:t>
      </w:r>
      <w:r w:rsidRPr="002F2BC5">
        <w:rPr>
          <w:rtl/>
        </w:rPr>
        <w:lastRenderedPageBreak/>
        <w:t>ההנחה על היקף הכנסותיה.</w:t>
      </w:r>
      <w:bookmarkEnd w:id="2126"/>
      <w:r w:rsidRPr="002F2BC5">
        <w:rPr>
          <w:rtl/>
        </w:rPr>
        <w:t xml:space="preserve"> </w:t>
      </w:r>
      <w:r w:rsidRPr="002F2BC5">
        <w:rPr>
          <w:rFonts w:hint="eastAsia"/>
          <w:rtl/>
        </w:rPr>
        <w:t>עוד</w:t>
      </w:r>
      <w:r w:rsidRPr="002F2BC5">
        <w:rPr>
          <w:rtl/>
        </w:rPr>
        <w:t xml:space="preserve"> מסר כי </w:t>
      </w:r>
      <w:r w:rsidRPr="002F2BC5">
        <w:rPr>
          <w:rFonts w:hint="eastAsia"/>
          <w:rtl/>
        </w:rPr>
        <w:t>משכך</w:t>
      </w:r>
      <w:r w:rsidRPr="002F2BC5">
        <w:rPr>
          <w:rtl/>
        </w:rPr>
        <w:t xml:space="preserve"> </w:t>
      </w:r>
      <w:r w:rsidRPr="002F2BC5">
        <w:rPr>
          <w:rFonts w:hint="eastAsia"/>
          <w:rtl/>
        </w:rPr>
        <w:t>לא</w:t>
      </w:r>
      <w:r w:rsidRPr="002F2BC5">
        <w:rPr>
          <w:rtl/>
        </w:rPr>
        <w:t xml:space="preserve"> </w:t>
      </w:r>
      <w:r w:rsidRPr="002F2BC5">
        <w:rPr>
          <w:rFonts w:hint="eastAsia"/>
          <w:rtl/>
        </w:rPr>
        <w:t>מוקנית</w:t>
      </w:r>
      <w:r w:rsidRPr="002F2BC5">
        <w:rPr>
          <w:rtl/>
        </w:rPr>
        <w:t xml:space="preserve"> </w:t>
      </w:r>
      <w:r w:rsidRPr="002F2BC5">
        <w:rPr>
          <w:rFonts w:hint="eastAsia"/>
          <w:rtl/>
        </w:rPr>
        <w:t>לו</w:t>
      </w:r>
      <w:r w:rsidRPr="002F2BC5">
        <w:rPr>
          <w:rtl/>
        </w:rPr>
        <w:t xml:space="preserve"> </w:t>
      </w:r>
      <w:r w:rsidRPr="002F2BC5">
        <w:rPr>
          <w:rFonts w:hint="eastAsia"/>
          <w:rtl/>
        </w:rPr>
        <w:t>בדין</w:t>
      </w:r>
      <w:r w:rsidRPr="002F2BC5">
        <w:rPr>
          <w:rtl/>
        </w:rPr>
        <w:t xml:space="preserve"> </w:t>
      </w:r>
      <w:r w:rsidRPr="002F2BC5">
        <w:rPr>
          <w:rFonts w:hint="eastAsia"/>
          <w:rtl/>
        </w:rPr>
        <w:t>הסמכות</w:t>
      </w:r>
      <w:r w:rsidRPr="002F2BC5">
        <w:rPr>
          <w:rtl/>
        </w:rPr>
        <w:t xml:space="preserve"> </w:t>
      </w:r>
      <w:r w:rsidRPr="002F2BC5">
        <w:rPr>
          <w:rFonts w:hint="eastAsia"/>
          <w:rtl/>
        </w:rPr>
        <w:t>להורות</w:t>
      </w:r>
      <w:r w:rsidRPr="002F2BC5">
        <w:rPr>
          <w:rtl/>
        </w:rPr>
        <w:t xml:space="preserve"> </w:t>
      </w:r>
      <w:r w:rsidRPr="002F2BC5">
        <w:rPr>
          <w:rFonts w:hint="eastAsia"/>
          <w:rtl/>
        </w:rPr>
        <w:t>לרשות</w:t>
      </w:r>
      <w:r w:rsidRPr="002F2BC5">
        <w:rPr>
          <w:rtl/>
        </w:rPr>
        <w:t xml:space="preserve"> </w:t>
      </w:r>
      <w:r w:rsidRPr="002F2BC5">
        <w:rPr>
          <w:rFonts w:hint="eastAsia"/>
          <w:rtl/>
        </w:rPr>
        <w:t>המקומית</w:t>
      </w:r>
      <w:r w:rsidRPr="002F2BC5">
        <w:rPr>
          <w:rtl/>
        </w:rPr>
        <w:t xml:space="preserve"> </w:t>
      </w:r>
      <w:r w:rsidRPr="002F2BC5">
        <w:rPr>
          <w:rFonts w:hint="eastAsia"/>
          <w:rtl/>
        </w:rPr>
        <w:t>על</w:t>
      </w:r>
      <w:r w:rsidRPr="002F2BC5">
        <w:rPr>
          <w:rtl/>
        </w:rPr>
        <w:t xml:space="preserve"> </w:t>
      </w:r>
      <w:r w:rsidRPr="002F2BC5">
        <w:rPr>
          <w:rFonts w:hint="eastAsia"/>
          <w:rtl/>
        </w:rPr>
        <w:t>מתן</w:t>
      </w:r>
      <w:r w:rsidRPr="002F2BC5">
        <w:rPr>
          <w:rtl/>
        </w:rPr>
        <w:t xml:space="preserve"> </w:t>
      </w:r>
      <w:r w:rsidRPr="002F2BC5">
        <w:rPr>
          <w:rFonts w:hint="eastAsia"/>
          <w:rtl/>
        </w:rPr>
        <w:t>ההנחה</w:t>
      </w:r>
      <w:r w:rsidRPr="002F2BC5">
        <w:rPr>
          <w:rtl/>
        </w:rPr>
        <w:t xml:space="preserve"> </w:t>
      </w:r>
      <w:r w:rsidRPr="002F2BC5">
        <w:rPr>
          <w:rFonts w:hint="eastAsia"/>
          <w:rtl/>
        </w:rPr>
        <w:t>האמורה</w:t>
      </w:r>
      <w:r w:rsidRPr="002F2BC5">
        <w:rPr>
          <w:rtl/>
        </w:rPr>
        <w:t>.</w:t>
      </w:r>
    </w:p>
    <w:p w14:paraId="68324490" w14:textId="77777777" w:rsidR="00817399" w:rsidRPr="002F2BC5" w:rsidRDefault="00817399" w:rsidP="00817399">
      <w:pPr>
        <w:spacing w:line="269" w:lineRule="auto"/>
        <w:rPr>
          <w:rtl/>
        </w:rPr>
      </w:pPr>
    </w:p>
    <w:p w14:paraId="6B7D48E3" w14:textId="77777777" w:rsidR="00817399" w:rsidRPr="002F2BC5" w:rsidRDefault="00817399" w:rsidP="00817399">
      <w:pPr>
        <w:pStyle w:val="afffffffa"/>
        <w:spacing w:line="269" w:lineRule="auto"/>
        <w:rPr>
          <w:rtl/>
        </w:rPr>
      </w:pPr>
      <w:bookmarkStart w:id="2127" w:name="_Toc191987171"/>
      <w:bookmarkStart w:id="2128" w:name="_Toc192093193"/>
      <w:bookmarkStart w:id="2129" w:name="_Toc192612901"/>
      <w:bookmarkStart w:id="2130" w:name="_Toc198312349"/>
      <w:bookmarkStart w:id="2131" w:name="_Toc198312833"/>
      <w:bookmarkStart w:id="2132" w:name="_Toc200636990"/>
      <w:bookmarkStart w:id="2133" w:name="_Toc200439988"/>
      <w:bookmarkStart w:id="2134" w:name="_Toc201241093"/>
      <w:r w:rsidRPr="002F2BC5">
        <w:rPr>
          <w:rFonts w:hint="eastAsia"/>
          <w:rtl/>
        </w:rPr>
        <w:t>משרד</w:t>
      </w:r>
      <w:r w:rsidRPr="002F2BC5">
        <w:rPr>
          <w:rtl/>
        </w:rPr>
        <w:t xml:space="preserve"> מבקר המדינה שב וממליץ למשרד הפנים לעקוב אחר מספר הבקשות שהוגשו להנחה בארנונה </w:t>
      </w:r>
      <w:r w:rsidRPr="002F2BC5">
        <w:rPr>
          <w:rFonts w:hint="eastAsia"/>
          <w:rtl/>
        </w:rPr>
        <w:t>לנשים</w:t>
      </w:r>
      <w:r w:rsidRPr="002F2BC5">
        <w:rPr>
          <w:rtl/>
        </w:rPr>
        <w:t xml:space="preserve"> יוצאות מקלט </w:t>
      </w:r>
      <w:r w:rsidRPr="002F2BC5">
        <w:rPr>
          <w:rFonts w:hint="eastAsia"/>
          <w:rtl/>
        </w:rPr>
        <w:t>ועל</w:t>
      </w:r>
      <w:r w:rsidRPr="002F2BC5">
        <w:rPr>
          <w:rtl/>
        </w:rPr>
        <w:t xml:space="preserve"> סכום ההנחה </w:t>
      </w:r>
      <w:r w:rsidRPr="002F2BC5">
        <w:rPr>
          <w:rFonts w:hint="eastAsia"/>
          <w:rtl/>
        </w:rPr>
        <w:t>הכולל</w:t>
      </w:r>
      <w:r w:rsidRPr="002F2BC5">
        <w:rPr>
          <w:rtl/>
        </w:rPr>
        <w:t xml:space="preserve"> </w:t>
      </w:r>
      <w:r w:rsidRPr="002F2BC5">
        <w:rPr>
          <w:rFonts w:hint="eastAsia"/>
          <w:rtl/>
        </w:rPr>
        <w:t>שניתן</w:t>
      </w:r>
      <w:r w:rsidRPr="002F2BC5">
        <w:rPr>
          <w:rtl/>
        </w:rPr>
        <w:t xml:space="preserve">, </w:t>
      </w:r>
      <w:r w:rsidRPr="002F2BC5">
        <w:rPr>
          <w:rFonts w:hint="eastAsia"/>
          <w:rtl/>
        </w:rPr>
        <w:t>וזאת</w:t>
      </w:r>
      <w:r w:rsidRPr="002F2BC5">
        <w:rPr>
          <w:rtl/>
        </w:rPr>
        <w:t xml:space="preserve"> </w:t>
      </w:r>
      <w:r w:rsidRPr="002F2BC5">
        <w:rPr>
          <w:rFonts w:hint="eastAsia"/>
          <w:rtl/>
        </w:rPr>
        <w:t>כחלק</w:t>
      </w:r>
      <w:r w:rsidRPr="002F2BC5">
        <w:rPr>
          <w:rtl/>
        </w:rPr>
        <w:t xml:space="preserve"> </w:t>
      </w:r>
      <w:r w:rsidRPr="002F2BC5">
        <w:rPr>
          <w:rFonts w:hint="eastAsia"/>
          <w:rtl/>
        </w:rPr>
        <w:t>מהביקורת</w:t>
      </w:r>
      <w:r w:rsidRPr="002F2BC5">
        <w:rPr>
          <w:rtl/>
        </w:rPr>
        <w:t xml:space="preserve"> הכספית </w:t>
      </w:r>
      <w:r w:rsidRPr="002F2BC5">
        <w:rPr>
          <w:rFonts w:hint="eastAsia"/>
          <w:rtl/>
        </w:rPr>
        <w:t>שנעשית</w:t>
      </w:r>
      <w:r w:rsidRPr="002F2BC5">
        <w:rPr>
          <w:rtl/>
        </w:rPr>
        <w:t xml:space="preserve"> </w:t>
      </w:r>
      <w:r w:rsidRPr="002F2BC5">
        <w:rPr>
          <w:rFonts w:hint="eastAsia"/>
          <w:rtl/>
        </w:rPr>
        <w:t>בנושא</w:t>
      </w:r>
      <w:r w:rsidRPr="002F2BC5">
        <w:rPr>
          <w:rtl/>
        </w:rPr>
        <w:t xml:space="preserve"> זה </w:t>
      </w:r>
      <w:r w:rsidRPr="002F2BC5">
        <w:rPr>
          <w:rFonts w:hint="eastAsia"/>
          <w:rtl/>
        </w:rPr>
        <w:t>מדי</w:t>
      </w:r>
      <w:r w:rsidRPr="002F2BC5">
        <w:rPr>
          <w:rtl/>
        </w:rPr>
        <w:t xml:space="preserve"> </w:t>
      </w:r>
      <w:r w:rsidRPr="002F2BC5">
        <w:rPr>
          <w:rFonts w:hint="eastAsia"/>
          <w:rtl/>
        </w:rPr>
        <w:t>שנה</w:t>
      </w:r>
      <w:r w:rsidRPr="002F2BC5">
        <w:rPr>
          <w:rtl/>
        </w:rPr>
        <w:t xml:space="preserve"> </w:t>
      </w:r>
      <w:r w:rsidRPr="002F2BC5">
        <w:rPr>
          <w:rFonts w:hint="eastAsia"/>
          <w:rtl/>
        </w:rPr>
        <w:t>באמצעות</w:t>
      </w:r>
      <w:r w:rsidRPr="002F2BC5">
        <w:rPr>
          <w:rtl/>
        </w:rPr>
        <w:t xml:space="preserve"> </w:t>
      </w:r>
      <w:r w:rsidRPr="002F2BC5">
        <w:rPr>
          <w:rFonts w:hint="eastAsia"/>
          <w:rtl/>
        </w:rPr>
        <w:t>רואי</w:t>
      </w:r>
      <w:r w:rsidRPr="002F2BC5">
        <w:rPr>
          <w:rtl/>
        </w:rPr>
        <w:t xml:space="preserve"> </w:t>
      </w:r>
      <w:r w:rsidRPr="002F2BC5">
        <w:rPr>
          <w:rFonts w:hint="eastAsia"/>
          <w:rtl/>
        </w:rPr>
        <w:t>החשבון</w:t>
      </w:r>
      <w:r w:rsidRPr="002F2BC5">
        <w:rPr>
          <w:rtl/>
        </w:rPr>
        <w:t xml:space="preserve"> </w:t>
      </w:r>
      <w:r w:rsidRPr="002F2BC5">
        <w:rPr>
          <w:rFonts w:hint="eastAsia"/>
          <w:rtl/>
        </w:rPr>
        <w:t>החיצוניים</w:t>
      </w:r>
      <w:r w:rsidRPr="002F2BC5">
        <w:rPr>
          <w:rtl/>
        </w:rPr>
        <w:t xml:space="preserve"> מטעמו.</w:t>
      </w:r>
      <w:bookmarkEnd w:id="2127"/>
      <w:bookmarkEnd w:id="2128"/>
      <w:bookmarkEnd w:id="2129"/>
      <w:bookmarkEnd w:id="2130"/>
      <w:bookmarkEnd w:id="2131"/>
      <w:bookmarkEnd w:id="2132"/>
      <w:r w:rsidRPr="002F2BC5">
        <w:rPr>
          <w:rtl/>
        </w:rPr>
        <w:t xml:space="preserve"> </w:t>
      </w:r>
      <w:r w:rsidRPr="002F2BC5">
        <w:rPr>
          <w:rFonts w:hint="eastAsia"/>
          <w:rtl/>
        </w:rPr>
        <w:t>מעקב</w:t>
      </w:r>
      <w:r w:rsidRPr="002F2BC5">
        <w:rPr>
          <w:rtl/>
        </w:rPr>
        <w:t xml:space="preserve"> </w:t>
      </w:r>
      <w:r w:rsidRPr="002F2BC5">
        <w:rPr>
          <w:rFonts w:hint="eastAsia"/>
          <w:rtl/>
        </w:rPr>
        <w:t>זה</w:t>
      </w:r>
      <w:r w:rsidRPr="002F2BC5">
        <w:rPr>
          <w:rtl/>
        </w:rPr>
        <w:t xml:space="preserve"> </w:t>
      </w:r>
      <w:r w:rsidRPr="002F2BC5">
        <w:rPr>
          <w:rFonts w:hint="eastAsia"/>
          <w:rtl/>
        </w:rPr>
        <w:t>עשוי</w:t>
      </w:r>
      <w:r w:rsidRPr="002F2BC5">
        <w:rPr>
          <w:rtl/>
        </w:rPr>
        <w:t xml:space="preserve"> לסייע </w:t>
      </w:r>
      <w:r w:rsidRPr="002F2BC5">
        <w:rPr>
          <w:rFonts w:hint="eastAsia"/>
          <w:rtl/>
        </w:rPr>
        <w:t>ל</w:t>
      </w:r>
      <w:r w:rsidRPr="002F2BC5">
        <w:rPr>
          <w:rtl/>
        </w:rPr>
        <w:t xml:space="preserve">זיהוי חסמים מערכתיים במימוש הזכאות להנחה או </w:t>
      </w:r>
      <w:r w:rsidRPr="002F2BC5">
        <w:rPr>
          <w:rFonts w:hint="eastAsia"/>
          <w:rtl/>
        </w:rPr>
        <w:t>ל</w:t>
      </w:r>
      <w:r w:rsidRPr="002F2BC5">
        <w:rPr>
          <w:rtl/>
        </w:rPr>
        <w:t xml:space="preserve">זיהוי חסמים המשותפים לרשויות מקומיות בעלות מאפיינים מסוימים, </w:t>
      </w:r>
      <w:r w:rsidRPr="002F2BC5">
        <w:rPr>
          <w:rFonts w:hint="eastAsia"/>
          <w:rtl/>
        </w:rPr>
        <w:t>שעה</w:t>
      </w:r>
      <w:r w:rsidRPr="002F2BC5">
        <w:rPr>
          <w:rtl/>
        </w:rPr>
        <w:t xml:space="preserve"> </w:t>
      </w:r>
      <w:r w:rsidRPr="002F2BC5">
        <w:rPr>
          <w:rFonts w:hint="eastAsia"/>
          <w:rtl/>
        </w:rPr>
        <w:t>שהרשות</w:t>
      </w:r>
      <w:r w:rsidRPr="002F2BC5">
        <w:rPr>
          <w:rtl/>
        </w:rPr>
        <w:t xml:space="preserve"> </w:t>
      </w:r>
      <w:r w:rsidRPr="002F2BC5">
        <w:rPr>
          <w:rFonts w:hint="eastAsia"/>
          <w:rtl/>
        </w:rPr>
        <w:t>המקומית</w:t>
      </w:r>
      <w:r w:rsidRPr="002F2BC5">
        <w:rPr>
          <w:rtl/>
        </w:rPr>
        <w:t xml:space="preserve"> </w:t>
      </w:r>
      <w:r w:rsidRPr="002F2BC5">
        <w:rPr>
          <w:rFonts w:hint="eastAsia"/>
          <w:rtl/>
        </w:rPr>
        <w:t>החליטה</w:t>
      </w:r>
      <w:r w:rsidRPr="002F2BC5">
        <w:rPr>
          <w:rtl/>
        </w:rPr>
        <w:t xml:space="preserve"> </w:t>
      </w:r>
      <w:r w:rsidRPr="002F2BC5">
        <w:rPr>
          <w:rFonts w:hint="eastAsia"/>
          <w:rtl/>
        </w:rPr>
        <w:t>להעניק</w:t>
      </w:r>
      <w:r w:rsidRPr="002F2BC5">
        <w:rPr>
          <w:rtl/>
        </w:rPr>
        <w:t xml:space="preserve"> </w:t>
      </w:r>
      <w:r w:rsidRPr="002F2BC5">
        <w:rPr>
          <w:rFonts w:hint="eastAsia"/>
          <w:rtl/>
        </w:rPr>
        <w:t>הנחה</w:t>
      </w:r>
      <w:r w:rsidRPr="002F2BC5">
        <w:rPr>
          <w:rtl/>
        </w:rPr>
        <w:t xml:space="preserve"> </w:t>
      </w:r>
      <w:r w:rsidRPr="002F2BC5">
        <w:rPr>
          <w:rFonts w:hint="eastAsia"/>
          <w:rtl/>
        </w:rPr>
        <w:t>בארנונה</w:t>
      </w:r>
      <w:r w:rsidRPr="002F2BC5">
        <w:rPr>
          <w:rtl/>
        </w:rPr>
        <w:t>.</w:t>
      </w:r>
      <w:bookmarkEnd w:id="2133"/>
      <w:bookmarkEnd w:id="2134"/>
    </w:p>
    <w:p w14:paraId="406220FB" w14:textId="77777777" w:rsidR="00817399" w:rsidRPr="002F2BC5" w:rsidRDefault="00817399" w:rsidP="00817399">
      <w:pPr>
        <w:spacing w:line="269" w:lineRule="auto"/>
        <w:rPr>
          <w:rtl/>
        </w:rPr>
      </w:pPr>
    </w:p>
    <w:p w14:paraId="0F98020C"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55933710" w14:textId="77777777" w:rsidR="00817399" w:rsidRPr="002F2BC5" w:rsidRDefault="00817399" w:rsidP="00817399">
      <w:pPr>
        <w:pStyle w:val="afffffff7"/>
        <w:spacing w:before="0" w:line="269" w:lineRule="auto"/>
        <w:rPr>
          <w:b/>
          <w:bCs/>
          <w:rtl/>
        </w:rPr>
      </w:pPr>
      <w:bookmarkStart w:id="2135" w:name="_Toc189072289"/>
      <w:r w:rsidRPr="002F2BC5">
        <w:rPr>
          <w:noProof/>
          <w:sz w:val="24"/>
        </w:rPr>
        <w:drawing>
          <wp:inline distT="0" distB="0" distL="0" distR="0" wp14:anchorId="7B1A187E" wp14:editId="332A9748">
            <wp:extent cx="4324350" cy="933450"/>
            <wp:effectExtent l="0" t="0" r="0" b="0"/>
            <wp:docPr id="2052770962" name="תמונה 205277096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1056"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1"/>
        <w:gridCol w:w="1474"/>
        <w:gridCol w:w="1474"/>
        <w:gridCol w:w="1474"/>
        <w:gridCol w:w="1474"/>
      </w:tblGrid>
      <w:tr w:rsidR="00817399" w:rsidRPr="002F2BC5" w14:paraId="41E3A8F6" w14:textId="77777777" w:rsidTr="00B14D2A">
        <w:trPr>
          <w:jc w:val="center"/>
        </w:trPr>
        <w:tc>
          <w:tcPr>
            <w:tcW w:w="1531" w:type="dxa"/>
          </w:tcPr>
          <w:bookmarkEnd w:id="2135"/>
          <w:p w14:paraId="0BB43D34"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משרד הפנים</w:t>
            </w:r>
          </w:p>
          <w:p w14:paraId="1C9CA5F2" w14:textId="77777777" w:rsidR="00817399" w:rsidRPr="002F2BC5" w:rsidRDefault="00817399" w:rsidP="00B14D2A">
            <w:pPr>
              <w:keepNext/>
              <w:spacing w:line="269" w:lineRule="auto"/>
              <w:jc w:val="center"/>
              <w:rPr>
                <w:rFonts w:ascii="Assistant" w:hAnsi="Assistant" w:cs="Assistant"/>
                <w:sz w:val="18"/>
                <w:szCs w:val="18"/>
                <w:rtl/>
              </w:rPr>
            </w:pPr>
          </w:p>
        </w:tc>
        <w:tc>
          <w:tcPr>
            <w:tcW w:w="1474" w:type="dxa"/>
          </w:tcPr>
          <w:p w14:paraId="4096F547" w14:textId="77777777" w:rsidR="00817399" w:rsidRPr="002F2BC5" w:rsidRDefault="00817399" w:rsidP="00B14D2A">
            <w:pPr>
              <w:keepNext/>
              <w:spacing w:line="269" w:lineRule="auto"/>
              <w:jc w:val="center"/>
              <w:rPr>
                <w:rFonts w:ascii="Assistant" w:hAnsi="Assistant" w:cs="Assistant"/>
                <w:sz w:val="18"/>
                <w:szCs w:val="18"/>
                <w:rtl/>
              </w:rPr>
            </w:pPr>
          </w:p>
        </w:tc>
        <w:tc>
          <w:tcPr>
            <w:tcW w:w="1474" w:type="dxa"/>
          </w:tcPr>
          <w:p w14:paraId="7A4C7FC1"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בית שמש</w:t>
            </w:r>
          </w:p>
          <w:p w14:paraId="63CDFC95"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בני ברק</w:t>
            </w:r>
          </w:p>
          <w:p w14:paraId="705FC880"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דרום השרון</w:t>
            </w:r>
          </w:p>
          <w:p w14:paraId="259BD7AE"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חדרה</w:t>
            </w:r>
          </w:p>
          <w:p w14:paraId="66ADE761"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יבנה</w:t>
            </w:r>
          </w:p>
          <w:p w14:paraId="389264C8"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מטה יהודה</w:t>
            </w:r>
          </w:p>
          <w:p w14:paraId="63311FC0"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סח</w:t>
            </w:r>
            <w:r w:rsidRPr="002F2BC5">
              <w:rPr>
                <w:rFonts w:ascii="Assistant" w:hAnsi="Assistant" w:cs="Assistant"/>
                <w:sz w:val="18"/>
                <w:szCs w:val="18"/>
                <w:rtl/>
              </w:rPr>
              <w:t>'</w:t>
            </w:r>
            <w:r w:rsidRPr="002F2BC5">
              <w:rPr>
                <w:rFonts w:ascii="Assistant" w:hAnsi="Assistant" w:cs="Assistant" w:hint="cs"/>
                <w:sz w:val="18"/>
                <w:szCs w:val="18"/>
                <w:rtl/>
              </w:rPr>
              <w:t>נין</w:t>
            </w:r>
          </w:p>
          <w:p w14:paraId="6E9BF372"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עכו</w:t>
            </w:r>
          </w:p>
          <w:p w14:paraId="6FD74F6D"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קריית מלאכי</w:t>
            </w:r>
          </w:p>
          <w:p w14:paraId="320F01E8"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ראש העין</w:t>
            </w:r>
          </w:p>
          <w:p w14:paraId="04C8FE1F"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רהט</w:t>
            </w:r>
          </w:p>
          <w:p w14:paraId="2DC9A0C3"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שיבלי - אום אל-ר'נם</w:t>
            </w:r>
          </w:p>
        </w:tc>
        <w:tc>
          <w:tcPr>
            <w:tcW w:w="1474" w:type="dxa"/>
          </w:tcPr>
          <w:p w14:paraId="2B2926D7" w14:textId="77777777" w:rsidR="00817399" w:rsidRPr="002F2BC5" w:rsidRDefault="00817399" w:rsidP="00B14D2A">
            <w:pPr>
              <w:keepNext/>
              <w:spacing w:line="269" w:lineRule="auto"/>
              <w:rPr>
                <w:rFonts w:ascii="Assistant" w:hAnsi="Assistant" w:cs="Assistant"/>
                <w:sz w:val="18"/>
                <w:szCs w:val="18"/>
                <w:rtl/>
              </w:rPr>
            </w:pPr>
          </w:p>
        </w:tc>
        <w:tc>
          <w:tcPr>
            <w:tcW w:w="1474" w:type="dxa"/>
          </w:tcPr>
          <w:p w14:paraId="64C3E350"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דימונה</w:t>
            </w:r>
          </w:p>
          <w:p w14:paraId="49F472C4" w14:textId="77777777" w:rsidR="00817399" w:rsidRPr="002F2BC5" w:rsidRDefault="00817399" w:rsidP="00B14D2A">
            <w:pPr>
              <w:keepNext/>
              <w:spacing w:line="269" w:lineRule="auto"/>
              <w:jc w:val="center"/>
              <w:rPr>
                <w:rFonts w:ascii="Assistant" w:hAnsi="Assistant" w:cs="Assistant"/>
                <w:sz w:val="18"/>
                <w:szCs w:val="18"/>
                <w:rtl/>
              </w:rPr>
            </w:pPr>
            <w:r w:rsidRPr="002F2BC5">
              <w:rPr>
                <w:rFonts w:ascii="Assistant" w:hAnsi="Assistant" w:cs="Assistant" w:hint="cs"/>
                <w:sz w:val="18"/>
                <w:szCs w:val="18"/>
                <w:rtl/>
              </w:rPr>
              <w:t>קדימה-צורן</w:t>
            </w:r>
          </w:p>
        </w:tc>
      </w:tr>
    </w:tbl>
    <w:p w14:paraId="55D5C473" w14:textId="77777777" w:rsidR="00817399" w:rsidRPr="002F2BC5" w:rsidRDefault="00817399" w:rsidP="00817399">
      <w:pPr>
        <w:spacing w:line="269" w:lineRule="auto"/>
        <w:rPr>
          <w:rtl/>
        </w:rPr>
      </w:pPr>
    </w:p>
    <w:p w14:paraId="04DE5CE0" w14:textId="77777777" w:rsidR="00817399" w:rsidRPr="002F2BC5" w:rsidRDefault="00817399" w:rsidP="00817399">
      <w:pPr>
        <w:pStyle w:val="4"/>
        <w:spacing w:before="0" w:line="269" w:lineRule="auto"/>
        <w:rPr>
          <w:rtl/>
        </w:rPr>
      </w:pPr>
      <w:bookmarkStart w:id="2136" w:name="_Toc61359489"/>
      <w:bookmarkStart w:id="2137" w:name="_Toc189072290"/>
      <w:bookmarkStart w:id="2138" w:name="_Toc191987172"/>
      <w:bookmarkStart w:id="2139" w:name="_Toc191891404"/>
      <w:bookmarkStart w:id="2140" w:name="_Toc192093194"/>
      <w:bookmarkStart w:id="2141" w:name="_Toc193110643"/>
      <w:bookmarkStart w:id="2142" w:name="_Toc192612902"/>
      <w:bookmarkStart w:id="2143" w:name="_Toc192778838"/>
      <w:bookmarkStart w:id="2144" w:name="_Toc198312351"/>
      <w:bookmarkStart w:id="2145" w:name="_Toc198312835"/>
      <w:bookmarkStart w:id="2146" w:name="_Toc200636816"/>
      <w:bookmarkStart w:id="2147" w:name="_Toc200636991"/>
      <w:bookmarkStart w:id="2148" w:name="_Toc200439815"/>
      <w:bookmarkStart w:id="2149" w:name="_Toc200439989"/>
      <w:bookmarkStart w:id="2150" w:name="_Toc201241094"/>
      <w:bookmarkStart w:id="2151" w:name="_Toc192784392"/>
      <w:bookmarkStart w:id="2152" w:name="_Toc201759378"/>
      <w:bookmarkStart w:id="2153" w:name="_Toc203488014"/>
      <w:r w:rsidRPr="002F2BC5">
        <w:rPr>
          <w:rFonts w:hint="cs"/>
          <w:rtl/>
        </w:rPr>
        <w:t>טיפול בפוגעים</w:t>
      </w:r>
      <w:bookmarkEnd w:id="2136"/>
      <w:r w:rsidRPr="002F2BC5">
        <w:rPr>
          <w:rFonts w:hint="cs"/>
          <w:rtl/>
        </w:rPr>
        <w:t xml:space="preserve"> ושיקומם</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619DC2D5" w14:textId="77777777" w:rsidR="00817399" w:rsidRPr="002F2BC5" w:rsidRDefault="00817399" w:rsidP="00817399">
      <w:pPr>
        <w:spacing w:line="269" w:lineRule="auto"/>
        <w:rPr>
          <w:rtl/>
        </w:rPr>
      </w:pPr>
    </w:p>
    <w:p w14:paraId="7C484DD3" w14:textId="77777777" w:rsidR="00817399" w:rsidRPr="002F2BC5" w:rsidRDefault="00817399" w:rsidP="00817399">
      <w:pPr>
        <w:spacing w:line="269" w:lineRule="auto"/>
        <w:rPr>
          <w:rtl/>
        </w:rPr>
      </w:pPr>
      <w:r w:rsidRPr="002F2BC5">
        <w:rPr>
          <w:rFonts w:hint="cs"/>
          <w:rtl/>
        </w:rPr>
        <w:t>בשונה מעבירות אחרות, בעבירת אלימות במשפחה ממשיך להתקיים לעיתים קשר משפחתי, רגשי, חוקי או כלכלי בין הפוגע לבין הנפגע ובני משפחתו גם לאחר ביצוע העבירה. נסיבות אלו מחייבות התייחסות מיוחדת למי שמרצים מאסר בגין עבירות אלימות במשפחה - עוד במהלך ריצוי מעצרם או מאסרם ועל אחת כמה וכמה לאחר שחרורם, עם חזרתם לקהילה</w:t>
      </w:r>
      <w:r w:rsidRPr="002F2BC5">
        <w:rPr>
          <w:rStyle w:val="af9"/>
          <w:rtl/>
        </w:rPr>
        <w:footnoteReference w:id="418"/>
      </w:r>
      <w:r w:rsidRPr="002F2BC5">
        <w:rPr>
          <w:rFonts w:hint="cs"/>
          <w:rtl/>
        </w:rPr>
        <w:t xml:space="preserve">. </w:t>
      </w:r>
    </w:p>
    <w:p w14:paraId="7CDE9FCB" w14:textId="77777777" w:rsidR="00817399" w:rsidRPr="002F2BC5" w:rsidRDefault="00817399" w:rsidP="00817399">
      <w:pPr>
        <w:spacing w:line="269" w:lineRule="auto"/>
        <w:rPr>
          <w:rtl/>
        </w:rPr>
      </w:pPr>
    </w:p>
    <w:p w14:paraId="03A5309A" w14:textId="77777777" w:rsidR="00817399" w:rsidRPr="002F2BC5" w:rsidRDefault="00817399" w:rsidP="00817399">
      <w:pPr>
        <w:spacing w:line="269" w:lineRule="auto"/>
        <w:rPr>
          <w:rtl/>
        </w:rPr>
      </w:pPr>
      <w:r w:rsidRPr="002F2BC5">
        <w:rPr>
          <w:rFonts w:hint="cs"/>
          <w:rtl/>
        </w:rPr>
        <w:t xml:space="preserve">שירות המבחן, שירות בתי הסוהר </w:t>
      </w:r>
      <w:r w:rsidRPr="002F2BC5">
        <w:rPr>
          <w:rtl/>
        </w:rPr>
        <w:t>והרשות לשיקום האסיר</w:t>
      </w:r>
      <w:r w:rsidRPr="002F2BC5">
        <w:rPr>
          <w:rFonts w:hint="cs"/>
          <w:rtl/>
        </w:rPr>
        <w:t xml:space="preserve"> אמונים על הטיפול בפוגעים במהלך ההליך המשפטי (האזרחי או הפלילי) ולאחריו. עיקר מעורבותו של שירות המבחן למבוגרים, בכל הקשור לעבירות אלימות במשפחה, הוא בשלב החקירה והמעצר של הפוגע, ובמקרים מסוימים גם לאחר שחרורו, אם כך הורה בית המשפט; שירות בתי הסוהר מעורב גם הוא בשלב המעצר וכן בעת מתן גזר הדין ובמהלך שהותו של האסיר בין כותלי בית הסוהר; ואילו עיקר מעורבותה של הרשות לשיקום האסיר הוא בעת השתלבותו של האסיר בקהילה לאחר שחרורו. לתיאום בין הגופים השפעה על התאמת הטיפול, הערכת המסוכנות, השמירה על הרצף הטיפולי ושיקומו המלא של הפוגע - וכפועל יוצא נודעת חשיבות להעברת המידע והתיאום בטיפול בין הגופים הללו</w:t>
      </w:r>
      <w:r w:rsidRPr="002F2BC5">
        <w:rPr>
          <w:rtl/>
        </w:rPr>
        <w:t>.</w:t>
      </w:r>
    </w:p>
    <w:p w14:paraId="73462F2D" w14:textId="77777777" w:rsidR="00817399" w:rsidRPr="002F2BC5" w:rsidRDefault="00817399" w:rsidP="00817399">
      <w:pPr>
        <w:spacing w:line="269" w:lineRule="auto"/>
        <w:rPr>
          <w:rtl/>
        </w:rPr>
      </w:pPr>
    </w:p>
    <w:p w14:paraId="668CCA21" w14:textId="6689CA51" w:rsidR="00817399" w:rsidRPr="002F2BC5" w:rsidRDefault="00817399" w:rsidP="00817399">
      <w:pPr>
        <w:spacing w:line="269" w:lineRule="auto"/>
        <w:rPr>
          <w:rtl/>
        </w:rPr>
      </w:pPr>
      <w:r w:rsidRPr="002F2BC5">
        <w:rPr>
          <w:rFonts w:hint="cs"/>
          <w:rtl/>
        </w:rPr>
        <w:lastRenderedPageBreak/>
        <w:t>דרכי מעורבותם של שירות המבחן, שירות בתי הסוהר והרשות לשיקום האסיר לצד מערכת המשפט בכל הקשור להפניה לטיפול ובטיפול בפוגעים ובשיקומם במהלך ההליך הפלילי, בין כותלי בית הסוהר ולאחר השחרור ממאסר - מוצגות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Ref189116847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26</w:t>
      </w:r>
      <w:r w:rsidRPr="002F2BC5">
        <w:rPr>
          <w:rtl/>
        </w:rPr>
        <w:fldChar w:fldCharType="end"/>
      </w:r>
      <w:r w:rsidRPr="002F2BC5">
        <w:rPr>
          <w:rFonts w:hint="cs"/>
          <w:rtl/>
        </w:rPr>
        <w:t xml:space="preserve"> שלהלן.</w:t>
      </w:r>
    </w:p>
    <w:p w14:paraId="42334CB3" w14:textId="77777777" w:rsidR="00817399" w:rsidRPr="002F2BC5" w:rsidRDefault="00817399" w:rsidP="00817399">
      <w:pPr>
        <w:spacing w:line="269" w:lineRule="auto"/>
        <w:rPr>
          <w:rtl/>
        </w:rPr>
      </w:pPr>
    </w:p>
    <w:p w14:paraId="45123A68" w14:textId="77777777" w:rsidR="00817399" w:rsidRPr="002F2BC5" w:rsidRDefault="00817399" w:rsidP="00817399">
      <w:pPr>
        <w:pStyle w:val="a9"/>
        <w:spacing w:line="269" w:lineRule="auto"/>
        <w:rPr>
          <w:rtl/>
        </w:rPr>
      </w:pPr>
      <w:bookmarkStart w:id="2154" w:name="_Ref189116847"/>
      <w:bookmarkStart w:id="2155" w:name="_Toc192672918"/>
      <w:r w:rsidRPr="002F2BC5">
        <w:rPr>
          <w:rFonts w:hint="cs"/>
          <w:rtl/>
        </w:rPr>
        <w:t xml:space="preserve">: </w:t>
      </w:r>
      <w:r w:rsidRPr="002F2BC5">
        <w:rPr>
          <w:b w:val="0"/>
          <w:bCs/>
          <w:rtl/>
        </w:rPr>
        <w:t>דרכי מעורבותם של שירות המבחן, שירות בתי הסוהר והרשות לשיקום האסיר בטיפול בפוגעים ובשיקומם</w:t>
      </w:r>
      <w:bookmarkEnd w:id="2154"/>
      <w:bookmarkEnd w:id="2155"/>
    </w:p>
    <w:p w14:paraId="67577747"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03FA623A" wp14:editId="3796FFF8">
            <wp:extent cx="4963160" cy="2501900"/>
            <wp:effectExtent l="0" t="0" r="8890" b="0"/>
            <wp:docPr id="111" name="תמונה 1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69"/>
                    <a:srcRect l="4926"/>
                    <a:stretch>
                      <a:fillRect/>
                    </a:stretch>
                  </pic:blipFill>
                  <pic:spPr bwMode="auto">
                    <a:xfrm>
                      <a:off x="0" y="0"/>
                      <a:ext cx="4963160" cy="2501900"/>
                    </a:xfrm>
                    <a:prstGeom prst="rect">
                      <a:avLst/>
                    </a:prstGeom>
                    <a:ln>
                      <a:noFill/>
                    </a:ln>
                    <a:extLst>
                      <a:ext uri="{53640926-AAD7-44D8-BBD7-CCE9431645EC}">
                        <a14:shadowObscured xmlns:a14="http://schemas.microsoft.com/office/drawing/2010/main"/>
                      </a:ext>
                    </a:extLst>
                  </pic:spPr>
                </pic:pic>
              </a:graphicData>
            </a:graphic>
          </wp:inline>
        </w:drawing>
      </w:r>
    </w:p>
    <w:p w14:paraId="2187D448" w14:textId="77777777" w:rsidR="00817399" w:rsidRPr="002F2BC5" w:rsidRDefault="00817399" w:rsidP="00817399">
      <w:pPr>
        <w:pStyle w:val="afffffff1"/>
        <w:bidi/>
        <w:spacing w:line="269" w:lineRule="auto"/>
        <w:rPr>
          <w:rtl/>
        </w:rPr>
      </w:pPr>
      <w:r w:rsidRPr="002F2BC5">
        <w:rPr>
          <w:rFonts w:hint="cs"/>
          <w:rtl/>
        </w:rPr>
        <w:t>על פי מידע שנאסף במהלך ביקורת המעקב, בעיבוד משרד מבקר המדינה.</w:t>
      </w:r>
    </w:p>
    <w:p w14:paraId="72E7A0CD" w14:textId="77777777" w:rsidR="00817399" w:rsidRPr="002F2BC5" w:rsidRDefault="00817399" w:rsidP="00817399">
      <w:pPr>
        <w:spacing w:line="269" w:lineRule="auto"/>
        <w:rPr>
          <w:rtl/>
        </w:rPr>
      </w:pPr>
    </w:p>
    <w:p w14:paraId="3B10BFB9" w14:textId="77777777" w:rsidR="00817399" w:rsidRPr="002F2BC5" w:rsidRDefault="00817399" w:rsidP="00817399">
      <w:pPr>
        <w:pStyle w:val="50"/>
        <w:spacing w:line="269" w:lineRule="auto"/>
        <w:rPr>
          <w:rtl/>
        </w:rPr>
      </w:pPr>
      <w:bookmarkStart w:id="2156" w:name="_Toc189072291"/>
      <w:bookmarkStart w:id="2157" w:name="_Toc191987173"/>
      <w:bookmarkStart w:id="2158" w:name="_Toc192093195"/>
      <w:bookmarkStart w:id="2159" w:name="_Toc193110644"/>
      <w:bookmarkStart w:id="2160" w:name="_Toc192612903"/>
      <w:bookmarkStart w:id="2161" w:name="_Toc198312836"/>
      <w:bookmarkStart w:id="2162" w:name="_Toc200636992"/>
      <w:bookmarkStart w:id="2163" w:name="_Toc200439990"/>
      <w:bookmarkStart w:id="2164" w:name="_Toc201241095"/>
      <w:bookmarkStart w:id="2165" w:name="_Ref183673896"/>
      <w:r w:rsidRPr="002F2BC5">
        <w:rPr>
          <w:rFonts w:hint="cs"/>
          <w:rtl/>
        </w:rPr>
        <w:t>טיפול ושיקום במהלך ההליך השיפוטי</w:t>
      </w:r>
      <w:bookmarkEnd w:id="2156"/>
      <w:bookmarkEnd w:id="2157"/>
      <w:bookmarkEnd w:id="2158"/>
      <w:bookmarkEnd w:id="2159"/>
      <w:bookmarkEnd w:id="2160"/>
      <w:bookmarkEnd w:id="2161"/>
      <w:bookmarkEnd w:id="2162"/>
      <w:bookmarkEnd w:id="2163"/>
      <w:bookmarkEnd w:id="2164"/>
      <w:r w:rsidRPr="002F2BC5">
        <w:rPr>
          <w:rFonts w:hint="cs"/>
          <w:rtl/>
        </w:rPr>
        <w:t xml:space="preserve"> </w:t>
      </w:r>
    </w:p>
    <w:p w14:paraId="0C9801BD" w14:textId="77777777" w:rsidR="00817399" w:rsidRPr="002F2BC5" w:rsidRDefault="00817399" w:rsidP="00817399">
      <w:pPr>
        <w:spacing w:line="269" w:lineRule="auto"/>
        <w:rPr>
          <w:rtl/>
        </w:rPr>
      </w:pPr>
    </w:p>
    <w:p w14:paraId="3E8767DB" w14:textId="77777777" w:rsidR="00817399" w:rsidRPr="002F2BC5" w:rsidRDefault="00817399" w:rsidP="00817399">
      <w:pPr>
        <w:spacing w:line="269" w:lineRule="auto"/>
        <w:rPr>
          <w:rtl/>
        </w:rPr>
      </w:pPr>
      <w:r w:rsidRPr="002F2BC5">
        <w:rPr>
          <w:rFonts w:hint="cs"/>
          <w:rtl/>
        </w:rPr>
        <w:t>רתימת הפוגע לצורך שילובו בהליך טיפולי-שיקומי עשויה להיות "המפתח לשיקום המשפחה", כפי שציינה ועדת בן-שלום בהמלצותיה. עם זאת, על פי רוב הפוגע מכחיש את התוקפנות מצידו, מאשים את הקורבן ומתנגד לטיפול, בשעה שדווקא במקרים אלו המאמץ לרתום את הפוגע לתהליך הטיפולי חיוני במיוחד</w:t>
      </w:r>
      <w:r w:rsidRPr="002F2BC5">
        <w:rPr>
          <w:rStyle w:val="af9"/>
          <w:rtl/>
        </w:rPr>
        <w:footnoteReference w:id="419"/>
      </w:r>
      <w:r w:rsidRPr="002F2BC5">
        <w:rPr>
          <w:rFonts w:hint="cs"/>
          <w:rtl/>
        </w:rPr>
        <w:t>. כאשר מנוהל כנגד הפוגע הליך משפטי - אזרחי או פלילי - ההליך עצמו יכול לשמש מנוף לרתימת הפוגע להליך טיפולי. אפשרות זו קיימת בהליך האזרחי במסגרת הדיון בבקשה לצו הגנה, ובמסגרת ההליך הפלילי - כחלופה למעצר או למאסר בפועל. להלן יפורטו ממצאי הביקורת בנושאים אלו.</w:t>
      </w:r>
    </w:p>
    <w:p w14:paraId="6BA81F3D" w14:textId="77777777" w:rsidR="00817399" w:rsidRPr="002F2BC5" w:rsidRDefault="00817399" w:rsidP="00817399">
      <w:pPr>
        <w:spacing w:line="269" w:lineRule="auto"/>
        <w:rPr>
          <w:rtl/>
        </w:rPr>
      </w:pPr>
    </w:p>
    <w:p w14:paraId="2BC34978" w14:textId="77777777" w:rsidR="00817399" w:rsidRPr="002F2BC5" w:rsidRDefault="00817399" w:rsidP="00817399">
      <w:pPr>
        <w:pStyle w:val="6"/>
        <w:spacing w:line="269" w:lineRule="auto"/>
        <w:rPr>
          <w:rtl/>
        </w:rPr>
      </w:pPr>
      <w:bookmarkStart w:id="2166" w:name="_Toc189072292"/>
      <w:bookmarkStart w:id="2167" w:name="_Ref190714297"/>
      <w:bookmarkStart w:id="2168" w:name="_Toc191987174"/>
      <w:bookmarkStart w:id="2169" w:name="_Toc193110645"/>
      <w:r w:rsidRPr="002F2BC5">
        <w:rPr>
          <w:rFonts w:hint="cs"/>
          <w:rtl/>
        </w:rPr>
        <w:t>הפניית פוגעים לטיפול במסגרת הדיון בבקשה לצו הגנה</w:t>
      </w:r>
      <w:bookmarkEnd w:id="2166"/>
      <w:bookmarkEnd w:id="2167"/>
      <w:bookmarkEnd w:id="2168"/>
      <w:bookmarkEnd w:id="2169"/>
    </w:p>
    <w:p w14:paraId="7DE6400E" w14:textId="77777777" w:rsidR="00817399" w:rsidRPr="002F2BC5" w:rsidRDefault="00817399" w:rsidP="00817399">
      <w:pPr>
        <w:spacing w:line="269" w:lineRule="auto"/>
        <w:rPr>
          <w:rtl/>
        </w:rPr>
      </w:pPr>
    </w:p>
    <w:p w14:paraId="05345386" w14:textId="77777777" w:rsidR="00817399" w:rsidRPr="002F2BC5" w:rsidRDefault="00817399" w:rsidP="00817399">
      <w:pPr>
        <w:spacing w:line="269" w:lineRule="auto"/>
        <w:rPr>
          <w:rtl/>
        </w:rPr>
      </w:pPr>
      <w:r w:rsidRPr="002F2BC5">
        <w:rPr>
          <w:rFonts w:hint="cs"/>
          <w:rtl/>
        </w:rPr>
        <w:t>הסמכות להורות על הפנייתו של אדם, שכנגדו מבוקש להוציא צו הגנה, להליך טיפולי-שיקומי בקהילה נתונה לבית המשפט שבפניו מובאת הבקשה להוצאת הצו לפי החוק למניעת אלימות במשפחה, בכפוף להסכמתו ולהתאמתו לטיפול של אותו אדם</w:t>
      </w:r>
      <w:r w:rsidRPr="002F2BC5">
        <w:rPr>
          <w:rStyle w:val="af9"/>
          <w:rtl/>
        </w:rPr>
        <w:footnoteReference w:id="420"/>
      </w:r>
      <w:r w:rsidRPr="002F2BC5">
        <w:rPr>
          <w:rFonts w:hint="cs"/>
          <w:rtl/>
        </w:rPr>
        <w:t>. מעבר למתן הגנה מיידית מפניו למבקש הצו, לאחר שנהג כלפיו באלימות בתוך התא המשפחתי או בתוך מערכת זוגית - ההליך האזרחי עשוי גם לרתום את האדם שכנגדו הוצא הצו להליך טיפולי-שיקומי. לצד עצם קביעת הסמכות הזו, קיימת חשיבות גם להיכרות מעמיקה של מערכת המשפט עם האפשרות להפעילה ולהכרה בערך שיש לה לרתימת הפוגע להליך טיפול-שיקומי בקהילה</w:t>
      </w:r>
      <w:r w:rsidRPr="002F2BC5">
        <w:rPr>
          <w:rStyle w:val="af9"/>
          <w:rtl/>
        </w:rPr>
        <w:footnoteReference w:id="421"/>
      </w:r>
      <w:r w:rsidRPr="002F2BC5">
        <w:rPr>
          <w:rFonts w:hint="cs"/>
          <w:rtl/>
        </w:rPr>
        <w:t>.</w:t>
      </w:r>
    </w:p>
    <w:p w14:paraId="4374E7AA" w14:textId="77777777" w:rsidR="004A0C9B" w:rsidRDefault="004A0C9B" w:rsidP="00817399">
      <w:pPr>
        <w:spacing w:line="269" w:lineRule="auto"/>
        <w:rPr>
          <w:rStyle w:val="70"/>
          <w:rtl/>
        </w:rPr>
      </w:pPr>
      <w:bookmarkStart w:id="2170" w:name="_Toc191987175"/>
    </w:p>
    <w:p w14:paraId="76E83022" w14:textId="77777777" w:rsidR="00817399" w:rsidRPr="002F2BC5" w:rsidRDefault="00817399" w:rsidP="00817399">
      <w:pPr>
        <w:spacing w:line="269" w:lineRule="auto"/>
        <w:rPr>
          <w:rtl/>
        </w:rPr>
      </w:pPr>
      <w:r w:rsidRPr="002F2BC5">
        <w:rPr>
          <w:rStyle w:val="70"/>
          <w:rFonts w:hint="cs"/>
          <w:rtl/>
        </w:rPr>
        <w:lastRenderedPageBreak/>
        <w:t>הביקורת הקודמת:</w:t>
      </w:r>
      <w:bookmarkEnd w:id="2170"/>
      <w:r w:rsidRPr="002F2BC5">
        <w:rPr>
          <w:rStyle w:val="70"/>
          <w:rFonts w:hint="cs"/>
          <w:rtl/>
        </w:rPr>
        <w:t xml:space="preserve"> </w:t>
      </w:r>
      <w:r w:rsidRPr="002F2BC5">
        <w:rPr>
          <w:rFonts w:hint="cs"/>
          <w:rtl/>
        </w:rPr>
        <w:t>נמצא כי לפי נתוני הנהלת בתי המשפט בשנת 2019 הוגשו כ-10,000 בקשות לצווי הגנה. הועלה כי בידי הנהלת המשפט לא היו נתונים על מספר צווי ההגנה שבמסגרתם הופנו גברים לטיפול, אך לפי נתוני משרד הרווחה בשנה זו הפנו בתי המשפט 89 אנשים בלבד לטיפול במרכזים לטיפול ומניעת אלימות במשפחה. נוסף על כך הועלה כי לפי נתוני הנהלת בתי המשפט, בשנים 2015 - 2019 השתתפו כ-14% בלבד מהשופטים המכהנים (99 מתוך 725</w:t>
      </w:r>
      <w:r w:rsidRPr="002F2BC5">
        <w:rPr>
          <w:rStyle w:val="af9"/>
          <w:rtl/>
        </w:rPr>
        <w:footnoteReference w:id="422"/>
      </w:r>
      <w:r w:rsidRPr="002F2BC5">
        <w:rPr>
          <w:rFonts w:hint="cs"/>
          <w:rtl/>
        </w:rPr>
        <w:t>) בימי עיון בנושא אלימות במשפחה</w:t>
      </w:r>
      <w:r w:rsidRPr="002F2BC5">
        <w:rPr>
          <w:rStyle w:val="af9"/>
          <w:rtl/>
        </w:rPr>
        <w:footnoteReference w:id="423"/>
      </w:r>
      <w:r w:rsidRPr="002F2BC5">
        <w:rPr>
          <w:rFonts w:hint="cs"/>
          <w:rtl/>
        </w:rPr>
        <w:t xml:space="preserve">. </w:t>
      </w:r>
      <w:r w:rsidRPr="002F2BC5">
        <w:rPr>
          <w:rtl/>
        </w:rPr>
        <w:t xml:space="preserve">בשנת 2019 </w:t>
      </w:r>
      <w:r w:rsidRPr="002F2BC5">
        <w:rPr>
          <w:rFonts w:hint="cs"/>
          <w:rtl/>
        </w:rPr>
        <w:t>התקיים</w:t>
      </w:r>
      <w:r w:rsidRPr="002F2BC5">
        <w:rPr>
          <w:rtl/>
        </w:rPr>
        <w:t xml:space="preserve"> יום עיון אחד בנושא </w:t>
      </w:r>
      <w:r w:rsidRPr="002F2BC5">
        <w:rPr>
          <w:rFonts w:hint="cs"/>
          <w:rtl/>
        </w:rPr>
        <w:t>ו</w:t>
      </w:r>
      <w:r w:rsidRPr="002F2BC5">
        <w:rPr>
          <w:rtl/>
        </w:rPr>
        <w:t>בו השתתפו 34 שופטים</w:t>
      </w:r>
      <w:r w:rsidRPr="002F2BC5">
        <w:rPr>
          <w:rFonts w:hint="cs"/>
          <w:rtl/>
        </w:rPr>
        <w:t>.</w:t>
      </w:r>
    </w:p>
    <w:p w14:paraId="448B7E37" w14:textId="77777777" w:rsidR="00817399" w:rsidRPr="002F2BC5" w:rsidRDefault="00817399" w:rsidP="00817399">
      <w:pPr>
        <w:spacing w:line="269" w:lineRule="auto"/>
        <w:rPr>
          <w:rtl/>
        </w:rPr>
      </w:pPr>
    </w:p>
    <w:p w14:paraId="3675D32E" w14:textId="77777777" w:rsidR="00817399" w:rsidRPr="002F2BC5" w:rsidRDefault="00817399" w:rsidP="00817399">
      <w:pPr>
        <w:spacing w:line="269" w:lineRule="auto"/>
        <w:rPr>
          <w:rtl/>
        </w:rPr>
      </w:pPr>
      <w:r w:rsidRPr="002F2BC5">
        <w:rPr>
          <w:rFonts w:hint="cs"/>
          <w:rtl/>
        </w:rPr>
        <w:t>נמצא כי על אף המספר הנמוך של ההפניות של פוגעים לטיפול במסגרת הוצאת צווי הגנה, הנהלת בתי המשפט לא פעלה להעלאת המודעות בקרב השופטים בנושא זה באופן מספק וגם לא ניהלה מעקב אחר מספר ההפניות לטיפול במסגרת ההליכים הללו.</w:t>
      </w:r>
    </w:p>
    <w:p w14:paraId="61336553" w14:textId="77777777" w:rsidR="00817399" w:rsidRPr="002F2BC5" w:rsidRDefault="00817399" w:rsidP="00817399">
      <w:pPr>
        <w:spacing w:line="269" w:lineRule="auto"/>
        <w:rPr>
          <w:rtl/>
        </w:rPr>
      </w:pPr>
    </w:p>
    <w:p w14:paraId="0BC30449" w14:textId="77777777" w:rsidR="00817399" w:rsidRPr="002F2BC5" w:rsidRDefault="00817399" w:rsidP="00817399">
      <w:pPr>
        <w:spacing w:line="269" w:lineRule="auto"/>
        <w:rPr>
          <w:rtl/>
        </w:rPr>
      </w:pPr>
      <w:r w:rsidRPr="002F2BC5">
        <w:rPr>
          <w:rFonts w:hint="cs"/>
          <w:rtl/>
        </w:rPr>
        <w:t>משרד מבקר המדינה המליץ בביקורת הקודמת ל</w:t>
      </w:r>
      <w:r w:rsidRPr="002F2BC5">
        <w:rPr>
          <w:rFonts w:hint="eastAsia"/>
          <w:rtl/>
        </w:rPr>
        <w:t>הנהלת</w:t>
      </w:r>
      <w:r w:rsidRPr="002F2BC5">
        <w:rPr>
          <w:rtl/>
        </w:rPr>
        <w:t xml:space="preserve"> בתי המשפט </w:t>
      </w:r>
      <w:r w:rsidRPr="002F2BC5">
        <w:rPr>
          <w:rFonts w:hint="cs"/>
          <w:rtl/>
        </w:rPr>
        <w:t>ל</w:t>
      </w:r>
      <w:r w:rsidRPr="002F2BC5">
        <w:rPr>
          <w:rtl/>
        </w:rPr>
        <w:t>פע</w:t>
      </w:r>
      <w:r w:rsidRPr="002F2BC5">
        <w:rPr>
          <w:rFonts w:hint="cs"/>
          <w:rtl/>
        </w:rPr>
        <w:t>ו</w:t>
      </w:r>
      <w:r w:rsidRPr="002F2BC5">
        <w:rPr>
          <w:rtl/>
        </w:rPr>
        <w:t xml:space="preserve">ל </w:t>
      </w:r>
      <w:r w:rsidRPr="002F2BC5">
        <w:rPr>
          <w:rFonts w:hint="cs"/>
          <w:rtl/>
        </w:rPr>
        <w:t>להגדלת מספרן של</w:t>
      </w:r>
      <w:r w:rsidRPr="002F2BC5">
        <w:rPr>
          <w:rtl/>
        </w:rPr>
        <w:t xml:space="preserve"> ה</w:t>
      </w:r>
      <w:r w:rsidRPr="002F2BC5">
        <w:rPr>
          <w:rFonts w:hint="eastAsia"/>
          <w:rtl/>
        </w:rPr>
        <w:t>כשרות</w:t>
      </w:r>
      <w:r w:rsidRPr="002F2BC5">
        <w:rPr>
          <w:rtl/>
        </w:rPr>
        <w:t xml:space="preserve"> </w:t>
      </w:r>
      <w:r w:rsidRPr="002F2BC5">
        <w:rPr>
          <w:rFonts w:hint="eastAsia"/>
          <w:rtl/>
        </w:rPr>
        <w:t>השופטים</w:t>
      </w:r>
      <w:r w:rsidRPr="002F2BC5">
        <w:rPr>
          <w:rtl/>
        </w:rPr>
        <w:t xml:space="preserve"> </w:t>
      </w:r>
      <w:r w:rsidRPr="002F2BC5">
        <w:rPr>
          <w:rFonts w:hint="eastAsia"/>
          <w:rtl/>
        </w:rPr>
        <w:t>בנושא</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cs"/>
          <w:rtl/>
        </w:rPr>
        <w:t>כדי להגדיל את חשיפתם</w:t>
      </w:r>
      <w:r w:rsidRPr="002F2BC5">
        <w:rPr>
          <w:rtl/>
        </w:rPr>
        <w:t xml:space="preserve"> להיבטי</w:t>
      </w:r>
      <w:r w:rsidRPr="002F2BC5">
        <w:rPr>
          <w:rFonts w:hint="cs"/>
          <w:rtl/>
        </w:rPr>
        <w:t>ה</w:t>
      </w:r>
      <w:r w:rsidRPr="002F2BC5">
        <w:rPr>
          <w:rtl/>
        </w:rPr>
        <w:t xml:space="preserve"> </w:t>
      </w:r>
      <w:r w:rsidRPr="002F2BC5">
        <w:rPr>
          <w:rFonts w:hint="cs"/>
          <w:rtl/>
        </w:rPr>
        <w:t>ה</w:t>
      </w:r>
      <w:r w:rsidRPr="002F2BC5">
        <w:rPr>
          <w:rtl/>
        </w:rPr>
        <w:t>ייחודי</w:t>
      </w:r>
      <w:r w:rsidRPr="002F2BC5">
        <w:rPr>
          <w:rFonts w:hint="cs"/>
          <w:rtl/>
        </w:rPr>
        <w:t>י</w:t>
      </w:r>
      <w:r w:rsidRPr="002F2BC5">
        <w:rPr>
          <w:rtl/>
        </w:rPr>
        <w:t xml:space="preserve">ם של התופעה </w:t>
      </w:r>
      <w:r w:rsidRPr="002F2BC5">
        <w:rPr>
          <w:rFonts w:hint="eastAsia"/>
          <w:rtl/>
        </w:rPr>
        <w:t>ולמנעד</w:t>
      </w:r>
      <w:r w:rsidRPr="002F2BC5">
        <w:rPr>
          <w:rtl/>
        </w:rPr>
        <w:t xml:space="preserve"> </w:t>
      </w:r>
      <w:r w:rsidRPr="002F2BC5">
        <w:rPr>
          <w:rFonts w:hint="eastAsia"/>
          <w:rtl/>
        </w:rPr>
        <w:t>הכלים</w:t>
      </w:r>
      <w:r w:rsidRPr="002F2BC5">
        <w:rPr>
          <w:rtl/>
        </w:rPr>
        <w:t xml:space="preserve"> </w:t>
      </w:r>
      <w:r w:rsidRPr="002F2BC5">
        <w:rPr>
          <w:rFonts w:hint="eastAsia"/>
          <w:rtl/>
        </w:rPr>
        <w:t>לטיפול</w:t>
      </w:r>
      <w:r w:rsidRPr="002F2BC5">
        <w:rPr>
          <w:rtl/>
        </w:rPr>
        <w:t xml:space="preserve"> </w:t>
      </w:r>
      <w:r w:rsidRPr="002F2BC5">
        <w:rPr>
          <w:rFonts w:hint="eastAsia"/>
          <w:rtl/>
        </w:rPr>
        <w:t>בה</w:t>
      </w:r>
      <w:r w:rsidRPr="002F2BC5">
        <w:rPr>
          <w:rtl/>
        </w:rPr>
        <w:t xml:space="preserve">. </w:t>
      </w:r>
      <w:r w:rsidRPr="002F2BC5">
        <w:rPr>
          <w:rFonts w:hint="cs"/>
          <w:rtl/>
        </w:rPr>
        <w:t xml:space="preserve">עוד הומלץ להנהלת בתי המשפט לתעד את הפנייתם של פוגעים לטיפול באופן שיאפשר לה </w:t>
      </w:r>
      <w:r w:rsidRPr="002F2BC5">
        <w:rPr>
          <w:rFonts w:hint="eastAsia"/>
          <w:rtl/>
        </w:rPr>
        <w:t>לעקוב</w:t>
      </w:r>
      <w:r w:rsidRPr="002F2BC5">
        <w:rPr>
          <w:rFonts w:hint="cs"/>
          <w:rtl/>
        </w:rPr>
        <w:t xml:space="preserve"> אחר היקף ההפניות</w:t>
      </w:r>
      <w:r w:rsidRPr="002F2BC5">
        <w:rPr>
          <w:rtl/>
        </w:rPr>
        <w:t xml:space="preserve">, לזהות </w:t>
      </w:r>
      <w:r w:rsidRPr="002F2BC5">
        <w:rPr>
          <w:rFonts w:hint="eastAsia"/>
          <w:rtl/>
        </w:rPr>
        <w:t>מגמות</w:t>
      </w:r>
      <w:r w:rsidRPr="002F2BC5">
        <w:rPr>
          <w:rtl/>
        </w:rPr>
        <w:t xml:space="preserve"> </w:t>
      </w:r>
      <w:r w:rsidRPr="002F2BC5">
        <w:rPr>
          <w:rFonts w:hint="eastAsia"/>
          <w:rtl/>
        </w:rPr>
        <w:t>ודפוסים</w:t>
      </w:r>
      <w:r w:rsidRPr="002F2BC5">
        <w:rPr>
          <w:rFonts w:hint="cs"/>
          <w:rtl/>
        </w:rPr>
        <w:t xml:space="preserve"> בנושא, </w:t>
      </w:r>
      <w:r w:rsidRPr="002F2BC5">
        <w:rPr>
          <w:rFonts w:hint="eastAsia"/>
          <w:rtl/>
        </w:rPr>
        <w:t>לטייב</w:t>
      </w:r>
      <w:r w:rsidRPr="002F2BC5">
        <w:rPr>
          <w:rtl/>
        </w:rPr>
        <w:t xml:space="preserve"> </w:t>
      </w:r>
      <w:r w:rsidRPr="002F2BC5">
        <w:rPr>
          <w:rFonts w:hint="eastAsia"/>
          <w:rtl/>
        </w:rPr>
        <w:t>את</w:t>
      </w:r>
      <w:r w:rsidRPr="002F2BC5">
        <w:rPr>
          <w:rtl/>
        </w:rPr>
        <w:t xml:space="preserve"> </w:t>
      </w:r>
      <w:r w:rsidRPr="002F2BC5">
        <w:rPr>
          <w:rFonts w:hint="eastAsia"/>
          <w:rtl/>
        </w:rPr>
        <w:t>המענה</w:t>
      </w:r>
      <w:r w:rsidRPr="002F2BC5">
        <w:rPr>
          <w:rtl/>
        </w:rPr>
        <w:t xml:space="preserve"> </w:t>
      </w:r>
      <w:r w:rsidRPr="002F2BC5">
        <w:rPr>
          <w:rFonts w:hint="cs"/>
          <w:rtl/>
        </w:rPr>
        <w:t>הניתן לנפגעי אלימות במשפחה ולסייע בהתמודדות עם התופעה</w:t>
      </w:r>
      <w:r w:rsidRPr="002F2BC5">
        <w:rPr>
          <w:rtl/>
        </w:rPr>
        <w:t>.</w:t>
      </w:r>
    </w:p>
    <w:p w14:paraId="538823E8" w14:textId="77777777" w:rsidR="00817399" w:rsidRPr="002F2BC5" w:rsidRDefault="00817399" w:rsidP="00817399">
      <w:pPr>
        <w:spacing w:line="269" w:lineRule="auto"/>
        <w:rPr>
          <w:rtl/>
        </w:rPr>
      </w:pPr>
    </w:p>
    <w:p w14:paraId="28D66EBF" w14:textId="77777777" w:rsidR="00817399" w:rsidRPr="002F2BC5" w:rsidRDefault="00817399" w:rsidP="00817399">
      <w:pPr>
        <w:spacing w:line="269" w:lineRule="auto"/>
        <w:rPr>
          <w:rtl/>
        </w:rPr>
      </w:pPr>
      <w:r w:rsidRPr="002F2BC5">
        <w:rPr>
          <w:rFonts w:hint="eastAsia"/>
          <w:rtl/>
        </w:rPr>
        <w:t>משרד</w:t>
      </w:r>
      <w:r w:rsidRPr="002F2BC5">
        <w:rPr>
          <w:rtl/>
        </w:rPr>
        <w:t xml:space="preserve"> </w:t>
      </w:r>
      <w:r w:rsidRPr="002F2BC5">
        <w:rPr>
          <w:rFonts w:hint="eastAsia"/>
          <w:rtl/>
        </w:rPr>
        <w:t>הרווחה</w:t>
      </w:r>
      <w:r w:rsidRPr="002F2BC5">
        <w:rPr>
          <w:rFonts w:hint="cs"/>
          <w:rtl/>
        </w:rPr>
        <w:t xml:space="preserve"> מסר בתשובתו לביקורת הקודמת מפברואר 2021 </w:t>
      </w:r>
      <w:r w:rsidRPr="002F2BC5">
        <w:rPr>
          <w:rFonts w:hint="eastAsia"/>
          <w:rtl/>
        </w:rPr>
        <w:t>כי</w:t>
      </w:r>
      <w:r w:rsidRPr="002F2BC5">
        <w:rPr>
          <w:rtl/>
        </w:rPr>
        <w:t xml:space="preserve"> </w:t>
      </w:r>
      <w:r w:rsidRPr="002F2BC5">
        <w:rPr>
          <w:rFonts w:hint="eastAsia"/>
          <w:rtl/>
        </w:rPr>
        <w:t>בשנת</w:t>
      </w:r>
      <w:r w:rsidRPr="002F2BC5">
        <w:rPr>
          <w:rtl/>
        </w:rPr>
        <w:t xml:space="preserve"> 2021 </w:t>
      </w:r>
      <w:r w:rsidRPr="002F2BC5">
        <w:rPr>
          <w:rFonts w:hint="eastAsia"/>
          <w:rtl/>
        </w:rPr>
        <w:t>החל</w:t>
      </w:r>
      <w:r w:rsidRPr="002F2BC5">
        <w:rPr>
          <w:rtl/>
        </w:rPr>
        <w:t xml:space="preserve"> ב</w:t>
      </w:r>
      <w:r w:rsidRPr="002F2BC5">
        <w:rPr>
          <w:rFonts w:hint="eastAsia"/>
          <w:rtl/>
        </w:rPr>
        <w:t>שיח</w:t>
      </w:r>
      <w:r w:rsidRPr="002F2BC5">
        <w:rPr>
          <w:rtl/>
        </w:rPr>
        <w:t xml:space="preserve"> עם הנהלת בתי המשפט לצורך </w:t>
      </w:r>
      <w:r w:rsidRPr="002F2BC5">
        <w:rPr>
          <w:rFonts w:hint="eastAsia"/>
          <w:rtl/>
        </w:rPr>
        <w:t>קיום</w:t>
      </w:r>
      <w:r w:rsidRPr="002F2BC5">
        <w:rPr>
          <w:rtl/>
        </w:rPr>
        <w:t xml:space="preserve"> </w:t>
      </w:r>
      <w:r w:rsidRPr="002F2BC5">
        <w:rPr>
          <w:rFonts w:hint="eastAsia"/>
          <w:rtl/>
        </w:rPr>
        <w:t>הכשרות</w:t>
      </w:r>
      <w:r w:rsidRPr="002F2BC5">
        <w:rPr>
          <w:rtl/>
        </w:rPr>
        <w:t xml:space="preserve"> </w:t>
      </w:r>
      <w:r w:rsidRPr="002F2BC5">
        <w:rPr>
          <w:rFonts w:hint="eastAsia"/>
          <w:rtl/>
        </w:rPr>
        <w:t>לשופטים</w:t>
      </w:r>
      <w:r w:rsidRPr="002F2BC5">
        <w:rPr>
          <w:rtl/>
        </w:rPr>
        <w:t xml:space="preserve"> </w:t>
      </w:r>
      <w:r w:rsidRPr="002F2BC5">
        <w:rPr>
          <w:rFonts w:hint="cs"/>
          <w:rtl/>
        </w:rPr>
        <w:t>בנושא האלימות במשפחה</w:t>
      </w:r>
      <w:r w:rsidRPr="002F2BC5">
        <w:rPr>
          <w:rtl/>
        </w:rPr>
        <w:t>.</w:t>
      </w:r>
      <w:r w:rsidRPr="002F2BC5">
        <w:rPr>
          <w:rFonts w:hint="cs"/>
          <w:rtl/>
        </w:rPr>
        <w:t xml:space="preserve"> </w:t>
      </w:r>
      <w:r w:rsidRPr="002F2BC5">
        <w:rPr>
          <w:rFonts w:hint="eastAsia"/>
          <w:rtl/>
        </w:rPr>
        <w:t>הנהלת</w:t>
      </w:r>
      <w:r w:rsidRPr="002F2BC5">
        <w:rPr>
          <w:rtl/>
        </w:rPr>
        <w:t xml:space="preserve"> </w:t>
      </w:r>
      <w:r w:rsidRPr="002F2BC5">
        <w:rPr>
          <w:rFonts w:hint="eastAsia"/>
          <w:rtl/>
        </w:rPr>
        <w:t>בתי</w:t>
      </w:r>
      <w:r w:rsidRPr="002F2BC5">
        <w:rPr>
          <w:rtl/>
        </w:rPr>
        <w:t xml:space="preserve"> </w:t>
      </w:r>
      <w:r w:rsidRPr="002F2BC5">
        <w:rPr>
          <w:rFonts w:hint="eastAsia"/>
          <w:rtl/>
        </w:rPr>
        <w:t>המשפט</w:t>
      </w:r>
      <w:r w:rsidRPr="002F2BC5">
        <w:rPr>
          <w:rtl/>
        </w:rPr>
        <w:t xml:space="preserve"> </w:t>
      </w:r>
      <w:r w:rsidRPr="002F2BC5">
        <w:rPr>
          <w:rFonts w:hint="cs"/>
          <w:rtl/>
        </w:rPr>
        <w:t xml:space="preserve">מסרה בתשובותיה לביקורת הקודמת ממרץ ומאפריל 2021 </w:t>
      </w:r>
      <w:r w:rsidRPr="002F2BC5">
        <w:rPr>
          <w:rtl/>
        </w:rPr>
        <w:t xml:space="preserve">כי </w:t>
      </w:r>
      <w:r w:rsidRPr="002F2BC5">
        <w:rPr>
          <w:rFonts w:hint="cs"/>
          <w:rtl/>
        </w:rPr>
        <w:t>ההחלטה על הפניית פוגעים לטיפול</w:t>
      </w:r>
      <w:r w:rsidRPr="002F2BC5">
        <w:rPr>
          <w:rtl/>
        </w:rPr>
        <w:t xml:space="preserve"> </w:t>
      </w:r>
      <w:r w:rsidRPr="002F2BC5">
        <w:rPr>
          <w:rFonts w:hint="cs"/>
          <w:rtl/>
        </w:rPr>
        <w:t>נתונה ל</w:t>
      </w:r>
      <w:r w:rsidRPr="002F2BC5">
        <w:rPr>
          <w:rtl/>
        </w:rPr>
        <w:t>שיקול דעתו של המותב היושב בדין</w:t>
      </w:r>
      <w:r w:rsidRPr="002F2BC5">
        <w:rPr>
          <w:rFonts w:hint="cs"/>
          <w:rtl/>
        </w:rPr>
        <w:t xml:space="preserve">, בהתאם לנסיבות </w:t>
      </w:r>
      <w:r w:rsidRPr="002F2BC5">
        <w:rPr>
          <w:rtl/>
        </w:rPr>
        <w:t>ו</w:t>
      </w:r>
      <w:r w:rsidRPr="002F2BC5">
        <w:rPr>
          <w:rFonts w:hint="cs"/>
          <w:rtl/>
        </w:rPr>
        <w:t>ל</w:t>
      </w:r>
      <w:r w:rsidRPr="002F2BC5">
        <w:rPr>
          <w:rtl/>
        </w:rPr>
        <w:t>אילוצים שונים</w:t>
      </w:r>
      <w:r w:rsidRPr="002F2BC5">
        <w:rPr>
          <w:rFonts w:hint="cs"/>
          <w:rtl/>
        </w:rPr>
        <w:t xml:space="preserve">, לרבות נכונותו של הפוגע לקבל טיפול. לצד זאת ציינה כי </w:t>
      </w:r>
      <w:r w:rsidRPr="002F2BC5">
        <w:rPr>
          <w:rtl/>
        </w:rPr>
        <w:t>בכוונת המרכז להכשרה ולהשתלמות שופטים ל</w:t>
      </w:r>
      <w:r w:rsidRPr="002F2BC5">
        <w:rPr>
          <w:rFonts w:hint="cs"/>
          <w:rtl/>
        </w:rPr>
        <w:t>קיים</w:t>
      </w:r>
      <w:r w:rsidRPr="002F2BC5">
        <w:rPr>
          <w:rtl/>
        </w:rPr>
        <w:t xml:space="preserve"> </w:t>
      </w:r>
      <w:r w:rsidRPr="002F2BC5">
        <w:rPr>
          <w:rFonts w:hint="cs"/>
          <w:rtl/>
        </w:rPr>
        <w:t>ב</w:t>
      </w:r>
      <w:r w:rsidRPr="002F2BC5">
        <w:rPr>
          <w:rtl/>
        </w:rPr>
        <w:t>שנת 2021</w:t>
      </w:r>
      <w:r w:rsidRPr="002F2BC5">
        <w:rPr>
          <w:rFonts w:hint="cs"/>
          <w:rtl/>
        </w:rPr>
        <w:t xml:space="preserve"> </w:t>
      </w:r>
      <w:r w:rsidRPr="002F2BC5">
        <w:rPr>
          <w:rtl/>
        </w:rPr>
        <w:t xml:space="preserve">הרצאות </w:t>
      </w:r>
      <w:r w:rsidRPr="002F2BC5">
        <w:rPr>
          <w:rFonts w:hint="cs"/>
          <w:rtl/>
        </w:rPr>
        <w:t xml:space="preserve">ייעודיות לשופטים בנושא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וכ</w:t>
      </w:r>
      <w:r w:rsidRPr="002F2BC5">
        <w:rPr>
          <w:rFonts w:hint="cs"/>
          <w:rtl/>
        </w:rPr>
        <w:t xml:space="preserve">ן לשלב את הנושא בהכשרות </w:t>
      </w:r>
      <w:r w:rsidRPr="002F2BC5">
        <w:rPr>
          <w:rFonts w:hint="eastAsia"/>
          <w:rtl/>
        </w:rPr>
        <w:t>שנתיות</w:t>
      </w:r>
      <w:r w:rsidRPr="002F2BC5">
        <w:rPr>
          <w:rtl/>
        </w:rPr>
        <w:t xml:space="preserve"> </w:t>
      </w:r>
      <w:r w:rsidRPr="002F2BC5">
        <w:rPr>
          <w:rFonts w:hint="eastAsia"/>
          <w:rtl/>
        </w:rPr>
        <w:t>רלוונטיות</w:t>
      </w:r>
      <w:r w:rsidRPr="002F2BC5">
        <w:rPr>
          <w:rFonts w:hint="cs"/>
          <w:rtl/>
        </w:rPr>
        <w:t>. זאת נוסף על תכנים בנושא זה הנכללים ממילא בהכשרות החובה של שופטי המשפחה עם מינוי</w:t>
      </w:r>
      <w:r w:rsidRPr="002F2BC5">
        <w:rPr>
          <w:rtl/>
        </w:rPr>
        <w:t>ָ</w:t>
      </w:r>
      <w:r w:rsidRPr="002F2BC5">
        <w:rPr>
          <w:rFonts w:hint="cs"/>
          <w:rtl/>
        </w:rPr>
        <w:t>ם ובהכשרותיהם של שופטים חדשים העוסקים בפלילים</w:t>
      </w:r>
      <w:r w:rsidRPr="002F2BC5">
        <w:rPr>
          <w:rtl/>
        </w:rPr>
        <w:t xml:space="preserve">. </w:t>
      </w:r>
      <w:r w:rsidRPr="002F2BC5">
        <w:rPr>
          <w:rFonts w:hint="cs"/>
          <w:rtl/>
        </w:rPr>
        <w:t>כן הוסיפה כי אין זה מ</w:t>
      </w:r>
      <w:r w:rsidRPr="002F2BC5">
        <w:rPr>
          <w:rtl/>
        </w:rPr>
        <w:t xml:space="preserve">תפקידה לתעד </w:t>
      </w:r>
      <w:r w:rsidRPr="002F2BC5">
        <w:rPr>
          <w:rFonts w:hint="cs"/>
          <w:rtl/>
        </w:rPr>
        <w:t>את</w:t>
      </w:r>
      <w:r w:rsidRPr="002F2BC5">
        <w:rPr>
          <w:rtl/>
        </w:rPr>
        <w:t xml:space="preserve"> </w:t>
      </w:r>
      <w:r w:rsidRPr="002F2BC5">
        <w:rPr>
          <w:rFonts w:hint="cs"/>
          <w:rtl/>
        </w:rPr>
        <w:t xml:space="preserve">תוכנן של </w:t>
      </w:r>
      <w:r w:rsidRPr="002F2BC5">
        <w:rPr>
          <w:rtl/>
        </w:rPr>
        <w:t>החלטות שיפוטיות</w:t>
      </w:r>
      <w:r w:rsidRPr="002F2BC5">
        <w:rPr>
          <w:rFonts w:hint="cs"/>
          <w:rtl/>
        </w:rPr>
        <w:t>, לעקוב אחריהן</w:t>
      </w:r>
      <w:r w:rsidRPr="002F2BC5">
        <w:rPr>
          <w:rtl/>
        </w:rPr>
        <w:t xml:space="preserve"> או לבחון דרכים </w:t>
      </w:r>
      <w:r w:rsidRPr="002F2BC5">
        <w:rPr>
          <w:rFonts w:hint="cs"/>
          <w:rtl/>
        </w:rPr>
        <w:t>להגברת</w:t>
      </w:r>
      <w:r w:rsidRPr="002F2BC5">
        <w:rPr>
          <w:rtl/>
        </w:rPr>
        <w:t xml:space="preserve"> השימוש בכלי הטיפולי</w:t>
      </w:r>
      <w:r w:rsidRPr="002F2BC5">
        <w:rPr>
          <w:rFonts w:hint="cs"/>
          <w:rtl/>
        </w:rPr>
        <w:t>.</w:t>
      </w:r>
    </w:p>
    <w:p w14:paraId="45636BB4" w14:textId="77777777" w:rsidR="00817399" w:rsidRPr="002F2BC5" w:rsidRDefault="00817399" w:rsidP="00817399">
      <w:pPr>
        <w:spacing w:line="269" w:lineRule="auto"/>
        <w:rPr>
          <w:rtl/>
        </w:rPr>
      </w:pPr>
    </w:p>
    <w:p w14:paraId="1227BBD3" w14:textId="77777777" w:rsidR="00817399" w:rsidRPr="002F2BC5" w:rsidRDefault="00817399" w:rsidP="00817399">
      <w:pPr>
        <w:spacing w:line="269" w:lineRule="auto"/>
        <w:rPr>
          <w:rtl/>
        </w:rPr>
      </w:pPr>
      <w:bookmarkStart w:id="2171" w:name="_Toc191987176"/>
      <w:r w:rsidRPr="002F2BC5">
        <w:rPr>
          <w:rStyle w:val="70"/>
          <w:rFonts w:hint="cs"/>
          <w:rtl/>
        </w:rPr>
        <w:t>ביקורת המעקב:</w:t>
      </w:r>
      <w:bookmarkEnd w:id="2171"/>
      <w:r w:rsidRPr="002F2BC5">
        <w:rPr>
          <w:rStyle w:val="70"/>
          <w:rFonts w:hint="cs"/>
          <w:rtl/>
        </w:rPr>
        <w:t xml:space="preserve"> </w:t>
      </w:r>
      <w:r w:rsidRPr="002F2BC5">
        <w:rPr>
          <w:rFonts w:hint="cs"/>
          <w:rtl/>
        </w:rPr>
        <w:t>בשל השימוש המצומצם באפשרות להפנות אדם שהוצא כנגדו צו הגנה להליך טיפולי-שיקומי בקהילה, במסגרת הדיון בבקשה לצו, תוקן בדצמבר 2021 החוק למניעת אלימות במשפחה (</w:t>
      </w:r>
      <w:bookmarkStart w:id="2172" w:name="_Hlk202339043"/>
      <w:r w:rsidRPr="002F2BC5">
        <w:rPr>
          <w:rFonts w:hint="cs"/>
          <w:rtl/>
        </w:rPr>
        <w:t>להלן - תיקון 18 לחוק</w:t>
      </w:r>
      <w:bookmarkEnd w:id="2172"/>
      <w:r w:rsidRPr="002F2BC5">
        <w:rPr>
          <w:rStyle w:val="af9"/>
          <w:rtl/>
        </w:rPr>
        <w:footnoteReference w:id="424"/>
      </w:r>
      <w:r w:rsidRPr="002F2BC5">
        <w:rPr>
          <w:rtl/>
        </w:rPr>
        <w:t>).</w:t>
      </w:r>
      <w:r w:rsidRPr="002F2BC5">
        <w:rPr>
          <w:rFonts w:hint="cs"/>
          <w:rtl/>
        </w:rPr>
        <w:t xml:space="preserve"> במסגרת זו הוחלה על בית המשפט שבפניו נידונה הבקשה לצו הגנה, החובה להורות בד בבד עם הוצאתו של הצו גם על קבלת חוות דעת של עובד סוציאלי שהוסמך לכך על ידי משרד הרווחה (עובד סוציאלי מגייס ומעריך) בדבר התאמתו לטיפול של האדם שכנגדו ניתן הצו (המחויב בצו) וכן בדבר קיומו של מקום פנוי במסגרת טיפולית המתאימה לו (</w:t>
      </w:r>
      <w:bookmarkStart w:id="2173" w:name="_Hlk202339114"/>
      <w:r w:rsidRPr="002F2BC5">
        <w:rPr>
          <w:rFonts w:hint="cs"/>
          <w:rtl/>
        </w:rPr>
        <w:t>להלן גם - חוות הדעת</w:t>
      </w:r>
      <w:bookmarkEnd w:id="2173"/>
      <w:r w:rsidRPr="002F2BC5">
        <w:rPr>
          <w:rFonts w:hint="cs"/>
          <w:rtl/>
        </w:rPr>
        <w:t>)</w:t>
      </w:r>
      <w:r w:rsidRPr="002F2BC5">
        <w:rPr>
          <w:rStyle w:val="af9"/>
          <w:rtl/>
        </w:rPr>
        <w:footnoteReference w:id="425"/>
      </w:r>
      <w:r w:rsidRPr="002F2BC5">
        <w:rPr>
          <w:rFonts w:hint="cs"/>
          <w:rtl/>
        </w:rPr>
        <w:t xml:space="preserve">. משנמצא בחוות הדעת כי המחויב בצו מתאים לטיפול וכי יש מקום פנוי במסגרת טיפולית מתאימה לו, בית המשפט רשאי להורות כי יינתן לו טיפול, וזאת אף מבלי שניתנה הסכמתו לכך. בתיקון לחוק נקבע כי משרד הרווחה ידווח מדי שנה לוועדה לקידום מעמד האישה בכנסת על יישום ההסדר, ובכלל זה על מספר המחויבים על פי צו הגנה </w:t>
      </w:r>
      <w:r w:rsidRPr="002F2BC5">
        <w:rPr>
          <w:rFonts w:hint="cs"/>
          <w:rtl/>
        </w:rPr>
        <w:lastRenderedPageBreak/>
        <w:t>שניתנה לגביהם חוות דעת, על מספר המחויבים כאמור שהופנו לקבלת טיפול ועל מספר המחויבים שסיימו הליך של טיפול כאמור</w:t>
      </w:r>
      <w:r w:rsidRPr="002F2BC5">
        <w:rPr>
          <w:rStyle w:val="af9"/>
          <w:rtl/>
        </w:rPr>
        <w:footnoteReference w:id="426"/>
      </w:r>
      <w:r w:rsidRPr="002F2BC5">
        <w:rPr>
          <w:rFonts w:hint="cs"/>
          <w:rtl/>
        </w:rPr>
        <w:t>. תיקון 18 לחוק נכנס לתוקפו באוגוסט 2022</w:t>
      </w:r>
      <w:r w:rsidRPr="002F2BC5">
        <w:rPr>
          <w:rStyle w:val="af9"/>
          <w:rtl/>
        </w:rPr>
        <w:footnoteReference w:id="427"/>
      </w:r>
      <w:r w:rsidRPr="002F2BC5">
        <w:rPr>
          <w:rFonts w:hint="cs"/>
          <w:rtl/>
        </w:rPr>
        <w:t>.</w:t>
      </w:r>
    </w:p>
    <w:p w14:paraId="195D428E" w14:textId="77777777" w:rsidR="00817399" w:rsidRPr="002F2BC5" w:rsidRDefault="00817399" w:rsidP="00817399">
      <w:pPr>
        <w:spacing w:line="269" w:lineRule="auto"/>
        <w:rPr>
          <w:rtl/>
        </w:rPr>
      </w:pPr>
    </w:p>
    <w:p w14:paraId="29CEFE34" w14:textId="77777777" w:rsidR="00817399" w:rsidRPr="002F2BC5" w:rsidRDefault="00817399" w:rsidP="00817399">
      <w:pPr>
        <w:spacing w:line="269" w:lineRule="auto"/>
        <w:rPr>
          <w:rtl/>
        </w:rPr>
      </w:pPr>
      <w:r w:rsidRPr="002F2BC5">
        <w:rPr>
          <w:rFonts w:hint="cs"/>
          <w:rtl/>
        </w:rPr>
        <w:t xml:space="preserve">לצורך יישום ההסדר שנקבע בתיקון 18 לחוק, הקים משרד הרווחה יחידה מקצועית חדשה ופרסם מכרזים פנימיים וחיצוניים לאיוש תקני כוח האדם הייעודיים ביחידה זו. אולם במועד סיום ביקורת המעקב, בדצמבר 2024, אוישו כרבע בלבד מהתקנים הללו (6 מתוך 25). משרד הרווחה מסר במהלך ביקורת המעקב, בינואר 2025, כי בתחילת שנת 2025, </w:t>
      </w:r>
      <w:r w:rsidRPr="002F2BC5">
        <w:rPr>
          <w:rtl/>
        </w:rPr>
        <w:t>בתיאום עם הנהלת בתי המשפט</w:t>
      </w:r>
      <w:r w:rsidRPr="002F2BC5">
        <w:rPr>
          <w:rFonts w:hint="cs"/>
          <w:rtl/>
        </w:rPr>
        <w:t>,</w:t>
      </w:r>
      <w:r w:rsidRPr="002F2BC5">
        <w:rPr>
          <w:rtl/>
        </w:rPr>
        <w:t xml:space="preserve"> </w:t>
      </w:r>
      <w:r w:rsidRPr="002F2BC5">
        <w:rPr>
          <w:rFonts w:hint="cs"/>
          <w:rtl/>
        </w:rPr>
        <w:t xml:space="preserve">צפוי להתחיל יישומו של תיקון 18 לחוק באופן חלקי ומדורג, </w:t>
      </w:r>
      <w:r w:rsidRPr="002F2BC5">
        <w:rPr>
          <w:rtl/>
        </w:rPr>
        <w:t xml:space="preserve">עד להשלמת </w:t>
      </w:r>
      <w:r w:rsidRPr="002F2BC5">
        <w:rPr>
          <w:rFonts w:hint="cs"/>
          <w:rtl/>
        </w:rPr>
        <w:t>איוש מצבת כוח האדם במלואה</w:t>
      </w:r>
      <w:r w:rsidRPr="002F2BC5">
        <w:rPr>
          <w:rtl/>
        </w:rPr>
        <w:t>.</w:t>
      </w:r>
    </w:p>
    <w:p w14:paraId="04FAE8B6" w14:textId="77777777" w:rsidR="00817399" w:rsidRPr="002F2BC5" w:rsidRDefault="00817399" w:rsidP="00817399">
      <w:pPr>
        <w:spacing w:line="269" w:lineRule="auto"/>
        <w:rPr>
          <w:rtl/>
        </w:rPr>
      </w:pPr>
    </w:p>
    <w:p w14:paraId="28BE3D19" w14:textId="77777777" w:rsidR="00817399" w:rsidRPr="002F2BC5" w:rsidRDefault="00817399" w:rsidP="00817399">
      <w:pPr>
        <w:spacing w:line="269" w:lineRule="auto"/>
        <w:rPr>
          <w:b/>
          <w:bCs/>
          <w:rtl/>
        </w:rPr>
      </w:pPr>
      <w:r w:rsidRPr="002F2BC5">
        <w:rPr>
          <w:rFonts w:hint="cs"/>
          <w:b/>
          <w:bCs/>
          <w:rtl/>
        </w:rPr>
        <w:t>הועלה כי אף שהוקצו תקני כוח אדם ותקציב ייעודיים לטובת יישום תיקון 18 לחוק למניעת אלימות במשפחה, קשיים באיוש תקני כוח האדם הייעודיים</w:t>
      </w:r>
      <w:r w:rsidRPr="002F2BC5">
        <w:rPr>
          <w:b/>
          <w:bCs/>
          <w:rtl/>
        </w:rPr>
        <w:t xml:space="preserve"> (</w:t>
      </w:r>
      <w:r w:rsidRPr="002F2BC5">
        <w:rPr>
          <w:rFonts w:hint="eastAsia"/>
          <w:b/>
          <w:bCs/>
          <w:rtl/>
        </w:rPr>
        <w:t>במועד</w:t>
      </w:r>
      <w:r w:rsidRPr="002F2BC5">
        <w:rPr>
          <w:b/>
          <w:bCs/>
          <w:rtl/>
        </w:rPr>
        <w:t xml:space="preserve"> </w:t>
      </w:r>
      <w:r w:rsidRPr="002F2BC5">
        <w:rPr>
          <w:rFonts w:hint="eastAsia"/>
          <w:b/>
          <w:bCs/>
          <w:rtl/>
        </w:rPr>
        <w:t>סיום</w:t>
      </w:r>
      <w:r w:rsidRPr="002F2BC5">
        <w:rPr>
          <w:b/>
          <w:bCs/>
          <w:rtl/>
        </w:rPr>
        <w:t xml:space="preserve"> </w:t>
      </w:r>
      <w:r w:rsidRPr="002F2BC5">
        <w:rPr>
          <w:rFonts w:hint="eastAsia"/>
          <w:b/>
          <w:bCs/>
          <w:rtl/>
        </w:rPr>
        <w:t>ביקורת</w:t>
      </w:r>
      <w:r w:rsidRPr="002F2BC5">
        <w:rPr>
          <w:b/>
          <w:bCs/>
          <w:rtl/>
        </w:rPr>
        <w:t xml:space="preserve"> </w:t>
      </w:r>
      <w:r w:rsidRPr="002F2BC5">
        <w:rPr>
          <w:rFonts w:hint="eastAsia"/>
          <w:b/>
          <w:bCs/>
          <w:rtl/>
        </w:rPr>
        <w:t>המעקב</w:t>
      </w:r>
      <w:r w:rsidRPr="002F2BC5">
        <w:rPr>
          <w:b/>
          <w:bCs/>
          <w:rtl/>
        </w:rPr>
        <w:t xml:space="preserve">, </w:t>
      </w:r>
      <w:r w:rsidRPr="002F2BC5">
        <w:rPr>
          <w:rFonts w:hint="eastAsia"/>
          <w:b/>
          <w:bCs/>
          <w:rtl/>
        </w:rPr>
        <w:t>בדצמבר</w:t>
      </w:r>
      <w:r w:rsidRPr="002F2BC5">
        <w:rPr>
          <w:b/>
          <w:bCs/>
          <w:rtl/>
        </w:rPr>
        <w:t xml:space="preserve"> 2024, </w:t>
      </w:r>
      <w:r w:rsidRPr="002F2BC5">
        <w:rPr>
          <w:rFonts w:hint="eastAsia"/>
          <w:b/>
          <w:bCs/>
          <w:rtl/>
        </w:rPr>
        <w:t>אוישו</w:t>
      </w:r>
      <w:r w:rsidRPr="002F2BC5">
        <w:rPr>
          <w:b/>
          <w:bCs/>
          <w:rtl/>
        </w:rPr>
        <w:t xml:space="preserve"> </w:t>
      </w:r>
      <w:r w:rsidRPr="002F2BC5">
        <w:rPr>
          <w:rFonts w:hint="eastAsia"/>
          <w:b/>
          <w:bCs/>
          <w:rtl/>
        </w:rPr>
        <w:t>כרבע</w:t>
      </w:r>
      <w:r w:rsidRPr="002F2BC5">
        <w:rPr>
          <w:b/>
          <w:bCs/>
          <w:rtl/>
        </w:rPr>
        <w:t xml:space="preserve"> </w:t>
      </w:r>
      <w:r w:rsidRPr="002F2BC5">
        <w:rPr>
          <w:rFonts w:hint="eastAsia"/>
          <w:b/>
          <w:bCs/>
          <w:rtl/>
        </w:rPr>
        <w:t>בלבד</w:t>
      </w:r>
      <w:r w:rsidRPr="002F2BC5">
        <w:rPr>
          <w:b/>
          <w:bCs/>
          <w:rtl/>
        </w:rPr>
        <w:t xml:space="preserve"> </w:t>
      </w:r>
      <w:r w:rsidRPr="002F2BC5">
        <w:rPr>
          <w:rFonts w:hint="eastAsia"/>
          <w:b/>
          <w:bCs/>
          <w:rtl/>
        </w:rPr>
        <w:t>מהתקנים</w:t>
      </w:r>
      <w:r w:rsidRPr="002F2BC5">
        <w:rPr>
          <w:b/>
          <w:bCs/>
          <w:rtl/>
        </w:rPr>
        <w:t xml:space="preserve"> </w:t>
      </w:r>
      <w:r w:rsidRPr="002F2BC5">
        <w:rPr>
          <w:rFonts w:hint="eastAsia"/>
          <w:b/>
          <w:bCs/>
          <w:rtl/>
        </w:rPr>
        <w:t>הללו</w:t>
      </w:r>
      <w:r w:rsidRPr="002F2BC5">
        <w:rPr>
          <w:b/>
          <w:bCs/>
          <w:rtl/>
        </w:rPr>
        <w:t>)</w:t>
      </w:r>
      <w:r w:rsidRPr="002F2BC5">
        <w:rPr>
          <w:rFonts w:hint="cs"/>
          <w:b/>
          <w:bCs/>
          <w:rtl/>
        </w:rPr>
        <w:t>, ההכרחיים ליישום ההסדר, הובילו לכך שבחלוף יותר משנתיים מאז שנכנס התיקון לחוק לתוקף - טרם הוחל ביישומו.</w:t>
      </w:r>
    </w:p>
    <w:p w14:paraId="253ABDA7" w14:textId="77777777" w:rsidR="00817399" w:rsidRPr="002F2BC5" w:rsidRDefault="00817399" w:rsidP="00817399">
      <w:pPr>
        <w:spacing w:line="269" w:lineRule="auto"/>
        <w:rPr>
          <w:rtl/>
        </w:rPr>
      </w:pPr>
    </w:p>
    <w:p w14:paraId="598A73C7" w14:textId="77777777" w:rsidR="00817399" w:rsidRPr="002F2BC5" w:rsidRDefault="00817399" w:rsidP="00817399">
      <w:pPr>
        <w:spacing w:line="269" w:lineRule="auto"/>
        <w:rPr>
          <w:rtl/>
        </w:rPr>
      </w:pPr>
      <w:r w:rsidRPr="002F2BC5">
        <w:rPr>
          <w:rFonts w:hint="cs"/>
          <w:rtl/>
        </w:rPr>
        <w:t>עוד העלתה ביקורת המעקב כי בשנים 2021 - 2024 התקיימו שמונה הכשרות ייעודיות בנושא האלימות במשפחה (</w:t>
      </w:r>
      <w:bookmarkStart w:id="2174" w:name="_Hlk202339208"/>
      <w:r w:rsidRPr="002F2BC5">
        <w:rPr>
          <w:rFonts w:hint="cs"/>
          <w:rtl/>
        </w:rPr>
        <w:t>להלן - הכשרות ייעודיות</w:t>
      </w:r>
      <w:bookmarkEnd w:id="2174"/>
      <w:r w:rsidRPr="002F2BC5">
        <w:rPr>
          <w:rFonts w:hint="cs"/>
          <w:rtl/>
        </w:rPr>
        <w:t>), מחציתן היו הכשרות חובה שהתקיימו בשנת 2024 בהשתתפותם של כ-56% מכלל השופטים המכהנים (481 מתוך 852) ושהתמקדו בתיקוני החקיקה בחוק למניעת אלימות במשפחה. הנהלת בתי המשפט לא ניהלה רישום שמי של שופטי בתי המשפט לענייני משפחה שהשתתפו בהכשרות הללו, ולכן במועד סיום ביקורת המעקב, בדצמבר 2024, לא היו בידיה נתונים על מספר שופטי בתי המשפט לענייני משפחה שהשתתפו בהכשרות. נוסף על כך, בשנים 2022 - 2024 התקיים כל שנה יום עיון בנושא אלימות במשפחה, שהנוכחות בו לא הייתה חובה. בשנת 2022 השתתפו בו כ-25% משופטי בתי המשפט לענייני משפחה המכהנים (19 מתוך 77); בשנת 2023 השתתפו בו כ-13% מהשופטים המכהנים כאמור (10 מתוך 79); ובשנת 2024 השתתפו בו כ-10% בלבד מהשופטים המכהנים (9 מתוך 88)</w:t>
      </w:r>
      <w:r w:rsidRPr="002F2BC5">
        <w:rPr>
          <w:rStyle w:val="af9"/>
          <w:rtl/>
        </w:rPr>
        <w:footnoteReference w:id="428"/>
      </w:r>
      <w:r w:rsidRPr="002F2BC5">
        <w:rPr>
          <w:rFonts w:hint="cs"/>
          <w:rtl/>
        </w:rPr>
        <w:t>. בכל אחת מהשנים הללו השתתפו בימי העיון כ-4% בלבד מכלל השופטים המכהנים, ובהם שופטים פליליים (30 מתוך 826 שופטים מכהנים, בממוצע בכל שנה).</w:t>
      </w:r>
    </w:p>
    <w:p w14:paraId="2F887767" w14:textId="77777777" w:rsidR="00817399" w:rsidRPr="002F2BC5" w:rsidRDefault="00817399" w:rsidP="00817399">
      <w:pPr>
        <w:spacing w:line="269" w:lineRule="auto"/>
        <w:rPr>
          <w:rtl/>
        </w:rPr>
      </w:pPr>
    </w:p>
    <w:p w14:paraId="215989A7" w14:textId="0F8E5650" w:rsidR="00817399" w:rsidRPr="002F2BC5" w:rsidRDefault="00817399" w:rsidP="00817399">
      <w:pPr>
        <w:spacing w:line="269" w:lineRule="auto"/>
        <w:rPr>
          <w:rtl/>
        </w:rPr>
      </w:pPr>
      <w:r w:rsidRPr="002F2BC5">
        <w:rPr>
          <w:rFonts w:hint="cs"/>
          <w:rtl/>
        </w:rPr>
        <w:t>ריכוז הנתונים על ההכשרות הייעודיות והלא-ייעודיות בנושא אלימות במשפחה שהתקיימו בשנים 2020 - 2024, מספר השופטים המכהנים בשנים הללו, ובהם שופטי בתי המשפט לענייני משפחה, מספר המשתתפים בהכשרות ושיעורם מכלל השופטים המכהנים - מוצג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Ref187141966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20</w:t>
      </w:r>
      <w:r w:rsidRPr="002F2BC5">
        <w:rPr>
          <w:rtl/>
        </w:rPr>
        <w:fldChar w:fldCharType="end"/>
      </w:r>
      <w:r w:rsidRPr="002F2BC5">
        <w:rPr>
          <w:rFonts w:hint="cs"/>
          <w:rtl/>
        </w:rPr>
        <w:t xml:space="preserve"> שלהלן.</w:t>
      </w:r>
    </w:p>
    <w:p w14:paraId="0302A057" w14:textId="77777777" w:rsidR="00817399" w:rsidRPr="002F2BC5" w:rsidRDefault="00817399" w:rsidP="00817399">
      <w:pPr>
        <w:spacing w:line="269" w:lineRule="auto"/>
        <w:rPr>
          <w:rtl/>
        </w:rPr>
      </w:pPr>
    </w:p>
    <w:p w14:paraId="16CDE6D3" w14:textId="77777777" w:rsidR="00817399" w:rsidRPr="002F2BC5" w:rsidRDefault="00817399" w:rsidP="00817399">
      <w:pPr>
        <w:pStyle w:val="a0"/>
        <w:spacing w:line="269" w:lineRule="auto"/>
        <w:rPr>
          <w:b w:val="0"/>
          <w:bCs w:val="0"/>
          <w:rtl/>
        </w:rPr>
      </w:pPr>
      <w:bookmarkStart w:id="2175" w:name="_Ref187141966"/>
      <w:bookmarkStart w:id="2176" w:name="_Toc192674065"/>
      <w:r w:rsidRPr="002F2BC5">
        <w:rPr>
          <w:rFonts w:hint="cs"/>
          <w:b w:val="0"/>
          <w:bCs w:val="0"/>
          <w:rtl/>
        </w:rPr>
        <w:lastRenderedPageBreak/>
        <w:t>:</w:t>
      </w:r>
      <w:bookmarkEnd w:id="2175"/>
      <w:r w:rsidRPr="002F2BC5">
        <w:rPr>
          <w:rFonts w:hint="cs"/>
          <w:rtl/>
        </w:rPr>
        <w:t xml:space="preserve"> ההכשרות הייעודיות והלא-ייעודיות בנושא אלימות במשפחה, מספר השופטים המכהנים בשנים הללו, ובהם שופטי בתי המשפט לענייני משפחה, מספר המשתתפים בהכשרות ושיעורם מכלל השופטים המכהנים, 2020 - 2024</w:t>
      </w:r>
      <w:bookmarkEnd w:id="2176"/>
    </w:p>
    <w:p w14:paraId="741CEF7D"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36E6B013" wp14:editId="4AFDA0B8">
            <wp:extent cx="5220335" cy="2355850"/>
            <wp:effectExtent l="0" t="0" r="0" b="6350"/>
            <wp:docPr id="32" name="תמונה 3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20335" cy="2355850"/>
                    </a:xfrm>
                    <a:prstGeom prst="rect">
                      <a:avLst/>
                    </a:prstGeom>
                  </pic:spPr>
                </pic:pic>
              </a:graphicData>
            </a:graphic>
          </wp:inline>
        </w:drawing>
      </w:r>
    </w:p>
    <w:p w14:paraId="151C8027" w14:textId="77777777" w:rsidR="00817399" w:rsidRPr="002F2BC5" w:rsidRDefault="00817399" w:rsidP="00817399">
      <w:pPr>
        <w:pStyle w:val="afffffff1"/>
        <w:bidi/>
        <w:spacing w:line="269" w:lineRule="auto"/>
        <w:rPr>
          <w:rtl/>
        </w:rPr>
      </w:pPr>
      <w:r w:rsidRPr="002F2BC5">
        <w:rPr>
          <w:rFonts w:hint="cs"/>
          <w:rtl/>
        </w:rPr>
        <w:t>לפי נתוני הנהלת בתי המשפט, בעיבוד משרד מבקר המדינה. הנתון לגבי סה"כ השופטים המכהנים וסה"כ המשתתפים בהכשרות מתייחס לממוצע השנים 2020 - 2024.</w:t>
      </w:r>
    </w:p>
    <w:p w14:paraId="016D27D2" w14:textId="77777777" w:rsidR="00817399" w:rsidRPr="002F2BC5" w:rsidRDefault="00817399" w:rsidP="00817399">
      <w:pPr>
        <w:pStyle w:val="afffffff1"/>
        <w:bidi/>
        <w:spacing w:line="269" w:lineRule="auto"/>
        <w:rPr>
          <w:rtl/>
        </w:rPr>
      </w:pPr>
      <w:r w:rsidRPr="002F2BC5">
        <w:rPr>
          <w:rFonts w:hint="cs"/>
          <w:rtl/>
        </w:rPr>
        <w:t>* מספר ההכשרות המתוכננות כולל הכשרות שבוטלו, לדוגמה בשל משבר הקורונה, מלחמת חרבות ברזל או מגבלות תקציביות.</w:t>
      </w:r>
    </w:p>
    <w:p w14:paraId="539D59FC" w14:textId="77777777" w:rsidR="00817399" w:rsidRPr="002F2BC5" w:rsidRDefault="00817399" w:rsidP="00817399">
      <w:pPr>
        <w:pStyle w:val="afffffff1"/>
        <w:bidi/>
        <w:spacing w:line="269" w:lineRule="auto"/>
        <w:rPr>
          <w:rtl/>
        </w:rPr>
      </w:pPr>
      <w:r w:rsidRPr="002F2BC5">
        <w:rPr>
          <w:rFonts w:hint="cs"/>
          <w:rtl/>
        </w:rPr>
        <w:t>** הנתון המתייחס לסה"כ השופטים וסה"כ שופטים מכהנים בבתי משפט לענייני משפחה בשנים 2020 - 2024 חושב לפי ממוצע רב-שנתי של מספר השופטים שכיהנו בשנים הללו.</w:t>
      </w:r>
    </w:p>
    <w:p w14:paraId="56920950" w14:textId="77777777" w:rsidR="00817399" w:rsidRPr="002F2BC5" w:rsidRDefault="00817399" w:rsidP="00817399">
      <w:pPr>
        <w:pStyle w:val="afffffff1"/>
        <w:bidi/>
        <w:spacing w:line="269" w:lineRule="auto"/>
        <w:rPr>
          <w:rtl/>
        </w:rPr>
      </w:pPr>
      <w:r w:rsidRPr="002F2BC5">
        <w:rPr>
          <w:rFonts w:hint="cs"/>
          <w:rtl/>
        </w:rPr>
        <w:t>*** הנתון חושב לפי ממוצע המשתתפים בנפרד בכל אחת מההכשרות שהתקיימו. בהכשרות החובה הייעודיות לשופטי בתי המשפט לענייני משפחה שהתקיימו בשנת 2024 לא נערך רישום שמי של המשתתפים, ולכן שיעור ההשתתפות לא נלקח בחשבון לעניין ממוצע המשתתפים.</w:t>
      </w:r>
    </w:p>
    <w:p w14:paraId="3B7C3587" w14:textId="77777777" w:rsidR="00817399" w:rsidRPr="002F2BC5" w:rsidRDefault="00817399" w:rsidP="00817399">
      <w:pPr>
        <w:spacing w:line="269" w:lineRule="auto"/>
        <w:rPr>
          <w:rtl/>
        </w:rPr>
      </w:pPr>
    </w:p>
    <w:p w14:paraId="271E525D" w14:textId="1331190A" w:rsidR="00817399" w:rsidRPr="002F2BC5" w:rsidRDefault="00817399" w:rsidP="00817399">
      <w:pPr>
        <w:spacing w:line="269" w:lineRule="auto"/>
        <w:rPr>
          <w:b/>
          <w:bCs/>
          <w:rtl/>
        </w:rPr>
      </w:pPr>
      <w:r w:rsidRPr="002F2BC5">
        <w:rPr>
          <w:rFonts w:hint="eastAsia"/>
          <w:b/>
          <w:bCs/>
          <w:rtl/>
        </w:rPr>
        <w:t>מהנתונים</w:t>
      </w:r>
      <w:r w:rsidRPr="002F2BC5">
        <w:rPr>
          <w:b/>
          <w:bCs/>
          <w:rtl/>
        </w:rPr>
        <w:t xml:space="preserve"> המוצגים </w:t>
      </w:r>
      <w:r w:rsidRPr="002F2BC5">
        <w:rPr>
          <w:rFonts w:hint="eastAsia"/>
          <w:b/>
          <w:bCs/>
          <w:rtl/>
        </w:rPr>
        <w:t>ב</w:t>
      </w:r>
      <w:r w:rsidRPr="002F2BC5">
        <w:rPr>
          <w:b/>
          <w:bCs/>
          <w:rtl/>
        </w:rPr>
        <w:fldChar w:fldCharType="begin"/>
      </w:r>
      <w:r w:rsidRPr="002F2BC5">
        <w:rPr>
          <w:b/>
          <w:bCs/>
          <w:rtl/>
        </w:rPr>
        <w:instrText xml:space="preserve"> </w:instrText>
      </w:r>
      <w:r w:rsidRPr="002F2BC5">
        <w:rPr>
          <w:b/>
          <w:bCs/>
        </w:rPr>
        <w:instrText>REF</w:instrText>
      </w:r>
      <w:r w:rsidRPr="002F2BC5">
        <w:rPr>
          <w:b/>
          <w:bCs/>
          <w:rtl/>
        </w:rPr>
        <w:instrText xml:space="preserve"> _</w:instrText>
      </w:r>
      <w:r w:rsidRPr="002F2BC5">
        <w:rPr>
          <w:b/>
          <w:bCs/>
        </w:rPr>
        <w:instrText>Ref187141966 \r \h</w:instrText>
      </w:r>
      <w:r w:rsidRPr="002F2BC5">
        <w:rPr>
          <w:b/>
          <w:bCs/>
          <w:rtl/>
        </w:rPr>
        <w:instrText xml:space="preserve">  \* </w:instrText>
      </w:r>
      <w:r w:rsidRPr="002F2BC5">
        <w:rPr>
          <w:b/>
          <w:bCs/>
        </w:rPr>
        <w:instrText>MERGEFORMAT</w:instrText>
      </w:r>
      <w:r w:rsidRPr="002F2BC5">
        <w:rPr>
          <w:b/>
          <w:bCs/>
          <w:rtl/>
        </w:rPr>
        <w:instrText xml:space="preserve"> </w:instrText>
      </w:r>
      <w:r w:rsidRPr="002F2BC5">
        <w:rPr>
          <w:b/>
          <w:bCs/>
          <w:rtl/>
        </w:rPr>
      </w:r>
      <w:r w:rsidRPr="002F2BC5">
        <w:rPr>
          <w:b/>
          <w:bCs/>
          <w:rtl/>
        </w:rPr>
        <w:fldChar w:fldCharType="separate"/>
      </w:r>
      <w:r w:rsidR="00BB5E31">
        <w:rPr>
          <w:b/>
          <w:bCs/>
          <w:cs/>
        </w:rPr>
        <w:t>‎</w:t>
      </w:r>
      <w:r w:rsidR="00BB5E31">
        <w:rPr>
          <w:b/>
          <w:bCs/>
          <w:rtl/>
        </w:rPr>
        <w:t>לוח 20</w:t>
      </w:r>
      <w:r w:rsidRPr="002F2BC5">
        <w:rPr>
          <w:b/>
          <w:bCs/>
          <w:rtl/>
        </w:rPr>
        <w:fldChar w:fldCharType="end"/>
      </w:r>
      <w:r w:rsidRPr="002F2BC5">
        <w:rPr>
          <w:b/>
          <w:bCs/>
          <w:rtl/>
        </w:rPr>
        <w:t xml:space="preserve"> עולה כי שיעורם של השופטים המכהנים שהשתתפו בהכשרות ייעודיות </w:t>
      </w:r>
      <w:r w:rsidRPr="002F2BC5">
        <w:rPr>
          <w:rFonts w:hint="eastAsia"/>
          <w:b/>
          <w:bCs/>
          <w:rtl/>
        </w:rPr>
        <w:t>ולא</w:t>
      </w:r>
      <w:r w:rsidRPr="002F2BC5">
        <w:rPr>
          <w:b/>
          <w:bCs/>
          <w:rtl/>
        </w:rPr>
        <w:t>-</w:t>
      </w:r>
      <w:r w:rsidRPr="002F2BC5">
        <w:rPr>
          <w:rFonts w:hint="eastAsia"/>
          <w:b/>
          <w:bCs/>
          <w:rtl/>
        </w:rPr>
        <w:t>ייעודיות</w:t>
      </w:r>
      <w:r w:rsidRPr="002F2BC5">
        <w:rPr>
          <w:b/>
          <w:bCs/>
          <w:rtl/>
        </w:rPr>
        <w:t xml:space="preserve"> בנושא אלימות במשפחה </w:t>
      </w:r>
      <w:r w:rsidRPr="002F2BC5">
        <w:rPr>
          <w:rFonts w:hint="eastAsia"/>
          <w:b/>
          <w:bCs/>
          <w:rtl/>
        </w:rPr>
        <w:t>היה</w:t>
      </w:r>
      <w:r w:rsidRPr="002F2BC5">
        <w:rPr>
          <w:b/>
          <w:bCs/>
          <w:rtl/>
        </w:rPr>
        <w:t xml:space="preserve"> </w:t>
      </w:r>
      <w:r w:rsidRPr="002F2BC5">
        <w:rPr>
          <w:rFonts w:hint="eastAsia"/>
          <w:b/>
          <w:bCs/>
          <w:rtl/>
        </w:rPr>
        <w:t>מזערי</w:t>
      </w:r>
      <w:r w:rsidRPr="002F2BC5">
        <w:rPr>
          <w:b/>
          <w:bCs/>
          <w:rtl/>
        </w:rPr>
        <w:t xml:space="preserve"> (כ-7% בלבד בממוצע לשנים 2020 - 2024) וכי שיעור זה היה מעט גבוה יותר בבחינת שיעורם של השופטים המכהנים בבתי המשפט לענייני משפחה (כ-13% בממוצע לשנים הללו). אשר להכשרות הייעודיות בנושא אלימות במשפחה עלה כי כ-10% בלבד בממוצע מקרב השופטים המכהנים השתתפו בהכשרות הללו בשנים 2020 - 2024, ומקרב שופטי בתי המשפט לענייני משפחה היה שיעור זה מעט גבוה יותר - כ-16%.</w:t>
      </w:r>
    </w:p>
    <w:p w14:paraId="514A76DA" w14:textId="77777777" w:rsidR="00817399" w:rsidRPr="002F2BC5" w:rsidRDefault="00817399" w:rsidP="00817399">
      <w:pPr>
        <w:spacing w:line="269" w:lineRule="auto"/>
        <w:rPr>
          <w:rtl/>
        </w:rPr>
      </w:pPr>
    </w:p>
    <w:p w14:paraId="30BE6476" w14:textId="77777777" w:rsidR="00817399" w:rsidRPr="002F2BC5" w:rsidRDefault="00817399" w:rsidP="00817399">
      <w:pPr>
        <w:spacing w:line="269" w:lineRule="auto"/>
        <w:rPr>
          <w:rtl/>
        </w:rPr>
      </w:pPr>
      <w:r w:rsidRPr="002F2BC5">
        <w:rPr>
          <w:rFonts w:hint="cs"/>
          <w:rtl/>
        </w:rPr>
        <w:t>הנהלת בתי המשפט מסרה במהלך ביקורת המעקב, בינואר 2025, כי תוכנית ההכשרות לשופטים נקבעת מבעוד מועד וכי האפשרות לערוך בה שינויים, לאחר שנקבעה, היא מוגבלת. עוד מסרה, בהתייחס לשנים 2021, 2023 ו-2024, כי בשנים אלו, על רקע משבר הקורונה ומלחמת חרבות ברזל, בוטלו הכשרות רבות שתוכננו להתקיים וכן נדרשו התאמות במתכונת ההכשרות, לרבות קיצורן או עריכתן במתכונת המשלבת מפגשים פרונטליים ומפגשים מקוונים (היברידית). הנהלת בתי המשפט הוסיפה כי בהיעדרה של מערכת ממוחשבת לניהול הנתונים, אין באפשרותה להציג בנפרד נתונים על השתתפותם של שופטים שהוסמכו לעסוק בענייני משפחה, גם אם אינם מכהנים בפועל בבתי המשפט לענייני משפחה, בהכשרות ייעודיות או לא-ייעודיות בתחום האלימות במשפחה.</w:t>
      </w:r>
    </w:p>
    <w:p w14:paraId="1320BF7D" w14:textId="77777777" w:rsidR="00817399" w:rsidRPr="002F2BC5" w:rsidRDefault="00817399" w:rsidP="00817399">
      <w:pPr>
        <w:spacing w:line="269" w:lineRule="auto"/>
        <w:rPr>
          <w:rtl/>
        </w:rPr>
      </w:pPr>
    </w:p>
    <w:p w14:paraId="6A5ECFDC" w14:textId="77777777" w:rsidR="00817399" w:rsidRPr="002F2BC5" w:rsidRDefault="00817399" w:rsidP="00817399">
      <w:pPr>
        <w:spacing w:line="269" w:lineRule="auto"/>
        <w:rPr>
          <w:b/>
          <w:bCs/>
          <w:rtl/>
        </w:rPr>
      </w:pPr>
      <w:r w:rsidRPr="002F2BC5">
        <w:rPr>
          <w:rFonts w:hint="cs"/>
          <w:b/>
          <w:bCs/>
          <w:rtl/>
        </w:rPr>
        <w:t xml:space="preserve">נמצא כי לפי הנתונים שדווחו למשרד הרווחה על ידי המרכזים לטיפול ומניעת אלימות במשפחה לשנים 2020 - 2023 חלה עלייה מתונה במספר המופנים לטיפול במסגרת ההליך המשפטי: בשנת 2020 הופנו לטיפול במרכזים על ידי בתי המשפט 109 מטופלים; בשנת 2021 הופנו לטיפול כאמור 180 מטופלים; בשנת 2022 הופנו לטיפול כאמור 198 מטופלים; ובשנת 2023, שבמהלכה פרצה מלחמת חרבות ברזל, הופנו לטיפול כאמור 116 מטופלים. </w:t>
      </w:r>
    </w:p>
    <w:p w14:paraId="525926A1" w14:textId="77777777" w:rsidR="00817399" w:rsidRPr="002F2BC5" w:rsidRDefault="00817399" w:rsidP="00817399">
      <w:pPr>
        <w:spacing w:line="269" w:lineRule="auto"/>
        <w:rPr>
          <w:rtl/>
        </w:rPr>
      </w:pPr>
    </w:p>
    <w:p w14:paraId="412BC40F" w14:textId="77777777" w:rsidR="00817399" w:rsidRPr="002F2BC5" w:rsidRDefault="00817399" w:rsidP="00817399">
      <w:pPr>
        <w:spacing w:line="269" w:lineRule="auto"/>
        <w:rPr>
          <w:rtl/>
        </w:rPr>
      </w:pPr>
      <w:r w:rsidRPr="002F2BC5">
        <w:rPr>
          <w:rFonts w:hint="eastAsia"/>
          <w:rtl/>
        </w:rPr>
        <w:lastRenderedPageBreak/>
        <w:t>במסגרת</w:t>
      </w:r>
      <w:r w:rsidRPr="002F2BC5">
        <w:rPr>
          <w:rtl/>
        </w:rPr>
        <w:t xml:space="preserve"> הביקורת הנוכחית נבדק אם הנהלת בתי המשפט </w:t>
      </w:r>
      <w:r w:rsidRPr="002F2BC5">
        <w:rPr>
          <w:rFonts w:hint="eastAsia"/>
          <w:rtl/>
        </w:rPr>
        <w:t>מקפידה</w:t>
      </w:r>
      <w:r w:rsidRPr="002F2BC5">
        <w:rPr>
          <w:rtl/>
        </w:rPr>
        <w:t xml:space="preserve"> </w:t>
      </w:r>
      <w:r w:rsidRPr="002F2BC5">
        <w:rPr>
          <w:rFonts w:hint="eastAsia"/>
          <w:rtl/>
        </w:rPr>
        <w:t>לאסוף</w:t>
      </w:r>
      <w:r w:rsidRPr="002F2BC5">
        <w:rPr>
          <w:rtl/>
        </w:rPr>
        <w:t xml:space="preserve">, </w:t>
      </w:r>
      <w:r w:rsidRPr="002F2BC5">
        <w:rPr>
          <w:rFonts w:hint="eastAsia"/>
          <w:rtl/>
        </w:rPr>
        <w:t>לאגם</w:t>
      </w:r>
      <w:r w:rsidRPr="002F2BC5">
        <w:rPr>
          <w:rtl/>
        </w:rPr>
        <w:t xml:space="preserve"> </w:t>
      </w:r>
      <w:r w:rsidRPr="002F2BC5">
        <w:rPr>
          <w:rFonts w:hint="eastAsia"/>
          <w:rtl/>
        </w:rPr>
        <w:t>ולנהל</w:t>
      </w:r>
      <w:r w:rsidRPr="002F2BC5">
        <w:rPr>
          <w:rtl/>
        </w:rPr>
        <w:t xml:space="preserve"> נתונים </w:t>
      </w:r>
      <w:r w:rsidRPr="002F2BC5">
        <w:rPr>
          <w:rFonts w:hint="eastAsia"/>
          <w:rtl/>
        </w:rPr>
        <w:t>החיוניים</w:t>
      </w:r>
      <w:r w:rsidRPr="002F2BC5">
        <w:rPr>
          <w:rtl/>
        </w:rPr>
        <w:t xml:space="preserve"> לבחינת </w:t>
      </w:r>
      <w:r w:rsidRPr="002F2BC5">
        <w:rPr>
          <w:rFonts w:hint="eastAsia"/>
          <w:rtl/>
        </w:rPr>
        <w:t>השפעתו</w:t>
      </w:r>
      <w:r w:rsidRPr="002F2BC5">
        <w:rPr>
          <w:rtl/>
        </w:rPr>
        <w:t xml:space="preserve"> </w:t>
      </w:r>
      <w:r w:rsidRPr="002F2BC5">
        <w:rPr>
          <w:rFonts w:hint="eastAsia"/>
          <w:rtl/>
        </w:rPr>
        <w:t>העתידית</w:t>
      </w:r>
      <w:r w:rsidRPr="002F2BC5">
        <w:rPr>
          <w:rtl/>
        </w:rPr>
        <w:t xml:space="preserve"> </w:t>
      </w:r>
      <w:r w:rsidRPr="002F2BC5">
        <w:rPr>
          <w:rFonts w:hint="eastAsia"/>
          <w:rtl/>
        </w:rPr>
        <w:t>של</w:t>
      </w:r>
      <w:r w:rsidRPr="002F2BC5">
        <w:rPr>
          <w:rtl/>
        </w:rPr>
        <w:t xml:space="preserve"> </w:t>
      </w:r>
      <w:r w:rsidRPr="002F2BC5">
        <w:rPr>
          <w:rFonts w:hint="eastAsia"/>
          <w:rtl/>
        </w:rPr>
        <w:t>תיקון</w:t>
      </w:r>
      <w:r w:rsidRPr="002F2BC5">
        <w:rPr>
          <w:rtl/>
        </w:rPr>
        <w:t xml:space="preserve"> 18 </w:t>
      </w:r>
      <w:r w:rsidRPr="002F2BC5">
        <w:rPr>
          <w:rFonts w:hint="eastAsia"/>
          <w:rtl/>
        </w:rPr>
        <w:t>לחוק</w:t>
      </w:r>
      <w:r w:rsidRPr="002F2BC5">
        <w:rPr>
          <w:rtl/>
        </w:rPr>
        <w:t xml:space="preserve">. </w:t>
      </w:r>
    </w:p>
    <w:p w14:paraId="470D378F" w14:textId="77777777" w:rsidR="00817399" w:rsidRPr="002F2BC5" w:rsidRDefault="00817399" w:rsidP="00817399">
      <w:pPr>
        <w:spacing w:line="269" w:lineRule="auto"/>
        <w:rPr>
          <w:b/>
          <w:bCs/>
          <w:rtl/>
        </w:rPr>
      </w:pPr>
      <w:r w:rsidRPr="002F2BC5">
        <w:rPr>
          <w:rFonts w:hint="cs"/>
          <w:b/>
          <w:bCs/>
          <w:rtl/>
        </w:rPr>
        <w:t xml:space="preserve">במועד סיום הביקורת הנוכחית, </w:t>
      </w:r>
      <w:r w:rsidRPr="002F2BC5">
        <w:rPr>
          <w:rFonts w:hint="eastAsia"/>
          <w:b/>
          <w:bCs/>
          <w:rtl/>
        </w:rPr>
        <w:t>בדצמבר</w:t>
      </w:r>
      <w:r w:rsidRPr="002F2BC5">
        <w:rPr>
          <w:rFonts w:hint="cs"/>
          <w:b/>
          <w:bCs/>
          <w:rtl/>
        </w:rPr>
        <w:t xml:space="preserve"> 2024, נמצא כי לא היו בידי הנהלת בתי המשפט הנתונים הללו</w:t>
      </w:r>
      <w:r w:rsidRPr="002F2BC5">
        <w:rPr>
          <w:b/>
          <w:bCs/>
          <w:rtl/>
        </w:rPr>
        <w:t xml:space="preserve"> החיוניים לבחינת </w:t>
      </w:r>
      <w:r w:rsidRPr="002F2BC5">
        <w:rPr>
          <w:rFonts w:hint="eastAsia"/>
          <w:b/>
          <w:bCs/>
          <w:rtl/>
        </w:rPr>
        <w:t>השפעתו</w:t>
      </w:r>
      <w:r w:rsidRPr="002F2BC5">
        <w:rPr>
          <w:b/>
          <w:bCs/>
          <w:rtl/>
        </w:rPr>
        <w:t xml:space="preserve"> </w:t>
      </w:r>
      <w:r w:rsidRPr="002F2BC5">
        <w:rPr>
          <w:rFonts w:hint="eastAsia"/>
          <w:b/>
          <w:bCs/>
          <w:rtl/>
        </w:rPr>
        <w:t>העתידית</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תיקון</w:t>
      </w:r>
      <w:r w:rsidRPr="002F2BC5">
        <w:rPr>
          <w:b/>
          <w:bCs/>
          <w:rtl/>
        </w:rPr>
        <w:t xml:space="preserve"> 18 </w:t>
      </w:r>
      <w:r w:rsidRPr="002F2BC5">
        <w:rPr>
          <w:rFonts w:hint="eastAsia"/>
          <w:b/>
          <w:bCs/>
          <w:rtl/>
        </w:rPr>
        <w:t>לחוק</w:t>
      </w:r>
      <w:r w:rsidRPr="002F2BC5">
        <w:rPr>
          <w:b/>
          <w:bCs/>
          <w:rtl/>
        </w:rPr>
        <w:t xml:space="preserve"> על </w:t>
      </w:r>
      <w:r w:rsidRPr="002F2BC5">
        <w:rPr>
          <w:rFonts w:hint="eastAsia"/>
          <w:b/>
          <w:bCs/>
          <w:rtl/>
        </w:rPr>
        <w:t>היקף</w:t>
      </w:r>
      <w:r w:rsidRPr="002F2BC5">
        <w:rPr>
          <w:b/>
          <w:bCs/>
          <w:rtl/>
        </w:rPr>
        <w:t xml:space="preserve"> </w:t>
      </w:r>
      <w:r w:rsidRPr="002F2BC5">
        <w:rPr>
          <w:rFonts w:hint="eastAsia"/>
          <w:b/>
          <w:bCs/>
          <w:rtl/>
        </w:rPr>
        <w:t>המופנים</w:t>
      </w:r>
      <w:r w:rsidRPr="002F2BC5">
        <w:rPr>
          <w:b/>
          <w:bCs/>
          <w:rtl/>
        </w:rPr>
        <w:t xml:space="preserve"> </w:t>
      </w:r>
      <w:r w:rsidRPr="002F2BC5">
        <w:rPr>
          <w:rFonts w:hint="eastAsia"/>
          <w:b/>
          <w:bCs/>
          <w:rtl/>
        </w:rPr>
        <w:t>לטיפול</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רקע</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זוגית</w:t>
      </w:r>
      <w:r w:rsidRPr="002F2BC5">
        <w:rPr>
          <w:b/>
          <w:bCs/>
          <w:rtl/>
        </w:rPr>
        <w:t>,</w:t>
      </w:r>
      <w:r w:rsidRPr="002F2BC5">
        <w:rPr>
          <w:rFonts w:hint="cs"/>
          <w:b/>
          <w:bCs/>
          <w:rtl/>
        </w:rPr>
        <w:t xml:space="preserve"> ובכלל זה לא היו מצויים בידיה נתונים על בקשות לצווי הגנה שהוגשו בפילוח לפי הרקע להוצאתו של הצו והקשר לאירועי אלימות במשפחה; מגדר המחויב בצו; וכן נתונים על הפנייה של האדם שכנגדו התבקש הצו לטיפול לפי ההסדרים הקבועים בחוק</w:t>
      </w:r>
      <w:r w:rsidRPr="002F2BC5">
        <w:rPr>
          <w:rStyle w:val="af9"/>
          <w:b/>
          <w:bCs/>
          <w:rtl/>
        </w:rPr>
        <w:footnoteReference w:id="429"/>
      </w:r>
      <w:r w:rsidRPr="002F2BC5">
        <w:rPr>
          <w:rFonts w:hint="cs"/>
          <w:b/>
          <w:bCs/>
          <w:rtl/>
        </w:rPr>
        <w:t xml:space="preserve">. </w:t>
      </w:r>
      <w:r w:rsidRPr="002F2BC5">
        <w:rPr>
          <w:rFonts w:hint="eastAsia"/>
          <w:b/>
          <w:bCs/>
          <w:rtl/>
        </w:rPr>
        <w:t>אומנם</w:t>
      </w:r>
      <w:r w:rsidRPr="002F2BC5">
        <w:rPr>
          <w:b/>
          <w:bCs/>
          <w:rtl/>
        </w:rPr>
        <w:t xml:space="preserve">, </w:t>
      </w:r>
      <w:r w:rsidRPr="002F2BC5">
        <w:rPr>
          <w:rFonts w:hint="eastAsia"/>
          <w:b/>
          <w:bCs/>
          <w:rtl/>
        </w:rPr>
        <w:t>נתונים</w:t>
      </w:r>
      <w:r w:rsidRPr="002F2BC5">
        <w:rPr>
          <w:b/>
          <w:bCs/>
          <w:rtl/>
        </w:rPr>
        <w:t xml:space="preserve"> </w:t>
      </w:r>
      <w:r w:rsidRPr="002F2BC5">
        <w:rPr>
          <w:rFonts w:hint="eastAsia"/>
          <w:b/>
          <w:bCs/>
          <w:rtl/>
        </w:rPr>
        <w:t>על</w:t>
      </w:r>
      <w:r w:rsidRPr="002F2BC5">
        <w:rPr>
          <w:b/>
          <w:bCs/>
          <w:rtl/>
        </w:rPr>
        <w:t xml:space="preserve"> </w:t>
      </w:r>
      <w:r w:rsidRPr="002F2BC5">
        <w:rPr>
          <w:rFonts w:hint="eastAsia"/>
          <w:b/>
          <w:bCs/>
          <w:rtl/>
        </w:rPr>
        <w:t>היקף</w:t>
      </w:r>
      <w:r w:rsidRPr="002F2BC5">
        <w:rPr>
          <w:b/>
          <w:bCs/>
          <w:rtl/>
        </w:rPr>
        <w:t xml:space="preserve"> המופנים לטיפול במסגרת הדיון בבק</w:t>
      </w:r>
      <w:r w:rsidRPr="002F2BC5">
        <w:rPr>
          <w:rFonts w:hint="eastAsia"/>
          <w:b/>
          <w:bCs/>
          <w:rtl/>
        </w:rPr>
        <w:t>שה</w:t>
      </w:r>
      <w:r w:rsidRPr="002F2BC5">
        <w:rPr>
          <w:b/>
          <w:bCs/>
          <w:rtl/>
        </w:rPr>
        <w:t xml:space="preserve"> </w:t>
      </w:r>
      <w:r w:rsidRPr="002F2BC5">
        <w:rPr>
          <w:rFonts w:hint="eastAsia"/>
          <w:b/>
          <w:bCs/>
          <w:rtl/>
        </w:rPr>
        <w:t>לצו</w:t>
      </w:r>
      <w:r w:rsidRPr="002F2BC5">
        <w:rPr>
          <w:b/>
          <w:bCs/>
          <w:rtl/>
        </w:rPr>
        <w:t xml:space="preserve"> </w:t>
      </w:r>
      <w:r w:rsidRPr="002F2BC5">
        <w:rPr>
          <w:rFonts w:hint="eastAsia"/>
          <w:b/>
          <w:bCs/>
          <w:rtl/>
        </w:rPr>
        <w:t>הגנה</w:t>
      </w:r>
      <w:r w:rsidRPr="002F2BC5">
        <w:rPr>
          <w:b/>
          <w:bCs/>
          <w:rtl/>
        </w:rPr>
        <w:t xml:space="preserve"> </w:t>
      </w:r>
      <w:r w:rsidRPr="002F2BC5">
        <w:rPr>
          <w:rFonts w:hint="eastAsia"/>
          <w:b/>
          <w:bCs/>
          <w:rtl/>
        </w:rPr>
        <w:t>אמורים</w:t>
      </w:r>
      <w:r w:rsidRPr="002F2BC5">
        <w:rPr>
          <w:b/>
          <w:bCs/>
          <w:rtl/>
        </w:rPr>
        <w:t xml:space="preserve"> </w:t>
      </w:r>
      <w:r w:rsidRPr="002F2BC5">
        <w:rPr>
          <w:rFonts w:hint="eastAsia"/>
          <w:b/>
          <w:bCs/>
          <w:rtl/>
        </w:rPr>
        <w:t>היו</w:t>
      </w:r>
      <w:r w:rsidRPr="002F2BC5">
        <w:rPr>
          <w:b/>
          <w:bCs/>
          <w:rtl/>
        </w:rPr>
        <w:t xml:space="preserve"> </w:t>
      </w:r>
      <w:r w:rsidRPr="002F2BC5">
        <w:rPr>
          <w:rFonts w:hint="eastAsia"/>
          <w:b/>
          <w:bCs/>
          <w:rtl/>
        </w:rPr>
        <w:t>להימסר</w:t>
      </w:r>
      <w:r w:rsidRPr="002F2BC5">
        <w:rPr>
          <w:b/>
          <w:bCs/>
          <w:rtl/>
        </w:rPr>
        <w:t xml:space="preserve"> </w:t>
      </w:r>
      <w:r w:rsidRPr="002F2BC5">
        <w:rPr>
          <w:rFonts w:hint="eastAsia"/>
          <w:b/>
          <w:bCs/>
          <w:rtl/>
        </w:rPr>
        <w:t>באופן</w:t>
      </w:r>
      <w:r w:rsidRPr="002F2BC5">
        <w:rPr>
          <w:b/>
          <w:bCs/>
          <w:rtl/>
        </w:rPr>
        <w:t xml:space="preserve"> </w:t>
      </w:r>
      <w:r w:rsidRPr="002F2BC5">
        <w:rPr>
          <w:rFonts w:hint="eastAsia"/>
          <w:b/>
          <w:bCs/>
          <w:rtl/>
        </w:rPr>
        <w:t>עיתי</w:t>
      </w:r>
      <w:r w:rsidRPr="002F2BC5">
        <w:rPr>
          <w:b/>
          <w:bCs/>
          <w:rtl/>
        </w:rPr>
        <w:t xml:space="preserve"> </w:t>
      </w:r>
      <w:r w:rsidRPr="002F2BC5">
        <w:rPr>
          <w:rFonts w:hint="eastAsia"/>
          <w:b/>
          <w:bCs/>
          <w:rtl/>
        </w:rPr>
        <w:t>לוועדה</w:t>
      </w:r>
      <w:r w:rsidRPr="002F2BC5">
        <w:rPr>
          <w:b/>
          <w:bCs/>
          <w:rtl/>
        </w:rPr>
        <w:t xml:space="preserve"> </w:t>
      </w:r>
      <w:r w:rsidRPr="002F2BC5">
        <w:rPr>
          <w:rFonts w:hint="eastAsia"/>
          <w:b/>
          <w:bCs/>
          <w:rtl/>
        </w:rPr>
        <w:t>לקידום</w:t>
      </w:r>
      <w:r w:rsidRPr="002F2BC5">
        <w:rPr>
          <w:b/>
          <w:bCs/>
          <w:rtl/>
        </w:rPr>
        <w:t xml:space="preserve"> </w:t>
      </w:r>
      <w:r w:rsidRPr="002F2BC5">
        <w:rPr>
          <w:rFonts w:hint="eastAsia"/>
          <w:b/>
          <w:bCs/>
          <w:rtl/>
        </w:rPr>
        <w:t>מעמד</w:t>
      </w:r>
      <w:r w:rsidRPr="002F2BC5">
        <w:rPr>
          <w:b/>
          <w:bCs/>
          <w:rtl/>
        </w:rPr>
        <w:t xml:space="preserve"> </w:t>
      </w:r>
      <w:r w:rsidRPr="002F2BC5">
        <w:rPr>
          <w:rFonts w:hint="eastAsia"/>
          <w:b/>
          <w:bCs/>
          <w:rtl/>
        </w:rPr>
        <w:t>האישה</w:t>
      </w:r>
      <w:r w:rsidRPr="002F2BC5">
        <w:rPr>
          <w:b/>
          <w:bCs/>
          <w:rtl/>
        </w:rPr>
        <w:t xml:space="preserve"> </w:t>
      </w:r>
      <w:r w:rsidRPr="002F2BC5">
        <w:rPr>
          <w:rFonts w:hint="cs"/>
          <w:b/>
          <w:bCs/>
          <w:rtl/>
        </w:rPr>
        <w:t xml:space="preserve">בכנסת </w:t>
      </w:r>
      <w:r w:rsidRPr="002F2BC5">
        <w:rPr>
          <w:rFonts w:hint="eastAsia"/>
          <w:b/>
          <w:bCs/>
          <w:rtl/>
        </w:rPr>
        <w:t>בעקבות</w:t>
      </w:r>
      <w:r w:rsidRPr="002F2BC5">
        <w:rPr>
          <w:b/>
          <w:bCs/>
          <w:rtl/>
        </w:rPr>
        <w:t xml:space="preserve"> </w:t>
      </w:r>
      <w:r w:rsidRPr="002F2BC5">
        <w:rPr>
          <w:rFonts w:hint="eastAsia"/>
          <w:b/>
          <w:bCs/>
          <w:rtl/>
        </w:rPr>
        <w:t>כניסתו</w:t>
      </w:r>
      <w:r w:rsidRPr="002F2BC5">
        <w:rPr>
          <w:b/>
          <w:bCs/>
          <w:rtl/>
        </w:rPr>
        <w:t xml:space="preserve"> </w:t>
      </w:r>
      <w:r w:rsidRPr="002F2BC5">
        <w:rPr>
          <w:rFonts w:hint="eastAsia"/>
          <w:b/>
          <w:bCs/>
          <w:rtl/>
        </w:rPr>
        <w:t>לתוקף</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תיקון</w:t>
      </w:r>
      <w:r w:rsidRPr="002F2BC5">
        <w:rPr>
          <w:b/>
          <w:bCs/>
          <w:rtl/>
        </w:rPr>
        <w:t xml:space="preserve"> 18 </w:t>
      </w:r>
      <w:r w:rsidRPr="002F2BC5">
        <w:rPr>
          <w:rFonts w:hint="eastAsia"/>
          <w:b/>
          <w:bCs/>
          <w:rtl/>
        </w:rPr>
        <w:t>לחוק</w:t>
      </w:r>
      <w:r w:rsidRPr="002F2BC5">
        <w:rPr>
          <w:b/>
          <w:bCs/>
          <w:rtl/>
        </w:rPr>
        <w:t xml:space="preserve"> ועל פי מנגנון הדיווח שנקבע במסגרת התיקון </w:t>
      </w:r>
      <w:r w:rsidRPr="002F2BC5">
        <w:rPr>
          <w:rFonts w:hint="eastAsia"/>
          <w:b/>
          <w:bCs/>
          <w:rtl/>
        </w:rPr>
        <w:t>האמור</w:t>
      </w:r>
      <w:r w:rsidRPr="002F2BC5">
        <w:rPr>
          <w:b/>
          <w:bCs/>
          <w:rtl/>
        </w:rPr>
        <w:t xml:space="preserve">. </w:t>
      </w:r>
      <w:r w:rsidRPr="002F2BC5">
        <w:rPr>
          <w:rFonts w:hint="eastAsia"/>
          <w:b/>
          <w:bCs/>
          <w:rtl/>
        </w:rPr>
        <w:t>אולם</w:t>
      </w:r>
      <w:r w:rsidRPr="002F2BC5">
        <w:rPr>
          <w:b/>
          <w:bCs/>
          <w:rtl/>
        </w:rPr>
        <w:t xml:space="preserve"> </w:t>
      </w:r>
      <w:r w:rsidRPr="002F2BC5">
        <w:rPr>
          <w:rFonts w:hint="eastAsia"/>
          <w:b/>
          <w:bCs/>
          <w:rtl/>
        </w:rPr>
        <w:t>לנוכח</w:t>
      </w:r>
      <w:r w:rsidRPr="002F2BC5">
        <w:rPr>
          <w:b/>
          <w:bCs/>
          <w:rtl/>
        </w:rPr>
        <w:t xml:space="preserve"> העיכוב בהתחלת יישומו של </w:t>
      </w:r>
      <w:r w:rsidRPr="002F2BC5">
        <w:rPr>
          <w:rFonts w:hint="eastAsia"/>
          <w:b/>
          <w:bCs/>
          <w:rtl/>
        </w:rPr>
        <w:t>התיקון</w:t>
      </w:r>
      <w:r w:rsidRPr="002F2BC5">
        <w:rPr>
          <w:b/>
          <w:bCs/>
          <w:rtl/>
        </w:rPr>
        <w:t xml:space="preserve"> </w:t>
      </w:r>
      <w:r w:rsidRPr="002F2BC5">
        <w:rPr>
          <w:rFonts w:hint="eastAsia"/>
          <w:b/>
          <w:bCs/>
          <w:rtl/>
        </w:rPr>
        <w:t>לחוק</w:t>
      </w:r>
      <w:r w:rsidRPr="002F2BC5">
        <w:rPr>
          <w:b/>
          <w:bCs/>
          <w:rtl/>
        </w:rPr>
        <w:t xml:space="preserve">, </w:t>
      </w:r>
      <w:r w:rsidRPr="002F2BC5">
        <w:rPr>
          <w:rFonts w:hint="eastAsia"/>
          <w:b/>
          <w:bCs/>
          <w:rtl/>
        </w:rPr>
        <w:t>הדיווחים</w:t>
      </w:r>
      <w:r w:rsidRPr="002F2BC5">
        <w:rPr>
          <w:b/>
          <w:bCs/>
          <w:rtl/>
        </w:rPr>
        <w:t xml:space="preserve"> שהועברו </w:t>
      </w:r>
      <w:r w:rsidRPr="002F2BC5">
        <w:rPr>
          <w:rFonts w:hint="eastAsia"/>
          <w:b/>
          <w:bCs/>
          <w:rtl/>
        </w:rPr>
        <w:t>לוועדות</w:t>
      </w:r>
      <w:r w:rsidRPr="002F2BC5">
        <w:rPr>
          <w:b/>
          <w:bCs/>
          <w:rtl/>
        </w:rPr>
        <w:t xml:space="preserve"> הכנסת </w:t>
      </w:r>
      <w:r w:rsidRPr="002F2BC5">
        <w:rPr>
          <w:rFonts w:hint="eastAsia"/>
          <w:b/>
          <w:bCs/>
          <w:rtl/>
        </w:rPr>
        <w:t>התמקדו</w:t>
      </w:r>
      <w:r w:rsidRPr="002F2BC5">
        <w:rPr>
          <w:b/>
          <w:bCs/>
          <w:rtl/>
        </w:rPr>
        <w:t xml:space="preserve"> בחסמים </w:t>
      </w:r>
      <w:r w:rsidRPr="002F2BC5">
        <w:rPr>
          <w:rFonts w:hint="eastAsia"/>
          <w:b/>
          <w:bCs/>
          <w:rtl/>
        </w:rPr>
        <w:t>ליישום</w:t>
      </w:r>
      <w:r w:rsidRPr="002F2BC5">
        <w:rPr>
          <w:b/>
          <w:bCs/>
          <w:rtl/>
        </w:rPr>
        <w:t xml:space="preserve"> </w:t>
      </w:r>
      <w:r w:rsidRPr="002F2BC5">
        <w:rPr>
          <w:rFonts w:hint="eastAsia"/>
          <w:b/>
          <w:bCs/>
          <w:rtl/>
        </w:rPr>
        <w:t>ההסדר</w:t>
      </w:r>
      <w:r w:rsidRPr="002F2BC5">
        <w:rPr>
          <w:b/>
          <w:bCs/>
          <w:rtl/>
        </w:rPr>
        <w:t xml:space="preserve"> </w:t>
      </w:r>
      <w:r w:rsidRPr="002F2BC5">
        <w:rPr>
          <w:rFonts w:hint="eastAsia"/>
          <w:b/>
          <w:bCs/>
          <w:rtl/>
        </w:rPr>
        <w:t>ולא</w:t>
      </w:r>
      <w:r w:rsidRPr="002F2BC5">
        <w:rPr>
          <w:b/>
          <w:bCs/>
          <w:rtl/>
        </w:rPr>
        <w:t xml:space="preserve"> </w:t>
      </w:r>
      <w:r w:rsidRPr="002F2BC5">
        <w:rPr>
          <w:rFonts w:hint="eastAsia"/>
          <w:b/>
          <w:bCs/>
          <w:rtl/>
        </w:rPr>
        <w:t>בעצם</w:t>
      </w:r>
      <w:r w:rsidRPr="002F2BC5">
        <w:rPr>
          <w:b/>
          <w:bCs/>
          <w:rtl/>
        </w:rPr>
        <w:t xml:space="preserve"> </w:t>
      </w:r>
      <w:r w:rsidRPr="002F2BC5">
        <w:rPr>
          <w:rFonts w:hint="eastAsia"/>
          <w:b/>
          <w:bCs/>
          <w:rtl/>
        </w:rPr>
        <w:t>יישומו</w:t>
      </w:r>
      <w:r w:rsidRPr="002F2BC5">
        <w:rPr>
          <w:rStyle w:val="af9"/>
          <w:b/>
          <w:bCs/>
          <w:rtl/>
        </w:rPr>
        <w:footnoteReference w:id="430"/>
      </w:r>
      <w:r w:rsidRPr="002F2BC5">
        <w:rPr>
          <w:b/>
          <w:bCs/>
          <w:rtl/>
        </w:rPr>
        <w:t>.</w:t>
      </w:r>
    </w:p>
    <w:p w14:paraId="6119470F" w14:textId="77777777" w:rsidR="00817399" w:rsidRPr="002F2BC5" w:rsidRDefault="00817399" w:rsidP="00817399">
      <w:pPr>
        <w:spacing w:line="269" w:lineRule="auto"/>
        <w:rPr>
          <w:rtl/>
        </w:rPr>
      </w:pPr>
    </w:p>
    <w:p w14:paraId="21C7E9AF" w14:textId="77777777" w:rsidR="00817399" w:rsidRPr="002F2BC5" w:rsidRDefault="00817399" w:rsidP="00817399">
      <w:pPr>
        <w:spacing w:line="269" w:lineRule="auto"/>
        <w:rPr>
          <w:b/>
          <w:bCs/>
          <w:rtl/>
        </w:rPr>
      </w:pPr>
      <w:r w:rsidRPr="002F2BC5">
        <w:rPr>
          <w:rFonts w:hint="cs"/>
          <w:b/>
          <w:bCs/>
          <w:rtl/>
        </w:rPr>
        <w:t>יש לציין כי במהלך שנת 2024 פעלה הנהלת בתי המשפט להכשרתם של השופטים המכהנים, ובפרט שופטי בתי המשפט לענייני משפחה, בעקבות כניסתו לתוקף של תיקון 19 לחוק למניעת אלימות במשפחה וכי התקיימו בנושא ארבע הכשרות חובה ייעודיות בהשתתפותם של 481 שופטים (כולן במהלך חודש יולי 2024). עם זאת הועלה כי לא התקיימו הכשרות ייעודיות דומות בעקבות כניסתו לתוקף של תיקון 18 לחוק.</w:t>
      </w:r>
    </w:p>
    <w:p w14:paraId="0D5CB33F" w14:textId="77777777" w:rsidR="00817399" w:rsidRPr="002F2BC5" w:rsidRDefault="00817399" w:rsidP="00817399">
      <w:pPr>
        <w:spacing w:line="269" w:lineRule="auto"/>
        <w:rPr>
          <w:rtl/>
        </w:rPr>
      </w:pPr>
    </w:p>
    <w:p w14:paraId="3855351B" w14:textId="77777777" w:rsidR="00817399" w:rsidRPr="002F2BC5" w:rsidRDefault="00817399" w:rsidP="00817399">
      <w:pPr>
        <w:pStyle w:val="afffffff9"/>
        <w:spacing w:line="269" w:lineRule="auto"/>
        <w:rPr>
          <w:rtl/>
        </w:rPr>
      </w:pPr>
      <w:bookmarkStart w:id="2177" w:name="_Toc191987177"/>
      <w:bookmarkStart w:id="2178" w:name="_Toc192093196"/>
      <w:bookmarkStart w:id="2179" w:name="_Toc192612904"/>
      <w:bookmarkStart w:id="2180" w:name="_Toc198312352"/>
      <w:bookmarkStart w:id="2181" w:name="_Toc198312837"/>
      <w:bookmarkStart w:id="2182" w:name="_Toc200636993"/>
      <w:bookmarkStart w:id="2183" w:name="_Toc200439991"/>
      <w:bookmarkStart w:id="2184" w:name="_Toc201241096"/>
      <w:r w:rsidRPr="002F2BC5">
        <w:rPr>
          <w:rFonts w:hint="eastAsia"/>
          <w:rtl/>
        </w:rPr>
        <w:t>הביקורת</w:t>
      </w:r>
      <w:r w:rsidRPr="002F2BC5">
        <w:rPr>
          <w:rtl/>
        </w:rPr>
        <w:t xml:space="preserve"> הקודמת העלתה כי במועד סיומה </w:t>
      </w:r>
      <w:r w:rsidRPr="002F2BC5">
        <w:rPr>
          <w:rFonts w:hint="eastAsia"/>
          <w:rtl/>
        </w:rPr>
        <w:t>לא</w:t>
      </w:r>
      <w:r w:rsidRPr="002F2BC5">
        <w:rPr>
          <w:rtl/>
        </w:rPr>
        <w:t xml:space="preserve"> </w:t>
      </w:r>
      <w:r w:rsidRPr="002F2BC5">
        <w:rPr>
          <w:rFonts w:hint="eastAsia"/>
          <w:rtl/>
        </w:rPr>
        <w:t>היו</w:t>
      </w:r>
      <w:r w:rsidRPr="002F2BC5">
        <w:rPr>
          <w:rtl/>
        </w:rPr>
        <w:t xml:space="preserve"> </w:t>
      </w:r>
      <w:r w:rsidRPr="002F2BC5">
        <w:rPr>
          <w:rFonts w:hint="eastAsia"/>
          <w:rtl/>
        </w:rPr>
        <w:t>בידי</w:t>
      </w:r>
      <w:r w:rsidRPr="002F2BC5">
        <w:rPr>
          <w:rtl/>
        </w:rPr>
        <w:t xml:space="preserve"> </w:t>
      </w:r>
      <w:r w:rsidRPr="002F2BC5">
        <w:rPr>
          <w:rFonts w:hint="eastAsia"/>
          <w:rtl/>
        </w:rPr>
        <w:t>הנהלת</w:t>
      </w:r>
      <w:r w:rsidRPr="002F2BC5">
        <w:rPr>
          <w:rtl/>
        </w:rPr>
        <w:t xml:space="preserve"> </w:t>
      </w:r>
      <w:r w:rsidRPr="002F2BC5">
        <w:rPr>
          <w:rFonts w:hint="eastAsia"/>
          <w:rtl/>
        </w:rPr>
        <w:t>המשפט</w:t>
      </w:r>
      <w:r w:rsidRPr="002F2BC5">
        <w:rPr>
          <w:rtl/>
        </w:rPr>
        <w:t xml:space="preserve"> </w:t>
      </w:r>
      <w:r w:rsidRPr="002F2BC5">
        <w:rPr>
          <w:rFonts w:hint="eastAsia"/>
          <w:rtl/>
        </w:rPr>
        <w:t>נתונים</w:t>
      </w:r>
      <w:r w:rsidRPr="002F2BC5">
        <w:rPr>
          <w:rtl/>
        </w:rPr>
        <w:t xml:space="preserve"> </w:t>
      </w:r>
      <w:r w:rsidRPr="002F2BC5">
        <w:rPr>
          <w:rFonts w:hint="eastAsia"/>
          <w:rtl/>
        </w:rPr>
        <w:t>על</w:t>
      </w:r>
      <w:r w:rsidRPr="002F2BC5">
        <w:rPr>
          <w:rtl/>
        </w:rPr>
        <w:t xml:space="preserve"> </w:t>
      </w:r>
      <w:r w:rsidRPr="002F2BC5">
        <w:rPr>
          <w:rFonts w:hint="eastAsia"/>
          <w:rtl/>
        </w:rPr>
        <w:t>מספר</w:t>
      </w:r>
      <w:r w:rsidRPr="002F2BC5">
        <w:rPr>
          <w:rtl/>
        </w:rPr>
        <w:t xml:space="preserve"> </w:t>
      </w:r>
      <w:r w:rsidRPr="002F2BC5">
        <w:rPr>
          <w:rFonts w:hint="eastAsia"/>
          <w:rtl/>
        </w:rPr>
        <w:t>צווי</w:t>
      </w:r>
      <w:r w:rsidRPr="002F2BC5">
        <w:rPr>
          <w:rtl/>
        </w:rPr>
        <w:t xml:space="preserve"> </w:t>
      </w:r>
      <w:r w:rsidRPr="002F2BC5">
        <w:rPr>
          <w:rFonts w:hint="eastAsia"/>
          <w:rtl/>
        </w:rPr>
        <w:t>ההגנה</w:t>
      </w:r>
      <w:r w:rsidRPr="002F2BC5">
        <w:rPr>
          <w:rtl/>
        </w:rPr>
        <w:t xml:space="preserve"> </w:t>
      </w:r>
      <w:r w:rsidRPr="002F2BC5">
        <w:rPr>
          <w:rFonts w:hint="eastAsia"/>
          <w:rtl/>
        </w:rPr>
        <w:t>שבמסגרתם</w:t>
      </w:r>
      <w:r w:rsidRPr="002F2BC5">
        <w:rPr>
          <w:rtl/>
        </w:rPr>
        <w:t xml:space="preserve"> </w:t>
      </w:r>
      <w:r w:rsidRPr="002F2BC5">
        <w:rPr>
          <w:rFonts w:hint="eastAsia"/>
          <w:rtl/>
        </w:rPr>
        <w:t>הופנו</w:t>
      </w:r>
      <w:r w:rsidRPr="002F2BC5">
        <w:rPr>
          <w:rtl/>
        </w:rPr>
        <w:t xml:space="preserve"> </w:t>
      </w:r>
      <w:r w:rsidRPr="002F2BC5">
        <w:rPr>
          <w:rFonts w:hint="eastAsia"/>
          <w:rtl/>
        </w:rPr>
        <w:t>גברים</w:t>
      </w:r>
      <w:r w:rsidRPr="002F2BC5">
        <w:rPr>
          <w:rtl/>
        </w:rPr>
        <w:t xml:space="preserve"> </w:t>
      </w:r>
      <w:r w:rsidRPr="002F2BC5">
        <w:rPr>
          <w:rFonts w:hint="eastAsia"/>
          <w:rtl/>
        </w:rPr>
        <w:t>לטיפול</w:t>
      </w:r>
      <w:r w:rsidRPr="002F2BC5">
        <w:rPr>
          <w:rtl/>
        </w:rPr>
        <w:t xml:space="preserve">, </w:t>
      </w:r>
      <w:r w:rsidRPr="002F2BC5">
        <w:rPr>
          <w:rFonts w:hint="eastAsia"/>
          <w:rtl/>
        </w:rPr>
        <w:t>אך</w:t>
      </w:r>
      <w:r w:rsidRPr="002F2BC5">
        <w:rPr>
          <w:rtl/>
        </w:rPr>
        <w:t xml:space="preserve"> </w:t>
      </w:r>
      <w:r w:rsidRPr="002F2BC5">
        <w:rPr>
          <w:rFonts w:hint="eastAsia"/>
          <w:rtl/>
        </w:rPr>
        <w:t>לפי</w:t>
      </w:r>
      <w:r w:rsidRPr="002F2BC5">
        <w:rPr>
          <w:rtl/>
        </w:rPr>
        <w:t xml:space="preserve"> </w:t>
      </w:r>
      <w:r w:rsidRPr="002F2BC5">
        <w:rPr>
          <w:rFonts w:hint="eastAsia"/>
          <w:rtl/>
        </w:rPr>
        <w:t>נתוני</w:t>
      </w:r>
      <w:r w:rsidRPr="002F2BC5">
        <w:rPr>
          <w:rtl/>
        </w:rPr>
        <w:t xml:space="preserve"> </w:t>
      </w:r>
      <w:r w:rsidRPr="002F2BC5">
        <w:rPr>
          <w:rFonts w:hint="eastAsia"/>
          <w:rtl/>
        </w:rPr>
        <w:t>משרד</w:t>
      </w:r>
      <w:r w:rsidRPr="002F2BC5">
        <w:rPr>
          <w:rtl/>
        </w:rPr>
        <w:t xml:space="preserve"> </w:t>
      </w:r>
      <w:r w:rsidRPr="002F2BC5">
        <w:rPr>
          <w:rFonts w:hint="eastAsia"/>
          <w:rtl/>
        </w:rPr>
        <w:t>הרווחה</w:t>
      </w:r>
      <w:r w:rsidRPr="002F2BC5">
        <w:rPr>
          <w:rFonts w:hint="cs"/>
          <w:rtl/>
        </w:rPr>
        <w:t>,</w:t>
      </w:r>
      <w:r w:rsidRPr="002F2BC5">
        <w:rPr>
          <w:rtl/>
        </w:rPr>
        <w:t xml:space="preserve"> </w:t>
      </w:r>
      <w:r w:rsidRPr="002F2BC5">
        <w:rPr>
          <w:rFonts w:hint="eastAsia"/>
          <w:rtl/>
        </w:rPr>
        <w:t>בתי</w:t>
      </w:r>
      <w:r w:rsidRPr="002F2BC5">
        <w:rPr>
          <w:rtl/>
        </w:rPr>
        <w:t xml:space="preserve"> </w:t>
      </w:r>
      <w:r w:rsidRPr="002F2BC5">
        <w:rPr>
          <w:rFonts w:hint="eastAsia"/>
          <w:rtl/>
        </w:rPr>
        <w:t>המשפט</w:t>
      </w:r>
      <w:r w:rsidRPr="002F2BC5">
        <w:rPr>
          <w:rtl/>
        </w:rPr>
        <w:t xml:space="preserve"> </w:t>
      </w:r>
      <w:r w:rsidRPr="002F2BC5">
        <w:rPr>
          <w:rFonts w:hint="eastAsia"/>
          <w:rtl/>
        </w:rPr>
        <w:t>הפנו</w:t>
      </w:r>
      <w:r w:rsidRPr="002F2BC5">
        <w:rPr>
          <w:rtl/>
        </w:rPr>
        <w:t xml:space="preserve"> </w:t>
      </w:r>
      <w:r w:rsidRPr="002F2BC5">
        <w:rPr>
          <w:rFonts w:hint="eastAsia"/>
          <w:rtl/>
        </w:rPr>
        <w:t>בשנה</w:t>
      </w:r>
      <w:r w:rsidRPr="002F2BC5">
        <w:rPr>
          <w:rtl/>
        </w:rPr>
        <w:t xml:space="preserve"> </w:t>
      </w:r>
      <w:r w:rsidRPr="002F2BC5">
        <w:rPr>
          <w:rFonts w:hint="eastAsia"/>
          <w:rtl/>
        </w:rPr>
        <w:t>זו</w:t>
      </w:r>
      <w:r w:rsidRPr="002F2BC5">
        <w:rPr>
          <w:rtl/>
        </w:rPr>
        <w:t xml:space="preserve"> 89 </w:t>
      </w:r>
      <w:r w:rsidRPr="002F2BC5">
        <w:rPr>
          <w:rFonts w:hint="eastAsia"/>
          <w:rtl/>
        </w:rPr>
        <w:t>אנשים</w:t>
      </w:r>
      <w:r w:rsidRPr="002F2BC5">
        <w:rPr>
          <w:rtl/>
        </w:rPr>
        <w:t xml:space="preserve"> </w:t>
      </w:r>
      <w:r w:rsidRPr="002F2BC5">
        <w:rPr>
          <w:rFonts w:hint="eastAsia"/>
          <w:rtl/>
        </w:rPr>
        <w:t>בלבד</w:t>
      </w:r>
      <w:r w:rsidRPr="002F2BC5">
        <w:rPr>
          <w:rtl/>
        </w:rPr>
        <w:t xml:space="preserve"> </w:t>
      </w:r>
      <w:r w:rsidRPr="002F2BC5">
        <w:rPr>
          <w:rFonts w:hint="eastAsia"/>
          <w:rtl/>
        </w:rPr>
        <w:t>לטיפול</w:t>
      </w:r>
      <w:r w:rsidRPr="002F2BC5">
        <w:rPr>
          <w:rtl/>
        </w:rPr>
        <w:t xml:space="preserve"> </w:t>
      </w:r>
      <w:r w:rsidRPr="002F2BC5">
        <w:rPr>
          <w:rFonts w:hint="eastAsia"/>
          <w:rtl/>
        </w:rPr>
        <w:t>במרכזים</w:t>
      </w:r>
      <w:r w:rsidRPr="002F2BC5">
        <w:rPr>
          <w:rtl/>
        </w:rPr>
        <w:t xml:space="preserve"> </w:t>
      </w:r>
      <w:r w:rsidRPr="002F2BC5">
        <w:rPr>
          <w:rFonts w:hint="eastAsia"/>
          <w:rtl/>
        </w:rPr>
        <w:t>לטיפול</w:t>
      </w:r>
      <w:r w:rsidRPr="002F2BC5">
        <w:rPr>
          <w:rtl/>
        </w:rPr>
        <w:t xml:space="preserve"> </w:t>
      </w:r>
      <w:r w:rsidRPr="002F2BC5">
        <w:rPr>
          <w:rFonts w:hint="eastAsia"/>
          <w:rtl/>
        </w:rPr>
        <w:t>ומניעת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נוסף</w:t>
      </w:r>
      <w:r w:rsidRPr="002F2BC5">
        <w:rPr>
          <w:rtl/>
        </w:rPr>
        <w:t xml:space="preserve"> </w:t>
      </w:r>
      <w:r w:rsidRPr="002F2BC5">
        <w:rPr>
          <w:rFonts w:hint="eastAsia"/>
          <w:rtl/>
        </w:rPr>
        <w:t>על</w:t>
      </w:r>
      <w:r w:rsidRPr="002F2BC5">
        <w:rPr>
          <w:rtl/>
        </w:rPr>
        <w:t xml:space="preserve"> </w:t>
      </w:r>
      <w:r w:rsidRPr="002F2BC5">
        <w:rPr>
          <w:rFonts w:hint="eastAsia"/>
          <w:rtl/>
        </w:rPr>
        <w:t>כך</w:t>
      </w:r>
      <w:r w:rsidRPr="002F2BC5">
        <w:rPr>
          <w:rtl/>
        </w:rPr>
        <w:t xml:space="preserve">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לפי</w:t>
      </w:r>
      <w:r w:rsidRPr="002F2BC5">
        <w:rPr>
          <w:rtl/>
        </w:rPr>
        <w:t xml:space="preserve"> </w:t>
      </w:r>
      <w:r w:rsidRPr="002F2BC5">
        <w:rPr>
          <w:rFonts w:hint="eastAsia"/>
          <w:rtl/>
        </w:rPr>
        <w:t>נתוני</w:t>
      </w:r>
      <w:r w:rsidRPr="002F2BC5">
        <w:rPr>
          <w:rtl/>
        </w:rPr>
        <w:t xml:space="preserve"> </w:t>
      </w:r>
      <w:r w:rsidRPr="002F2BC5">
        <w:rPr>
          <w:rFonts w:hint="eastAsia"/>
          <w:rtl/>
        </w:rPr>
        <w:t>הנהלת</w:t>
      </w:r>
      <w:r w:rsidRPr="002F2BC5">
        <w:rPr>
          <w:rtl/>
        </w:rPr>
        <w:t xml:space="preserve"> </w:t>
      </w:r>
      <w:r w:rsidRPr="002F2BC5">
        <w:rPr>
          <w:rFonts w:hint="eastAsia"/>
          <w:rtl/>
        </w:rPr>
        <w:t>בתי</w:t>
      </w:r>
      <w:r w:rsidRPr="002F2BC5">
        <w:rPr>
          <w:rtl/>
        </w:rPr>
        <w:t xml:space="preserve"> </w:t>
      </w:r>
      <w:r w:rsidRPr="002F2BC5">
        <w:rPr>
          <w:rFonts w:hint="eastAsia"/>
          <w:rtl/>
        </w:rPr>
        <w:t>המשפט</w:t>
      </w:r>
      <w:r w:rsidRPr="002F2BC5">
        <w:rPr>
          <w:rtl/>
        </w:rPr>
        <w:t xml:space="preserve">, </w:t>
      </w:r>
      <w:r w:rsidRPr="002F2BC5">
        <w:rPr>
          <w:rFonts w:hint="eastAsia"/>
          <w:rtl/>
        </w:rPr>
        <w:t>בשנים</w:t>
      </w:r>
      <w:r w:rsidRPr="002F2BC5">
        <w:rPr>
          <w:rtl/>
        </w:rPr>
        <w:t xml:space="preserve"> 2015 - 2019 </w:t>
      </w:r>
      <w:r w:rsidRPr="002F2BC5">
        <w:rPr>
          <w:rFonts w:hint="eastAsia"/>
          <w:rtl/>
        </w:rPr>
        <w:t>השתתפו</w:t>
      </w:r>
      <w:r w:rsidRPr="002F2BC5">
        <w:rPr>
          <w:rtl/>
        </w:rPr>
        <w:t xml:space="preserve"> </w:t>
      </w:r>
      <w:r w:rsidRPr="002F2BC5">
        <w:rPr>
          <w:rFonts w:hint="eastAsia"/>
          <w:rtl/>
        </w:rPr>
        <w:t>כ</w:t>
      </w:r>
      <w:r w:rsidRPr="002F2BC5">
        <w:rPr>
          <w:rtl/>
        </w:rPr>
        <w:t xml:space="preserve">-14% </w:t>
      </w:r>
      <w:r w:rsidRPr="002F2BC5">
        <w:rPr>
          <w:rFonts w:hint="eastAsia"/>
          <w:rtl/>
        </w:rPr>
        <w:t>בלבד</w:t>
      </w:r>
      <w:r w:rsidRPr="002F2BC5">
        <w:rPr>
          <w:rtl/>
        </w:rPr>
        <w:t xml:space="preserve"> </w:t>
      </w:r>
      <w:r w:rsidRPr="002F2BC5">
        <w:rPr>
          <w:rFonts w:hint="eastAsia"/>
          <w:rtl/>
        </w:rPr>
        <w:t>מהשופטים</w:t>
      </w:r>
      <w:r w:rsidRPr="002F2BC5">
        <w:rPr>
          <w:rtl/>
        </w:rPr>
        <w:t xml:space="preserve"> </w:t>
      </w:r>
      <w:r w:rsidRPr="002F2BC5">
        <w:rPr>
          <w:rFonts w:hint="eastAsia"/>
          <w:rtl/>
        </w:rPr>
        <w:t>המכהנים</w:t>
      </w:r>
      <w:r w:rsidRPr="002F2BC5">
        <w:rPr>
          <w:rtl/>
        </w:rPr>
        <w:t xml:space="preserve"> (99 </w:t>
      </w:r>
      <w:r w:rsidRPr="002F2BC5">
        <w:rPr>
          <w:rFonts w:hint="eastAsia"/>
          <w:rtl/>
        </w:rPr>
        <w:t>מתוך</w:t>
      </w:r>
      <w:r w:rsidRPr="002F2BC5">
        <w:rPr>
          <w:rtl/>
        </w:rPr>
        <w:t xml:space="preserve"> 725) </w:t>
      </w:r>
      <w:r w:rsidRPr="002F2BC5">
        <w:rPr>
          <w:rFonts w:hint="eastAsia"/>
          <w:rtl/>
        </w:rPr>
        <w:t>בימי</w:t>
      </w:r>
      <w:r w:rsidRPr="002F2BC5">
        <w:rPr>
          <w:rtl/>
        </w:rPr>
        <w:t xml:space="preserve"> </w:t>
      </w:r>
      <w:r w:rsidRPr="002F2BC5">
        <w:rPr>
          <w:rFonts w:hint="eastAsia"/>
          <w:rtl/>
        </w:rPr>
        <w:t>עיון</w:t>
      </w:r>
      <w:r w:rsidRPr="002F2BC5">
        <w:rPr>
          <w:rtl/>
        </w:rPr>
        <w:t xml:space="preserve"> </w:t>
      </w:r>
      <w:r w:rsidRPr="002F2BC5">
        <w:rPr>
          <w:rFonts w:hint="eastAsia"/>
          <w:rtl/>
        </w:rPr>
        <w:t>בנושא</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בביקורת</w:t>
      </w:r>
      <w:r w:rsidRPr="002F2BC5">
        <w:rPr>
          <w:rtl/>
        </w:rPr>
        <w:t xml:space="preserve"> </w:t>
      </w:r>
      <w:r w:rsidRPr="002F2BC5">
        <w:rPr>
          <w:rFonts w:hint="eastAsia"/>
          <w:rtl/>
        </w:rPr>
        <w:t>המעקב</w:t>
      </w:r>
      <w:r w:rsidRPr="002F2BC5">
        <w:rPr>
          <w:rtl/>
        </w:rPr>
        <w:t xml:space="preserve">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מועטה</w:t>
      </w:r>
      <w:r w:rsidRPr="002F2BC5">
        <w:rPr>
          <w:rtl/>
        </w:rPr>
        <w:t xml:space="preserve">. במסגרת תיקון 18 לחוק למניעת אלימות במשפחה הוחלה על בית המשפט שבפניו נידונה הבקשה לצו הגנה, החובה להורות </w:t>
      </w:r>
      <w:r w:rsidRPr="002F2BC5">
        <w:rPr>
          <w:rFonts w:hint="eastAsia"/>
          <w:rtl/>
        </w:rPr>
        <w:t>על</w:t>
      </w:r>
      <w:r w:rsidRPr="002F2BC5">
        <w:rPr>
          <w:rtl/>
        </w:rPr>
        <w:t xml:space="preserve"> בחינת </w:t>
      </w:r>
      <w:r w:rsidRPr="002F2BC5">
        <w:rPr>
          <w:rFonts w:hint="eastAsia"/>
          <w:rtl/>
        </w:rPr>
        <w:t>התאמתו</w:t>
      </w:r>
      <w:r w:rsidRPr="002F2BC5">
        <w:rPr>
          <w:rtl/>
        </w:rPr>
        <w:t xml:space="preserve"> </w:t>
      </w:r>
      <w:r w:rsidRPr="002F2BC5">
        <w:rPr>
          <w:rFonts w:hint="eastAsia"/>
          <w:rtl/>
        </w:rPr>
        <w:t>לטיפול</w:t>
      </w:r>
      <w:r w:rsidRPr="002F2BC5">
        <w:rPr>
          <w:rtl/>
        </w:rPr>
        <w:t xml:space="preserve"> </w:t>
      </w:r>
      <w:r w:rsidRPr="002F2BC5">
        <w:rPr>
          <w:rFonts w:hint="eastAsia"/>
          <w:rtl/>
        </w:rPr>
        <w:t>של</w:t>
      </w:r>
      <w:r w:rsidRPr="002F2BC5">
        <w:rPr>
          <w:rtl/>
        </w:rPr>
        <w:t xml:space="preserve"> </w:t>
      </w:r>
      <w:r w:rsidRPr="002F2BC5">
        <w:rPr>
          <w:rFonts w:hint="eastAsia"/>
          <w:rtl/>
        </w:rPr>
        <w:t>האדם</w:t>
      </w:r>
      <w:r w:rsidRPr="002F2BC5">
        <w:rPr>
          <w:rtl/>
        </w:rPr>
        <w:t xml:space="preserve"> </w:t>
      </w:r>
      <w:r w:rsidRPr="002F2BC5">
        <w:rPr>
          <w:rFonts w:hint="eastAsia"/>
          <w:rtl/>
        </w:rPr>
        <w:t>שכנגדו</w:t>
      </w:r>
      <w:r w:rsidRPr="002F2BC5">
        <w:rPr>
          <w:rtl/>
        </w:rPr>
        <w:t xml:space="preserve"> </w:t>
      </w:r>
      <w:r w:rsidRPr="002F2BC5">
        <w:rPr>
          <w:rFonts w:hint="eastAsia"/>
          <w:rtl/>
        </w:rPr>
        <w:t>ניתן</w:t>
      </w:r>
      <w:r w:rsidRPr="002F2BC5">
        <w:rPr>
          <w:rtl/>
        </w:rPr>
        <w:t xml:space="preserve"> </w:t>
      </w:r>
      <w:r w:rsidRPr="002F2BC5">
        <w:rPr>
          <w:rFonts w:hint="eastAsia"/>
          <w:rtl/>
        </w:rPr>
        <w:t>הצו</w:t>
      </w:r>
      <w:r w:rsidRPr="002F2BC5">
        <w:rPr>
          <w:rtl/>
        </w:rPr>
        <w:t xml:space="preserve">. </w:t>
      </w:r>
      <w:r w:rsidRPr="002F2BC5">
        <w:rPr>
          <w:rFonts w:hint="eastAsia"/>
          <w:rtl/>
        </w:rPr>
        <w:t>עם</w:t>
      </w:r>
      <w:r w:rsidRPr="002F2BC5">
        <w:rPr>
          <w:rtl/>
        </w:rPr>
        <w:t xml:space="preserve"> </w:t>
      </w:r>
      <w:r w:rsidRPr="002F2BC5">
        <w:rPr>
          <w:rFonts w:hint="eastAsia"/>
          <w:rtl/>
        </w:rPr>
        <w:t>זאת</w:t>
      </w:r>
      <w:r w:rsidRPr="002F2BC5">
        <w:rPr>
          <w:rtl/>
        </w:rPr>
        <w:t xml:space="preserve">, </w:t>
      </w:r>
      <w:r w:rsidRPr="002F2BC5">
        <w:rPr>
          <w:rFonts w:hint="eastAsia"/>
          <w:rtl/>
        </w:rPr>
        <w:t>ואף</w:t>
      </w:r>
      <w:r w:rsidRPr="002F2BC5">
        <w:rPr>
          <w:rtl/>
        </w:rPr>
        <w:t xml:space="preserve"> כי התיקון לחוק נכנס לתוקפו עוד באוגוסט 2022, במועד סיום ביקורת המעקב, בדצמבר 2024, </w:t>
      </w:r>
      <w:r w:rsidRPr="002F2BC5">
        <w:rPr>
          <w:rFonts w:hint="eastAsia"/>
          <w:rtl/>
        </w:rPr>
        <w:t>טרם</w:t>
      </w:r>
      <w:r w:rsidRPr="002F2BC5">
        <w:rPr>
          <w:rtl/>
        </w:rPr>
        <w:t xml:space="preserve"> הושלמה היערכותו של משרד הרווחה ליישום ההסדר</w:t>
      </w:r>
      <w:r w:rsidRPr="002F2BC5">
        <w:rPr>
          <w:rFonts w:hint="cs"/>
          <w:rtl/>
        </w:rPr>
        <w:t>,</w:t>
      </w:r>
      <w:r w:rsidRPr="002F2BC5">
        <w:rPr>
          <w:rtl/>
        </w:rPr>
        <w:t xml:space="preserve"> </w:t>
      </w:r>
      <w:r w:rsidRPr="002F2BC5">
        <w:rPr>
          <w:rFonts w:hint="cs"/>
          <w:rtl/>
        </w:rPr>
        <w:t>ו</w:t>
      </w:r>
      <w:r w:rsidRPr="002F2BC5">
        <w:rPr>
          <w:rFonts w:hint="eastAsia"/>
          <w:rtl/>
        </w:rPr>
        <w:t>במועד</w:t>
      </w:r>
      <w:r w:rsidRPr="002F2BC5">
        <w:rPr>
          <w:rtl/>
        </w:rPr>
        <w:t xml:space="preserve"> </w:t>
      </w:r>
      <w:r w:rsidRPr="002F2BC5">
        <w:rPr>
          <w:rFonts w:hint="eastAsia"/>
          <w:rtl/>
        </w:rPr>
        <w:t>זה</w:t>
      </w:r>
      <w:r w:rsidRPr="002F2BC5">
        <w:rPr>
          <w:rtl/>
        </w:rPr>
        <w:t xml:space="preserve"> </w:t>
      </w:r>
      <w:r w:rsidRPr="002F2BC5">
        <w:rPr>
          <w:rFonts w:hint="eastAsia"/>
          <w:rtl/>
        </w:rPr>
        <w:t>אוישו</w:t>
      </w:r>
      <w:r w:rsidRPr="002F2BC5">
        <w:rPr>
          <w:rtl/>
        </w:rPr>
        <w:t xml:space="preserve"> </w:t>
      </w:r>
      <w:r w:rsidRPr="002F2BC5">
        <w:rPr>
          <w:rFonts w:hint="eastAsia"/>
          <w:rtl/>
        </w:rPr>
        <w:t>כרבע</w:t>
      </w:r>
      <w:r w:rsidRPr="002F2BC5">
        <w:rPr>
          <w:rtl/>
        </w:rPr>
        <w:t xml:space="preserve"> </w:t>
      </w:r>
      <w:r w:rsidRPr="002F2BC5">
        <w:rPr>
          <w:rFonts w:hint="eastAsia"/>
          <w:rtl/>
        </w:rPr>
        <w:t>בלבד</w:t>
      </w:r>
      <w:r w:rsidRPr="002F2BC5">
        <w:rPr>
          <w:rtl/>
        </w:rPr>
        <w:t xml:space="preserve"> </w:t>
      </w:r>
      <w:r w:rsidRPr="002F2BC5">
        <w:rPr>
          <w:rFonts w:hint="eastAsia"/>
          <w:rtl/>
        </w:rPr>
        <w:t>מתקני</w:t>
      </w:r>
      <w:r w:rsidRPr="002F2BC5">
        <w:rPr>
          <w:rtl/>
        </w:rPr>
        <w:t xml:space="preserve"> </w:t>
      </w:r>
      <w:r w:rsidRPr="002F2BC5">
        <w:rPr>
          <w:rFonts w:hint="eastAsia"/>
          <w:rtl/>
        </w:rPr>
        <w:t>כוח</w:t>
      </w:r>
      <w:r w:rsidRPr="002F2BC5">
        <w:rPr>
          <w:rtl/>
        </w:rPr>
        <w:t xml:space="preserve"> </w:t>
      </w:r>
      <w:r w:rsidRPr="002F2BC5">
        <w:rPr>
          <w:rFonts w:hint="eastAsia"/>
          <w:rtl/>
        </w:rPr>
        <w:t>האדם</w:t>
      </w:r>
      <w:r w:rsidRPr="002F2BC5">
        <w:rPr>
          <w:rtl/>
        </w:rPr>
        <w:t xml:space="preserve"> </w:t>
      </w:r>
      <w:r w:rsidRPr="002F2BC5">
        <w:rPr>
          <w:rFonts w:hint="eastAsia"/>
          <w:rtl/>
        </w:rPr>
        <w:t>הייעודיים</w:t>
      </w:r>
      <w:r w:rsidRPr="002F2BC5">
        <w:rPr>
          <w:rFonts w:hint="cs"/>
          <w:rtl/>
        </w:rPr>
        <w:t xml:space="preserve"> החיוניים ליישום ההסדר.</w:t>
      </w:r>
      <w:r w:rsidRPr="002F2BC5">
        <w:rPr>
          <w:rtl/>
        </w:rPr>
        <w:t xml:space="preserve"> </w:t>
      </w:r>
      <w:r w:rsidRPr="002F2BC5">
        <w:rPr>
          <w:rFonts w:hint="cs"/>
          <w:rtl/>
        </w:rPr>
        <w:t>נוסף על כך, הועלה כי בשנים 2020 - 2024 השתתפו כ-7% בלבד מהשופטים המכהנים בימי עיון בנושא אלימות במשפחה, וכי</w:t>
      </w:r>
      <w:r w:rsidRPr="002F2BC5">
        <w:rPr>
          <w:rtl/>
        </w:rPr>
        <w:t xml:space="preserve"> לא התקיימו הכשרות ייעודיות </w:t>
      </w:r>
      <w:r w:rsidRPr="002F2BC5">
        <w:rPr>
          <w:rFonts w:hint="cs"/>
          <w:rtl/>
        </w:rPr>
        <w:t xml:space="preserve">לשופטים </w:t>
      </w:r>
      <w:r w:rsidRPr="002F2BC5">
        <w:rPr>
          <w:rFonts w:hint="eastAsia"/>
          <w:rtl/>
        </w:rPr>
        <w:t>בעקבות</w:t>
      </w:r>
      <w:r w:rsidRPr="002F2BC5">
        <w:rPr>
          <w:rtl/>
        </w:rPr>
        <w:t xml:space="preserve"> כניסתו לתוקף של תיקון </w:t>
      </w:r>
      <w:r w:rsidRPr="002F2BC5">
        <w:rPr>
          <w:rFonts w:hint="cs"/>
          <w:rtl/>
        </w:rPr>
        <w:t xml:space="preserve">18 </w:t>
      </w:r>
      <w:r w:rsidRPr="002F2BC5">
        <w:rPr>
          <w:rFonts w:hint="eastAsia"/>
          <w:rtl/>
        </w:rPr>
        <w:t>לחוק</w:t>
      </w:r>
      <w:r w:rsidRPr="002F2BC5">
        <w:rPr>
          <w:rtl/>
        </w:rPr>
        <w:t xml:space="preserve">. במועד סיום ביקורת </w:t>
      </w:r>
      <w:r w:rsidRPr="002F2BC5">
        <w:rPr>
          <w:rFonts w:hint="eastAsia"/>
          <w:rtl/>
        </w:rPr>
        <w:t>המעקב</w:t>
      </w:r>
      <w:r w:rsidRPr="002F2BC5">
        <w:rPr>
          <w:rtl/>
        </w:rPr>
        <w:t xml:space="preserve"> </w:t>
      </w:r>
      <w:r w:rsidRPr="002F2BC5">
        <w:rPr>
          <w:rFonts w:hint="cs"/>
          <w:rtl/>
        </w:rPr>
        <w:t xml:space="preserve">גם </w:t>
      </w:r>
      <w:r w:rsidRPr="002F2BC5">
        <w:rPr>
          <w:rtl/>
        </w:rPr>
        <w:t>לא היו בידי הנהלת בתי המשפט</w:t>
      </w:r>
      <w:bookmarkStart w:id="2185" w:name="_Hlk198028589"/>
      <w:r w:rsidRPr="002F2BC5">
        <w:rPr>
          <w:rFonts w:hint="cs"/>
          <w:rtl/>
        </w:rPr>
        <w:t>, כאחראית לפעילותה המינהלית של הרשות השופטת,</w:t>
      </w:r>
      <w:r w:rsidRPr="002F2BC5">
        <w:rPr>
          <w:rtl/>
        </w:rPr>
        <w:t xml:space="preserve"> </w:t>
      </w:r>
      <w:bookmarkEnd w:id="2185"/>
      <w:r w:rsidRPr="002F2BC5">
        <w:rPr>
          <w:rtl/>
        </w:rPr>
        <w:t xml:space="preserve">הנתונים </w:t>
      </w:r>
      <w:bookmarkStart w:id="2186" w:name="_Hlk198028604"/>
      <w:r w:rsidRPr="002F2BC5">
        <w:rPr>
          <w:rFonts w:hint="cs"/>
          <w:rtl/>
        </w:rPr>
        <w:t xml:space="preserve">הנוגעים ליישום תיקון 18 לחוק המצויים בתחום אחריותה. נתונים אלה חיוני שיועמדו לרשות משרד הרווחה ולרשות משרד המשפטים, כמי שאמון על ביצועו של החוק, כדי לאפשר את </w:t>
      </w:r>
      <w:bookmarkEnd w:id="2186"/>
      <w:r w:rsidRPr="002F2BC5">
        <w:rPr>
          <w:rtl/>
        </w:rPr>
        <w:t xml:space="preserve">בחינת </w:t>
      </w:r>
      <w:r w:rsidRPr="002F2BC5">
        <w:rPr>
          <w:rFonts w:hint="cs"/>
          <w:rtl/>
        </w:rPr>
        <w:t>ה</w:t>
      </w:r>
      <w:r w:rsidRPr="002F2BC5">
        <w:rPr>
          <w:rtl/>
        </w:rPr>
        <w:t>השפע</w:t>
      </w:r>
      <w:r w:rsidRPr="002F2BC5">
        <w:rPr>
          <w:rFonts w:hint="cs"/>
          <w:rtl/>
        </w:rPr>
        <w:t>ה</w:t>
      </w:r>
      <w:r w:rsidRPr="002F2BC5">
        <w:rPr>
          <w:rtl/>
        </w:rPr>
        <w:t xml:space="preserve"> העתידית של </w:t>
      </w:r>
      <w:r w:rsidRPr="002F2BC5">
        <w:rPr>
          <w:rFonts w:hint="cs"/>
          <w:rtl/>
        </w:rPr>
        <w:t>ה</w:t>
      </w:r>
      <w:r w:rsidRPr="002F2BC5">
        <w:rPr>
          <w:rtl/>
        </w:rPr>
        <w:t>תיקון לחוק על היקף המופנים לטיפול על רקע אלימות זוגית.</w:t>
      </w:r>
      <w:bookmarkEnd w:id="2177"/>
      <w:bookmarkEnd w:id="2178"/>
      <w:bookmarkEnd w:id="2179"/>
      <w:bookmarkEnd w:id="2180"/>
      <w:bookmarkEnd w:id="2181"/>
      <w:bookmarkEnd w:id="2182"/>
      <w:bookmarkEnd w:id="2183"/>
      <w:bookmarkEnd w:id="2184"/>
    </w:p>
    <w:p w14:paraId="37E30FA5" w14:textId="77777777" w:rsidR="00817399" w:rsidRPr="002F2BC5" w:rsidRDefault="00817399" w:rsidP="00817399">
      <w:pPr>
        <w:spacing w:line="269" w:lineRule="auto"/>
        <w:rPr>
          <w:rtl/>
        </w:rPr>
      </w:pPr>
    </w:p>
    <w:p w14:paraId="1CDC07AF" w14:textId="77777777" w:rsidR="00817399" w:rsidRPr="002F2BC5" w:rsidRDefault="00817399" w:rsidP="00817399">
      <w:pPr>
        <w:spacing w:line="269" w:lineRule="auto"/>
        <w:rPr>
          <w:rtl/>
        </w:rPr>
      </w:pPr>
      <w:r w:rsidRPr="002F2BC5">
        <w:rPr>
          <w:rtl/>
        </w:rPr>
        <w:t xml:space="preserve">משרד הרווחה </w:t>
      </w:r>
      <w:r w:rsidRPr="002F2BC5">
        <w:rPr>
          <w:rFonts w:hint="cs"/>
          <w:rtl/>
        </w:rPr>
        <w:t>מסר בתשובתו כי אומנם התקנים שהקצה לטובת יישום תיקון 18 לחוק לא אוישו במלואם, אך הוא ערוך ליישום התיקון לחוק באמצעות העובדים שהעסקתם החלה, והודעה על כך אף נמסרה להנהלת בתי המשפט</w:t>
      </w:r>
      <w:r w:rsidRPr="002F2BC5">
        <w:rPr>
          <w:rtl/>
        </w:rPr>
        <w:t>.</w:t>
      </w:r>
    </w:p>
    <w:p w14:paraId="401F76C7" w14:textId="77777777" w:rsidR="00817399" w:rsidRPr="002F2BC5" w:rsidRDefault="00817399" w:rsidP="00817399">
      <w:pPr>
        <w:spacing w:line="269" w:lineRule="auto"/>
        <w:rPr>
          <w:rtl/>
        </w:rPr>
      </w:pPr>
    </w:p>
    <w:p w14:paraId="121C7E99" w14:textId="77777777" w:rsidR="00817399" w:rsidRPr="002F2BC5" w:rsidRDefault="00817399" w:rsidP="00817399">
      <w:pPr>
        <w:spacing w:line="269" w:lineRule="auto"/>
        <w:rPr>
          <w:rtl/>
        </w:rPr>
      </w:pPr>
      <w:r w:rsidRPr="002F2BC5">
        <w:rPr>
          <w:rFonts w:hint="cs"/>
          <w:rtl/>
        </w:rPr>
        <w:t xml:space="preserve">הנהלת בתי המשפט מסרה בתשובתה כי סמוך למועד התשובה נמסר לה כי אוישו תקני כוח האדם הייעודיים בכמה מחוזות, וכי הדבר יאפשר לראשונה את יישומו של תיקון 18 לחוק בבתי משפט </w:t>
      </w:r>
      <w:r w:rsidRPr="002F2BC5">
        <w:rPr>
          <w:rFonts w:hint="cs"/>
          <w:rtl/>
        </w:rPr>
        <w:lastRenderedPageBreak/>
        <w:t>מסוימים</w:t>
      </w:r>
      <w:r w:rsidRPr="002F2BC5">
        <w:rPr>
          <w:rStyle w:val="af9"/>
          <w:rtl/>
        </w:rPr>
        <w:footnoteReference w:id="431"/>
      </w:r>
      <w:r w:rsidRPr="002F2BC5">
        <w:rPr>
          <w:rFonts w:hint="cs"/>
          <w:rtl/>
        </w:rPr>
        <w:t xml:space="preserve">. עוד מסרה כי במהלך השנה הקרובה מתוכננות הדרכות והשתלמויות נוספות, ייעודיות ולא-ייעודיות, שעניינן עבירות אלימות ועבירות מין, ובכלל זה עבירות אלימות במשפחה, ואשר חלקן יעסקו, בין השאר, גם בתיקונים לחוק למניעת אלימות במשפחה. אשר לאיסוף הנתונים הנוגעים ליישום תיקון 18 לחוק מסרה, כי היא אינה נדרשת במסגרת התיקון לחוק לאסוף נתונים בפילוחים מסוימים, ובכלל זה לעניין הרקע להוצאת הצו או מגדר המבקש. כן מסרה כי מכל מקום איסוף הנתונים בנושאים הללו מחייב בדיקה פרטנית של כל בקשה, שכן מערכת המחשוב הקיימת (מערכת "נט המשפט") אינה תומכת בשליפתם, ומשכך איסופם אינו אפשרי. </w:t>
      </w:r>
    </w:p>
    <w:p w14:paraId="6A315FF0" w14:textId="77777777" w:rsidR="00817399" w:rsidRPr="002F2BC5" w:rsidRDefault="00817399" w:rsidP="00817399">
      <w:pPr>
        <w:spacing w:line="269" w:lineRule="auto"/>
        <w:rPr>
          <w:rtl/>
        </w:rPr>
      </w:pPr>
    </w:p>
    <w:p w14:paraId="033A6869" w14:textId="77777777" w:rsidR="00817399" w:rsidRPr="002F2BC5" w:rsidRDefault="00817399" w:rsidP="00817399">
      <w:pPr>
        <w:pStyle w:val="afffffffa"/>
        <w:spacing w:line="269" w:lineRule="auto"/>
        <w:rPr>
          <w:rtl/>
        </w:rPr>
      </w:pPr>
      <w:bookmarkStart w:id="2187" w:name="_Toc191987178"/>
      <w:bookmarkStart w:id="2188" w:name="_Toc192093197"/>
      <w:bookmarkStart w:id="2189" w:name="_Toc192612905"/>
      <w:bookmarkStart w:id="2190" w:name="_Toc198312353"/>
      <w:bookmarkStart w:id="2191" w:name="_Toc198312838"/>
      <w:bookmarkStart w:id="2192" w:name="_Toc200636994"/>
      <w:bookmarkStart w:id="2193" w:name="_Toc200439992"/>
      <w:bookmarkStart w:id="2194" w:name="_Toc201241097"/>
      <w:r w:rsidRPr="002F2BC5">
        <w:rPr>
          <w:rFonts w:hint="cs"/>
          <w:rtl/>
        </w:rPr>
        <w:t>משרד מבקר המדינה שב וממליץ להנהלת בתי המשפט, בשיתוף משרד הרווחה, העומד בראשות הוועדה הבין-משרדית, לנקוט צעדים להעמקת הידע של שופטים בתחום של אלימות במשפחה ולהבטחת השתתפותם בהכשרות הייעודיות של כלל השופטים, ובפרט שופטי בתי המשפט לענייני משפחה, שלהם הסמכות לדון בבקשות לצווי הגנה. זאת לנוכח החשיבות שיש לרתימת האדם שכנגדו מבוקש צו ההגנה להשתתפות בהליך טיפולי בקהילה ועל אחת כמה וכמה לנוכח תיקון החקיקה שנועד להרחיב את סמכותם של בתי המשפט ואת היקף המופנים להליך טיפול בקהילה במסגרת הדיון בבקשות לצווים הללו.</w:t>
      </w:r>
      <w:bookmarkEnd w:id="2187"/>
      <w:bookmarkEnd w:id="2188"/>
      <w:bookmarkEnd w:id="2189"/>
      <w:bookmarkEnd w:id="2190"/>
      <w:bookmarkEnd w:id="2191"/>
      <w:bookmarkEnd w:id="2192"/>
      <w:bookmarkEnd w:id="2193"/>
      <w:bookmarkEnd w:id="2194"/>
      <w:r w:rsidRPr="002F2BC5">
        <w:rPr>
          <w:rFonts w:hint="cs"/>
          <w:rtl/>
        </w:rPr>
        <w:t xml:space="preserve"> </w:t>
      </w:r>
    </w:p>
    <w:p w14:paraId="72C43F09" w14:textId="77777777" w:rsidR="00817399" w:rsidRPr="002F2BC5" w:rsidRDefault="00817399" w:rsidP="00817399">
      <w:pPr>
        <w:spacing w:line="269" w:lineRule="auto"/>
        <w:rPr>
          <w:rtl/>
        </w:rPr>
      </w:pPr>
    </w:p>
    <w:p w14:paraId="6DB333A1" w14:textId="77777777" w:rsidR="00817399" w:rsidRPr="002F2BC5" w:rsidRDefault="00817399" w:rsidP="00817399">
      <w:pPr>
        <w:pStyle w:val="afffffffa"/>
        <w:spacing w:line="269" w:lineRule="auto"/>
        <w:rPr>
          <w:rtl/>
        </w:rPr>
      </w:pPr>
      <w:bookmarkStart w:id="2195" w:name="_Toc191987179"/>
      <w:bookmarkStart w:id="2196" w:name="_Toc192093198"/>
      <w:bookmarkStart w:id="2197" w:name="_Toc192612906"/>
      <w:bookmarkStart w:id="2198" w:name="_Toc198312354"/>
      <w:bookmarkStart w:id="2199" w:name="_Toc198312839"/>
      <w:bookmarkStart w:id="2200" w:name="_Toc200636995"/>
      <w:bookmarkStart w:id="2201" w:name="_Toc200439993"/>
      <w:bookmarkStart w:id="2202" w:name="_Toc201241098"/>
      <w:r w:rsidRPr="002F2BC5">
        <w:rPr>
          <w:rFonts w:hint="cs"/>
          <w:rtl/>
        </w:rPr>
        <w:t xml:space="preserve">מומלץ למשרד הרווחה לפעול בהקדם להשלמת ההיערכות ליישומו של תיקון 18 לחוק למניעת אלימות במשפחה, ובשיתוף הנהלת בתי המשפט, לפעול ליישומו של התיקון לחוק. בתוך כך מומלץ כי הנהלת בתי המשפט, כאחראית לפעילותה המינהלית של הרשות השופטת, ומשרד הרווחה, כל אחד בתחומו, יקפידו על איסוף, </w:t>
      </w:r>
      <w:r w:rsidRPr="002F2BC5">
        <w:rPr>
          <w:rFonts w:hint="eastAsia"/>
          <w:rtl/>
        </w:rPr>
        <w:t>איגום</w:t>
      </w:r>
      <w:r w:rsidRPr="002F2BC5">
        <w:rPr>
          <w:rtl/>
        </w:rPr>
        <w:t xml:space="preserve"> וניהול שיטתי</w:t>
      </w:r>
      <w:r w:rsidRPr="002F2BC5">
        <w:rPr>
          <w:rFonts w:hint="cs"/>
          <w:rtl/>
        </w:rPr>
        <w:t>ים</w:t>
      </w:r>
      <w:r w:rsidRPr="002F2BC5">
        <w:rPr>
          <w:rtl/>
        </w:rPr>
        <w:t xml:space="preserve"> של </w:t>
      </w:r>
      <w:r w:rsidRPr="002F2BC5">
        <w:rPr>
          <w:rFonts w:hint="eastAsia"/>
          <w:rtl/>
        </w:rPr>
        <w:t>כלל</w:t>
      </w:r>
      <w:r w:rsidRPr="002F2BC5">
        <w:rPr>
          <w:rtl/>
        </w:rPr>
        <w:t xml:space="preserve"> </w:t>
      </w:r>
      <w:r w:rsidRPr="002F2BC5">
        <w:rPr>
          <w:rFonts w:hint="eastAsia"/>
          <w:rtl/>
        </w:rPr>
        <w:t>הנתונים</w:t>
      </w:r>
      <w:r w:rsidRPr="002F2BC5">
        <w:rPr>
          <w:rtl/>
        </w:rPr>
        <w:t xml:space="preserve"> </w:t>
      </w:r>
      <w:r w:rsidRPr="002F2BC5">
        <w:rPr>
          <w:rFonts w:hint="eastAsia"/>
          <w:rtl/>
        </w:rPr>
        <w:t>שחיוני</w:t>
      </w:r>
      <w:r w:rsidRPr="002F2BC5">
        <w:rPr>
          <w:rtl/>
        </w:rPr>
        <w:t xml:space="preserve"> </w:t>
      </w:r>
      <w:r w:rsidRPr="002F2BC5">
        <w:rPr>
          <w:rFonts w:hint="eastAsia"/>
          <w:rtl/>
        </w:rPr>
        <w:t>שיועמדו</w:t>
      </w:r>
      <w:r w:rsidRPr="002F2BC5">
        <w:rPr>
          <w:rtl/>
        </w:rPr>
        <w:t xml:space="preserve"> לרשות משרד הרווחה ולרשות משרד המשפטים, כמי שאמון על ביצועו של החוק</w:t>
      </w:r>
      <w:r w:rsidRPr="002F2BC5">
        <w:rPr>
          <w:rFonts w:hint="cs"/>
          <w:rtl/>
        </w:rPr>
        <w:t>. זאת כדי</w:t>
      </w:r>
      <w:r w:rsidRPr="002F2BC5">
        <w:rPr>
          <w:rtl/>
        </w:rPr>
        <w:t xml:space="preserve"> לאפשר את </w:t>
      </w:r>
      <w:r w:rsidRPr="002F2BC5">
        <w:rPr>
          <w:rFonts w:hint="eastAsia"/>
          <w:rtl/>
        </w:rPr>
        <w:t>בחינת</w:t>
      </w:r>
      <w:r w:rsidRPr="002F2BC5">
        <w:rPr>
          <w:rtl/>
        </w:rPr>
        <w:t xml:space="preserve"> השפעתו של תיקון 18 לחוק על היקף הה</w:t>
      </w:r>
      <w:r w:rsidRPr="002F2BC5">
        <w:rPr>
          <w:rFonts w:hint="cs"/>
          <w:rtl/>
        </w:rPr>
        <w:t>פניות לטיפול</w:t>
      </w:r>
      <w:r w:rsidRPr="002F2BC5">
        <w:rPr>
          <w:rtl/>
        </w:rPr>
        <w:t xml:space="preserve">, </w:t>
      </w:r>
      <w:r w:rsidRPr="002F2BC5">
        <w:rPr>
          <w:rFonts w:hint="cs"/>
          <w:rtl/>
        </w:rPr>
        <w:t>לצורך זיהוי</w:t>
      </w:r>
      <w:r w:rsidRPr="002F2BC5">
        <w:rPr>
          <w:rtl/>
        </w:rPr>
        <w:t xml:space="preserve"> </w:t>
      </w:r>
      <w:r w:rsidRPr="002F2BC5">
        <w:rPr>
          <w:rFonts w:hint="eastAsia"/>
          <w:rtl/>
        </w:rPr>
        <w:t>מגמות</w:t>
      </w:r>
      <w:r w:rsidRPr="002F2BC5">
        <w:rPr>
          <w:rtl/>
        </w:rPr>
        <w:t xml:space="preserve"> </w:t>
      </w:r>
      <w:r w:rsidRPr="002F2BC5">
        <w:rPr>
          <w:rFonts w:hint="eastAsia"/>
          <w:rtl/>
        </w:rPr>
        <w:t>ודפוסים</w:t>
      </w:r>
      <w:r w:rsidRPr="002F2BC5">
        <w:rPr>
          <w:rFonts w:hint="cs"/>
          <w:rtl/>
        </w:rPr>
        <w:t xml:space="preserve"> בנושא ולצורך טיוב</w:t>
      </w:r>
      <w:r w:rsidRPr="002F2BC5">
        <w:rPr>
          <w:rtl/>
        </w:rPr>
        <w:t xml:space="preserve"> </w:t>
      </w:r>
      <w:r w:rsidRPr="002F2BC5">
        <w:rPr>
          <w:rFonts w:hint="eastAsia"/>
          <w:rtl/>
        </w:rPr>
        <w:t>המענה</w:t>
      </w:r>
      <w:r w:rsidRPr="002F2BC5">
        <w:rPr>
          <w:rtl/>
        </w:rPr>
        <w:t xml:space="preserve"> </w:t>
      </w:r>
      <w:r w:rsidRPr="002F2BC5">
        <w:rPr>
          <w:rFonts w:hint="cs"/>
          <w:rtl/>
        </w:rPr>
        <w:t xml:space="preserve">הניתן לנפגעי אלימות במשפחה. בכלל זאת נתונים על בקשות שהוגשו לצווי הגנה </w:t>
      </w:r>
      <w:r w:rsidRPr="002F2BC5">
        <w:rPr>
          <w:rtl/>
        </w:rPr>
        <w:t xml:space="preserve">בפילוח לפי הרקע להוצאתו של הצו </w:t>
      </w:r>
      <w:r w:rsidRPr="002F2BC5">
        <w:rPr>
          <w:rFonts w:hint="cs"/>
          <w:rtl/>
        </w:rPr>
        <w:t>והקשר</w:t>
      </w:r>
      <w:r w:rsidRPr="002F2BC5">
        <w:rPr>
          <w:rtl/>
        </w:rPr>
        <w:t xml:space="preserve"> לאירועי אלימות במשפחה</w:t>
      </w:r>
      <w:r w:rsidRPr="002F2BC5">
        <w:rPr>
          <w:rFonts w:hint="cs"/>
          <w:rtl/>
        </w:rPr>
        <w:t xml:space="preserve">; </w:t>
      </w:r>
      <w:r w:rsidRPr="002F2BC5">
        <w:rPr>
          <w:rtl/>
        </w:rPr>
        <w:t>מגדר המחויב בצו</w:t>
      </w:r>
      <w:r w:rsidRPr="002F2BC5">
        <w:rPr>
          <w:rFonts w:hint="cs"/>
          <w:rtl/>
        </w:rPr>
        <w:t xml:space="preserve">; </w:t>
      </w:r>
      <w:r w:rsidRPr="002F2BC5">
        <w:rPr>
          <w:rtl/>
        </w:rPr>
        <w:t>אם הצו התקבל או נדחה; האיסורים שנקבעו בצו; תיקי חקירה שנפתחו במשטרת ישראל בגין הפרת הצו; מספר הצווים הקודמים שהוצאו לאותו אדם</w:t>
      </w:r>
      <w:r w:rsidRPr="002F2BC5">
        <w:rPr>
          <w:rFonts w:hint="cs"/>
          <w:rtl/>
        </w:rPr>
        <w:t>; וכן נתונים על הפניה לטיפול של האדם שכנגדו התבקש הצו לפי ההסדרים הקבועים בחוק. מומלץ כי נתונים אלו, כמו גם נתונים על ההכשרות הייעודיות בתחום האלימות במשפחה שבהן משתתפים שופטים מכהנים, ובפרט שופטי בתי המשפט לענייני משפחה - יאוגמו וינוהלו במערכת ממוחשבת ייעודית, וככל הנדרש תוך התאמת מערכות המחשוב הקיימות לצורך התמיכה באיגום ובניהול של הנתונים החיוניים האלו.</w:t>
      </w:r>
      <w:bookmarkEnd w:id="2195"/>
      <w:bookmarkEnd w:id="2196"/>
      <w:bookmarkEnd w:id="2197"/>
      <w:bookmarkEnd w:id="2198"/>
      <w:bookmarkEnd w:id="2199"/>
      <w:bookmarkEnd w:id="2200"/>
      <w:bookmarkEnd w:id="2201"/>
      <w:bookmarkEnd w:id="2202"/>
      <w:r w:rsidRPr="002F2BC5">
        <w:rPr>
          <w:rFonts w:hint="cs"/>
          <w:rtl/>
        </w:rPr>
        <w:t xml:space="preserve"> </w:t>
      </w:r>
    </w:p>
    <w:p w14:paraId="0ED0A5E5" w14:textId="77777777" w:rsidR="00817399" w:rsidRPr="002F2BC5" w:rsidRDefault="00817399" w:rsidP="00817399">
      <w:pPr>
        <w:spacing w:line="269" w:lineRule="auto"/>
        <w:rPr>
          <w:rtl/>
        </w:rPr>
      </w:pPr>
    </w:p>
    <w:p w14:paraId="75790626"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3EEDD657" w14:textId="77777777" w:rsidR="00817399" w:rsidRPr="002F2BC5" w:rsidRDefault="00817399" w:rsidP="00817399">
      <w:pPr>
        <w:pStyle w:val="afffffff7"/>
        <w:spacing w:before="0" w:line="269" w:lineRule="auto"/>
      </w:pPr>
      <w:bookmarkStart w:id="2203" w:name="_Toc198312355"/>
      <w:bookmarkStart w:id="2204" w:name="_Toc198312840"/>
      <w:bookmarkStart w:id="2205" w:name="_Toc189072293"/>
      <w:r w:rsidRPr="002F2BC5">
        <w:rPr>
          <w:noProof/>
        </w:rPr>
        <w:drawing>
          <wp:inline distT="0" distB="0" distL="0" distR="0" wp14:anchorId="7F0B882F" wp14:editId="78746F01">
            <wp:extent cx="4324350" cy="933450"/>
            <wp:effectExtent l="0" t="0" r="0" b="0"/>
            <wp:docPr id="53"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203"/>
      <w:bookmarkEnd w:id="2204"/>
    </w:p>
    <w:bookmarkEnd w:id="2205"/>
    <w:p w14:paraId="4544AF3B" w14:textId="77777777" w:rsidR="00817399" w:rsidRPr="002F2BC5" w:rsidRDefault="00817399" w:rsidP="00817399">
      <w:pPr>
        <w:spacing w:line="269" w:lineRule="auto"/>
        <w:rPr>
          <w:rtl/>
        </w:rPr>
      </w:pPr>
    </w:p>
    <w:p w14:paraId="77034C49" w14:textId="77777777" w:rsidR="00817399" w:rsidRPr="002F2BC5" w:rsidRDefault="00817399" w:rsidP="00817399">
      <w:pPr>
        <w:bidi w:val="0"/>
        <w:spacing w:line="269" w:lineRule="auto"/>
        <w:rPr>
          <w:rFonts w:eastAsiaTheme="majorEastAsia"/>
          <w:spacing w:val="40"/>
          <w:rtl/>
        </w:rPr>
      </w:pPr>
      <w:bookmarkStart w:id="2206" w:name="_Toc189072294"/>
      <w:bookmarkStart w:id="2207" w:name="_Toc191987180"/>
      <w:bookmarkStart w:id="2208" w:name="_Toc193110646"/>
      <w:r w:rsidRPr="002F2BC5">
        <w:rPr>
          <w:rtl/>
        </w:rPr>
        <w:br w:type="page"/>
      </w:r>
    </w:p>
    <w:p w14:paraId="54929543" w14:textId="77777777" w:rsidR="00817399" w:rsidRPr="002F2BC5" w:rsidRDefault="00817399" w:rsidP="00817399">
      <w:pPr>
        <w:pStyle w:val="6"/>
        <w:spacing w:line="269" w:lineRule="auto"/>
        <w:rPr>
          <w:rtl/>
        </w:rPr>
      </w:pPr>
      <w:r w:rsidRPr="002F2BC5">
        <w:rPr>
          <w:rFonts w:hint="cs"/>
          <w:rtl/>
        </w:rPr>
        <w:lastRenderedPageBreak/>
        <w:t>הליך טיפולי-שיקומי כחלופה למעצר או למאסר בפועל</w:t>
      </w:r>
      <w:bookmarkEnd w:id="2206"/>
      <w:bookmarkEnd w:id="2207"/>
      <w:bookmarkEnd w:id="2208"/>
    </w:p>
    <w:p w14:paraId="16751837" w14:textId="77777777" w:rsidR="00817399" w:rsidRPr="002F2BC5" w:rsidRDefault="00817399" w:rsidP="00817399">
      <w:pPr>
        <w:spacing w:line="269" w:lineRule="auto"/>
        <w:rPr>
          <w:rtl/>
        </w:rPr>
      </w:pPr>
    </w:p>
    <w:p w14:paraId="252EA689" w14:textId="77777777" w:rsidR="00817399" w:rsidRPr="002F2BC5" w:rsidRDefault="00817399" w:rsidP="00817399">
      <w:pPr>
        <w:spacing w:line="269" w:lineRule="auto"/>
        <w:rPr>
          <w:rtl/>
        </w:rPr>
      </w:pPr>
      <w:r w:rsidRPr="002F2BC5">
        <w:rPr>
          <w:rFonts w:hint="cs"/>
          <w:rtl/>
        </w:rPr>
        <w:t>במהלך מעצרו של אדם שנחשד בביצוע עבירה, ובכלל זה עבירה בתחום האלימות במשפחה, ובעת בחינת הצורך בהשארתו במעצר עד תוך ההליכים הפליליים נגדו, או לקראת מתן גזר הדין בעניינו, מסור לבית המשפט שיקול דעת להפנותו לתסקיר שירות המבחן לשם בחינת חלופות למעצרו או חלופות לענישתו, לפי העניין (להלן - תסקיר שירות המבחן או תסקיר)</w:t>
      </w:r>
      <w:r w:rsidRPr="002F2BC5">
        <w:rPr>
          <w:rStyle w:val="af9"/>
          <w:rtl/>
        </w:rPr>
        <w:footnoteReference w:id="432"/>
      </w:r>
      <w:r w:rsidRPr="002F2BC5">
        <w:rPr>
          <w:rFonts w:hint="cs"/>
          <w:rtl/>
        </w:rPr>
        <w:t>. במסגרת התסקיר בוחן עובד סוציאלי מטעם משרד הרווחה (להלן - קצין המבחן) מאפיינים שונים של עובר החוק הנתון במעצר או שניתנה בעניינו הכרעת הדין אך לא גזר הדין, ובכלל זה נבחנים עברו, מצבו המשפחתי והכלכלי, מצב בריאותו ומצב בריאות משפחתו. מטרת התסקיר היא לבחון את סיכויי השתקמותו של עובר החוק ואת האפשרות של חזרתו לקהילה, תוך הגבלת חירותו, וזאת כחלופה למעצר או למאסר בפועל</w:t>
      </w:r>
      <w:r w:rsidRPr="002F2BC5">
        <w:rPr>
          <w:rStyle w:val="af9"/>
          <w:rtl/>
        </w:rPr>
        <w:footnoteReference w:id="433"/>
      </w:r>
      <w:r w:rsidRPr="002F2BC5">
        <w:rPr>
          <w:rFonts w:hint="cs"/>
          <w:rtl/>
        </w:rPr>
        <w:t xml:space="preserve">. </w:t>
      </w:r>
    </w:p>
    <w:p w14:paraId="09B7A439" w14:textId="77777777" w:rsidR="00817399" w:rsidRPr="002F2BC5" w:rsidRDefault="00817399" w:rsidP="00817399">
      <w:pPr>
        <w:spacing w:line="269" w:lineRule="auto"/>
        <w:rPr>
          <w:rtl/>
        </w:rPr>
      </w:pPr>
    </w:p>
    <w:p w14:paraId="6523D900" w14:textId="77777777" w:rsidR="00817399" w:rsidRPr="002F2BC5" w:rsidRDefault="00817399" w:rsidP="00817399">
      <w:pPr>
        <w:spacing w:line="269" w:lineRule="auto"/>
        <w:rPr>
          <w:rtl/>
        </w:rPr>
      </w:pPr>
      <w:r w:rsidRPr="002F2BC5">
        <w:rPr>
          <w:rFonts w:hint="cs"/>
          <w:rtl/>
        </w:rPr>
        <w:t>למיצוי האפשרות של חזרתו של עובר החוק לקהילה, כחלופה למעצר או למאסר בפועל, ובלבד שרמת מסוכנותו אינה גבוהה והוא נמצא בר-שיקום, חשיבות רבה הן מן הבחינה הכלכלית והן מן הבחינה הציבורית-חברתית. ראשית, לנוכח העלויות הגבוהות של הכליאה - הישירות והעקיפות (כ-10,000 ש"ח לחודש וכ-120,000 ש"ח לשנה) - מול עלויות הטיפול בפיקוח במסגרות בקהילה (עלות כליאתו של אסיר בודד היא שוות ערך לעלות שכרו של קצין מבחן היכול לטפל בכל רגע נתון בעד כ-35 עוברי חוק). שנית, בשים לב להשלכות הקרימינוגניות (מעודדות עבריינות) של הכליאה על האסיר, ובתוך כך אימוץ דפוסי התנהגות עברייניים ואובדן של מיומנויות בסיסיות</w:t>
      </w:r>
      <w:r w:rsidRPr="002F2BC5">
        <w:rPr>
          <w:rStyle w:val="af9"/>
          <w:rtl/>
        </w:rPr>
        <w:footnoteReference w:id="434"/>
      </w:r>
      <w:r w:rsidRPr="002F2BC5">
        <w:rPr>
          <w:rFonts w:hint="cs"/>
          <w:rtl/>
        </w:rPr>
        <w:t>.</w:t>
      </w:r>
    </w:p>
    <w:p w14:paraId="2B48BAFB" w14:textId="77777777" w:rsidR="00817399" w:rsidRPr="002F2BC5" w:rsidRDefault="00817399" w:rsidP="00817399">
      <w:pPr>
        <w:spacing w:line="269" w:lineRule="auto"/>
        <w:rPr>
          <w:rtl/>
        </w:rPr>
      </w:pPr>
    </w:p>
    <w:p w14:paraId="2039EAD4" w14:textId="77777777" w:rsidR="00817399" w:rsidRPr="002F2BC5" w:rsidRDefault="00817399" w:rsidP="00817399">
      <w:pPr>
        <w:spacing w:line="269" w:lineRule="auto"/>
        <w:rPr>
          <w:rtl/>
        </w:rPr>
      </w:pPr>
      <w:r w:rsidRPr="002F2BC5">
        <w:rPr>
          <w:rFonts w:hint="cs"/>
          <w:rtl/>
        </w:rPr>
        <w:t>נוסף על תפקידו של שירות המבחן בעריכת תסקירים לעצורים או למי שעומדים בפני מתן גזר הדין בעניינם, שירות המבחן ממלא גם תפקיד ביצועי הכולל הוצאה לפועל של צווים שיפוטיים, ובכללם צווים לטיפול בקהילה לעוברי חוק בתחום האלימות במשפחה, שניתנו לאחר הגשת תסקיר שירות המבחן</w:t>
      </w:r>
      <w:r w:rsidRPr="002F2BC5">
        <w:rPr>
          <w:rStyle w:val="af9"/>
          <w:rtl/>
        </w:rPr>
        <w:footnoteReference w:id="435"/>
      </w:r>
      <w:r w:rsidRPr="002F2BC5">
        <w:rPr>
          <w:rFonts w:hint="cs"/>
          <w:rtl/>
        </w:rPr>
        <w:t>. במסגרת זו מפעיל שירות המבחן מסגרות חוץ-ביתיות (להלן - בתי נועם) וקבוצות טיפוליות לעוברי חוק על רקע אלימות זוגית, שנמצאו מתאימים לשיקום בקהילה, כחלופה למעצר או למאסר בפועל. את בתי נועם מפעיל שירות המבחן באמצעות נותן שירותים חיצוניים (להלן - מפעיל בתי נועם או המפעיל) במחוז המרכז (החל משנת 2018) ובמחוז הדרום (החל משנת 2019), והם כוללים כמה מסלולי טיפול המאפשרים רצף מענים לגברים אלימים ברמות סיכון משתנות</w:t>
      </w:r>
      <w:r w:rsidRPr="002F2BC5">
        <w:rPr>
          <w:rStyle w:val="af9"/>
          <w:rtl/>
        </w:rPr>
        <w:footnoteReference w:id="436"/>
      </w:r>
      <w:r w:rsidRPr="002F2BC5">
        <w:rPr>
          <w:rFonts w:hint="cs"/>
          <w:rtl/>
        </w:rPr>
        <w:t xml:space="preserve">. </w:t>
      </w:r>
    </w:p>
    <w:p w14:paraId="68F290F8" w14:textId="77777777" w:rsidR="00817399" w:rsidRPr="002F2BC5" w:rsidRDefault="00817399" w:rsidP="00817399">
      <w:pPr>
        <w:spacing w:line="269" w:lineRule="auto"/>
        <w:rPr>
          <w:rtl/>
        </w:rPr>
      </w:pPr>
    </w:p>
    <w:p w14:paraId="3CB05EA6" w14:textId="77777777" w:rsidR="00817399" w:rsidRPr="002F2BC5" w:rsidRDefault="00817399" w:rsidP="00817399">
      <w:pPr>
        <w:spacing w:line="269" w:lineRule="auto"/>
        <w:rPr>
          <w:rtl/>
        </w:rPr>
      </w:pPr>
      <w:r w:rsidRPr="002F2BC5">
        <w:rPr>
          <w:rFonts w:hint="cs"/>
          <w:rtl/>
        </w:rPr>
        <w:t>לצד הפנייתם של עוברי חוק לתוכניות השיקום שמפעיל שירות המבחן בעצמו, עוברי חוק על רקע אלימות זוגית עשויים להיות מופנים על ידו להליך טיפולי-שיקומי גם במרכזים לטיפול ומניעת אלימות במשפחה או בבתי המשפט הקהילתיים. להלן יפורטו ממצאי המעקב בנושאים אלו.</w:t>
      </w:r>
    </w:p>
    <w:p w14:paraId="552BD700" w14:textId="77777777" w:rsidR="00817399" w:rsidRPr="002F2BC5" w:rsidRDefault="00817399" w:rsidP="00817399">
      <w:pPr>
        <w:spacing w:line="269" w:lineRule="auto"/>
        <w:rPr>
          <w:rtl/>
        </w:rPr>
      </w:pPr>
    </w:p>
    <w:p w14:paraId="0DE40CE5" w14:textId="77777777" w:rsidR="00817399" w:rsidRPr="002F2BC5" w:rsidRDefault="00817399" w:rsidP="00817399">
      <w:pPr>
        <w:bidi w:val="0"/>
        <w:spacing w:line="269" w:lineRule="auto"/>
        <w:rPr>
          <w:rFonts w:eastAsiaTheme="majorEastAsia"/>
          <w:bCs/>
          <w:spacing w:val="40"/>
          <w:rtl/>
        </w:rPr>
      </w:pPr>
      <w:bookmarkStart w:id="2209" w:name="_Toc191987181"/>
      <w:r w:rsidRPr="002F2BC5">
        <w:rPr>
          <w:rtl/>
        </w:rPr>
        <w:br w:type="page"/>
      </w:r>
    </w:p>
    <w:p w14:paraId="00CF6445" w14:textId="77777777" w:rsidR="00817399" w:rsidRPr="002F2BC5" w:rsidRDefault="00817399" w:rsidP="00817399">
      <w:pPr>
        <w:pStyle w:val="1ff"/>
        <w:bidi/>
        <w:rPr>
          <w:rtl/>
        </w:rPr>
      </w:pPr>
      <w:r w:rsidRPr="002F2BC5">
        <w:rPr>
          <w:rFonts w:hint="cs"/>
          <w:rtl/>
        </w:rPr>
        <w:lastRenderedPageBreak/>
        <w:t>הטיפול בעוברי חוק בשירות המבחן</w:t>
      </w:r>
      <w:bookmarkEnd w:id="2209"/>
    </w:p>
    <w:p w14:paraId="2F464B96" w14:textId="77777777" w:rsidR="00817399" w:rsidRPr="002F2BC5" w:rsidRDefault="00817399" w:rsidP="00817399">
      <w:pPr>
        <w:spacing w:line="269" w:lineRule="auto"/>
        <w:rPr>
          <w:rtl/>
        </w:rPr>
      </w:pPr>
    </w:p>
    <w:p w14:paraId="36CE8CE4" w14:textId="77777777" w:rsidR="00817399" w:rsidRPr="002F2BC5" w:rsidRDefault="00817399" w:rsidP="00817399">
      <w:pPr>
        <w:pStyle w:val="2f2"/>
        <w:spacing w:after="0" w:line="269" w:lineRule="auto"/>
        <w:rPr>
          <w:rtl/>
        </w:rPr>
      </w:pPr>
      <w:r w:rsidRPr="002F2BC5">
        <w:rPr>
          <w:rFonts w:hint="cs"/>
          <w:rtl/>
        </w:rPr>
        <w:t>המטופלים בשירות המבחן ומאפייניהם</w:t>
      </w:r>
    </w:p>
    <w:p w14:paraId="2CFFCC2D" w14:textId="77777777" w:rsidR="00817399" w:rsidRPr="002F2BC5" w:rsidRDefault="00817399" w:rsidP="00817399">
      <w:pPr>
        <w:spacing w:line="269" w:lineRule="auto"/>
        <w:rPr>
          <w:rtl/>
        </w:rPr>
      </w:pPr>
    </w:p>
    <w:p w14:paraId="6C48A520" w14:textId="77777777" w:rsidR="00817399" w:rsidRPr="002F2BC5" w:rsidRDefault="00817399" w:rsidP="00817399">
      <w:pPr>
        <w:spacing w:line="269" w:lineRule="auto"/>
        <w:rPr>
          <w:rtl/>
        </w:rPr>
      </w:pPr>
      <w:bookmarkStart w:id="2210" w:name="_Toc191987182"/>
      <w:r w:rsidRPr="002F2BC5">
        <w:rPr>
          <w:rStyle w:val="70"/>
          <w:rFonts w:hint="cs"/>
          <w:rtl/>
        </w:rPr>
        <w:t>הביקורת הקודמת:</w:t>
      </w:r>
      <w:bookmarkEnd w:id="2210"/>
      <w:r w:rsidRPr="002F2BC5">
        <w:rPr>
          <w:rStyle w:val="70"/>
          <w:rFonts w:hint="cs"/>
          <w:rtl/>
        </w:rPr>
        <w:t xml:space="preserve"> </w:t>
      </w:r>
      <w:r w:rsidRPr="002F2BC5">
        <w:rPr>
          <w:rFonts w:hint="cs"/>
          <w:rtl/>
        </w:rPr>
        <w:t>נמצא כי מבין כלל עוברי החוק בתחום האלימות במשפחה שהופנו לשירות המבחן לצורך עריכת תסקירים בשנים 2015 - 2019, כ-13% בלבד השתלבו בתוכניות שיקום של שירות המבחן (1,823 מתוך 13,905)</w:t>
      </w:r>
      <w:r w:rsidRPr="002F2BC5">
        <w:rPr>
          <w:rStyle w:val="af9"/>
          <w:rtl/>
        </w:rPr>
        <w:footnoteReference w:id="437"/>
      </w:r>
      <w:r w:rsidRPr="002F2BC5">
        <w:rPr>
          <w:rFonts w:hint="cs"/>
          <w:rtl/>
        </w:rPr>
        <w:t>. בקרב המטופלים ששולבו בטיפול בבתי נועם בשנים 2017 - 2019, שיעורם של המטופלים הלא-יהודים (כ-13% מהם) היה נמוך משיעורם מכלל המופנים לתסקיר שירות המבחן (כ-30% - 34% מכלל ההפניות בשנים אלו)</w:t>
      </w:r>
      <w:r w:rsidRPr="002F2BC5">
        <w:rPr>
          <w:rStyle w:val="af9"/>
          <w:rtl/>
        </w:rPr>
        <w:footnoteReference w:id="438"/>
      </w:r>
      <w:r w:rsidRPr="002F2BC5">
        <w:rPr>
          <w:rFonts w:hint="cs"/>
          <w:rtl/>
        </w:rPr>
        <w:t>. עוד הועלה כי בשנים אלו כ-5% בלבד מקרב המטופלים בבתי נועם הופנו על ידי גורמים שאינם שירות המבחן (14 מתוך 269</w:t>
      </w:r>
      <w:r w:rsidRPr="002F2BC5">
        <w:rPr>
          <w:rStyle w:val="af9"/>
          <w:rtl/>
        </w:rPr>
        <w:footnoteReference w:id="439"/>
      </w:r>
      <w:r w:rsidRPr="002F2BC5">
        <w:rPr>
          <w:rFonts w:hint="cs"/>
          <w:rtl/>
        </w:rPr>
        <w:t xml:space="preserve">) - אף כי בתי נועם אמורים לקבל לטיפול גם מטופלים שהופנו על ידי גורמים אחרים, ובהם המרכזים לטיפול ומניעת אלימות במשפחה והרשות לשיקום האסיר. </w:t>
      </w:r>
    </w:p>
    <w:p w14:paraId="39F3A11B" w14:textId="77777777" w:rsidR="00817399" w:rsidRPr="002F2BC5" w:rsidRDefault="00817399" w:rsidP="00817399">
      <w:pPr>
        <w:spacing w:line="269" w:lineRule="auto"/>
        <w:rPr>
          <w:rtl/>
        </w:rPr>
      </w:pPr>
    </w:p>
    <w:p w14:paraId="5278529D" w14:textId="77777777" w:rsidR="00817399" w:rsidRPr="002F2BC5" w:rsidRDefault="00817399" w:rsidP="00817399">
      <w:pPr>
        <w:spacing w:line="269" w:lineRule="auto"/>
        <w:rPr>
          <w:rtl/>
        </w:rPr>
      </w:pPr>
      <w:r w:rsidRPr="002F2BC5">
        <w:rPr>
          <w:rFonts w:hint="cs"/>
          <w:rtl/>
        </w:rPr>
        <w:t>הביקורת הקודמת העלתה עוד כי על אף הגידול במספר המשתתפים בקבוצות הטיפוליות בשנים 2015 - 2019 (גידול של כ-26%), פתח שירות המבחן בשנת 2019 רק קבוצת טיפול נוספת אחת.</w:t>
      </w:r>
    </w:p>
    <w:p w14:paraId="6D0627A6" w14:textId="77777777" w:rsidR="00817399" w:rsidRPr="002F2BC5" w:rsidRDefault="00817399" w:rsidP="00817399">
      <w:pPr>
        <w:spacing w:line="269" w:lineRule="auto"/>
        <w:rPr>
          <w:rtl/>
        </w:rPr>
      </w:pPr>
    </w:p>
    <w:p w14:paraId="202C0A9C" w14:textId="77777777" w:rsidR="00817399" w:rsidRPr="002F2BC5" w:rsidRDefault="00817399" w:rsidP="00817399">
      <w:pPr>
        <w:spacing w:line="269" w:lineRule="auto"/>
        <w:rPr>
          <w:rtl/>
        </w:rPr>
      </w:pPr>
      <w:r w:rsidRPr="002F2BC5">
        <w:rPr>
          <w:rFonts w:hint="cs"/>
          <w:rtl/>
        </w:rPr>
        <w:t>משרד מבקר המדינה המליץ בביקורת הקודמת לשירות המבחן לבחון את הרחבת היקף פעילותו בכל הקשור לטיפול בעוברי חוק על רקע אלימות זוגית.</w:t>
      </w:r>
      <w:r w:rsidRPr="002F2BC5">
        <w:rPr>
          <w:rFonts w:hint="eastAsia"/>
          <w:rtl/>
        </w:rPr>
        <w:t xml:space="preserve"> </w:t>
      </w:r>
      <w:r w:rsidRPr="002F2BC5">
        <w:rPr>
          <w:rFonts w:hint="cs"/>
          <w:rtl/>
        </w:rPr>
        <w:t>עוד הומלץ לו לפעול להגברת החשיפה של בתי נועם לכלל הגורמים שבאפשרותם להפנות מטופלים למסגרות הללו, וזאת במסגרת תנאי ההתקשרות החוזית עם מפעיל בתי נועם.</w:t>
      </w:r>
    </w:p>
    <w:p w14:paraId="549FCD86" w14:textId="77777777" w:rsidR="00817399" w:rsidRPr="002F2BC5" w:rsidRDefault="00817399" w:rsidP="00817399">
      <w:pPr>
        <w:spacing w:line="269" w:lineRule="auto"/>
        <w:rPr>
          <w:rtl/>
        </w:rPr>
      </w:pPr>
    </w:p>
    <w:p w14:paraId="119C7921" w14:textId="77777777" w:rsidR="00817399" w:rsidRPr="002F2BC5" w:rsidRDefault="00817399" w:rsidP="00817399">
      <w:pPr>
        <w:spacing w:line="269" w:lineRule="auto"/>
        <w:rPr>
          <w:rtl/>
        </w:rPr>
      </w:pPr>
      <w:r w:rsidRPr="002F2BC5">
        <w:rPr>
          <w:rFonts w:hint="eastAsia"/>
          <w:rtl/>
        </w:rPr>
        <w:t>משרד</w:t>
      </w:r>
      <w:r w:rsidRPr="002F2BC5">
        <w:rPr>
          <w:rtl/>
        </w:rPr>
        <w:t xml:space="preserve"> </w:t>
      </w:r>
      <w:r w:rsidRPr="002F2BC5">
        <w:rPr>
          <w:rFonts w:hint="eastAsia"/>
          <w:rtl/>
        </w:rPr>
        <w:t>הרווחה</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cs"/>
          <w:rtl/>
        </w:rPr>
        <w:t>לביקורת הקודמת</w:t>
      </w:r>
      <w:r w:rsidRPr="002F2BC5">
        <w:rPr>
          <w:rtl/>
        </w:rPr>
        <w:t xml:space="preserve"> </w:t>
      </w:r>
      <w:r w:rsidRPr="002F2BC5">
        <w:rPr>
          <w:rFonts w:hint="cs"/>
          <w:rtl/>
        </w:rPr>
        <w:t xml:space="preserve">מפברואר 2021 </w:t>
      </w:r>
      <w:r w:rsidRPr="002F2BC5">
        <w:rPr>
          <w:rFonts w:hint="eastAsia"/>
          <w:rtl/>
        </w:rPr>
        <w:t>כי</w:t>
      </w:r>
      <w:r w:rsidRPr="002F2BC5">
        <w:rPr>
          <w:rtl/>
        </w:rPr>
        <w:t xml:space="preserve"> </w:t>
      </w:r>
      <w:r w:rsidRPr="002F2BC5">
        <w:rPr>
          <w:rFonts w:hint="cs"/>
          <w:rtl/>
        </w:rPr>
        <w:t xml:space="preserve">הוא מסכים לכך שיש לפעול להרחבת היקף הפעילות של שירות המבחן בתחום האלימות בין בני זוג, ובהתאם לכך </w:t>
      </w:r>
      <w:r w:rsidRPr="002F2BC5">
        <w:rPr>
          <w:rFonts w:hint="eastAsia"/>
          <w:rtl/>
        </w:rPr>
        <w:t>החל</w:t>
      </w:r>
      <w:r w:rsidRPr="002F2BC5">
        <w:rPr>
          <w:rtl/>
        </w:rPr>
        <w:t xml:space="preserve"> </w:t>
      </w:r>
      <w:r w:rsidRPr="002F2BC5">
        <w:rPr>
          <w:rFonts w:hint="cs"/>
          <w:rtl/>
        </w:rPr>
        <w:t>ב</w:t>
      </w:r>
      <w:r w:rsidRPr="002F2BC5">
        <w:rPr>
          <w:rFonts w:hint="eastAsia"/>
          <w:rtl/>
        </w:rPr>
        <w:t>תכנון</w:t>
      </w:r>
      <w:r w:rsidRPr="002F2BC5">
        <w:rPr>
          <w:rtl/>
        </w:rPr>
        <w:t xml:space="preserve"> </w:t>
      </w:r>
      <w:r w:rsidRPr="002F2BC5">
        <w:rPr>
          <w:rFonts w:hint="eastAsia"/>
          <w:rtl/>
        </w:rPr>
        <w:t>הקמת</w:t>
      </w:r>
      <w:r w:rsidRPr="002F2BC5">
        <w:rPr>
          <w:rFonts w:hint="cs"/>
          <w:rtl/>
        </w:rPr>
        <w:t>ו של</w:t>
      </w:r>
      <w:r w:rsidRPr="002F2BC5">
        <w:rPr>
          <w:rtl/>
        </w:rPr>
        <w:t xml:space="preserve"> בית טיפולי נוסף </w:t>
      </w:r>
      <w:r w:rsidRPr="002F2BC5">
        <w:rPr>
          <w:rFonts w:hint="cs"/>
          <w:rtl/>
        </w:rPr>
        <w:t xml:space="preserve">לגברים אלימים </w:t>
      </w:r>
      <w:r w:rsidRPr="002F2BC5">
        <w:rPr>
          <w:rFonts w:hint="eastAsia"/>
          <w:rtl/>
        </w:rPr>
        <w:t>במחוז</w:t>
      </w:r>
      <w:r w:rsidRPr="002F2BC5">
        <w:rPr>
          <w:rtl/>
        </w:rPr>
        <w:t xml:space="preserve"> </w:t>
      </w:r>
      <w:r w:rsidRPr="002F2BC5">
        <w:rPr>
          <w:rFonts w:hint="cs"/>
          <w:rtl/>
        </w:rPr>
        <w:t>ה</w:t>
      </w:r>
      <w:r w:rsidRPr="002F2BC5">
        <w:rPr>
          <w:rFonts w:hint="eastAsia"/>
          <w:rtl/>
        </w:rPr>
        <w:t>צפון</w:t>
      </w:r>
      <w:r w:rsidRPr="002F2BC5">
        <w:rPr>
          <w:rFonts w:hint="cs"/>
          <w:rtl/>
        </w:rPr>
        <w:t xml:space="preserve"> וכן פתח קורס הכשרה לקציני מבחן בנושא מיומנויות אבחון וטיפול בתחום האלימות בין בני זוג. כמו כן ציין כי בשנת 2019 התקיימו בבתי נועם מפגשי חשיפה לחלק מעובדי שירות המבחן וכן מפגשים עם עובדי שירות בתי הסוהר ועם עובדים סוציאליים במסגרת קורסי הכשרה. כן הוסיף כי יפעל מול מפעיל בתי נועם להפקת עלון פרסומי. לצד זאת ציין כי מבין ה</w:t>
      </w:r>
      <w:r w:rsidRPr="002F2BC5">
        <w:rPr>
          <w:rtl/>
        </w:rPr>
        <w:t xml:space="preserve">מופנים לשירות המבחן </w:t>
      </w:r>
      <w:r w:rsidRPr="002F2BC5">
        <w:rPr>
          <w:rFonts w:hint="cs"/>
          <w:rtl/>
        </w:rPr>
        <w:t>ישנם עוברי חוק ברמת מסוכנות גבוהה, שאינם מתאימים לטיפול בקהילה,</w:t>
      </w:r>
      <w:r w:rsidRPr="002F2BC5">
        <w:rPr>
          <w:rtl/>
        </w:rPr>
        <w:t xml:space="preserve"> וכי </w:t>
      </w:r>
      <w:r w:rsidRPr="002F2BC5">
        <w:rPr>
          <w:rFonts w:hint="cs"/>
          <w:rtl/>
        </w:rPr>
        <w:t>ישנם גם עוברי חוק ה</w:t>
      </w:r>
      <w:r w:rsidRPr="002F2BC5">
        <w:rPr>
          <w:rFonts w:hint="eastAsia"/>
          <w:rtl/>
        </w:rPr>
        <w:t>מעדיפים</w:t>
      </w:r>
      <w:r w:rsidRPr="002F2BC5">
        <w:rPr>
          <w:rtl/>
        </w:rPr>
        <w:t xml:space="preserve"> </w:t>
      </w:r>
      <w:r w:rsidRPr="002F2BC5">
        <w:rPr>
          <w:rFonts w:hint="eastAsia"/>
          <w:rtl/>
        </w:rPr>
        <w:t>לסיים</w:t>
      </w:r>
      <w:r w:rsidRPr="002F2BC5">
        <w:rPr>
          <w:rtl/>
        </w:rPr>
        <w:t xml:space="preserve"> </w:t>
      </w:r>
      <w:r w:rsidRPr="002F2BC5">
        <w:rPr>
          <w:rFonts w:hint="eastAsia"/>
          <w:rtl/>
        </w:rPr>
        <w:t>את</w:t>
      </w:r>
      <w:r w:rsidRPr="002F2BC5">
        <w:rPr>
          <w:rtl/>
        </w:rPr>
        <w:t xml:space="preserve"> </w:t>
      </w:r>
      <w:r w:rsidRPr="002F2BC5">
        <w:rPr>
          <w:rFonts w:hint="eastAsia"/>
          <w:rtl/>
        </w:rPr>
        <w:t>ההליך</w:t>
      </w:r>
      <w:r w:rsidRPr="002F2BC5">
        <w:rPr>
          <w:rtl/>
        </w:rPr>
        <w:t xml:space="preserve"> </w:t>
      </w:r>
      <w:r w:rsidRPr="002F2BC5">
        <w:rPr>
          <w:rFonts w:hint="eastAsia"/>
          <w:rtl/>
        </w:rPr>
        <w:t>המשפטי</w:t>
      </w:r>
      <w:r w:rsidRPr="002F2BC5">
        <w:rPr>
          <w:rtl/>
        </w:rPr>
        <w:t xml:space="preserve"> </w:t>
      </w:r>
      <w:r w:rsidRPr="002F2BC5">
        <w:rPr>
          <w:rFonts w:hint="cs"/>
          <w:rtl/>
        </w:rPr>
        <w:t>במהירות</w:t>
      </w:r>
      <w:r w:rsidRPr="002F2BC5">
        <w:rPr>
          <w:rtl/>
        </w:rPr>
        <w:t xml:space="preserve"> </w:t>
      </w:r>
      <w:r w:rsidRPr="002F2BC5">
        <w:rPr>
          <w:rFonts w:hint="eastAsia"/>
          <w:rtl/>
        </w:rPr>
        <w:t>בלי</w:t>
      </w:r>
      <w:r w:rsidRPr="002F2BC5">
        <w:rPr>
          <w:rtl/>
        </w:rPr>
        <w:t xml:space="preserve"> </w:t>
      </w:r>
      <w:r w:rsidRPr="002F2BC5">
        <w:rPr>
          <w:rFonts w:hint="eastAsia"/>
          <w:rtl/>
        </w:rPr>
        <w:t>להשתלב</w:t>
      </w:r>
      <w:r w:rsidRPr="002F2BC5">
        <w:rPr>
          <w:rtl/>
        </w:rPr>
        <w:t xml:space="preserve"> </w:t>
      </w:r>
      <w:r w:rsidRPr="002F2BC5">
        <w:rPr>
          <w:rFonts w:hint="cs"/>
          <w:rtl/>
        </w:rPr>
        <w:t>בתוכנית שיקומית</w:t>
      </w:r>
      <w:r w:rsidRPr="002F2BC5">
        <w:rPr>
          <w:rtl/>
        </w:rPr>
        <w:t>, שעשוי</w:t>
      </w:r>
      <w:r w:rsidRPr="002F2BC5">
        <w:rPr>
          <w:rFonts w:hint="cs"/>
          <w:rtl/>
        </w:rPr>
        <w:t>ה</w:t>
      </w:r>
      <w:r w:rsidRPr="002F2BC5">
        <w:rPr>
          <w:rtl/>
        </w:rPr>
        <w:t xml:space="preserve"> להיות </w:t>
      </w:r>
      <w:r w:rsidRPr="002F2BC5">
        <w:rPr>
          <w:rFonts w:hint="cs"/>
          <w:rtl/>
        </w:rPr>
        <w:t>ממושכת יותר</w:t>
      </w:r>
      <w:r w:rsidRPr="002F2BC5">
        <w:rPr>
          <w:rtl/>
        </w:rPr>
        <w:t xml:space="preserve"> </w:t>
      </w:r>
      <w:r w:rsidRPr="002F2BC5">
        <w:rPr>
          <w:rFonts w:hint="eastAsia"/>
          <w:rtl/>
        </w:rPr>
        <w:t>ולדרוש</w:t>
      </w:r>
      <w:r w:rsidRPr="002F2BC5">
        <w:rPr>
          <w:rtl/>
        </w:rPr>
        <w:t xml:space="preserve"> </w:t>
      </w:r>
      <w:r w:rsidRPr="002F2BC5">
        <w:rPr>
          <w:rFonts w:hint="cs"/>
          <w:rtl/>
        </w:rPr>
        <w:t xml:space="preserve">מהם </w:t>
      </w:r>
      <w:r w:rsidRPr="002F2BC5">
        <w:rPr>
          <w:rFonts w:hint="eastAsia"/>
          <w:rtl/>
        </w:rPr>
        <w:t>השקעה</w:t>
      </w:r>
      <w:r w:rsidRPr="002F2BC5">
        <w:rPr>
          <w:rtl/>
        </w:rPr>
        <w:t xml:space="preserve"> </w:t>
      </w:r>
      <w:r w:rsidRPr="002F2BC5">
        <w:rPr>
          <w:rFonts w:hint="eastAsia"/>
          <w:rtl/>
        </w:rPr>
        <w:t>נפשית</w:t>
      </w:r>
      <w:r w:rsidRPr="002F2BC5">
        <w:rPr>
          <w:rtl/>
        </w:rPr>
        <w:t xml:space="preserve"> </w:t>
      </w:r>
      <w:r w:rsidRPr="002F2BC5">
        <w:rPr>
          <w:rFonts w:hint="eastAsia"/>
          <w:rtl/>
        </w:rPr>
        <w:t>ומשפחתית</w:t>
      </w:r>
      <w:r w:rsidRPr="002F2BC5">
        <w:rPr>
          <w:rtl/>
        </w:rPr>
        <w:t>.</w:t>
      </w:r>
      <w:r w:rsidRPr="002F2BC5">
        <w:rPr>
          <w:rFonts w:hint="cs"/>
          <w:rtl/>
        </w:rPr>
        <w:t xml:space="preserve"> בהתייחס להיקף המטופלים מהחברה הערבית, מסר משרד הרווחה כי הרכב המטופלים בבתי נועם מושפע ממאפייניהם של עוברי החוק המופנים לתסקיר שירות המבחן וכי קיים קושי רב יותר לגייס לטיפול גברים אלימים מהחברה הערבית.</w:t>
      </w:r>
    </w:p>
    <w:p w14:paraId="3ADFAC99" w14:textId="77777777" w:rsidR="00817399" w:rsidRPr="002F2BC5" w:rsidRDefault="00817399" w:rsidP="00817399">
      <w:pPr>
        <w:spacing w:line="269" w:lineRule="auto"/>
        <w:rPr>
          <w:rtl/>
        </w:rPr>
      </w:pPr>
    </w:p>
    <w:p w14:paraId="31ED399B" w14:textId="77777777" w:rsidR="00817399" w:rsidRPr="002F2BC5" w:rsidRDefault="00817399" w:rsidP="00817399">
      <w:pPr>
        <w:spacing w:line="269" w:lineRule="auto"/>
        <w:rPr>
          <w:rtl/>
        </w:rPr>
      </w:pPr>
      <w:bookmarkStart w:id="2211" w:name="_Toc191987183"/>
      <w:r w:rsidRPr="002F2BC5">
        <w:rPr>
          <w:rStyle w:val="70"/>
          <w:rFonts w:hint="cs"/>
          <w:rtl/>
        </w:rPr>
        <w:t>ביקורת המעקב:</w:t>
      </w:r>
      <w:bookmarkEnd w:id="2211"/>
      <w:r w:rsidRPr="002F2BC5">
        <w:rPr>
          <w:rStyle w:val="70"/>
          <w:rFonts w:hint="cs"/>
          <w:rtl/>
        </w:rPr>
        <w:t xml:space="preserve"> </w:t>
      </w:r>
      <w:r w:rsidRPr="002F2BC5">
        <w:rPr>
          <w:rFonts w:hint="cs"/>
          <w:rtl/>
        </w:rPr>
        <w:t xml:space="preserve">מבין כלל עוברי החוק בתחום האלימות הזוגית שהופנו לשירות המבחן לצורך עריכת תסקירים בשנים 2022 - 2023, כ-18% השתלבו בתוכניות שיקום של שירות המבחן (987 מתוך 5,542). עוד הועלה כי בשנים הללו שיעורם הממוצע של המטופלים הלא-יהודים בבתי נועם (כ-17%, 65 מתוך 375) אומנם עלה מעט אך נותר נמוך ביחס לשיעורם הממוצע של עוברי החוק הלא-יהודים שהופנו לתסקיר שירות המבחן (כ-32%, 1,775 מתוך 5,542). </w:t>
      </w:r>
    </w:p>
    <w:p w14:paraId="74C7C8D8" w14:textId="77777777" w:rsidR="00817399" w:rsidRPr="002F2BC5" w:rsidRDefault="00817399" w:rsidP="00817399">
      <w:pPr>
        <w:spacing w:line="269" w:lineRule="auto"/>
        <w:rPr>
          <w:rtl/>
        </w:rPr>
      </w:pPr>
    </w:p>
    <w:p w14:paraId="2F7108FF" w14:textId="77777777" w:rsidR="00817399" w:rsidRPr="002F2BC5" w:rsidRDefault="00817399" w:rsidP="00817399">
      <w:pPr>
        <w:spacing w:line="269" w:lineRule="auto"/>
        <w:rPr>
          <w:rtl/>
        </w:rPr>
      </w:pPr>
      <w:r w:rsidRPr="002F2BC5">
        <w:rPr>
          <w:rFonts w:hint="cs"/>
          <w:rtl/>
        </w:rPr>
        <w:t xml:space="preserve">אף כי עוד במהלך הביקורת הקודמת החל משרד הרווחה בהקמת בית טיפולי נוסף במחוז הצפון, הועלה כי רק בספטמבר 2024 פורסם מכרז להקמתו של הבית הטיפולי הנוסף. משרד הרווחה מסר במהלך ביקורת המעקב, בדצמבר 2024, כי העיכוב בפרסום נבע מהצורך לעדכן את התעריפים </w:t>
      </w:r>
      <w:r w:rsidRPr="002F2BC5">
        <w:rPr>
          <w:rFonts w:hint="cs"/>
          <w:rtl/>
        </w:rPr>
        <w:lastRenderedPageBreak/>
        <w:t xml:space="preserve">להפעלת הבתים הטיפוליים וכן בשל הצורך לערוך שינויים בתנאי המכרז בעקבות הליך משפטי שעודנו מתנהל כנגד המפעיל הנוכחי של בתי נועם. במועד סיום ביקורת המעקב, בדצמבר 2024, טרם חלף המועד האחרון להגשת הצעות במכרז שפורסם. </w:t>
      </w:r>
    </w:p>
    <w:p w14:paraId="1E72E24D" w14:textId="77777777" w:rsidR="00817399" w:rsidRPr="002F2BC5" w:rsidRDefault="00817399" w:rsidP="00817399">
      <w:pPr>
        <w:spacing w:line="269" w:lineRule="auto"/>
        <w:rPr>
          <w:rtl/>
        </w:rPr>
      </w:pPr>
    </w:p>
    <w:p w14:paraId="38605846" w14:textId="06ACDF3B" w:rsidR="00817399" w:rsidRPr="002F2BC5" w:rsidRDefault="00817399" w:rsidP="00817399">
      <w:pPr>
        <w:spacing w:line="269" w:lineRule="auto"/>
        <w:rPr>
          <w:rtl/>
        </w:rPr>
      </w:pPr>
      <w:r w:rsidRPr="002F2BC5">
        <w:rPr>
          <w:rFonts w:hint="cs"/>
          <w:rtl/>
        </w:rPr>
        <w:t xml:space="preserve">עוד הועלה כי </w:t>
      </w:r>
      <w:r w:rsidRPr="002F2BC5">
        <w:rPr>
          <w:rtl/>
        </w:rPr>
        <w:t xml:space="preserve">מספר המטופלים </w:t>
      </w:r>
      <w:r w:rsidRPr="002F2BC5">
        <w:rPr>
          <w:rFonts w:hint="cs"/>
          <w:rtl/>
        </w:rPr>
        <w:t xml:space="preserve">המשולבים בקבוצות טיפוליות </w:t>
      </w:r>
      <w:r w:rsidRPr="002F2BC5">
        <w:rPr>
          <w:rtl/>
        </w:rPr>
        <w:t xml:space="preserve">במחוזות </w:t>
      </w:r>
      <w:r w:rsidRPr="002F2BC5">
        <w:rPr>
          <w:rFonts w:hint="cs"/>
          <w:rtl/>
        </w:rPr>
        <w:t>ה</w:t>
      </w:r>
      <w:r w:rsidRPr="002F2BC5">
        <w:rPr>
          <w:rtl/>
        </w:rPr>
        <w:t>דרום ו</w:t>
      </w:r>
      <w:r w:rsidRPr="002F2BC5">
        <w:rPr>
          <w:rFonts w:hint="cs"/>
          <w:rtl/>
        </w:rPr>
        <w:t>ה</w:t>
      </w:r>
      <w:r w:rsidRPr="002F2BC5">
        <w:rPr>
          <w:rtl/>
        </w:rPr>
        <w:t xml:space="preserve">צפון בשנים 2022 ו-2023 עלה </w:t>
      </w:r>
      <w:r w:rsidRPr="002F2BC5">
        <w:rPr>
          <w:rFonts w:hint="cs"/>
          <w:rtl/>
        </w:rPr>
        <w:t xml:space="preserve">(מ-84 ל-98 במחוז הצפון ומ-56 ל-83 במחוז הדרום), </w:t>
      </w:r>
      <w:r w:rsidRPr="002F2BC5">
        <w:rPr>
          <w:rtl/>
        </w:rPr>
        <w:t xml:space="preserve">אך מספר </w:t>
      </w:r>
      <w:r w:rsidRPr="002F2BC5">
        <w:rPr>
          <w:rFonts w:hint="cs"/>
          <w:rtl/>
        </w:rPr>
        <w:t>הקבוצות</w:t>
      </w:r>
      <w:r w:rsidRPr="002F2BC5">
        <w:rPr>
          <w:rtl/>
        </w:rPr>
        <w:t xml:space="preserve"> נותר ללא שינוי</w:t>
      </w:r>
      <w:r w:rsidRPr="002F2BC5">
        <w:rPr>
          <w:rFonts w:hint="cs"/>
          <w:rtl/>
        </w:rPr>
        <w:t xml:space="preserve"> (שמונה וארבע קבוצות, בהתאמה, בכל אחת מהשנים הללו). לכך יש להוסיף כי בשנת 2023 היחס בין מספר המטופלים למספר הקבוצות היה גבוה ביחס לשנים קודמות (327 מטופלים ל-23 קבוצות, שהם בממוצע 14 מטופלים לקבוצה טיפולית אחת), והוא היה גם גבוה ביחס למספר המטופלים המרבי שהיו אמורים להשתלב בקבוצה טיפולית (עד 12 מטופלים). ריכוז הנתונים על ממוצע מספר המטופלים למספר הקבוצות הטיפוליות שהפעיל שירות המבחן בשנים 2020 - אוגוסט 2024, בחלוקה למחוזות משרד הרווחה, מוצג ב</w:t>
      </w:r>
      <w:r w:rsidRPr="002F2BC5">
        <w:rPr>
          <w:rtl/>
        </w:rPr>
        <w:fldChar w:fldCharType="begin"/>
      </w:r>
      <w:r w:rsidRPr="002F2BC5">
        <w:rPr>
          <w:rtl/>
        </w:rPr>
        <w:instrText xml:space="preserve"> </w:instrText>
      </w:r>
      <w:r w:rsidRPr="002F2BC5">
        <w:instrText>REF</w:instrText>
      </w:r>
      <w:r w:rsidRPr="002F2BC5">
        <w:rPr>
          <w:rtl/>
        </w:rPr>
        <w:instrText xml:space="preserve"> _</w:instrText>
      </w:r>
      <w:r w:rsidRPr="002F2BC5">
        <w:instrText>Ref187136499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לוח 21</w:t>
      </w:r>
      <w:r w:rsidRPr="002F2BC5">
        <w:rPr>
          <w:rtl/>
        </w:rPr>
        <w:fldChar w:fldCharType="end"/>
      </w:r>
      <w:r w:rsidRPr="002F2BC5">
        <w:rPr>
          <w:rFonts w:hint="cs"/>
          <w:rtl/>
        </w:rPr>
        <w:t xml:space="preserve"> שלהלן.</w:t>
      </w:r>
    </w:p>
    <w:p w14:paraId="63274706" w14:textId="77777777" w:rsidR="00817399" w:rsidRPr="002F2BC5" w:rsidRDefault="00817399" w:rsidP="00817399">
      <w:pPr>
        <w:spacing w:line="269" w:lineRule="auto"/>
        <w:rPr>
          <w:rtl/>
        </w:rPr>
      </w:pPr>
    </w:p>
    <w:p w14:paraId="74DCA9F6" w14:textId="77777777" w:rsidR="00817399" w:rsidRPr="002F2BC5" w:rsidRDefault="00817399" w:rsidP="00817399">
      <w:pPr>
        <w:pStyle w:val="a0"/>
        <w:spacing w:line="269" w:lineRule="auto"/>
        <w:rPr>
          <w:rtl/>
        </w:rPr>
      </w:pPr>
      <w:bookmarkStart w:id="2212" w:name="_Ref187136499"/>
      <w:bookmarkStart w:id="2213" w:name="_Toc192674066"/>
      <w:r w:rsidRPr="002F2BC5">
        <w:rPr>
          <w:rFonts w:hint="cs"/>
          <w:b w:val="0"/>
          <w:bCs w:val="0"/>
          <w:rtl/>
        </w:rPr>
        <w:t>:</w:t>
      </w:r>
      <w:bookmarkEnd w:id="2212"/>
      <w:r w:rsidRPr="002F2BC5">
        <w:rPr>
          <w:rFonts w:hint="cs"/>
          <w:rtl/>
        </w:rPr>
        <w:t xml:space="preserve"> ממוצע מספר המטופלים למספר הקבוצות הטיפוליות שהפעיל שירות המבחן בחלוקה למחוזות משרד הרווחה, 2020 - אוגוסט 2024</w:t>
      </w:r>
      <w:bookmarkEnd w:id="2213"/>
    </w:p>
    <w:p w14:paraId="50713B13" w14:textId="77777777" w:rsidR="00817399" w:rsidRPr="002F2BC5" w:rsidRDefault="00817399" w:rsidP="00817399">
      <w:pPr>
        <w:pStyle w:val="afffffff4"/>
        <w:bidi/>
        <w:spacing w:before="0" w:after="0" w:line="269" w:lineRule="auto"/>
        <w:rPr>
          <w:rtl/>
        </w:rPr>
      </w:pPr>
      <w:r w:rsidRPr="002F2BC5">
        <w:rPr>
          <w:noProof/>
        </w:rPr>
        <w:drawing>
          <wp:inline distT="0" distB="0" distL="0" distR="0" wp14:anchorId="25D363FD" wp14:editId="39AFA6AB">
            <wp:extent cx="3600000" cy="1367442"/>
            <wp:effectExtent l="0" t="0" r="635" b="4445"/>
            <wp:docPr id="114" name="תמונה 11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0" name=""/>
                    <pic:cNvPicPr/>
                  </pic:nvPicPr>
                  <pic:blipFill>
                    <a:blip r:embed="rId71"/>
                    <a:stretch>
                      <a:fillRect/>
                    </a:stretch>
                  </pic:blipFill>
                  <pic:spPr>
                    <a:xfrm>
                      <a:off x="0" y="0"/>
                      <a:ext cx="3600000" cy="1367442"/>
                    </a:xfrm>
                    <a:prstGeom prst="rect">
                      <a:avLst/>
                    </a:prstGeom>
                  </pic:spPr>
                </pic:pic>
              </a:graphicData>
            </a:graphic>
          </wp:inline>
        </w:drawing>
      </w:r>
      <w:r w:rsidRPr="002F2BC5" w:rsidDel="00927F65">
        <w:t xml:space="preserve"> </w:t>
      </w:r>
    </w:p>
    <w:p w14:paraId="22F439B8" w14:textId="77777777" w:rsidR="00817399" w:rsidRPr="002F2BC5" w:rsidRDefault="00817399" w:rsidP="00817399">
      <w:pPr>
        <w:pStyle w:val="afffffff1"/>
        <w:bidi/>
        <w:spacing w:line="269" w:lineRule="auto"/>
        <w:rPr>
          <w:rtl/>
        </w:rPr>
      </w:pPr>
      <w:r w:rsidRPr="002F2BC5">
        <w:rPr>
          <w:rFonts w:hint="cs"/>
          <w:rtl/>
        </w:rPr>
        <w:t>לפי נתוני שירות המבחן לשנים 2020 - אוגוסט 2024, בעיבוד משרד מבקר המדינה.</w:t>
      </w:r>
    </w:p>
    <w:p w14:paraId="0E571E50" w14:textId="77777777" w:rsidR="00817399" w:rsidRPr="002F2BC5" w:rsidRDefault="00817399" w:rsidP="00817399">
      <w:pPr>
        <w:spacing w:line="269" w:lineRule="auto"/>
        <w:rPr>
          <w:rtl/>
        </w:rPr>
      </w:pPr>
    </w:p>
    <w:p w14:paraId="3F32AE11" w14:textId="77777777" w:rsidR="00817399" w:rsidRPr="002F2BC5" w:rsidRDefault="00817399" w:rsidP="00817399">
      <w:pPr>
        <w:spacing w:line="269" w:lineRule="auto"/>
        <w:rPr>
          <w:b/>
          <w:bCs/>
          <w:rtl/>
        </w:rPr>
      </w:pPr>
      <w:r w:rsidRPr="002F2BC5">
        <w:rPr>
          <w:rFonts w:hint="eastAsia"/>
          <w:b/>
          <w:bCs/>
          <w:rtl/>
        </w:rPr>
        <w:t>ביקורת</w:t>
      </w:r>
      <w:r w:rsidRPr="002F2BC5">
        <w:rPr>
          <w:b/>
          <w:bCs/>
          <w:rtl/>
        </w:rPr>
        <w:t xml:space="preserve"> </w:t>
      </w:r>
      <w:r w:rsidRPr="002F2BC5">
        <w:rPr>
          <w:rFonts w:hint="eastAsia"/>
          <w:b/>
          <w:bCs/>
          <w:rtl/>
        </w:rPr>
        <w:t>המעקב</w:t>
      </w:r>
      <w:r w:rsidRPr="002F2BC5">
        <w:rPr>
          <w:b/>
          <w:bCs/>
          <w:rtl/>
        </w:rPr>
        <w:t xml:space="preserve"> </w:t>
      </w:r>
      <w:r w:rsidRPr="002F2BC5">
        <w:rPr>
          <w:rFonts w:hint="eastAsia"/>
          <w:b/>
          <w:bCs/>
          <w:rtl/>
        </w:rPr>
        <w:t>העלתה</w:t>
      </w:r>
      <w:r w:rsidRPr="002F2BC5">
        <w:rPr>
          <w:b/>
          <w:bCs/>
          <w:rtl/>
        </w:rPr>
        <w:t xml:space="preserve"> </w:t>
      </w:r>
      <w:r w:rsidRPr="002F2BC5">
        <w:rPr>
          <w:rFonts w:hint="eastAsia"/>
          <w:b/>
          <w:bCs/>
          <w:rtl/>
        </w:rPr>
        <w:t>עוד</w:t>
      </w:r>
      <w:r w:rsidRPr="002F2BC5">
        <w:rPr>
          <w:b/>
          <w:bCs/>
          <w:rtl/>
        </w:rPr>
        <w:t xml:space="preserve"> כי שיעורם של המופנים לבתי נועם שלא על ידי שירות </w:t>
      </w:r>
      <w:r w:rsidRPr="002F2BC5">
        <w:rPr>
          <w:rFonts w:hint="cs"/>
          <w:b/>
          <w:bCs/>
          <w:rtl/>
        </w:rPr>
        <w:t>המבחן</w:t>
      </w:r>
      <w:r w:rsidRPr="002F2BC5">
        <w:rPr>
          <w:b/>
          <w:bCs/>
          <w:rtl/>
        </w:rPr>
        <w:t xml:space="preserve"> נותר מזערי: מתוך 37</w:t>
      </w:r>
      <w:r w:rsidRPr="002F2BC5">
        <w:rPr>
          <w:rFonts w:hint="cs"/>
          <w:b/>
          <w:bCs/>
          <w:rtl/>
        </w:rPr>
        <w:t>5</w:t>
      </w:r>
      <w:r w:rsidRPr="002F2BC5">
        <w:rPr>
          <w:b/>
          <w:bCs/>
          <w:rtl/>
        </w:rPr>
        <w:t xml:space="preserve"> מופנים לבתי נועם בשנים 2022 - 2023, כ-3% בלבד (10 מתוך 37</w:t>
      </w:r>
      <w:r w:rsidRPr="002F2BC5">
        <w:rPr>
          <w:rFonts w:hint="cs"/>
          <w:b/>
          <w:bCs/>
          <w:rtl/>
        </w:rPr>
        <w:t>5</w:t>
      </w:r>
      <w:r w:rsidRPr="002F2BC5">
        <w:rPr>
          <w:b/>
          <w:bCs/>
          <w:rtl/>
        </w:rPr>
        <w:t>) הופנו שלא על ידי שירות המבחן אלא על ידי המרכזים לטיפול ומניעת אלימות במשפחה</w:t>
      </w:r>
      <w:r w:rsidRPr="002F2BC5">
        <w:rPr>
          <w:rFonts w:hint="cs"/>
          <w:b/>
          <w:bCs/>
          <w:rtl/>
        </w:rPr>
        <w:t xml:space="preserve"> או</w:t>
      </w:r>
      <w:r w:rsidRPr="002F2BC5">
        <w:rPr>
          <w:b/>
          <w:bCs/>
          <w:rtl/>
        </w:rPr>
        <w:t xml:space="preserve"> הרשות לשיקום האסיר.</w:t>
      </w:r>
    </w:p>
    <w:p w14:paraId="164C9533" w14:textId="77777777" w:rsidR="00817399" w:rsidRPr="002F2BC5" w:rsidRDefault="00817399" w:rsidP="00817399">
      <w:pPr>
        <w:spacing w:line="269" w:lineRule="auto"/>
        <w:rPr>
          <w:rtl/>
        </w:rPr>
      </w:pPr>
    </w:p>
    <w:p w14:paraId="130482E6" w14:textId="77777777" w:rsidR="00817399" w:rsidRPr="002F2BC5" w:rsidRDefault="00817399" w:rsidP="00817399">
      <w:pPr>
        <w:pStyle w:val="afffffff9"/>
        <w:spacing w:line="269" w:lineRule="auto"/>
        <w:rPr>
          <w:rtl/>
        </w:rPr>
      </w:pPr>
      <w:bookmarkStart w:id="2214" w:name="_Toc191987184"/>
      <w:bookmarkStart w:id="2215" w:name="_Toc192093199"/>
      <w:bookmarkStart w:id="2216" w:name="_Toc192612907"/>
      <w:bookmarkStart w:id="2217" w:name="_Toc198312356"/>
      <w:bookmarkStart w:id="2218" w:name="_Toc198312841"/>
      <w:bookmarkStart w:id="2219" w:name="_Toc200636996"/>
      <w:bookmarkStart w:id="2220" w:name="_Toc200439994"/>
      <w:bookmarkStart w:id="2221" w:name="_Toc201241099"/>
      <w:r w:rsidRPr="002F2BC5">
        <w:rPr>
          <w:rtl/>
        </w:rPr>
        <w:t>הביקורת הקודמת העלתה כי מבין כלל עוברי החוק בתחום האלימות במשפחה שהופנו לשירות המבחן לצורך עריכת תסקירים בשנים 2015 - 2019, כ-13% בלבד השתלבו בתוכניות שיקום של שירות המבחן (1,823 מתוך 13,905)</w:t>
      </w:r>
      <w:r w:rsidRPr="002F2BC5">
        <w:rPr>
          <w:rFonts w:hint="cs"/>
          <w:rtl/>
        </w:rPr>
        <w:t xml:space="preserve">. </w:t>
      </w:r>
      <w:r w:rsidRPr="002F2BC5">
        <w:rPr>
          <w:rtl/>
        </w:rPr>
        <w:t xml:space="preserve">בקרב המטופלים ששולבו בטיפול בבתי נועם בשנים 2017 - 2019, שיעורם של המטופלים הלא-יהודים (כ-13% מהם) היה נמוך משיעורם מכלל המופנים לתסקיר שירות המבחן (כ-30% - 34% מכלל ההפניות בשנים אלו). עוד הועלה כי </w:t>
      </w:r>
      <w:r w:rsidRPr="002F2BC5">
        <w:rPr>
          <w:rFonts w:hint="eastAsia"/>
          <w:rtl/>
        </w:rPr>
        <w:t>כ</w:t>
      </w:r>
      <w:r w:rsidRPr="002F2BC5">
        <w:rPr>
          <w:rtl/>
        </w:rPr>
        <w:t xml:space="preserve">-5% בלבד מקרב המטופלים בבתי נועם הופנו על ידי גורמים שאינם שירות המבחן </w:t>
      </w:r>
      <w:r w:rsidRPr="002F2BC5">
        <w:rPr>
          <w:rFonts w:hint="cs"/>
          <w:rtl/>
        </w:rPr>
        <w:t xml:space="preserve">- </w:t>
      </w:r>
      <w:r w:rsidRPr="002F2BC5">
        <w:rPr>
          <w:rtl/>
        </w:rPr>
        <w:t>בשנת 2019 היו שתי הפניות בלבד לבתי נועם מהמרכזים ולא היו כלל הפניות אליהם מהרשות לשיקום האסיר, בשנת 2018 היו</w:t>
      </w:r>
      <w:r w:rsidRPr="002F2BC5">
        <w:rPr>
          <w:rFonts w:hint="cs"/>
          <w:rtl/>
        </w:rPr>
        <w:t xml:space="preserve"> </w:t>
      </w:r>
      <w:r w:rsidRPr="002F2BC5">
        <w:rPr>
          <w:rtl/>
        </w:rPr>
        <w:t>ארבע הפניות מהמרכזים ושלוש הפניות נוספות מהרשות</w:t>
      </w:r>
      <w:r w:rsidRPr="002F2BC5">
        <w:rPr>
          <w:rFonts w:hint="cs"/>
          <w:rtl/>
        </w:rPr>
        <w:t xml:space="preserve"> </w:t>
      </w:r>
      <w:r w:rsidRPr="002F2BC5">
        <w:rPr>
          <w:rtl/>
        </w:rPr>
        <w:t>לשיקום האסיר, ובשנת 2017 היו שלוש הפניות מהמרכזים ושתי הפניות מהרשות לשיקום האסיר</w:t>
      </w:r>
      <w:r w:rsidRPr="002F2BC5">
        <w:rPr>
          <w:rFonts w:hint="cs"/>
          <w:rtl/>
        </w:rPr>
        <w:t xml:space="preserve">. זאת </w:t>
      </w:r>
      <w:r w:rsidRPr="002F2BC5">
        <w:rPr>
          <w:rtl/>
        </w:rPr>
        <w:t xml:space="preserve">אף כי בתי נועם אמורים לקבל לטיפול גם מטופלים שהופנו על ידי גורמים אחרים, ובהם המרכזים לטיפול ומניעת אלימות במשפחה והרשות לשיקום האסיר. </w:t>
      </w:r>
      <w:r w:rsidRPr="002F2BC5">
        <w:rPr>
          <w:rFonts w:hint="eastAsia"/>
          <w:rtl/>
        </w:rPr>
        <w:t>יתרה</w:t>
      </w:r>
      <w:r w:rsidRPr="002F2BC5">
        <w:rPr>
          <w:rtl/>
        </w:rPr>
        <w:t xml:space="preserve"> מזו, </w:t>
      </w:r>
      <w:r w:rsidRPr="002F2BC5">
        <w:rPr>
          <w:rFonts w:hint="eastAsia"/>
          <w:rtl/>
        </w:rPr>
        <w:t>על</w:t>
      </w:r>
      <w:r w:rsidRPr="002F2BC5">
        <w:rPr>
          <w:rtl/>
        </w:rPr>
        <w:t xml:space="preserve"> אף הגידול במספר המשתתפים בקבוצות הטיפוליות בשנים 2015 - 2019 (גידול של כ-26%), </w:t>
      </w:r>
      <w:r w:rsidRPr="002F2BC5">
        <w:rPr>
          <w:rFonts w:hint="cs"/>
          <w:rtl/>
        </w:rPr>
        <w:t xml:space="preserve">הועלה כי </w:t>
      </w:r>
      <w:r w:rsidRPr="002F2BC5">
        <w:rPr>
          <w:rFonts w:hint="eastAsia"/>
          <w:rtl/>
        </w:rPr>
        <w:t>שירות</w:t>
      </w:r>
      <w:r w:rsidRPr="002F2BC5">
        <w:rPr>
          <w:rtl/>
        </w:rPr>
        <w:t xml:space="preserve"> המבחן </w:t>
      </w:r>
      <w:r w:rsidRPr="002F2BC5">
        <w:rPr>
          <w:rFonts w:hint="cs"/>
          <w:rtl/>
        </w:rPr>
        <w:t xml:space="preserve">פתח </w:t>
      </w:r>
      <w:r w:rsidRPr="002F2BC5">
        <w:rPr>
          <w:rFonts w:hint="eastAsia"/>
          <w:rtl/>
        </w:rPr>
        <w:t>בשנת</w:t>
      </w:r>
      <w:r w:rsidRPr="002F2BC5">
        <w:rPr>
          <w:rtl/>
        </w:rPr>
        <w:t xml:space="preserve"> 2019 </w:t>
      </w:r>
      <w:r w:rsidRPr="002F2BC5">
        <w:rPr>
          <w:rFonts w:hint="eastAsia"/>
          <w:rtl/>
        </w:rPr>
        <w:t>רק</w:t>
      </w:r>
      <w:r w:rsidRPr="002F2BC5">
        <w:rPr>
          <w:rtl/>
        </w:rPr>
        <w:t xml:space="preserve"> </w:t>
      </w:r>
      <w:r w:rsidRPr="002F2BC5">
        <w:rPr>
          <w:rFonts w:hint="eastAsia"/>
          <w:rtl/>
        </w:rPr>
        <w:t>קבוצת</w:t>
      </w:r>
      <w:r w:rsidRPr="002F2BC5">
        <w:rPr>
          <w:rtl/>
        </w:rPr>
        <w:t xml:space="preserve"> </w:t>
      </w:r>
      <w:r w:rsidRPr="002F2BC5">
        <w:rPr>
          <w:rFonts w:hint="eastAsia"/>
          <w:rtl/>
        </w:rPr>
        <w:t>טיפול</w:t>
      </w:r>
      <w:r w:rsidRPr="002F2BC5">
        <w:rPr>
          <w:rtl/>
        </w:rPr>
        <w:t xml:space="preserve"> </w:t>
      </w:r>
      <w:r w:rsidRPr="002F2BC5">
        <w:rPr>
          <w:rFonts w:hint="eastAsia"/>
          <w:rtl/>
        </w:rPr>
        <w:t>נוספת</w:t>
      </w:r>
      <w:r w:rsidRPr="002F2BC5">
        <w:rPr>
          <w:rtl/>
        </w:rPr>
        <w:t xml:space="preserve"> </w:t>
      </w:r>
      <w:r w:rsidRPr="002F2BC5">
        <w:rPr>
          <w:rFonts w:hint="eastAsia"/>
          <w:rtl/>
        </w:rPr>
        <w:t>אחת</w:t>
      </w:r>
      <w:r w:rsidRPr="002F2BC5">
        <w:rPr>
          <w:rtl/>
        </w:rPr>
        <w:t>.</w:t>
      </w:r>
      <w:r w:rsidRPr="002F2BC5">
        <w:rPr>
          <w:rFonts w:hint="cs"/>
          <w:rtl/>
        </w:rPr>
        <w:t xml:space="preserve"> </w:t>
      </w:r>
      <w:r w:rsidRPr="002F2BC5">
        <w:rPr>
          <w:rFonts w:hint="eastAsia"/>
          <w:rtl/>
        </w:rPr>
        <w:t>בביקורת</w:t>
      </w:r>
      <w:r w:rsidRPr="002F2BC5">
        <w:rPr>
          <w:rtl/>
        </w:rPr>
        <w:t xml:space="preserve"> המעקב </w:t>
      </w:r>
      <w:r w:rsidRPr="002F2BC5">
        <w:rPr>
          <w:rFonts w:hint="eastAsia"/>
          <w:rtl/>
        </w:rPr>
        <w:t>הועלה</w:t>
      </w:r>
      <w:r w:rsidRPr="002F2BC5">
        <w:rPr>
          <w:rtl/>
        </w:rPr>
        <w:t xml:space="preserve"> כי הליקוי תוקן במידה מועטה. </w:t>
      </w:r>
      <w:r w:rsidRPr="002F2BC5">
        <w:rPr>
          <w:rFonts w:hint="cs"/>
          <w:rtl/>
        </w:rPr>
        <w:t>בשנים 2022 - 2023 שיעורם של עוברי החוק בתחום האלימות הזוגית, שהופנו לתסקיר שירות המבחן ושולבו בתוכניות שיקום של שירות המבחן מתוך כלל המופנים לתסקיר שירות המבחן, נותר נמוך (כ-18%). כך גם נותר נמוך שיעורם של עוברי החוק הלא-יהודים ששולבו בבתי נועם (כ-17%) בהשוואה לשיעורם מכלל המופנים לתסקיר שירות המבחן (כ-</w:t>
      </w:r>
      <w:r w:rsidRPr="002F2BC5">
        <w:rPr>
          <w:rtl/>
        </w:rPr>
        <w:t>32%),</w:t>
      </w:r>
      <w:r w:rsidRPr="002F2BC5">
        <w:rPr>
          <w:rFonts w:hint="cs"/>
          <w:rtl/>
        </w:rPr>
        <w:t xml:space="preserve"> וכן נותר נמוך שיעורם של המופנים לבתי נועם שלא על ידי שירות המבחן (כ-3%). עוד נמצא כי למול גידול במספר המטופלים ששולבו בקבוצות הטיפוליות של שירות המבחן בשנת 2023 לא גדל בהתאמה מספר הקבוצות שהופעלו בשנה זו.</w:t>
      </w:r>
      <w:bookmarkEnd w:id="2214"/>
      <w:bookmarkEnd w:id="2215"/>
      <w:bookmarkEnd w:id="2216"/>
      <w:bookmarkEnd w:id="2217"/>
      <w:bookmarkEnd w:id="2218"/>
      <w:bookmarkEnd w:id="2219"/>
      <w:bookmarkEnd w:id="2220"/>
      <w:bookmarkEnd w:id="2221"/>
    </w:p>
    <w:p w14:paraId="2F1E5BF7" w14:textId="77777777" w:rsidR="00817399" w:rsidRPr="002F2BC5" w:rsidRDefault="00817399" w:rsidP="00817399">
      <w:pPr>
        <w:pStyle w:val="afffffffa"/>
        <w:spacing w:line="269" w:lineRule="auto"/>
        <w:rPr>
          <w:rtl/>
        </w:rPr>
      </w:pPr>
      <w:bookmarkStart w:id="2222" w:name="_Toc191987185"/>
      <w:bookmarkStart w:id="2223" w:name="_Toc192093200"/>
      <w:bookmarkStart w:id="2224" w:name="_Toc192612908"/>
      <w:bookmarkStart w:id="2225" w:name="_Toc198312357"/>
      <w:bookmarkStart w:id="2226" w:name="_Toc198312842"/>
      <w:bookmarkStart w:id="2227" w:name="_Toc200636997"/>
      <w:bookmarkStart w:id="2228" w:name="_Toc200439995"/>
      <w:bookmarkStart w:id="2229" w:name="_Toc201241100"/>
      <w:r w:rsidRPr="002F2BC5">
        <w:rPr>
          <w:rFonts w:hint="cs"/>
          <w:rtl/>
        </w:rPr>
        <w:lastRenderedPageBreak/>
        <w:t>מומלץ למשרד הרווחה לפעול בהקדם להשלמת הקמתו של הבית הטיפולי הנוסף בצפון כדי להרחיב את המענים הקיימים עבור גברים אלימים ואת האפשרות להפנות למסגרות אלו עוברי חוק באמצעות שירות המבחן ומערכת אכיפת החוק, כמו גם באמצעות המרכזים לטיפול ומניעת אלימות במשפחה והרשות לשיקום האסיר. בתוך כך מומלץ לפעול להתאמת המענים הקיימים לעוברי חוק לא-יהודים בתחום האלימות הזוגית. עוד מומלץ למשרד הרווחה לקיים בחינה עיתית ושיטתית של הגידול במספר המטופלים בקבוצות הטיפוליות למול הגידול במספר הקבוצות, ובהתאם לכך את הצורך בפתיחת קבוצות טיפוליות נוספות במחוזותיו השונים. זאת בפרט גם לנוכח הגידול העתידי הצפוי בהיקף תופעת האלימות במשפחה על רקע מלחמת חרבות ברזל.</w:t>
      </w:r>
      <w:bookmarkEnd w:id="2222"/>
      <w:bookmarkEnd w:id="2223"/>
      <w:bookmarkEnd w:id="2224"/>
      <w:bookmarkEnd w:id="2225"/>
      <w:bookmarkEnd w:id="2226"/>
      <w:bookmarkEnd w:id="2227"/>
      <w:bookmarkEnd w:id="2228"/>
      <w:bookmarkEnd w:id="2229"/>
    </w:p>
    <w:p w14:paraId="3ABAE53A" w14:textId="77777777" w:rsidR="00817399" w:rsidRPr="002F2BC5" w:rsidRDefault="00817399" w:rsidP="00817399">
      <w:pPr>
        <w:spacing w:line="269" w:lineRule="auto"/>
        <w:rPr>
          <w:rtl/>
        </w:rPr>
      </w:pPr>
    </w:p>
    <w:p w14:paraId="2EF8BB63"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7398C39" w14:textId="77777777" w:rsidR="00817399" w:rsidRPr="002F2BC5" w:rsidRDefault="00817399" w:rsidP="00817399">
      <w:pPr>
        <w:pStyle w:val="afffffff7"/>
        <w:spacing w:before="0" w:line="269" w:lineRule="auto"/>
      </w:pPr>
      <w:bookmarkStart w:id="2230" w:name="_Toc198312358"/>
      <w:bookmarkStart w:id="2231" w:name="_Toc198312843"/>
      <w:bookmarkStart w:id="2232" w:name="_Toc189072295"/>
      <w:r w:rsidRPr="002F2BC5">
        <w:rPr>
          <w:noProof/>
        </w:rPr>
        <w:drawing>
          <wp:inline distT="0" distB="0" distL="0" distR="0" wp14:anchorId="2299CC15" wp14:editId="013712EE">
            <wp:extent cx="4324350" cy="933450"/>
            <wp:effectExtent l="0" t="0" r="0" b="0"/>
            <wp:docPr id="54"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230"/>
      <w:bookmarkEnd w:id="2231"/>
    </w:p>
    <w:bookmarkEnd w:id="2232"/>
    <w:p w14:paraId="15C53695" w14:textId="77777777" w:rsidR="00817399" w:rsidRPr="002F2BC5" w:rsidRDefault="00817399" w:rsidP="00817399">
      <w:pPr>
        <w:spacing w:line="269" w:lineRule="auto"/>
        <w:rPr>
          <w:rtl/>
        </w:rPr>
      </w:pPr>
    </w:p>
    <w:p w14:paraId="49CBBDBB" w14:textId="77777777" w:rsidR="00817399" w:rsidRPr="002F2BC5" w:rsidRDefault="00817399" w:rsidP="00817399">
      <w:pPr>
        <w:pStyle w:val="2f2"/>
        <w:rPr>
          <w:rtl/>
        </w:rPr>
      </w:pPr>
      <w:bookmarkStart w:id="2233" w:name="_Hlk192072015"/>
      <w:r w:rsidRPr="002F2BC5">
        <w:rPr>
          <w:rFonts w:hint="cs"/>
          <w:rtl/>
        </w:rPr>
        <w:t>שיעורי הנשירה מטיפול בשירות המבחן</w:t>
      </w:r>
    </w:p>
    <w:bookmarkEnd w:id="2233"/>
    <w:p w14:paraId="283A9357" w14:textId="77777777" w:rsidR="00817399" w:rsidRPr="002F2BC5" w:rsidRDefault="00817399" w:rsidP="00817399">
      <w:pPr>
        <w:spacing w:line="269" w:lineRule="auto"/>
        <w:rPr>
          <w:rtl/>
        </w:rPr>
      </w:pPr>
    </w:p>
    <w:p w14:paraId="6A33335D" w14:textId="77777777" w:rsidR="00817399" w:rsidRPr="002F2BC5" w:rsidRDefault="00817399" w:rsidP="00817399">
      <w:pPr>
        <w:spacing w:line="269" w:lineRule="auto"/>
        <w:rPr>
          <w:rtl/>
        </w:rPr>
      </w:pPr>
      <w:bookmarkStart w:id="2234" w:name="_Toc191987186"/>
      <w:r w:rsidRPr="002F2BC5">
        <w:rPr>
          <w:rStyle w:val="70"/>
          <w:rFonts w:hint="cs"/>
          <w:rtl/>
        </w:rPr>
        <w:t>הביקורת הקודמת:</w:t>
      </w:r>
      <w:bookmarkEnd w:id="2234"/>
      <w:r w:rsidRPr="002F2BC5">
        <w:rPr>
          <w:rStyle w:val="70"/>
          <w:rFonts w:hint="cs"/>
          <w:rtl/>
        </w:rPr>
        <w:t xml:space="preserve"> </w:t>
      </w:r>
      <w:r w:rsidRPr="002F2BC5">
        <w:rPr>
          <w:rFonts w:hint="cs"/>
          <w:rtl/>
        </w:rPr>
        <w:t>נמצא כי בשנים 2015 - 2019 נשרו מטיפול כשליש מהמטופלים בבית נועם שבמרכז הארץ ובבית נועם שבדרום הארץ נשרו כ-83% מהמטופלים. על אף הקושי של גברים אלימים להתמיד בטיפול והחשיבות הנגזרת מכך בכל הקשור למעקב אחר שיעורי הנשירה מטיפול</w:t>
      </w:r>
      <w:r w:rsidRPr="002F2BC5">
        <w:rPr>
          <w:rStyle w:val="af9"/>
          <w:rtl/>
        </w:rPr>
        <w:footnoteReference w:id="440"/>
      </w:r>
      <w:r w:rsidRPr="002F2BC5">
        <w:rPr>
          <w:rFonts w:hint="cs"/>
          <w:rtl/>
        </w:rPr>
        <w:t xml:space="preserve">, הועלה כי שירות המבחן אינו מחזיק בנתונים על שיעורי הנשירה מטיפול בקבוצות הטיפוליות. </w:t>
      </w:r>
    </w:p>
    <w:p w14:paraId="494670EB" w14:textId="77777777" w:rsidR="00817399" w:rsidRPr="002F2BC5" w:rsidRDefault="00817399" w:rsidP="00817399">
      <w:pPr>
        <w:spacing w:line="269" w:lineRule="auto"/>
        <w:rPr>
          <w:rtl/>
        </w:rPr>
      </w:pPr>
    </w:p>
    <w:p w14:paraId="2E66C40F"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לפעול</w:t>
      </w:r>
      <w:r w:rsidRPr="002F2BC5">
        <w:rPr>
          <w:rtl/>
        </w:rPr>
        <w:t xml:space="preserve"> </w:t>
      </w:r>
      <w:r w:rsidRPr="002F2BC5">
        <w:rPr>
          <w:rFonts w:hint="eastAsia"/>
          <w:rtl/>
        </w:rPr>
        <w:t>לאיסוף</w:t>
      </w:r>
      <w:r w:rsidRPr="002F2BC5">
        <w:rPr>
          <w:rtl/>
        </w:rPr>
        <w:t xml:space="preserve"> </w:t>
      </w:r>
      <w:r w:rsidRPr="002F2BC5">
        <w:rPr>
          <w:rFonts w:hint="eastAsia"/>
          <w:rtl/>
        </w:rPr>
        <w:t>נתונים</w:t>
      </w:r>
      <w:r w:rsidRPr="002F2BC5">
        <w:rPr>
          <w:rtl/>
        </w:rPr>
        <w:t xml:space="preserve"> </w:t>
      </w:r>
      <w:r w:rsidRPr="002F2BC5">
        <w:rPr>
          <w:rFonts w:hint="cs"/>
          <w:rtl/>
        </w:rPr>
        <w:t>על היקף הנשירה מהמסגרות והשירותים שהוא מפעיל עבור גברים אלימים ועל הגורמים לנשירה</w:t>
      </w:r>
      <w:r w:rsidRPr="002F2BC5">
        <w:rPr>
          <w:rtl/>
        </w:rPr>
        <w:t>.</w:t>
      </w:r>
    </w:p>
    <w:p w14:paraId="377C4160" w14:textId="77777777" w:rsidR="00817399" w:rsidRPr="002F2BC5" w:rsidRDefault="00817399" w:rsidP="00817399">
      <w:pPr>
        <w:spacing w:line="269" w:lineRule="auto"/>
        <w:rPr>
          <w:rtl/>
        </w:rPr>
      </w:pPr>
    </w:p>
    <w:p w14:paraId="34E4D61E" w14:textId="77777777" w:rsidR="00817399" w:rsidRPr="002F2BC5" w:rsidRDefault="00817399" w:rsidP="00817399">
      <w:pPr>
        <w:spacing w:line="269" w:lineRule="auto"/>
        <w:rPr>
          <w:rtl/>
        </w:rPr>
      </w:pPr>
      <w:r w:rsidRPr="002F2BC5">
        <w:rPr>
          <w:rFonts w:hint="eastAsia"/>
          <w:rtl/>
        </w:rPr>
        <w:t>משרד</w:t>
      </w:r>
      <w:r w:rsidRPr="002F2BC5">
        <w:rPr>
          <w:rtl/>
        </w:rPr>
        <w:t xml:space="preserve"> הרווחה מסר בתשובתו </w:t>
      </w:r>
      <w:r w:rsidRPr="002F2BC5">
        <w:rPr>
          <w:rFonts w:hint="cs"/>
          <w:rtl/>
        </w:rPr>
        <w:t>לביקורת הקודמת</w:t>
      </w:r>
      <w:r w:rsidRPr="002F2BC5">
        <w:rPr>
          <w:rtl/>
        </w:rPr>
        <w:t xml:space="preserve"> </w:t>
      </w:r>
      <w:r w:rsidRPr="002F2BC5">
        <w:rPr>
          <w:rFonts w:hint="cs"/>
          <w:rtl/>
        </w:rPr>
        <w:t xml:space="preserve">מפברואר 2021 </w:t>
      </w:r>
      <w:r w:rsidRPr="002F2BC5">
        <w:rPr>
          <w:rtl/>
        </w:rPr>
        <w:t xml:space="preserve">כי </w:t>
      </w:r>
      <w:r w:rsidRPr="002F2BC5">
        <w:rPr>
          <w:rFonts w:hint="eastAsia"/>
          <w:rtl/>
        </w:rPr>
        <w:t>הטיפול</w:t>
      </w:r>
      <w:r w:rsidRPr="002F2BC5">
        <w:rPr>
          <w:rtl/>
        </w:rPr>
        <w:t xml:space="preserve"> </w:t>
      </w:r>
      <w:r w:rsidRPr="002F2BC5">
        <w:rPr>
          <w:rFonts w:hint="eastAsia"/>
          <w:rtl/>
        </w:rPr>
        <w:t>בבתי</w:t>
      </w:r>
      <w:r w:rsidRPr="002F2BC5">
        <w:rPr>
          <w:rtl/>
        </w:rPr>
        <w:t xml:space="preserve"> </w:t>
      </w:r>
      <w:r w:rsidRPr="002F2BC5">
        <w:rPr>
          <w:rFonts w:hint="eastAsia"/>
          <w:rtl/>
        </w:rPr>
        <w:t>נועם</w:t>
      </w:r>
      <w:r w:rsidRPr="002F2BC5">
        <w:rPr>
          <w:rtl/>
        </w:rPr>
        <w:t xml:space="preserve"> </w:t>
      </w:r>
      <w:r w:rsidRPr="002F2BC5">
        <w:rPr>
          <w:rFonts w:hint="eastAsia"/>
          <w:rtl/>
        </w:rPr>
        <w:t>דורש</w:t>
      </w:r>
      <w:r w:rsidRPr="002F2BC5">
        <w:rPr>
          <w:rtl/>
        </w:rPr>
        <w:t xml:space="preserve"> מהמטופלים </w:t>
      </w:r>
      <w:r w:rsidRPr="002F2BC5">
        <w:rPr>
          <w:rFonts w:hint="cs"/>
          <w:rtl/>
        </w:rPr>
        <w:t xml:space="preserve">עמידה בתוכנית טיפולית קשיחה וסדורה וכן </w:t>
      </w:r>
      <w:r w:rsidRPr="002F2BC5">
        <w:rPr>
          <w:rFonts w:hint="eastAsia"/>
          <w:rtl/>
        </w:rPr>
        <w:t>השקעה</w:t>
      </w:r>
      <w:r w:rsidRPr="002F2BC5">
        <w:rPr>
          <w:rtl/>
        </w:rPr>
        <w:t xml:space="preserve"> </w:t>
      </w:r>
      <w:r w:rsidRPr="002F2BC5">
        <w:rPr>
          <w:rFonts w:hint="eastAsia"/>
          <w:rtl/>
        </w:rPr>
        <w:t>רגשית</w:t>
      </w:r>
      <w:r w:rsidRPr="002F2BC5">
        <w:rPr>
          <w:rtl/>
        </w:rPr>
        <w:t xml:space="preserve"> </w:t>
      </w:r>
      <w:r w:rsidRPr="002F2BC5">
        <w:rPr>
          <w:rFonts w:hint="eastAsia"/>
          <w:rtl/>
        </w:rPr>
        <w:t>ותפקודית</w:t>
      </w:r>
      <w:r w:rsidRPr="002F2BC5">
        <w:rPr>
          <w:rtl/>
        </w:rPr>
        <w:t xml:space="preserve">. </w:t>
      </w:r>
      <w:r w:rsidRPr="002F2BC5">
        <w:rPr>
          <w:rFonts w:hint="cs"/>
          <w:rtl/>
        </w:rPr>
        <w:t>אשר</w:t>
      </w:r>
      <w:r w:rsidRPr="002F2BC5">
        <w:rPr>
          <w:rtl/>
        </w:rPr>
        <w:t xml:space="preserve"> </w:t>
      </w:r>
      <w:r w:rsidRPr="002F2BC5">
        <w:rPr>
          <w:rFonts w:hint="eastAsia"/>
          <w:rtl/>
        </w:rPr>
        <w:t>לשיעור</w:t>
      </w:r>
      <w:r w:rsidRPr="002F2BC5">
        <w:rPr>
          <w:rtl/>
        </w:rPr>
        <w:t xml:space="preserve"> </w:t>
      </w:r>
      <w:r w:rsidRPr="002F2BC5">
        <w:rPr>
          <w:rFonts w:hint="eastAsia"/>
          <w:rtl/>
        </w:rPr>
        <w:t>הנשירה</w:t>
      </w:r>
      <w:r w:rsidRPr="002F2BC5">
        <w:rPr>
          <w:rtl/>
        </w:rPr>
        <w:t xml:space="preserve"> </w:t>
      </w:r>
      <w:r w:rsidRPr="002F2BC5">
        <w:rPr>
          <w:rFonts w:hint="eastAsia"/>
          <w:rtl/>
        </w:rPr>
        <w:t>מ</w:t>
      </w:r>
      <w:r w:rsidRPr="002F2BC5">
        <w:rPr>
          <w:rtl/>
        </w:rPr>
        <w:t xml:space="preserve">בית נועם </w:t>
      </w:r>
      <w:r w:rsidRPr="002F2BC5">
        <w:rPr>
          <w:rFonts w:hint="eastAsia"/>
          <w:rtl/>
        </w:rPr>
        <w:t>ש</w:t>
      </w:r>
      <w:r w:rsidRPr="002F2BC5">
        <w:rPr>
          <w:rtl/>
        </w:rPr>
        <w:t xml:space="preserve">בדרום </w:t>
      </w:r>
      <w:r w:rsidRPr="002F2BC5">
        <w:rPr>
          <w:rFonts w:hint="cs"/>
          <w:rtl/>
        </w:rPr>
        <w:t>מסר</w:t>
      </w:r>
      <w:r w:rsidRPr="002F2BC5">
        <w:rPr>
          <w:rtl/>
        </w:rPr>
        <w:t xml:space="preserve"> כי </w:t>
      </w:r>
      <w:r w:rsidRPr="002F2BC5">
        <w:rPr>
          <w:rFonts w:hint="cs"/>
          <w:rtl/>
        </w:rPr>
        <w:t>מסגרת זו שהחלה לפעול בשנת 2019 מצויה</w:t>
      </w:r>
      <w:r w:rsidRPr="002F2BC5">
        <w:rPr>
          <w:rtl/>
        </w:rPr>
        <w:t xml:space="preserve"> בתהליך הקמה</w:t>
      </w:r>
      <w:r w:rsidRPr="002F2BC5">
        <w:rPr>
          <w:rFonts w:hint="cs"/>
          <w:rtl/>
        </w:rPr>
        <w:t>, ועם ההתקדמות בשלבי האכלוס של המסגרת היקף הנשירה הולך ופוחת</w:t>
      </w:r>
      <w:r w:rsidRPr="002F2BC5">
        <w:rPr>
          <w:rtl/>
        </w:rPr>
        <w:t>.</w:t>
      </w:r>
    </w:p>
    <w:p w14:paraId="49F7195C" w14:textId="77777777" w:rsidR="00817399" w:rsidRPr="002F2BC5" w:rsidRDefault="00817399" w:rsidP="00817399">
      <w:pPr>
        <w:spacing w:line="269" w:lineRule="auto"/>
        <w:rPr>
          <w:rtl/>
        </w:rPr>
      </w:pPr>
    </w:p>
    <w:p w14:paraId="2794BDCF" w14:textId="77777777" w:rsidR="00817399" w:rsidRPr="002F2BC5" w:rsidRDefault="00817399" w:rsidP="00817399">
      <w:pPr>
        <w:spacing w:line="269" w:lineRule="auto"/>
        <w:rPr>
          <w:rtl/>
        </w:rPr>
      </w:pPr>
      <w:bookmarkStart w:id="2235" w:name="_Toc191987187"/>
      <w:r w:rsidRPr="002F2BC5">
        <w:rPr>
          <w:rStyle w:val="70"/>
          <w:rFonts w:hint="cs"/>
          <w:rtl/>
        </w:rPr>
        <w:t>ביקורת המעקב:</w:t>
      </w:r>
      <w:bookmarkEnd w:id="2235"/>
      <w:r w:rsidRPr="002F2BC5">
        <w:rPr>
          <w:rStyle w:val="70"/>
          <w:rFonts w:hint="cs"/>
          <w:rtl/>
        </w:rPr>
        <w:t xml:space="preserve"> </w:t>
      </w:r>
      <w:r w:rsidRPr="002F2BC5">
        <w:rPr>
          <w:rFonts w:hint="cs"/>
          <w:rtl/>
        </w:rPr>
        <w:t>בשנים 2022 - 2023 היה שיעור הנשירה הממוצע מבית נועם במחוז המרכז כ-19% (38 נושרים מתוך 198 מטופלים בשנים אלו), ואילו בבית נועם במחוז הדרום היה שיעור הנשירה גבוה יותר ועמד על כ-36% (64 נושרים מתוך 177 מטופלים). בממוצע עמד שיעור הנשירה מבתי נועם בשנים הללו על כ-27% (102 נושרים מתוך 375 מטופלים).</w:t>
      </w:r>
    </w:p>
    <w:p w14:paraId="10426A72" w14:textId="77777777" w:rsidR="00817399" w:rsidRPr="002F2BC5" w:rsidRDefault="00817399" w:rsidP="00817399">
      <w:pPr>
        <w:spacing w:line="269" w:lineRule="auto"/>
        <w:rPr>
          <w:rtl/>
        </w:rPr>
      </w:pPr>
    </w:p>
    <w:p w14:paraId="5EFA4C63" w14:textId="77777777" w:rsidR="00817399" w:rsidRPr="002F2BC5" w:rsidRDefault="00817399" w:rsidP="00817399">
      <w:pPr>
        <w:spacing w:line="269" w:lineRule="auto"/>
        <w:rPr>
          <w:rtl/>
        </w:rPr>
      </w:pPr>
      <w:r w:rsidRPr="002F2BC5">
        <w:rPr>
          <w:rFonts w:hint="cs"/>
          <w:rtl/>
        </w:rPr>
        <w:t xml:space="preserve">אשר לשיעור הנשירה מטיפול בקבוצות הטיפוליות בתחום האלימות הזוגית, לפי נתוני שירות המבחן שיעור זה עומד על </w:t>
      </w:r>
      <w:r w:rsidRPr="002F2BC5">
        <w:rPr>
          <w:rtl/>
        </w:rPr>
        <w:t>כ-33%</w:t>
      </w:r>
      <w:r w:rsidRPr="002F2BC5">
        <w:rPr>
          <w:rFonts w:hint="cs"/>
          <w:rtl/>
        </w:rPr>
        <w:t>, והוא נוגע לא רק לנשירה יזומה של המטופל, לדוגמה בשל אי- עמידה בתנאי הטיפול, אלא גם לנסיבות שבהן השתתפותו של המטופל מופסקת שלא ביוזמתו (בשל אי-התאמה או בשל מתן גזר דין שאינו מקבל את המלצת שירות המבחן להליך שיקומי)</w:t>
      </w:r>
      <w:r w:rsidRPr="002F2BC5">
        <w:rPr>
          <w:rtl/>
        </w:rPr>
        <w:t>.</w:t>
      </w:r>
    </w:p>
    <w:p w14:paraId="43515BEA" w14:textId="77777777" w:rsidR="00817399" w:rsidRPr="002F2BC5" w:rsidRDefault="00817399" w:rsidP="00817399">
      <w:pPr>
        <w:spacing w:line="269" w:lineRule="auto"/>
        <w:rPr>
          <w:rtl/>
        </w:rPr>
      </w:pPr>
    </w:p>
    <w:p w14:paraId="233FF3B4" w14:textId="77777777" w:rsidR="00817399" w:rsidRPr="002F2BC5" w:rsidRDefault="00817399" w:rsidP="00817399">
      <w:pPr>
        <w:pStyle w:val="afffffff9"/>
        <w:spacing w:line="269" w:lineRule="auto"/>
        <w:rPr>
          <w:rtl/>
        </w:rPr>
      </w:pPr>
      <w:bookmarkStart w:id="2236" w:name="_Toc191987188"/>
      <w:bookmarkStart w:id="2237" w:name="_Toc192093201"/>
      <w:bookmarkStart w:id="2238" w:name="_Toc192612909"/>
      <w:bookmarkStart w:id="2239" w:name="_Toc198312359"/>
      <w:bookmarkStart w:id="2240" w:name="_Toc198312844"/>
      <w:bookmarkStart w:id="2241" w:name="_Toc200636998"/>
      <w:bookmarkStart w:id="2242" w:name="_Toc200439996"/>
      <w:bookmarkStart w:id="2243" w:name="_Toc201241101"/>
      <w:r w:rsidRPr="002F2BC5">
        <w:rPr>
          <w:rFonts w:hint="cs"/>
          <w:rtl/>
        </w:rPr>
        <w:t xml:space="preserve">הביקורת הקודמת העלתה </w:t>
      </w:r>
      <w:r w:rsidRPr="002F2BC5">
        <w:rPr>
          <w:rFonts w:hint="eastAsia"/>
          <w:rtl/>
        </w:rPr>
        <w:t>כי</w:t>
      </w:r>
      <w:r w:rsidRPr="002F2BC5">
        <w:rPr>
          <w:rtl/>
        </w:rPr>
        <w:t xml:space="preserve"> </w:t>
      </w:r>
      <w:r w:rsidRPr="002F2BC5">
        <w:rPr>
          <w:rFonts w:hint="eastAsia"/>
          <w:rtl/>
        </w:rPr>
        <w:t>בשנים</w:t>
      </w:r>
      <w:r w:rsidRPr="002F2BC5">
        <w:rPr>
          <w:rtl/>
        </w:rPr>
        <w:t xml:space="preserve"> 2015 - 2019 </w:t>
      </w:r>
      <w:r w:rsidRPr="002F2BC5">
        <w:rPr>
          <w:rFonts w:hint="eastAsia"/>
          <w:rtl/>
        </w:rPr>
        <w:t>נשרו</w:t>
      </w:r>
      <w:r w:rsidRPr="002F2BC5">
        <w:rPr>
          <w:rtl/>
        </w:rPr>
        <w:t xml:space="preserve"> </w:t>
      </w:r>
      <w:r w:rsidRPr="002F2BC5">
        <w:rPr>
          <w:rFonts w:hint="eastAsia"/>
          <w:rtl/>
        </w:rPr>
        <w:t>מטיפול</w:t>
      </w:r>
      <w:r w:rsidRPr="002F2BC5">
        <w:rPr>
          <w:rtl/>
        </w:rPr>
        <w:t xml:space="preserve"> </w:t>
      </w:r>
      <w:r w:rsidRPr="002F2BC5">
        <w:rPr>
          <w:rFonts w:hint="eastAsia"/>
          <w:rtl/>
        </w:rPr>
        <w:t>כשליש</w:t>
      </w:r>
      <w:r w:rsidRPr="002F2BC5">
        <w:rPr>
          <w:rtl/>
        </w:rPr>
        <w:t xml:space="preserve"> </w:t>
      </w:r>
      <w:r w:rsidRPr="002F2BC5">
        <w:rPr>
          <w:rFonts w:hint="eastAsia"/>
          <w:rtl/>
        </w:rPr>
        <w:t>מהמטופלים</w:t>
      </w:r>
      <w:r w:rsidRPr="002F2BC5">
        <w:rPr>
          <w:rtl/>
        </w:rPr>
        <w:t xml:space="preserve"> </w:t>
      </w:r>
      <w:r w:rsidRPr="002F2BC5">
        <w:rPr>
          <w:rFonts w:hint="eastAsia"/>
          <w:rtl/>
        </w:rPr>
        <w:t>בבית</w:t>
      </w:r>
      <w:r w:rsidRPr="002F2BC5">
        <w:rPr>
          <w:rtl/>
        </w:rPr>
        <w:t xml:space="preserve"> </w:t>
      </w:r>
      <w:r w:rsidRPr="002F2BC5">
        <w:rPr>
          <w:rFonts w:hint="eastAsia"/>
          <w:rtl/>
        </w:rPr>
        <w:t>נועם</w:t>
      </w:r>
      <w:r w:rsidRPr="002F2BC5">
        <w:rPr>
          <w:rtl/>
        </w:rPr>
        <w:t xml:space="preserve"> </w:t>
      </w:r>
      <w:r w:rsidRPr="002F2BC5">
        <w:rPr>
          <w:rFonts w:hint="eastAsia"/>
          <w:rtl/>
        </w:rPr>
        <w:t>שבמרכז</w:t>
      </w:r>
      <w:r w:rsidRPr="002F2BC5">
        <w:rPr>
          <w:rtl/>
        </w:rPr>
        <w:t xml:space="preserve"> </w:t>
      </w:r>
      <w:r w:rsidRPr="002F2BC5">
        <w:rPr>
          <w:rFonts w:hint="eastAsia"/>
          <w:rtl/>
        </w:rPr>
        <w:t>הארץ</w:t>
      </w:r>
      <w:r w:rsidRPr="002F2BC5">
        <w:rPr>
          <w:rtl/>
        </w:rPr>
        <w:t xml:space="preserve"> </w:t>
      </w:r>
      <w:r w:rsidRPr="002F2BC5">
        <w:rPr>
          <w:rFonts w:hint="eastAsia"/>
          <w:rtl/>
        </w:rPr>
        <w:t>ובבית</w:t>
      </w:r>
      <w:r w:rsidRPr="002F2BC5">
        <w:rPr>
          <w:rtl/>
        </w:rPr>
        <w:t xml:space="preserve"> </w:t>
      </w:r>
      <w:r w:rsidRPr="002F2BC5">
        <w:rPr>
          <w:rFonts w:hint="eastAsia"/>
          <w:rtl/>
        </w:rPr>
        <w:t>נועם</w:t>
      </w:r>
      <w:r w:rsidRPr="002F2BC5">
        <w:rPr>
          <w:rtl/>
        </w:rPr>
        <w:t xml:space="preserve"> </w:t>
      </w:r>
      <w:r w:rsidRPr="002F2BC5">
        <w:rPr>
          <w:rFonts w:hint="eastAsia"/>
          <w:rtl/>
        </w:rPr>
        <w:t>שבדרום</w:t>
      </w:r>
      <w:r w:rsidRPr="002F2BC5">
        <w:rPr>
          <w:rtl/>
        </w:rPr>
        <w:t xml:space="preserve"> </w:t>
      </w:r>
      <w:r w:rsidRPr="002F2BC5">
        <w:rPr>
          <w:rFonts w:hint="eastAsia"/>
          <w:rtl/>
        </w:rPr>
        <w:t>הארץ</w:t>
      </w:r>
      <w:r w:rsidRPr="002F2BC5">
        <w:rPr>
          <w:rtl/>
        </w:rPr>
        <w:t xml:space="preserve"> </w:t>
      </w:r>
      <w:r w:rsidRPr="002F2BC5">
        <w:rPr>
          <w:rFonts w:hint="eastAsia"/>
          <w:rtl/>
        </w:rPr>
        <w:t>נשרו</w:t>
      </w:r>
      <w:r w:rsidRPr="002F2BC5">
        <w:rPr>
          <w:rtl/>
        </w:rPr>
        <w:t xml:space="preserve"> </w:t>
      </w:r>
      <w:r w:rsidRPr="002F2BC5">
        <w:rPr>
          <w:rFonts w:hint="eastAsia"/>
          <w:rtl/>
        </w:rPr>
        <w:t>כ</w:t>
      </w:r>
      <w:r w:rsidRPr="002F2BC5">
        <w:rPr>
          <w:rtl/>
        </w:rPr>
        <w:t xml:space="preserve">-83% </w:t>
      </w:r>
      <w:r w:rsidRPr="002F2BC5">
        <w:rPr>
          <w:rFonts w:hint="eastAsia"/>
          <w:rtl/>
        </w:rPr>
        <w:t>מהמטופלים</w:t>
      </w:r>
      <w:r w:rsidRPr="002F2BC5">
        <w:rPr>
          <w:rtl/>
        </w:rPr>
        <w:t xml:space="preserve">. </w:t>
      </w:r>
      <w:r w:rsidRPr="002F2BC5">
        <w:rPr>
          <w:rFonts w:hint="eastAsia"/>
          <w:rtl/>
        </w:rPr>
        <w:t>על</w:t>
      </w:r>
      <w:r w:rsidRPr="002F2BC5">
        <w:rPr>
          <w:rtl/>
        </w:rPr>
        <w:t xml:space="preserve"> </w:t>
      </w:r>
      <w:r w:rsidRPr="002F2BC5">
        <w:rPr>
          <w:rFonts w:hint="eastAsia"/>
          <w:rtl/>
        </w:rPr>
        <w:t>אף</w:t>
      </w:r>
      <w:r w:rsidRPr="002F2BC5">
        <w:rPr>
          <w:rtl/>
        </w:rPr>
        <w:t xml:space="preserve"> </w:t>
      </w:r>
      <w:r w:rsidRPr="002F2BC5">
        <w:rPr>
          <w:rFonts w:hint="eastAsia"/>
          <w:rtl/>
        </w:rPr>
        <w:t>הקושי</w:t>
      </w:r>
      <w:r w:rsidRPr="002F2BC5">
        <w:rPr>
          <w:rtl/>
        </w:rPr>
        <w:t xml:space="preserve"> </w:t>
      </w:r>
      <w:r w:rsidRPr="002F2BC5">
        <w:rPr>
          <w:rFonts w:hint="eastAsia"/>
          <w:rtl/>
        </w:rPr>
        <w:t>של</w:t>
      </w:r>
      <w:r w:rsidRPr="002F2BC5">
        <w:rPr>
          <w:rtl/>
        </w:rPr>
        <w:t xml:space="preserve"> </w:t>
      </w:r>
      <w:r w:rsidRPr="002F2BC5">
        <w:rPr>
          <w:rFonts w:hint="eastAsia"/>
          <w:rtl/>
        </w:rPr>
        <w:t>גברים</w:t>
      </w:r>
      <w:r w:rsidRPr="002F2BC5">
        <w:rPr>
          <w:rtl/>
        </w:rPr>
        <w:t xml:space="preserve"> </w:t>
      </w:r>
      <w:r w:rsidRPr="002F2BC5">
        <w:rPr>
          <w:rFonts w:hint="eastAsia"/>
          <w:rtl/>
        </w:rPr>
        <w:t>אלימים</w:t>
      </w:r>
      <w:r w:rsidRPr="002F2BC5">
        <w:rPr>
          <w:rtl/>
        </w:rPr>
        <w:t xml:space="preserve"> </w:t>
      </w:r>
      <w:r w:rsidRPr="002F2BC5">
        <w:rPr>
          <w:rFonts w:hint="eastAsia"/>
          <w:rtl/>
        </w:rPr>
        <w:t>להתמיד</w:t>
      </w:r>
      <w:r w:rsidRPr="002F2BC5">
        <w:rPr>
          <w:rtl/>
        </w:rPr>
        <w:t xml:space="preserve"> </w:t>
      </w:r>
      <w:r w:rsidRPr="002F2BC5">
        <w:rPr>
          <w:rFonts w:hint="eastAsia"/>
          <w:rtl/>
        </w:rPr>
        <w:t>בטיפול</w:t>
      </w:r>
      <w:r w:rsidRPr="002F2BC5">
        <w:rPr>
          <w:rtl/>
        </w:rPr>
        <w:t xml:space="preserve"> </w:t>
      </w:r>
      <w:r w:rsidRPr="002F2BC5">
        <w:rPr>
          <w:rFonts w:hint="eastAsia"/>
          <w:rtl/>
        </w:rPr>
        <w:t>והחשיבות</w:t>
      </w:r>
      <w:r w:rsidRPr="002F2BC5">
        <w:rPr>
          <w:rtl/>
        </w:rPr>
        <w:t xml:space="preserve"> </w:t>
      </w:r>
      <w:r w:rsidRPr="002F2BC5">
        <w:rPr>
          <w:rFonts w:hint="cs"/>
          <w:rtl/>
        </w:rPr>
        <w:t>הנגזרת מכך</w:t>
      </w:r>
      <w:r w:rsidRPr="002F2BC5">
        <w:rPr>
          <w:rtl/>
        </w:rPr>
        <w:t xml:space="preserve"> </w:t>
      </w:r>
      <w:r w:rsidRPr="002F2BC5">
        <w:rPr>
          <w:rFonts w:hint="eastAsia"/>
          <w:rtl/>
        </w:rPr>
        <w:t>בכל</w:t>
      </w:r>
      <w:r w:rsidRPr="002F2BC5">
        <w:rPr>
          <w:rtl/>
        </w:rPr>
        <w:t xml:space="preserve"> </w:t>
      </w:r>
      <w:r w:rsidRPr="002F2BC5">
        <w:rPr>
          <w:rFonts w:hint="eastAsia"/>
          <w:rtl/>
        </w:rPr>
        <w:t>הקשור</w:t>
      </w:r>
      <w:r w:rsidRPr="002F2BC5">
        <w:rPr>
          <w:rtl/>
        </w:rPr>
        <w:t xml:space="preserve"> </w:t>
      </w:r>
      <w:r w:rsidRPr="002F2BC5">
        <w:rPr>
          <w:rFonts w:hint="eastAsia"/>
          <w:rtl/>
        </w:rPr>
        <w:t>למעקב</w:t>
      </w:r>
      <w:r w:rsidRPr="002F2BC5">
        <w:rPr>
          <w:rtl/>
        </w:rPr>
        <w:t xml:space="preserve"> </w:t>
      </w:r>
      <w:r w:rsidRPr="002F2BC5">
        <w:rPr>
          <w:rFonts w:hint="eastAsia"/>
          <w:rtl/>
        </w:rPr>
        <w:t>אחר</w:t>
      </w:r>
      <w:r w:rsidRPr="002F2BC5">
        <w:rPr>
          <w:rtl/>
        </w:rPr>
        <w:t xml:space="preserve"> </w:t>
      </w:r>
      <w:r w:rsidRPr="002F2BC5">
        <w:rPr>
          <w:rFonts w:hint="eastAsia"/>
          <w:rtl/>
        </w:rPr>
        <w:t>שיעורי</w:t>
      </w:r>
      <w:r w:rsidRPr="002F2BC5">
        <w:rPr>
          <w:rtl/>
        </w:rPr>
        <w:t xml:space="preserve"> </w:t>
      </w:r>
      <w:r w:rsidRPr="002F2BC5">
        <w:rPr>
          <w:rFonts w:hint="eastAsia"/>
          <w:rtl/>
        </w:rPr>
        <w:t>הנשירה</w:t>
      </w:r>
      <w:r w:rsidRPr="002F2BC5">
        <w:rPr>
          <w:rtl/>
        </w:rPr>
        <w:t xml:space="preserve"> </w:t>
      </w:r>
      <w:r w:rsidRPr="002F2BC5">
        <w:rPr>
          <w:rFonts w:hint="eastAsia"/>
          <w:rtl/>
        </w:rPr>
        <w:t>מטיפול</w:t>
      </w:r>
      <w:r w:rsidRPr="002F2BC5">
        <w:rPr>
          <w:rtl/>
        </w:rPr>
        <w:t xml:space="preserve">,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שירות</w:t>
      </w:r>
      <w:r w:rsidRPr="002F2BC5">
        <w:rPr>
          <w:rtl/>
        </w:rPr>
        <w:t xml:space="preserve"> </w:t>
      </w:r>
      <w:r w:rsidRPr="002F2BC5">
        <w:rPr>
          <w:rFonts w:hint="eastAsia"/>
          <w:rtl/>
        </w:rPr>
        <w:t>המבחן</w:t>
      </w:r>
      <w:r w:rsidRPr="002F2BC5">
        <w:rPr>
          <w:rtl/>
        </w:rPr>
        <w:t xml:space="preserve"> </w:t>
      </w:r>
      <w:r w:rsidRPr="002F2BC5">
        <w:rPr>
          <w:rFonts w:hint="eastAsia"/>
          <w:rtl/>
        </w:rPr>
        <w:t>אינו</w:t>
      </w:r>
      <w:r w:rsidRPr="002F2BC5">
        <w:rPr>
          <w:rtl/>
        </w:rPr>
        <w:t xml:space="preserve"> </w:t>
      </w:r>
      <w:r w:rsidRPr="002F2BC5">
        <w:rPr>
          <w:rFonts w:hint="eastAsia"/>
          <w:rtl/>
        </w:rPr>
        <w:t>מחזיק</w:t>
      </w:r>
      <w:r w:rsidRPr="002F2BC5">
        <w:rPr>
          <w:rtl/>
        </w:rPr>
        <w:t xml:space="preserve"> </w:t>
      </w:r>
      <w:r w:rsidRPr="002F2BC5">
        <w:rPr>
          <w:rFonts w:hint="eastAsia"/>
          <w:rtl/>
        </w:rPr>
        <w:t>בנתונים</w:t>
      </w:r>
      <w:r w:rsidRPr="002F2BC5">
        <w:rPr>
          <w:rtl/>
        </w:rPr>
        <w:t xml:space="preserve"> </w:t>
      </w:r>
      <w:r w:rsidRPr="002F2BC5">
        <w:rPr>
          <w:rFonts w:hint="eastAsia"/>
          <w:rtl/>
        </w:rPr>
        <w:t>על</w:t>
      </w:r>
      <w:r w:rsidRPr="002F2BC5">
        <w:rPr>
          <w:rtl/>
        </w:rPr>
        <w:t xml:space="preserve"> </w:t>
      </w:r>
      <w:r w:rsidRPr="002F2BC5">
        <w:rPr>
          <w:rFonts w:hint="eastAsia"/>
          <w:rtl/>
        </w:rPr>
        <w:t>שיעורי</w:t>
      </w:r>
      <w:r w:rsidRPr="002F2BC5">
        <w:rPr>
          <w:rtl/>
        </w:rPr>
        <w:t xml:space="preserve"> </w:t>
      </w:r>
      <w:r w:rsidRPr="002F2BC5">
        <w:rPr>
          <w:rFonts w:hint="eastAsia"/>
          <w:rtl/>
        </w:rPr>
        <w:t>הנשירה</w:t>
      </w:r>
      <w:r w:rsidRPr="002F2BC5">
        <w:rPr>
          <w:rtl/>
        </w:rPr>
        <w:t xml:space="preserve"> </w:t>
      </w:r>
      <w:r w:rsidRPr="002F2BC5">
        <w:rPr>
          <w:rFonts w:hint="eastAsia"/>
          <w:rtl/>
        </w:rPr>
        <w:t>מטיפול</w:t>
      </w:r>
      <w:r w:rsidRPr="002F2BC5">
        <w:rPr>
          <w:rtl/>
        </w:rPr>
        <w:t xml:space="preserve"> </w:t>
      </w:r>
      <w:r w:rsidRPr="002F2BC5">
        <w:rPr>
          <w:rFonts w:hint="eastAsia"/>
          <w:rtl/>
        </w:rPr>
        <w:t>בקבוצות</w:t>
      </w:r>
      <w:r w:rsidRPr="002F2BC5">
        <w:rPr>
          <w:rtl/>
        </w:rPr>
        <w:t xml:space="preserve"> </w:t>
      </w:r>
      <w:r w:rsidRPr="002F2BC5">
        <w:rPr>
          <w:rFonts w:hint="eastAsia"/>
          <w:rtl/>
        </w:rPr>
        <w:lastRenderedPageBreak/>
        <w:t>הטיפוליות</w:t>
      </w:r>
      <w:r w:rsidRPr="002F2BC5">
        <w:rPr>
          <w:rtl/>
        </w:rPr>
        <w:t>.</w:t>
      </w:r>
      <w:r w:rsidRPr="002F2BC5">
        <w:rPr>
          <w:rFonts w:hint="cs"/>
          <w:rtl/>
        </w:rPr>
        <w:t xml:space="preserve"> </w:t>
      </w:r>
      <w:r w:rsidRPr="002F2BC5">
        <w:rPr>
          <w:rFonts w:hint="eastAsia"/>
          <w:rtl/>
        </w:rPr>
        <w:t>בביקורת</w:t>
      </w:r>
      <w:r w:rsidRPr="002F2BC5">
        <w:rPr>
          <w:rtl/>
        </w:rPr>
        <w:t xml:space="preserve"> </w:t>
      </w:r>
      <w:r w:rsidRPr="002F2BC5">
        <w:rPr>
          <w:rFonts w:hint="eastAsia"/>
          <w:rtl/>
        </w:rPr>
        <w:t>המעקב</w:t>
      </w:r>
      <w:r w:rsidRPr="002F2BC5">
        <w:rPr>
          <w:rtl/>
        </w:rPr>
        <w:t xml:space="preserve">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רבה</w:t>
      </w:r>
      <w:r w:rsidRPr="002F2BC5">
        <w:rPr>
          <w:rFonts w:hint="cs"/>
          <w:rtl/>
        </w:rPr>
        <w:t xml:space="preserve"> וכי מאז הביקורת הקודמת חלה ירידה בשיעור הנשירה מבתי נועם לכ-27% בממוצע לשנים 2022 - 2023. ירידה זו ניכרת במיוחד בבית נועם שבדרום הארץ שבו עמד שיעור הנשירה הממוצע בשנים הללו על כ-36%. כמו כן הועלה כי שירות המבחן החל לאסוף נתונים על שיעורי הנשירה מטיפול בקבוצות הטיפוליות, אך לא באופן שיטתי וסדור, וכי הוא כלל נושא זה בתוכנית העבודה שלו לשנת 2025, הן מן ההיבט המקצועי והן מן ההיבט הטכנולוגי. לפי הנתונים שמסר על שיעורי הנשירה מטיפול בקבוצות הטיפוליות עולה כי שיעור זה (כ-33%) היה גבוה יותר משיעור הנשירה הממוצע מבתי נועם (כ-27%).</w:t>
      </w:r>
      <w:bookmarkEnd w:id="2236"/>
      <w:bookmarkEnd w:id="2237"/>
      <w:bookmarkEnd w:id="2238"/>
      <w:bookmarkEnd w:id="2239"/>
      <w:bookmarkEnd w:id="2240"/>
      <w:bookmarkEnd w:id="2241"/>
      <w:bookmarkEnd w:id="2242"/>
      <w:bookmarkEnd w:id="2243"/>
    </w:p>
    <w:p w14:paraId="6775161B" w14:textId="77777777" w:rsidR="00817399" w:rsidRPr="002F2BC5" w:rsidRDefault="00817399" w:rsidP="00817399">
      <w:pPr>
        <w:spacing w:line="269" w:lineRule="auto"/>
        <w:rPr>
          <w:rtl/>
        </w:rPr>
      </w:pPr>
    </w:p>
    <w:p w14:paraId="11DE0239" w14:textId="77777777" w:rsidR="00817399" w:rsidRPr="002F2BC5" w:rsidRDefault="00817399" w:rsidP="00817399">
      <w:pPr>
        <w:spacing w:line="269" w:lineRule="auto"/>
        <w:rPr>
          <w:b/>
          <w:bCs/>
          <w:rtl/>
        </w:rPr>
      </w:pPr>
      <w:r w:rsidRPr="002F2BC5">
        <w:rPr>
          <w:rFonts w:hint="cs"/>
          <w:rtl/>
        </w:rPr>
        <w:t>משרד הרווחה מסר במהלך ביקורת המעקב, בדצמבר 2024, כי אפשר להסביר את שיעור הנשירה הממוצע הגבוה יותר מטיפול בקבוצות הטיפוליות לעומת בתי נועם, בכך שמטופלים בקבוצות הטיפוליות הם בעיקר עוברי חוק לאחר מתן גזר הדין, שאז ישנה "ירידת מתח" בקרב המטופלים וצורך של ממש לרתום אותם להליך הטיפולי. בבתי נועם לעומת זאת מטופלים בעיקר עוברי חוק, ששוחררו ממעצר בתנאים מגבילים, עוד בטרם הסתיים ההליך המשפטי וניתן גזר הדין בעניינם.</w:t>
      </w:r>
    </w:p>
    <w:p w14:paraId="0D07F437" w14:textId="77777777" w:rsidR="00817399" w:rsidRPr="002F2BC5" w:rsidRDefault="00817399" w:rsidP="00817399">
      <w:pPr>
        <w:spacing w:line="269" w:lineRule="auto"/>
        <w:rPr>
          <w:rtl/>
        </w:rPr>
      </w:pPr>
    </w:p>
    <w:p w14:paraId="05309B9B" w14:textId="77777777" w:rsidR="00817399" w:rsidRPr="002F2BC5" w:rsidRDefault="00817399" w:rsidP="00817399">
      <w:pPr>
        <w:pStyle w:val="afffffffa"/>
        <w:spacing w:line="269" w:lineRule="auto"/>
        <w:rPr>
          <w:rtl/>
        </w:rPr>
      </w:pPr>
      <w:bookmarkStart w:id="2244" w:name="_Toc191987189"/>
      <w:bookmarkStart w:id="2245" w:name="_Toc192093202"/>
      <w:bookmarkStart w:id="2246" w:name="_Toc192612910"/>
      <w:bookmarkStart w:id="2247" w:name="_Toc198312360"/>
      <w:bookmarkStart w:id="2248" w:name="_Toc198312845"/>
      <w:bookmarkStart w:id="2249" w:name="_Toc200636999"/>
      <w:bookmarkStart w:id="2250" w:name="_Toc200439997"/>
      <w:bookmarkStart w:id="2251" w:name="_Toc201241102"/>
      <w:r w:rsidRPr="002F2BC5">
        <w:rPr>
          <w:rFonts w:hint="cs"/>
          <w:rtl/>
        </w:rPr>
        <w:t>מומלץ למשרד הרווחה להמשיך ולנטר באופן שיטתי וסדור את שיעורי הנשירה מהטיפול בשירות המבחן - הנשירה מהטיפול בבתים הטיפוליים, בפילוח לפי מסלולי הטיפול השונים, לצד הנשירה מהטיפול בקבוצות הטיפוליות שרמת העצימות של הטיפול בהן נמוכה יותר, וכן את הסיבות והגורמים האפשריים לנשירה. זאת כדי שיוכל לגבש תוכנית פעולה מותאמת ומושכלת להתמודדות עם שיעורי הנשירה בתוכניות השיקומיות השונות שהוא מפעיל ולפעול על פיהן כדי להביא לצמצום בשיעורי הנשירה האמורים.</w:t>
      </w:r>
      <w:bookmarkEnd w:id="2244"/>
      <w:bookmarkEnd w:id="2245"/>
      <w:bookmarkEnd w:id="2246"/>
      <w:bookmarkEnd w:id="2247"/>
      <w:bookmarkEnd w:id="2248"/>
      <w:bookmarkEnd w:id="2249"/>
      <w:bookmarkEnd w:id="2250"/>
      <w:bookmarkEnd w:id="2251"/>
      <w:r w:rsidRPr="002F2BC5">
        <w:rPr>
          <w:rFonts w:hint="cs"/>
          <w:rtl/>
        </w:rPr>
        <w:t xml:space="preserve"> </w:t>
      </w:r>
    </w:p>
    <w:p w14:paraId="34CE3092" w14:textId="77777777" w:rsidR="00817399" w:rsidRPr="002F2BC5" w:rsidRDefault="00817399" w:rsidP="00817399">
      <w:pPr>
        <w:spacing w:line="269" w:lineRule="auto"/>
        <w:rPr>
          <w:rtl/>
        </w:rPr>
      </w:pPr>
    </w:p>
    <w:p w14:paraId="652A31C5"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EC43F84" w14:textId="77777777" w:rsidR="00817399" w:rsidRPr="002F2BC5" w:rsidRDefault="00817399" w:rsidP="00817399">
      <w:pPr>
        <w:pStyle w:val="afffffff7"/>
        <w:spacing w:before="0" w:line="269" w:lineRule="auto"/>
        <w:rPr>
          <w:b/>
          <w:bCs/>
        </w:rPr>
      </w:pPr>
      <w:bookmarkStart w:id="2252" w:name="_Toc198312361"/>
      <w:bookmarkStart w:id="2253" w:name="_Toc198312846"/>
      <w:bookmarkStart w:id="2254" w:name="_Toc189072296"/>
      <w:r w:rsidRPr="002F2BC5">
        <w:rPr>
          <w:b/>
          <w:bCs/>
          <w:noProof/>
        </w:rPr>
        <w:drawing>
          <wp:inline distT="0" distB="0" distL="0" distR="0" wp14:anchorId="38DDEB02" wp14:editId="348D8E8F">
            <wp:extent cx="4324350" cy="933450"/>
            <wp:effectExtent l="0" t="0" r="0" b="0"/>
            <wp:docPr id="55"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252"/>
      <w:bookmarkEnd w:id="2253"/>
    </w:p>
    <w:bookmarkEnd w:id="2254"/>
    <w:p w14:paraId="69C56279" w14:textId="77777777" w:rsidR="00817399" w:rsidRPr="002F2BC5" w:rsidRDefault="00817399" w:rsidP="00817399">
      <w:pPr>
        <w:spacing w:line="269" w:lineRule="auto"/>
      </w:pPr>
    </w:p>
    <w:p w14:paraId="545FACA6" w14:textId="77777777" w:rsidR="00817399" w:rsidRPr="002F2BC5" w:rsidRDefault="00817399" w:rsidP="00817399">
      <w:pPr>
        <w:pStyle w:val="2f2"/>
        <w:rPr>
          <w:rtl/>
        </w:rPr>
      </w:pPr>
      <w:r w:rsidRPr="002F2BC5">
        <w:rPr>
          <w:rFonts w:hint="cs"/>
          <w:rtl/>
        </w:rPr>
        <w:t>איוש תקני כוח האדם בשירות המבחן</w:t>
      </w:r>
    </w:p>
    <w:p w14:paraId="756F3D55" w14:textId="77777777" w:rsidR="00817399" w:rsidRPr="002F2BC5" w:rsidRDefault="00817399" w:rsidP="00817399">
      <w:pPr>
        <w:spacing w:line="269" w:lineRule="auto"/>
        <w:rPr>
          <w:rtl/>
        </w:rPr>
      </w:pPr>
    </w:p>
    <w:p w14:paraId="4790EEB3" w14:textId="77777777" w:rsidR="00817399" w:rsidRPr="002F2BC5" w:rsidRDefault="00817399" w:rsidP="00817399">
      <w:pPr>
        <w:spacing w:line="269" w:lineRule="auto"/>
        <w:rPr>
          <w:rtl/>
        </w:rPr>
      </w:pPr>
      <w:bookmarkStart w:id="2255" w:name="_Toc191987190"/>
      <w:r w:rsidRPr="002F2BC5">
        <w:rPr>
          <w:rStyle w:val="70"/>
          <w:rFonts w:hint="cs"/>
          <w:rtl/>
        </w:rPr>
        <w:t>הביקורת הקודמת:</w:t>
      </w:r>
      <w:bookmarkEnd w:id="2255"/>
      <w:r w:rsidRPr="002F2BC5">
        <w:rPr>
          <w:rStyle w:val="70"/>
          <w:rFonts w:hint="cs"/>
          <w:rtl/>
        </w:rPr>
        <w:t xml:space="preserve"> </w:t>
      </w:r>
      <w:r w:rsidRPr="002F2BC5">
        <w:rPr>
          <w:rFonts w:hint="cs"/>
          <w:rtl/>
        </w:rPr>
        <w:t>נמצא כי קיימת תחלופה גבוהה בקרב קציני המבחן בשל השחיקה ועומס העבודה המוטל עליהם, וכי במחוז באר שבע יותר מרבע מהמשרות אינן מאוישות (בהשוואה לכ-15% ביתר המחוזות). כמו כן נמצא כי ברוב המחוזות לא הוקצו משרות ייעודיות לדוברי שפות שאינן עברית, וכי על אף ההיקף הנרחב יותר של תופעת האלימות הזוגית בקרב יוצאי ברית המועצות לשעבר ויוצאי אתיופיה - במחוזות ירושלים ובאר שבע לא הועסקו כלל עובדים דוברי רוסית, ובכלל המחוזות הועסקו רק שבעה עובדים דוברי אמהרית.</w:t>
      </w:r>
    </w:p>
    <w:p w14:paraId="1E221695" w14:textId="77777777" w:rsidR="00817399" w:rsidRPr="002F2BC5" w:rsidRDefault="00817399" w:rsidP="00817399">
      <w:pPr>
        <w:spacing w:line="269" w:lineRule="auto"/>
        <w:rPr>
          <w:rtl/>
        </w:rPr>
      </w:pPr>
    </w:p>
    <w:p w14:paraId="1CC90588" w14:textId="77777777" w:rsidR="00817399" w:rsidRPr="002F2BC5" w:rsidRDefault="00817399" w:rsidP="00817399">
      <w:pPr>
        <w:spacing w:line="269" w:lineRule="auto"/>
        <w:rPr>
          <w:rtl/>
        </w:rPr>
      </w:pPr>
      <w:r w:rsidRPr="002F2BC5">
        <w:rPr>
          <w:rFonts w:hint="eastAsia"/>
          <w:rtl/>
        </w:rPr>
        <w:t>משרד</w:t>
      </w:r>
      <w:r w:rsidRPr="002F2BC5">
        <w:rPr>
          <w:rtl/>
        </w:rPr>
        <w:t xml:space="preserve"> הרווחה מסר בתשובתו </w:t>
      </w:r>
      <w:r w:rsidRPr="002F2BC5">
        <w:rPr>
          <w:rFonts w:hint="cs"/>
          <w:rtl/>
        </w:rPr>
        <w:t>לביקורת הקודמת מפברואר 2021</w:t>
      </w:r>
      <w:r w:rsidRPr="002F2BC5">
        <w:rPr>
          <w:rtl/>
        </w:rPr>
        <w:t xml:space="preserve"> </w:t>
      </w:r>
      <w:r w:rsidRPr="002F2BC5">
        <w:rPr>
          <w:rFonts w:hint="eastAsia"/>
          <w:rtl/>
        </w:rPr>
        <w:t>כי</w:t>
      </w:r>
      <w:r w:rsidRPr="002F2BC5">
        <w:rPr>
          <w:rFonts w:hint="cs"/>
          <w:rtl/>
        </w:rPr>
        <w:t xml:space="preserve"> התקציב ההמשכי בשנים 2020 - 2021 על רקע מגפת הקורונה הקשה על איוש המשרות וכי הוא פועל לאיושן בכפוף למגבלות הקיימות. עוד מסר כי קיים קושי רב יותר באיוש משרות של עובדים דוברי ערבית, במיוחד במחוזות ירושלים והדרום.</w:t>
      </w:r>
    </w:p>
    <w:p w14:paraId="66E5FD1C" w14:textId="77777777" w:rsidR="00817399" w:rsidRPr="002F2BC5" w:rsidRDefault="00817399" w:rsidP="00817399">
      <w:pPr>
        <w:spacing w:line="269" w:lineRule="auto"/>
        <w:rPr>
          <w:rtl/>
        </w:rPr>
      </w:pPr>
    </w:p>
    <w:p w14:paraId="202BF8AF" w14:textId="77777777" w:rsidR="00817399" w:rsidRPr="002F2BC5" w:rsidRDefault="00817399" w:rsidP="00817399">
      <w:pPr>
        <w:spacing w:line="269" w:lineRule="auto"/>
        <w:rPr>
          <w:rtl/>
        </w:rPr>
      </w:pPr>
      <w:bookmarkStart w:id="2256" w:name="_Toc191987191"/>
      <w:r w:rsidRPr="002F2BC5">
        <w:rPr>
          <w:rStyle w:val="70"/>
          <w:rFonts w:hint="cs"/>
          <w:rtl/>
        </w:rPr>
        <w:t>ביקורת המעקב:</w:t>
      </w:r>
      <w:bookmarkEnd w:id="2256"/>
      <w:r w:rsidRPr="002F2BC5">
        <w:rPr>
          <w:rStyle w:val="70"/>
          <w:rFonts w:hint="cs"/>
          <w:rtl/>
        </w:rPr>
        <w:t xml:space="preserve"> </w:t>
      </w:r>
      <w:r w:rsidRPr="002F2BC5">
        <w:rPr>
          <w:rFonts w:hint="cs"/>
          <w:rtl/>
        </w:rPr>
        <w:t>שיעור האיוש הממוצע של תקני כוח האדם בכלל מחוזותיו של שירות המבחן (קציני מבחן בתחום המעצרים וקציני מבחן שאינם בתחום המעצרים) במועד סיום ביקורת המעקב, בדצמבר 2024, עמד על כ-75% בלבד - שיעור האיוש של תקני כוח האדם של קציני מבחן בתחום המעצרים היה כ-62% ושל קציני המבחן שלא בתחום המעצרים - כ-72%.</w:t>
      </w:r>
    </w:p>
    <w:p w14:paraId="51F01F6D" w14:textId="77777777" w:rsidR="00817399" w:rsidRPr="002F2BC5" w:rsidRDefault="00817399" w:rsidP="00817399">
      <w:pPr>
        <w:spacing w:line="269" w:lineRule="auto"/>
        <w:rPr>
          <w:rtl/>
        </w:rPr>
      </w:pPr>
    </w:p>
    <w:p w14:paraId="03F267E0" w14:textId="77777777" w:rsidR="00817399" w:rsidRPr="002F2BC5" w:rsidRDefault="00817399" w:rsidP="00817399">
      <w:pPr>
        <w:pStyle w:val="afffffff9"/>
        <w:spacing w:line="269" w:lineRule="auto"/>
        <w:rPr>
          <w:rtl/>
        </w:rPr>
      </w:pPr>
      <w:bookmarkStart w:id="2257" w:name="_Toc191987192"/>
      <w:bookmarkStart w:id="2258" w:name="_Toc192093203"/>
      <w:bookmarkStart w:id="2259" w:name="_Toc192612911"/>
      <w:bookmarkStart w:id="2260" w:name="_Toc198312362"/>
      <w:bookmarkStart w:id="2261" w:name="_Toc198312847"/>
      <w:bookmarkStart w:id="2262" w:name="_Toc200637000"/>
      <w:bookmarkStart w:id="2263" w:name="_Toc200439998"/>
      <w:bookmarkStart w:id="2264" w:name="_Toc201241103"/>
      <w:r w:rsidRPr="002F2BC5">
        <w:rPr>
          <w:rtl/>
        </w:rPr>
        <w:lastRenderedPageBreak/>
        <w:t>הביקורת הקודמת העלתה כי קיימת תחלופה גבוהה בקרב קציני המבחן, וכי במחוז באר שבע יותר מרבע מהמשרות אינן מאוישות (בהשוואה לכ-15% ביתר המחוזות).</w:t>
      </w:r>
      <w:r w:rsidRPr="002F2BC5">
        <w:rPr>
          <w:rFonts w:hint="cs"/>
          <w:rtl/>
        </w:rPr>
        <w:t xml:space="preserve"> בביקורת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לא</w:t>
      </w:r>
      <w:r w:rsidRPr="002F2BC5">
        <w:rPr>
          <w:rtl/>
        </w:rPr>
        <w:t xml:space="preserve"> </w:t>
      </w:r>
      <w:r w:rsidRPr="002F2BC5">
        <w:rPr>
          <w:rFonts w:hint="eastAsia"/>
          <w:rtl/>
        </w:rPr>
        <w:t>תוקן</w:t>
      </w:r>
      <w:r w:rsidRPr="002F2BC5">
        <w:rPr>
          <w:rtl/>
        </w:rPr>
        <w:t>.</w:t>
      </w:r>
      <w:r w:rsidRPr="002F2BC5">
        <w:rPr>
          <w:rFonts w:hint="cs"/>
          <w:rtl/>
        </w:rPr>
        <w:t xml:space="preserve"> שיעור האיוש הממוצע של תקני כוח האדם בשירות המבחן במועד סיום ביקורת המעקב, בדצמבר 2024, נותר נמוך (כ-75%) והקושי באיוש המשרות נותר בעינו. במצב דברים זה גובר עומס העבודה המוטל על קציני המבחן על כלל המשמעויות הנלוות לכך, לרבות האפשרות כי עצורים שקיימת עבורם חלופת מעצר מתאימה, ימשיכו לשהות במעצר אך ורק בשל עיכוב בהכנת תסקיר שירות המבחן בעניינם</w:t>
      </w:r>
      <w:r w:rsidRPr="002F2BC5">
        <w:rPr>
          <w:rStyle w:val="af9"/>
          <w:b w:val="0"/>
          <w:bCs w:val="0"/>
          <w:rtl/>
        </w:rPr>
        <w:footnoteReference w:id="441"/>
      </w:r>
      <w:r w:rsidRPr="002F2BC5">
        <w:rPr>
          <w:rFonts w:hint="cs"/>
          <w:rtl/>
        </w:rPr>
        <w:t>.</w:t>
      </w:r>
      <w:bookmarkEnd w:id="2257"/>
      <w:bookmarkEnd w:id="2258"/>
      <w:bookmarkEnd w:id="2259"/>
      <w:bookmarkEnd w:id="2260"/>
      <w:bookmarkEnd w:id="2261"/>
      <w:bookmarkEnd w:id="2262"/>
      <w:bookmarkEnd w:id="2263"/>
      <w:bookmarkEnd w:id="2264"/>
    </w:p>
    <w:p w14:paraId="0587B699" w14:textId="77777777" w:rsidR="00817399" w:rsidRPr="002F2BC5" w:rsidRDefault="00817399" w:rsidP="00817399">
      <w:pPr>
        <w:spacing w:line="269" w:lineRule="auto"/>
        <w:rPr>
          <w:rtl/>
        </w:rPr>
      </w:pPr>
    </w:p>
    <w:p w14:paraId="4274C43A" w14:textId="77777777" w:rsidR="00817399" w:rsidRPr="002F2BC5" w:rsidRDefault="00817399" w:rsidP="00817399">
      <w:pPr>
        <w:spacing w:line="269" w:lineRule="auto"/>
        <w:rPr>
          <w:rtl/>
        </w:rPr>
      </w:pPr>
      <w:r w:rsidRPr="002F2BC5">
        <w:rPr>
          <w:rFonts w:hint="cs"/>
          <w:rtl/>
        </w:rPr>
        <w:t>שירות המבחן מסר במהלך ביקורת המעקב, בדצמבר 2024, כי הקושי באיוש התקנים בשירות המבחן נובע, כפי הנראה, משונות בתנאי העסקתם של קציני המבחן בהשוואה לתנאי העסקה של עובדים סוציאליים בתפקידים דומים בגופים ממשלתיים אחרים, וכן בשל קושי בגיוסם של עובדים סוציאליים בשירות הציבורי בכללותו. עוד מסר כי הקושי באיוש המשרות עלול להקשות על שירות המבחן במתן מענים רחבים ומגוונים וכן עלול להאריך את משך ההמתנה לתסקיר שירות המבחן או לשילוב בתוכניות השיקומיות השונות שהוא מפעיל.</w:t>
      </w:r>
    </w:p>
    <w:p w14:paraId="1498CB33" w14:textId="77777777" w:rsidR="00817399" w:rsidRPr="002F2BC5" w:rsidRDefault="00817399" w:rsidP="00817399">
      <w:pPr>
        <w:spacing w:line="269" w:lineRule="auto"/>
        <w:rPr>
          <w:rtl/>
        </w:rPr>
      </w:pPr>
    </w:p>
    <w:p w14:paraId="44B82D1B" w14:textId="77777777" w:rsidR="00817399" w:rsidRPr="002F2BC5" w:rsidRDefault="00817399" w:rsidP="00817399">
      <w:pPr>
        <w:pStyle w:val="afffffffa"/>
        <w:spacing w:line="269" w:lineRule="auto"/>
        <w:rPr>
          <w:rtl/>
        </w:rPr>
      </w:pPr>
      <w:bookmarkStart w:id="2265" w:name="_Toc191987193"/>
      <w:bookmarkStart w:id="2266" w:name="_Toc192093204"/>
      <w:bookmarkStart w:id="2267" w:name="_Toc192612912"/>
      <w:bookmarkStart w:id="2268" w:name="_Toc198312363"/>
      <w:bookmarkStart w:id="2269" w:name="_Toc198312848"/>
      <w:bookmarkStart w:id="2270" w:name="_Toc200637001"/>
      <w:bookmarkStart w:id="2271" w:name="_Toc200439999"/>
      <w:bookmarkStart w:id="2272" w:name="_Toc201241104"/>
      <w:r w:rsidRPr="002F2BC5">
        <w:rPr>
          <w:rFonts w:hint="cs"/>
          <w:rtl/>
        </w:rPr>
        <w:t xml:space="preserve">מומלץ לשירות המבחן לבדוק את השפעת האיוש החסר של כוח האדם בשירות המבחן על מיצוי האפשרות לשלב בתוכניות שיקום בקהילה עוברי חוק שהם בני שיקום, ובתוך כך לקדם את מטרותיו של שירות המבחן של צמצום תופעת העבריינות החוזרת ושל השתלבותם מחדש של עוברי חוק בקהילה. בהתאם לכך מומלץ כי שירות המבחן ינקוט את הפעולות המתאימות כדי להבטיח מתן מענה לכלל המטופלים המופנים לתסקיר שירות המבחן ושנמצאים מתאימים לשיקום בקהילה, ללא תלות באיוש תקני כוח האדם בשירות המבחן. </w:t>
      </w:r>
      <w:bookmarkStart w:id="2273" w:name="_Hlk187134533"/>
      <w:r w:rsidRPr="002F2BC5">
        <w:rPr>
          <w:rFonts w:hint="cs"/>
          <w:rtl/>
        </w:rPr>
        <w:t xml:space="preserve">לצד זאת, מומלץ לשירות המבחן לקדם עבודת מטה לבחינת החסמים הייחודיים לאיוש תקני כוח האדם בשירות המבחן </w:t>
      </w:r>
      <w:bookmarkEnd w:id="2273"/>
      <w:r w:rsidRPr="002F2BC5">
        <w:rPr>
          <w:rFonts w:hint="cs"/>
          <w:rtl/>
        </w:rPr>
        <w:t>ולקבוע תוכנית פעולה לשם התמודדות עם הקושי באיוש התקנים בהתאם לכך.</w:t>
      </w:r>
      <w:bookmarkEnd w:id="2265"/>
      <w:bookmarkEnd w:id="2266"/>
      <w:bookmarkEnd w:id="2267"/>
      <w:bookmarkEnd w:id="2268"/>
      <w:bookmarkEnd w:id="2269"/>
      <w:bookmarkEnd w:id="2270"/>
      <w:bookmarkEnd w:id="2271"/>
      <w:bookmarkEnd w:id="2272"/>
    </w:p>
    <w:p w14:paraId="68A74CE2" w14:textId="77777777" w:rsidR="00817399" w:rsidRPr="002F2BC5" w:rsidRDefault="00817399" w:rsidP="00817399">
      <w:pPr>
        <w:spacing w:line="269" w:lineRule="auto"/>
        <w:rPr>
          <w:rtl/>
        </w:rPr>
      </w:pPr>
    </w:p>
    <w:p w14:paraId="753D5F67"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4E81E26F" w14:textId="77777777" w:rsidR="00817399" w:rsidRPr="002F2BC5" w:rsidRDefault="00817399" w:rsidP="00817399">
      <w:pPr>
        <w:pStyle w:val="afffffff7"/>
        <w:spacing w:before="0" w:line="269" w:lineRule="auto"/>
      </w:pPr>
      <w:bookmarkStart w:id="2274" w:name="_Toc198312364"/>
      <w:bookmarkStart w:id="2275" w:name="_Toc198312849"/>
      <w:r w:rsidRPr="002F2BC5">
        <w:rPr>
          <w:noProof/>
        </w:rPr>
        <w:drawing>
          <wp:inline distT="0" distB="0" distL="0" distR="0" wp14:anchorId="35A2D94B" wp14:editId="4376E7D0">
            <wp:extent cx="4324350" cy="933450"/>
            <wp:effectExtent l="0" t="0" r="0" b="0"/>
            <wp:docPr id="56"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274"/>
      <w:bookmarkEnd w:id="2275"/>
    </w:p>
    <w:p w14:paraId="67D8AB71" w14:textId="77777777" w:rsidR="00817399" w:rsidRPr="002F2BC5" w:rsidRDefault="00817399" w:rsidP="00817399">
      <w:pPr>
        <w:spacing w:line="269" w:lineRule="auto"/>
        <w:rPr>
          <w:rtl/>
        </w:rPr>
      </w:pPr>
    </w:p>
    <w:p w14:paraId="7E35F633" w14:textId="77777777" w:rsidR="00817399" w:rsidRPr="002F2BC5" w:rsidRDefault="00817399" w:rsidP="00817399">
      <w:pPr>
        <w:pStyle w:val="1ff"/>
        <w:bidi/>
        <w:rPr>
          <w:rtl/>
        </w:rPr>
      </w:pPr>
      <w:bookmarkStart w:id="2276" w:name="_Hlk192071998"/>
      <w:bookmarkStart w:id="2277" w:name="_Toc191987194"/>
      <w:bookmarkStart w:id="2278" w:name="_Hlk183422460"/>
      <w:bookmarkStart w:id="2279" w:name="_Hlk183507582"/>
      <w:r w:rsidRPr="002F2BC5">
        <w:rPr>
          <w:rFonts w:hint="cs"/>
          <w:rtl/>
        </w:rPr>
        <w:t>הטיפול בעוברי חוק בבתי המשפט הקהילתיים</w:t>
      </w:r>
      <w:bookmarkEnd w:id="2276"/>
      <w:bookmarkEnd w:id="2277"/>
    </w:p>
    <w:p w14:paraId="7732EECC" w14:textId="77777777" w:rsidR="00817399" w:rsidRPr="002F2BC5" w:rsidRDefault="00817399" w:rsidP="00817399">
      <w:pPr>
        <w:spacing w:line="269" w:lineRule="auto"/>
        <w:rPr>
          <w:rtl/>
        </w:rPr>
      </w:pPr>
    </w:p>
    <w:p w14:paraId="77FFF414" w14:textId="77777777" w:rsidR="00817399" w:rsidRPr="002F2BC5" w:rsidRDefault="00817399" w:rsidP="00817399">
      <w:pPr>
        <w:spacing w:line="269" w:lineRule="auto"/>
        <w:rPr>
          <w:rtl/>
        </w:rPr>
      </w:pPr>
      <w:r w:rsidRPr="002F2BC5">
        <w:rPr>
          <w:rFonts w:hint="cs"/>
          <w:rtl/>
        </w:rPr>
        <w:t xml:space="preserve">בתי המשפט הקהילתיים (להלן גם תוכנית בתי המשפט הקהילתיים) משמשים </w:t>
      </w:r>
      <w:r w:rsidRPr="002F2BC5">
        <w:rPr>
          <w:rtl/>
        </w:rPr>
        <w:t>ערכאה ראשונה בעניינים פליליים</w:t>
      </w:r>
      <w:r w:rsidRPr="002F2BC5">
        <w:rPr>
          <w:rFonts w:hint="cs"/>
          <w:rtl/>
        </w:rPr>
        <w:t xml:space="preserve">, הפועלת במתכונת ייחודית, שבה במסגרת ההליך הפלילי משולבים הנאשמים בהליך טיפולי-שיקומי בקהילה בפיקוח שיפוטי הדוק. המשתתפים בתוכנית הם </w:t>
      </w:r>
      <w:r w:rsidRPr="002F2BC5">
        <w:rPr>
          <w:rtl/>
        </w:rPr>
        <w:t xml:space="preserve">נאשמים </w:t>
      </w:r>
      <w:r w:rsidRPr="002F2BC5">
        <w:rPr>
          <w:rFonts w:hint="cs"/>
          <w:rtl/>
        </w:rPr>
        <w:t>בגירים בהליכים פליליים, הצפויים לעונשי מאסר שהם קצרי מועד ושקיים לגביהם סיכון לביצוע עבירות נוספות בעתיד אם לא יטופלו הבעיות הקיימות ביסוד העבירה (להלן - המשתתפים בתוכנית). ההשתתפות בתוכנית מותנית בין השאר בהכרה של הנאשם במעורבותו בביצוע העבירה, ואם יסיים את התוכנית בהצלחה, יימנע בית המשפט מהטלת עונש מאסר בפועל בגין העבירה שביצע</w:t>
      </w:r>
      <w:r w:rsidRPr="002F2BC5">
        <w:rPr>
          <w:rStyle w:val="af9"/>
          <w:rtl/>
        </w:rPr>
        <w:footnoteReference w:id="442"/>
      </w:r>
      <w:r w:rsidRPr="002F2BC5">
        <w:rPr>
          <w:rFonts w:hint="cs"/>
          <w:rtl/>
        </w:rPr>
        <w:t>. הליכים בבתי המשפט הללו, מעצם טבעם, מחייבים הסכמה של הנאשמים ונכונות מלאה מצידם להשתלב בהליך שיקום ברמת עצימות גבוהה, במטרה להביא לצמצום בשיעור עבריינותם החוזרת (</w:t>
      </w:r>
      <w:r w:rsidRPr="002F2BC5">
        <w:rPr>
          <w:rtl/>
        </w:rPr>
        <w:t>מוּעדוּת</w:t>
      </w:r>
      <w:r w:rsidRPr="002F2BC5">
        <w:rPr>
          <w:rFonts w:hint="cs"/>
          <w:rtl/>
        </w:rPr>
        <w:t xml:space="preserve"> או רצידיביזם)</w:t>
      </w:r>
      <w:r w:rsidRPr="002F2BC5">
        <w:rPr>
          <w:rStyle w:val="af9"/>
          <w:rtl/>
        </w:rPr>
        <w:footnoteReference w:id="443"/>
      </w:r>
      <w:r w:rsidRPr="002F2BC5">
        <w:rPr>
          <w:rtl/>
        </w:rPr>
        <w:t>.</w:t>
      </w:r>
      <w:r w:rsidRPr="002F2BC5">
        <w:rPr>
          <w:rFonts w:hint="cs"/>
          <w:rtl/>
        </w:rPr>
        <w:t xml:space="preserve"> התוכנית מתבססת על הנחת היסוד כי תופעת </w:t>
      </w:r>
      <w:r w:rsidRPr="002F2BC5">
        <w:rPr>
          <w:rtl/>
        </w:rPr>
        <w:lastRenderedPageBreak/>
        <w:t>העבריינ</w:t>
      </w:r>
      <w:r w:rsidRPr="002F2BC5">
        <w:rPr>
          <w:rFonts w:hint="cs"/>
          <w:rtl/>
        </w:rPr>
        <w:t>ו</w:t>
      </w:r>
      <w:r w:rsidRPr="002F2BC5">
        <w:rPr>
          <w:rtl/>
        </w:rPr>
        <w:t xml:space="preserve">ת החוזרת </w:t>
      </w:r>
      <w:r w:rsidRPr="002F2BC5">
        <w:rPr>
          <w:rFonts w:hint="cs"/>
          <w:rtl/>
        </w:rPr>
        <w:t>משקפת ברובה</w:t>
      </w:r>
      <w:r w:rsidRPr="002F2BC5">
        <w:rPr>
          <w:rtl/>
        </w:rPr>
        <w:t xml:space="preserve"> בעיות עומק</w:t>
      </w:r>
      <w:r w:rsidRPr="002F2BC5">
        <w:rPr>
          <w:rFonts w:hint="cs"/>
          <w:rtl/>
        </w:rPr>
        <w:t xml:space="preserve"> ח</w:t>
      </w:r>
      <w:r w:rsidRPr="002F2BC5">
        <w:rPr>
          <w:rtl/>
        </w:rPr>
        <w:t>ברתיות, אישיות וכלכליות</w:t>
      </w:r>
      <w:r w:rsidRPr="002F2BC5">
        <w:rPr>
          <w:rFonts w:hint="cs"/>
          <w:rtl/>
        </w:rPr>
        <w:t xml:space="preserve"> המובילות לעבריינות</w:t>
      </w:r>
      <w:r w:rsidRPr="002F2BC5">
        <w:rPr>
          <w:rtl/>
        </w:rPr>
        <w:t>.</w:t>
      </w:r>
      <w:r w:rsidRPr="002F2BC5">
        <w:rPr>
          <w:rFonts w:hint="cs"/>
          <w:rtl/>
        </w:rPr>
        <w:t xml:space="preserve"> משכך, נדרש שדרכי </w:t>
      </w:r>
      <w:r w:rsidRPr="002F2BC5">
        <w:rPr>
          <w:rtl/>
        </w:rPr>
        <w:t>ההתמודדות עם תופע</w:t>
      </w:r>
      <w:r w:rsidRPr="002F2BC5">
        <w:rPr>
          <w:rFonts w:hint="cs"/>
          <w:rtl/>
        </w:rPr>
        <w:t>ה זו</w:t>
      </w:r>
      <w:r w:rsidRPr="002F2BC5">
        <w:rPr>
          <w:rtl/>
        </w:rPr>
        <w:t xml:space="preserve"> </w:t>
      </w:r>
      <w:r w:rsidRPr="002F2BC5">
        <w:rPr>
          <w:rFonts w:hint="cs"/>
          <w:rtl/>
        </w:rPr>
        <w:t>לא יהיו ענישה בלבד, המטפלת בעצם ביצוע העבירה, אלא גם מענים</w:t>
      </w:r>
      <w:r w:rsidRPr="002F2BC5">
        <w:rPr>
          <w:rtl/>
        </w:rPr>
        <w:t xml:space="preserve"> מערכתיים</w:t>
      </w:r>
      <w:r w:rsidRPr="002F2BC5">
        <w:rPr>
          <w:rFonts w:hint="cs"/>
          <w:rtl/>
        </w:rPr>
        <w:t xml:space="preserve">, ובכלל זה מענים טיפוליים המופעלים </w:t>
      </w:r>
      <w:r w:rsidRPr="002F2BC5">
        <w:rPr>
          <w:rtl/>
        </w:rPr>
        <w:t>בשיתוף גורמי טיפול בקהילה</w:t>
      </w:r>
      <w:r w:rsidRPr="002F2BC5">
        <w:rPr>
          <w:rStyle w:val="af9"/>
          <w:rtl/>
        </w:rPr>
        <w:footnoteReference w:id="444"/>
      </w:r>
      <w:r w:rsidRPr="002F2BC5">
        <w:rPr>
          <w:rFonts w:hint="cs"/>
          <w:rtl/>
        </w:rPr>
        <w:t>.</w:t>
      </w:r>
      <w:r w:rsidRPr="002F2BC5">
        <w:rPr>
          <w:rtl/>
        </w:rPr>
        <w:t xml:space="preserve"> </w:t>
      </w:r>
    </w:p>
    <w:p w14:paraId="314399BA" w14:textId="77777777" w:rsidR="00817399" w:rsidRPr="002F2BC5" w:rsidRDefault="00817399" w:rsidP="00817399">
      <w:pPr>
        <w:spacing w:line="269" w:lineRule="auto"/>
        <w:rPr>
          <w:rtl/>
        </w:rPr>
      </w:pPr>
    </w:p>
    <w:p w14:paraId="096D5528" w14:textId="77777777" w:rsidR="00817399" w:rsidRPr="002F2BC5" w:rsidRDefault="00817399" w:rsidP="00817399">
      <w:pPr>
        <w:spacing w:line="269" w:lineRule="auto"/>
        <w:rPr>
          <w:rtl/>
        </w:rPr>
      </w:pPr>
      <w:bookmarkStart w:id="2280" w:name="_Toc191987195"/>
      <w:r w:rsidRPr="002F2BC5">
        <w:rPr>
          <w:rStyle w:val="70"/>
          <w:rFonts w:hint="cs"/>
          <w:rtl/>
        </w:rPr>
        <w:t>הביקורת הקודמת:</w:t>
      </w:r>
      <w:bookmarkEnd w:id="2280"/>
      <w:r w:rsidRPr="002F2BC5">
        <w:rPr>
          <w:rStyle w:val="70"/>
          <w:rFonts w:hint="cs"/>
          <w:rtl/>
        </w:rPr>
        <w:t xml:space="preserve"> </w:t>
      </w:r>
      <w:r w:rsidRPr="002F2BC5">
        <w:rPr>
          <w:rFonts w:hint="cs"/>
          <w:rtl/>
        </w:rPr>
        <w:t>נכון למועד סיום הביקורת הקודמת, פעלו שישה בתי משפט קהילתיים בכל אחד ממחוזות השיפוט בישראל מכוח החלטת הממשלה משנת 2016</w:t>
      </w:r>
      <w:r w:rsidRPr="002F2BC5">
        <w:rPr>
          <w:rStyle w:val="af9"/>
          <w:rtl/>
        </w:rPr>
        <w:footnoteReference w:id="445"/>
      </w:r>
      <w:r w:rsidRPr="002F2BC5">
        <w:rPr>
          <w:rFonts w:hint="cs"/>
          <w:rtl/>
        </w:rPr>
        <w:t>. נמצא כי בשלב ההקמה של התוכנית מבין כלל משתתפיה כרבע ביצעו עבירות אלימות במשפחה. נוסף על כך, לפי נתונים שפורסמו בדוח המסכם את פעילותם של בתי המשפט הקהילתיים בשנת 2019, שיעורם של מסיימי התוכנית</w:t>
      </w:r>
      <w:r w:rsidRPr="002F2BC5" w:rsidDel="003133C7">
        <w:rPr>
          <w:rFonts w:hint="cs"/>
          <w:rtl/>
        </w:rPr>
        <w:t xml:space="preserve"> </w:t>
      </w:r>
      <w:r w:rsidRPr="002F2BC5">
        <w:rPr>
          <w:rFonts w:hint="cs"/>
          <w:rtl/>
        </w:rPr>
        <w:t>שלא הוגשו נגדם כתבי אישום חדשים (להלן גם - מסיימים בהצלחה) עמד על כ-90% מכלל מסיימי התוכנית - נתון העשוי להעיד על תרומתה של התוכנית לצמצום שיעור העבריינות החוזרת בקרב משתתפיה</w:t>
      </w:r>
      <w:r w:rsidRPr="002F2BC5">
        <w:rPr>
          <w:rStyle w:val="af9"/>
          <w:rtl/>
        </w:rPr>
        <w:footnoteReference w:id="446"/>
      </w:r>
      <w:r w:rsidRPr="002F2BC5">
        <w:rPr>
          <w:rFonts w:hint="cs"/>
          <w:rtl/>
        </w:rPr>
        <w:t xml:space="preserve">. </w:t>
      </w:r>
    </w:p>
    <w:p w14:paraId="4268982D" w14:textId="77777777" w:rsidR="00817399" w:rsidRPr="002F2BC5" w:rsidRDefault="00817399" w:rsidP="00817399">
      <w:pPr>
        <w:spacing w:line="269" w:lineRule="auto"/>
        <w:rPr>
          <w:rtl/>
        </w:rPr>
      </w:pPr>
    </w:p>
    <w:p w14:paraId="41A2DC7A"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הרווחה לבחון את הרחבת השימוש בכלי השיקומי-קהילתי, ובכלל זה לבחון את הרחבת הפעילות במסגרת בתי המשפט הקהילתיים.</w:t>
      </w:r>
    </w:p>
    <w:p w14:paraId="1FF0FDE7" w14:textId="77777777" w:rsidR="00817399" w:rsidRPr="002F2BC5" w:rsidRDefault="00817399" w:rsidP="00817399">
      <w:pPr>
        <w:spacing w:line="269" w:lineRule="auto"/>
        <w:rPr>
          <w:rtl/>
        </w:rPr>
      </w:pPr>
    </w:p>
    <w:p w14:paraId="7B4948A0" w14:textId="77777777" w:rsidR="00817399" w:rsidRPr="002F2BC5" w:rsidRDefault="00817399" w:rsidP="00817399">
      <w:pPr>
        <w:spacing w:line="269" w:lineRule="auto"/>
        <w:rPr>
          <w:rtl/>
        </w:rPr>
      </w:pPr>
      <w:r w:rsidRPr="002F2BC5">
        <w:rPr>
          <w:rFonts w:hint="eastAsia"/>
          <w:rtl/>
        </w:rPr>
        <w:t>הנהלת</w:t>
      </w:r>
      <w:r w:rsidRPr="002F2BC5">
        <w:rPr>
          <w:rtl/>
        </w:rPr>
        <w:t xml:space="preserve"> </w:t>
      </w:r>
      <w:r w:rsidRPr="002F2BC5">
        <w:rPr>
          <w:rFonts w:hint="eastAsia"/>
          <w:rtl/>
        </w:rPr>
        <w:t>בתי</w:t>
      </w:r>
      <w:r w:rsidRPr="002F2BC5">
        <w:rPr>
          <w:rtl/>
        </w:rPr>
        <w:t xml:space="preserve"> </w:t>
      </w:r>
      <w:r w:rsidRPr="002F2BC5">
        <w:rPr>
          <w:rFonts w:hint="eastAsia"/>
          <w:rtl/>
        </w:rPr>
        <w:t>המשפט</w:t>
      </w:r>
      <w:r w:rsidRPr="002F2BC5">
        <w:rPr>
          <w:rtl/>
        </w:rPr>
        <w:t xml:space="preserve"> </w:t>
      </w:r>
      <w:r w:rsidRPr="002F2BC5">
        <w:rPr>
          <w:rFonts w:hint="eastAsia"/>
          <w:rtl/>
        </w:rPr>
        <w:t>מסרה</w:t>
      </w:r>
      <w:r w:rsidRPr="002F2BC5">
        <w:rPr>
          <w:rtl/>
        </w:rPr>
        <w:t xml:space="preserve"> </w:t>
      </w:r>
      <w:r w:rsidRPr="002F2BC5">
        <w:rPr>
          <w:rFonts w:hint="eastAsia"/>
          <w:rtl/>
        </w:rPr>
        <w:t>בתשובתה</w:t>
      </w:r>
      <w:r w:rsidRPr="002F2BC5">
        <w:rPr>
          <w:rtl/>
        </w:rPr>
        <w:t xml:space="preserve"> </w:t>
      </w:r>
      <w:r w:rsidRPr="002F2BC5">
        <w:rPr>
          <w:rFonts w:hint="cs"/>
          <w:rtl/>
        </w:rPr>
        <w:t>לביקורת הקודמת</w:t>
      </w:r>
      <w:r w:rsidRPr="002F2BC5">
        <w:rPr>
          <w:rtl/>
        </w:rPr>
        <w:t xml:space="preserve"> </w:t>
      </w:r>
      <w:r w:rsidRPr="002F2BC5">
        <w:rPr>
          <w:rFonts w:hint="cs"/>
          <w:rtl/>
        </w:rPr>
        <w:t xml:space="preserve">מינואר 2021 </w:t>
      </w:r>
      <w:r w:rsidRPr="002F2BC5">
        <w:rPr>
          <w:rFonts w:hint="eastAsia"/>
          <w:rtl/>
        </w:rPr>
        <w:t>כי</w:t>
      </w:r>
      <w:r w:rsidRPr="002F2BC5">
        <w:rPr>
          <w:rtl/>
        </w:rPr>
        <w:t xml:space="preserve"> </w:t>
      </w:r>
      <w:r w:rsidRPr="002F2BC5">
        <w:rPr>
          <w:rFonts w:hint="cs"/>
          <w:rtl/>
        </w:rPr>
        <w:t xml:space="preserve">ישנה כוונה לעגן בחקיקה את הפעלתה של תוכנית </w:t>
      </w:r>
      <w:r w:rsidRPr="002F2BC5">
        <w:rPr>
          <w:rtl/>
        </w:rPr>
        <w:t>בתי המשפט הקהילתיים</w:t>
      </w:r>
      <w:r w:rsidRPr="002F2BC5">
        <w:rPr>
          <w:rFonts w:hint="cs"/>
          <w:rtl/>
        </w:rPr>
        <w:t>, ובהמשך לכך לבחון</w:t>
      </w:r>
      <w:r w:rsidRPr="002F2BC5">
        <w:rPr>
          <w:rtl/>
        </w:rPr>
        <w:t xml:space="preserve"> </w:t>
      </w:r>
      <w:r w:rsidRPr="002F2BC5">
        <w:rPr>
          <w:rFonts w:hint="cs"/>
          <w:rtl/>
        </w:rPr>
        <w:t xml:space="preserve">גם הרחבה הדרגתית של התוכנית </w:t>
      </w:r>
      <w:r w:rsidRPr="002F2BC5">
        <w:rPr>
          <w:rtl/>
        </w:rPr>
        <w:t xml:space="preserve">בשים לב למשאבים </w:t>
      </w:r>
      <w:r w:rsidRPr="002F2BC5">
        <w:rPr>
          <w:rFonts w:hint="cs"/>
          <w:rtl/>
        </w:rPr>
        <w:t>הדרושים לכך</w:t>
      </w:r>
      <w:r w:rsidRPr="002F2BC5">
        <w:rPr>
          <w:rtl/>
        </w:rPr>
        <w:t xml:space="preserve">. </w:t>
      </w:r>
      <w:r w:rsidRPr="002F2BC5">
        <w:rPr>
          <w:rFonts w:hint="eastAsia"/>
          <w:rtl/>
        </w:rPr>
        <w:t>משרד</w:t>
      </w:r>
      <w:r w:rsidRPr="002F2BC5">
        <w:rPr>
          <w:rtl/>
        </w:rPr>
        <w:t xml:space="preserve"> </w:t>
      </w:r>
      <w:r w:rsidRPr="002F2BC5">
        <w:rPr>
          <w:rFonts w:hint="eastAsia"/>
          <w:rtl/>
        </w:rPr>
        <w:t>המשפטים</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w:t>
      </w:r>
      <w:r w:rsidRPr="002F2BC5">
        <w:rPr>
          <w:rFonts w:hint="cs"/>
          <w:rtl/>
        </w:rPr>
        <w:t xml:space="preserve">מפברואר 2021 </w:t>
      </w:r>
      <w:r w:rsidRPr="002F2BC5">
        <w:rPr>
          <w:rFonts w:hint="eastAsia"/>
          <w:rtl/>
        </w:rPr>
        <w:t>כי</w:t>
      </w:r>
      <w:r w:rsidRPr="002F2BC5">
        <w:rPr>
          <w:rtl/>
        </w:rPr>
        <w:t xml:space="preserve"> </w:t>
      </w:r>
      <w:r w:rsidRPr="002F2BC5">
        <w:rPr>
          <w:rFonts w:hint="eastAsia"/>
          <w:rtl/>
        </w:rPr>
        <w:t>אינו</w:t>
      </w:r>
      <w:r w:rsidRPr="002F2BC5">
        <w:rPr>
          <w:rtl/>
        </w:rPr>
        <w:t xml:space="preserve"> </w:t>
      </w:r>
      <w:r w:rsidRPr="002F2BC5">
        <w:rPr>
          <w:rFonts w:hint="eastAsia"/>
          <w:rtl/>
        </w:rPr>
        <w:t>חולק</w:t>
      </w:r>
      <w:r w:rsidRPr="002F2BC5">
        <w:rPr>
          <w:rtl/>
        </w:rPr>
        <w:t xml:space="preserve"> </w:t>
      </w:r>
      <w:r w:rsidRPr="002F2BC5">
        <w:rPr>
          <w:rFonts w:hint="eastAsia"/>
          <w:rtl/>
        </w:rPr>
        <w:t>על</w:t>
      </w:r>
      <w:r w:rsidRPr="002F2BC5">
        <w:rPr>
          <w:rtl/>
        </w:rPr>
        <w:t xml:space="preserve"> </w:t>
      </w:r>
      <w:r w:rsidRPr="002F2BC5">
        <w:rPr>
          <w:rFonts w:hint="eastAsia"/>
          <w:rtl/>
        </w:rPr>
        <w:t>הצורך</w:t>
      </w:r>
      <w:r w:rsidRPr="002F2BC5">
        <w:rPr>
          <w:rtl/>
        </w:rPr>
        <w:t xml:space="preserve"> </w:t>
      </w:r>
      <w:r w:rsidRPr="002F2BC5">
        <w:rPr>
          <w:rFonts w:hint="cs"/>
          <w:rtl/>
        </w:rPr>
        <w:t>ב</w:t>
      </w:r>
      <w:r w:rsidRPr="002F2BC5">
        <w:rPr>
          <w:rFonts w:hint="eastAsia"/>
          <w:rtl/>
        </w:rPr>
        <w:t>הרחב</w:t>
      </w:r>
      <w:r w:rsidRPr="002F2BC5">
        <w:rPr>
          <w:rFonts w:hint="cs"/>
          <w:rtl/>
        </w:rPr>
        <w:t>ת</w:t>
      </w:r>
      <w:r w:rsidRPr="002F2BC5">
        <w:rPr>
          <w:rtl/>
        </w:rPr>
        <w:t xml:space="preserve"> </w:t>
      </w:r>
      <w:r w:rsidRPr="002F2BC5">
        <w:rPr>
          <w:rFonts w:hint="cs"/>
          <w:rtl/>
        </w:rPr>
        <w:t>התוכנית</w:t>
      </w:r>
      <w:r w:rsidRPr="002F2BC5">
        <w:rPr>
          <w:rtl/>
        </w:rPr>
        <w:t>.</w:t>
      </w:r>
      <w:r w:rsidRPr="002F2BC5">
        <w:rPr>
          <w:rFonts w:hint="cs"/>
          <w:rtl/>
        </w:rPr>
        <w:t xml:space="preserve"> משרד הרווחה מסר בתשובתו מפברואר 2021 כי שירות המבחן למבוגרים פועל להגדלת מספר המופנים לתוכנית זו ולאסדרת הליך הפנייתם והוסיף כי כל אימת שקצין המבחן מוצא ערך בטיפול במסגרת תוכנית זו ורמת הסיכון מאפשרת זאת, נבחן שילובו של הפוגע בתוכנית. </w:t>
      </w:r>
    </w:p>
    <w:p w14:paraId="45742DCB" w14:textId="77777777" w:rsidR="00817399" w:rsidRPr="002F2BC5" w:rsidRDefault="00817399" w:rsidP="00817399">
      <w:pPr>
        <w:spacing w:line="269" w:lineRule="auto"/>
        <w:rPr>
          <w:rtl/>
        </w:rPr>
      </w:pPr>
    </w:p>
    <w:p w14:paraId="150D8E67" w14:textId="77777777" w:rsidR="00817399" w:rsidRPr="002F2BC5" w:rsidRDefault="00817399" w:rsidP="00817399">
      <w:pPr>
        <w:spacing w:line="269" w:lineRule="auto"/>
        <w:rPr>
          <w:b/>
          <w:bCs/>
          <w:rtl/>
        </w:rPr>
      </w:pPr>
      <w:bookmarkStart w:id="2281" w:name="_Toc191987196"/>
      <w:r w:rsidRPr="002F2BC5">
        <w:rPr>
          <w:rStyle w:val="70"/>
          <w:rFonts w:hint="cs"/>
          <w:rtl/>
        </w:rPr>
        <w:t>ביקורת המעקב:</w:t>
      </w:r>
      <w:bookmarkEnd w:id="2281"/>
      <w:r w:rsidRPr="002F2BC5">
        <w:rPr>
          <w:rStyle w:val="70"/>
          <w:rFonts w:hint="cs"/>
          <w:rtl/>
        </w:rPr>
        <w:t xml:space="preserve"> </w:t>
      </w:r>
      <w:r w:rsidRPr="002F2BC5">
        <w:rPr>
          <w:rtl/>
        </w:rPr>
        <w:t>בסוף חודש יוני 2022 עוגנה הפעלתם של בתי</w:t>
      </w:r>
      <w:r w:rsidRPr="002F2BC5">
        <w:rPr>
          <w:rFonts w:hint="cs"/>
          <w:rtl/>
        </w:rPr>
        <w:t xml:space="preserve"> </w:t>
      </w:r>
      <w:r w:rsidRPr="002F2BC5">
        <w:rPr>
          <w:rtl/>
        </w:rPr>
        <w:t xml:space="preserve">המשפט הקהילתיים בחוק במסגרת </w:t>
      </w:r>
      <w:r w:rsidRPr="002F2BC5">
        <w:rPr>
          <w:rFonts w:hint="cs"/>
          <w:rtl/>
        </w:rPr>
        <w:t>תיקון ל</w:t>
      </w:r>
      <w:r w:rsidRPr="002F2BC5">
        <w:rPr>
          <w:rtl/>
        </w:rPr>
        <w:t>חוק סדר הדין הפלילי</w:t>
      </w:r>
      <w:r w:rsidRPr="002F2BC5">
        <w:rPr>
          <w:rStyle w:val="af9"/>
          <w:rtl/>
        </w:rPr>
        <w:footnoteReference w:id="447"/>
      </w:r>
      <w:r w:rsidRPr="002F2BC5">
        <w:rPr>
          <w:rFonts w:hint="cs"/>
          <w:rtl/>
        </w:rPr>
        <w:t>, וכן הוקמו באותה השנה שני בתי משפט קהילתיים נוספים</w:t>
      </w:r>
      <w:r w:rsidRPr="002F2BC5">
        <w:rPr>
          <w:rStyle w:val="af9"/>
          <w:rtl/>
        </w:rPr>
        <w:footnoteReference w:id="448"/>
      </w:r>
      <w:r w:rsidRPr="002F2BC5">
        <w:rPr>
          <w:rFonts w:hint="cs"/>
          <w:rtl/>
        </w:rPr>
        <w:t>.</w:t>
      </w:r>
      <w:r w:rsidRPr="002F2BC5">
        <w:rPr>
          <w:rtl/>
        </w:rPr>
        <w:t xml:space="preserve"> </w:t>
      </w:r>
      <w:r w:rsidRPr="002F2BC5">
        <w:rPr>
          <w:rFonts w:hint="cs"/>
          <w:rtl/>
        </w:rPr>
        <w:t>בהמשך הוקמו שמונה בתי משפט קהילתיים נוספים, כך שבסוף שנת 2024 פעלו 16 בתי משפט בפריסה ארצית. לפי נתוני הנהלת בתי המשפט ושירות המבחן למבוגרים, בשנת 2022, משעוגנה בחוק הפעלתה של תוכנית בתי המשפט הקהילתיים, הצטרפו לתוכנית כ-400 משתתפים חדשים, וכ-12% מהם היו משתתפים שביצעו עבירות אלימות בין בני זוג (52 משתתפים). בשנת 2023 היה מספר המשתתפים החדשים נמוך יותר (כ-350 משתתפים) וכך גם חלקם של המשתתפים שביצעו עבירות אלימות בין בני זוג מכלל המשתתפים (25 משתתפים, כ-7% בלבד)</w:t>
      </w:r>
      <w:r w:rsidRPr="002F2BC5">
        <w:rPr>
          <w:rStyle w:val="af9"/>
          <w:rtl/>
        </w:rPr>
        <w:footnoteReference w:id="449"/>
      </w:r>
      <w:r w:rsidRPr="002F2BC5">
        <w:rPr>
          <w:rFonts w:hint="cs"/>
          <w:rtl/>
        </w:rPr>
        <w:t>.</w:t>
      </w:r>
      <w:r w:rsidRPr="002F2BC5">
        <w:rPr>
          <w:rFonts w:hint="cs"/>
          <w:b/>
          <w:bCs/>
          <w:rtl/>
        </w:rPr>
        <w:t xml:space="preserve"> </w:t>
      </w:r>
    </w:p>
    <w:p w14:paraId="441CCE19" w14:textId="77777777" w:rsidR="004A0C9B" w:rsidRDefault="004A0C9B" w:rsidP="00817399">
      <w:pPr>
        <w:pStyle w:val="afffffff9"/>
        <w:spacing w:line="269" w:lineRule="auto"/>
        <w:rPr>
          <w:rtl/>
        </w:rPr>
      </w:pPr>
      <w:bookmarkStart w:id="2282" w:name="_Toc191987197"/>
      <w:bookmarkStart w:id="2283" w:name="_Toc192093205"/>
      <w:bookmarkStart w:id="2284" w:name="_Toc192612913"/>
      <w:bookmarkStart w:id="2285" w:name="_Toc198312365"/>
      <w:bookmarkStart w:id="2286" w:name="_Toc198312850"/>
      <w:bookmarkStart w:id="2287" w:name="_Toc200637002"/>
      <w:bookmarkStart w:id="2288" w:name="_Toc200440000"/>
      <w:bookmarkStart w:id="2289" w:name="_Toc201241105"/>
    </w:p>
    <w:p w14:paraId="201B7644" w14:textId="77777777" w:rsidR="00817399" w:rsidRPr="002F2BC5" w:rsidRDefault="00817399" w:rsidP="00817399">
      <w:pPr>
        <w:pStyle w:val="afffffff9"/>
        <w:spacing w:line="269" w:lineRule="auto"/>
        <w:rPr>
          <w:rtl/>
        </w:rPr>
      </w:pPr>
      <w:r w:rsidRPr="002F2BC5">
        <w:rPr>
          <w:rFonts w:hint="cs"/>
          <w:rtl/>
        </w:rPr>
        <w:lastRenderedPageBreak/>
        <w:t xml:space="preserve">הביקורת הקודמת </w:t>
      </w:r>
      <w:r w:rsidRPr="002F2BC5">
        <w:rPr>
          <w:rFonts w:hint="eastAsia"/>
          <w:rtl/>
        </w:rPr>
        <w:t>העלתה</w:t>
      </w:r>
      <w:r w:rsidRPr="002F2BC5">
        <w:rPr>
          <w:rtl/>
        </w:rPr>
        <w:t xml:space="preserve"> כי </w:t>
      </w:r>
      <w:r w:rsidRPr="002F2BC5">
        <w:rPr>
          <w:rFonts w:hint="cs"/>
          <w:rtl/>
        </w:rPr>
        <w:t xml:space="preserve">בשלב ההקמה של </w:t>
      </w:r>
      <w:r w:rsidRPr="002F2BC5">
        <w:rPr>
          <w:rFonts w:hint="eastAsia"/>
          <w:rtl/>
        </w:rPr>
        <w:t>תוכנית</w:t>
      </w:r>
      <w:r w:rsidRPr="002F2BC5">
        <w:rPr>
          <w:rtl/>
        </w:rPr>
        <w:t xml:space="preserve"> </w:t>
      </w:r>
      <w:r w:rsidRPr="002F2BC5">
        <w:rPr>
          <w:rFonts w:hint="eastAsia"/>
          <w:rtl/>
        </w:rPr>
        <w:t>בתי</w:t>
      </w:r>
      <w:r w:rsidRPr="002F2BC5">
        <w:rPr>
          <w:rtl/>
        </w:rPr>
        <w:t xml:space="preserve"> </w:t>
      </w:r>
      <w:r w:rsidRPr="002F2BC5">
        <w:rPr>
          <w:rFonts w:hint="eastAsia"/>
          <w:rtl/>
        </w:rPr>
        <w:t>המשפט</w:t>
      </w:r>
      <w:r w:rsidRPr="002F2BC5">
        <w:rPr>
          <w:rtl/>
        </w:rPr>
        <w:t xml:space="preserve"> </w:t>
      </w:r>
      <w:r w:rsidRPr="002F2BC5">
        <w:rPr>
          <w:rFonts w:hint="eastAsia"/>
          <w:rtl/>
        </w:rPr>
        <w:t>הקהילתיים</w:t>
      </w:r>
      <w:r w:rsidRPr="002F2BC5">
        <w:rPr>
          <w:rFonts w:hint="cs"/>
          <w:rtl/>
        </w:rPr>
        <w:t>, כרבע ממשתתפיה ביצעו עבירות אלימות במשפחה</w:t>
      </w:r>
      <w:r w:rsidRPr="002F2BC5">
        <w:rPr>
          <w:rtl/>
        </w:rPr>
        <w:t xml:space="preserve">. </w:t>
      </w:r>
      <w:r w:rsidRPr="002F2BC5">
        <w:rPr>
          <w:rFonts w:hint="cs"/>
          <w:rtl/>
        </w:rPr>
        <w:t>עוד הועלה כי נכון לשנת 2019 שיעורם של מסיימי התוכנית</w:t>
      </w:r>
      <w:r w:rsidRPr="002F2BC5" w:rsidDel="003133C7">
        <w:rPr>
          <w:rFonts w:hint="cs"/>
          <w:rtl/>
        </w:rPr>
        <w:t xml:space="preserve"> </w:t>
      </w:r>
      <w:r w:rsidRPr="002F2BC5">
        <w:rPr>
          <w:rFonts w:hint="cs"/>
          <w:rtl/>
        </w:rPr>
        <w:t xml:space="preserve">שלא נגדם הוגשו כתבי אישום חדשים עמד על כ-90% מכלל מסיימי התוכנית - נתון העשוי </w:t>
      </w:r>
      <w:r w:rsidRPr="002F2BC5">
        <w:rPr>
          <w:rFonts w:hint="eastAsia"/>
          <w:rtl/>
        </w:rPr>
        <w:t>להעיד</w:t>
      </w:r>
      <w:r w:rsidRPr="002F2BC5">
        <w:rPr>
          <w:rtl/>
        </w:rPr>
        <w:t xml:space="preserve"> </w:t>
      </w:r>
      <w:r w:rsidRPr="002F2BC5">
        <w:rPr>
          <w:rFonts w:hint="eastAsia"/>
          <w:rtl/>
        </w:rPr>
        <w:t>על</w:t>
      </w:r>
      <w:r w:rsidRPr="002F2BC5">
        <w:rPr>
          <w:rtl/>
        </w:rPr>
        <w:t xml:space="preserve"> </w:t>
      </w:r>
      <w:r w:rsidRPr="002F2BC5">
        <w:rPr>
          <w:rFonts w:hint="eastAsia"/>
          <w:rtl/>
        </w:rPr>
        <w:t>תרומתה</w:t>
      </w:r>
      <w:r w:rsidRPr="002F2BC5">
        <w:rPr>
          <w:rtl/>
        </w:rPr>
        <w:t xml:space="preserve"> </w:t>
      </w:r>
      <w:r w:rsidRPr="002F2BC5">
        <w:rPr>
          <w:rFonts w:hint="eastAsia"/>
          <w:rtl/>
        </w:rPr>
        <w:t>של</w:t>
      </w:r>
      <w:r w:rsidRPr="002F2BC5">
        <w:rPr>
          <w:rtl/>
        </w:rPr>
        <w:t xml:space="preserve"> </w:t>
      </w:r>
      <w:r w:rsidRPr="002F2BC5">
        <w:rPr>
          <w:rFonts w:hint="eastAsia"/>
          <w:rtl/>
        </w:rPr>
        <w:t>התוכנית</w:t>
      </w:r>
      <w:r w:rsidRPr="002F2BC5">
        <w:rPr>
          <w:rtl/>
        </w:rPr>
        <w:t xml:space="preserve"> </w:t>
      </w:r>
      <w:r w:rsidRPr="002F2BC5">
        <w:rPr>
          <w:rFonts w:hint="cs"/>
          <w:rtl/>
        </w:rPr>
        <w:t>ל</w:t>
      </w:r>
      <w:r w:rsidRPr="002F2BC5">
        <w:rPr>
          <w:rFonts w:hint="eastAsia"/>
          <w:rtl/>
        </w:rPr>
        <w:t>צמצום</w:t>
      </w:r>
      <w:r w:rsidRPr="002F2BC5">
        <w:rPr>
          <w:rtl/>
        </w:rPr>
        <w:t xml:space="preserve"> </w:t>
      </w:r>
      <w:r w:rsidRPr="002F2BC5">
        <w:rPr>
          <w:rFonts w:hint="eastAsia"/>
          <w:rtl/>
        </w:rPr>
        <w:t>שיעור</w:t>
      </w:r>
      <w:r w:rsidRPr="002F2BC5">
        <w:rPr>
          <w:rtl/>
        </w:rPr>
        <w:t xml:space="preserve"> </w:t>
      </w:r>
      <w:r w:rsidRPr="002F2BC5">
        <w:rPr>
          <w:rFonts w:hint="eastAsia"/>
          <w:rtl/>
        </w:rPr>
        <w:t>העבריינות</w:t>
      </w:r>
      <w:r w:rsidRPr="002F2BC5">
        <w:rPr>
          <w:rtl/>
        </w:rPr>
        <w:t xml:space="preserve"> </w:t>
      </w:r>
      <w:r w:rsidRPr="002F2BC5">
        <w:rPr>
          <w:rFonts w:hint="eastAsia"/>
          <w:rtl/>
        </w:rPr>
        <w:t>החוזרת</w:t>
      </w:r>
      <w:r w:rsidRPr="002F2BC5">
        <w:rPr>
          <w:rtl/>
        </w:rPr>
        <w:t xml:space="preserve"> </w:t>
      </w:r>
      <w:r w:rsidRPr="002F2BC5">
        <w:rPr>
          <w:rFonts w:hint="eastAsia"/>
          <w:rtl/>
        </w:rPr>
        <w:t>בקרב</w:t>
      </w:r>
      <w:r w:rsidRPr="002F2BC5">
        <w:rPr>
          <w:rtl/>
        </w:rPr>
        <w:t xml:space="preserve"> </w:t>
      </w:r>
      <w:r w:rsidRPr="002F2BC5">
        <w:rPr>
          <w:rFonts w:hint="eastAsia"/>
          <w:rtl/>
        </w:rPr>
        <w:t>משתתפיה</w:t>
      </w:r>
      <w:r w:rsidRPr="002F2BC5">
        <w:rPr>
          <w:rStyle w:val="af9"/>
          <w:rtl/>
        </w:rPr>
        <w:footnoteReference w:id="450"/>
      </w:r>
      <w:r w:rsidRPr="002F2BC5">
        <w:rPr>
          <w:rtl/>
        </w:rPr>
        <w:t xml:space="preserve">. </w:t>
      </w:r>
      <w:r w:rsidRPr="002F2BC5">
        <w:rPr>
          <w:rFonts w:hint="eastAsia"/>
          <w:rtl/>
        </w:rPr>
        <w:t>עם</w:t>
      </w:r>
      <w:r w:rsidRPr="002F2BC5">
        <w:rPr>
          <w:rtl/>
        </w:rPr>
        <w:t xml:space="preserve"> </w:t>
      </w:r>
      <w:r w:rsidRPr="002F2BC5">
        <w:rPr>
          <w:rFonts w:hint="eastAsia"/>
          <w:rtl/>
        </w:rPr>
        <w:t>זאת</w:t>
      </w:r>
      <w:r w:rsidRPr="002F2BC5">
        <w:rPr>
          <w:rFonts w:hint="cs"/>
          <w:rtl/>
        </w:rPr>
        <w:t>,</w:t>
      </w:r>
      <w:r w:rsidRPr="002F2BC5">
        <w:rPr>
          <w:rtl/>
        </w:rPr>
        <w:t xml:space="preserve"> </w:t>
      </w:r>
      <w:r w:rsidRPr="002F2BC5">
        <w:rPr>
          <w:rFonts w:hint="eastAsia"/>
          <w:rtl/>
        </w:rPr>
        <w:t>במועד</w:t>
      </w:r>
      <w:r w:rsidRPr="002F2BC5">
        <w:rPr>
          <w:rtl/>
        </w:rPr>
        <w:t xml:space="preserve"> </w:t>
      </w:r>
      <w:r w:rsidRPr="002F2BC5">
        <w:rPr>
          <w:rFonts w:hint="eastAsia"/>
          <w:rtl/>
        </w:rPr>
        <w:t>סיום</w:t>
      </w:r>
      <w:r w:rsidRPr="002F2BC5">
        <w:rPr>
          <w:rtl/>
        </w:rPr>
        <w:t xml:space="preserve"> </w:t>
      </w:r>
      <w:r w:rsidRPr="002F2BC5">
        <w:rPr>
          <w:rFonts w:hint="eastAsia"/>
          <w:rtl/>
        </w:rPr>
        <w:t>הביקורת</w:t>
      </w:r>
      <w:r w:rsidRPr="002F2BC5">
        <w:rPr>
          <w:rtl/>
        </w:rPr>
        <w:t xml:space="preserve"> </w:t>
      </w:r>
      <w:r w:rsidRPr="002F2BC5">
        <w:rPr>
          <w:rFonts w:hint="eastAsia"/>
          <w:rtl/>
        </w:rPr>
        <w:t>הקודמת</w:t>
      </w:r>
      <w:r w:rsidRPr="002F2BC5">
        <w:rPr>
          <w:rtl/>
        </w:rPr>
        <w:t xml:space="preserve"> </w:t>
      </w:r>
      <w:r w:rsidRPr="002F2BC5">
        <w:rPr>
          <w:rFonts w:hint="eastAsia"/>
          <w:rtl/>
        </w:rPr>
        <w:t>היא</w:t>
      </w:r>
      <w:r w:rsidRPr="002F2BC5">
        <w:rPr>
          <w:rtl/>
        </w:rPr>
        <w:t xml:space="preserve"> </w:t>
      </w:r>
      <w:r w:rsidRPr="002F2BC5">
        <w:rPr>
          <w:rFonts w:hint="eastAsia"/>
          <w:rtl/>
        </w:rPr>
        <w:t>לא</w:t>
      </w:r>
      <w:r w:rsidRPr="002F2BC5">
        <w:rPr>
          <w:rtl/>
        </w:rPr>
        <w:t xml:space="preserve"> </w:t>
      </w:r>
      <w:r w:rsidRPr="002F2BC5">
        <w:rPr>
          <w:rFonts w:hint="eastAsia"/>
          <w:rtl/>
        </w:rPr>
        <w:t>הופעלה</w:t>
      </w:r>
      <w:r w:rsidRPr="002F2BC5">
        <w:rPr>
          <w:rtl/>
        </w:rPr>
        <w:t xml:space="preserve"> </w:t>
      </w:r>
      <w:r w:rsidRPr="002F2BC5">
        <w:rPr>
          <w:rFonts w:hint="eastAsia"/>
          <w:rtl/>
        </w:rPr>
        <w:t>בפריסה</w:t>
      </w:r>
      <w:r w:rsidRPr="002F2BC5">
        <w:rPr>
          <w:rtl/>
        </w:rPr>
        <w:t xml:space="preserve"> </w:t>
      </w:r>
      <w:r w:rsidRPr="002F2BC5">
        <w:rPr>
          <w:rFonts w:hint="eastAsia"/>
          <w:rtl/>
        </w:rPr>
        <w:t>ארצית</w:t>
      </w:r>
      <w:r w:rsidRPr="002F2BC5">
        <w:rPr>
          <w:rtl/>
        </w:rPr>
        <w:t xml:space="preserve"> והפעלתה לא הייתה מעוגנת בחוק. </w:t>
      </w:r>
      <w:r w:rsidRPr="002F2BC5">
        <w:rPr>
          <w:rFonts w:hint="eastAsia"/>
          <w:rtl/>
        </w:rPr>
        <w:t>בביקורת</w:t>
      </w:r>
      <w:r w:rsidRPr="002F2BC5">
        <w:rPr>
          <w:rtl/>
        </w:rPr>
        <w:t xml:space="preserve"> </w:t>
      </w:r>
      <w:r w:rsidRPr="002F2BC5">
        <w:rPr>
          <w:rFonts w:hint="eastAsia"/>
          <w:rtl/>
        </w:rPr>
        <w:t>המעקב</w:t>
      </w:r>
      <w:r w:rsidRPr="002F2BC5">
        <w:rPr>
          <w:rtl/>
        </w:rPr>
        <w:t xml:space="preserve"> </w:t>
      </w:r>
      <w:r w:rsidRPr="002F2BC5">
        <w:rPr>
          <w:rFonts w:hint="eastAsia"/>
          <w:rtl/>
        </w:rPr>
        <w:t>הועלה</w:t>
      </w:r>
      <w:r w:rsidRPr="002F2BC5">
        <w:rPr>
          <w:rtl/>
        </w:rPr>
        <w:t xml:space="preserve"> כי </w:t>
      </w:r>
      <w:r w:rsidRPr="002F2BC5">
        <w:rPr>
          <w:rFonts w:hint="eastAsia"/>
          <w:rtl/>
        </w:rPr>
        <w:t>הליקוי</w:t>
      </w:r>
      <w:r w:rsidRPr="002F2BC5">
        <w:rPr>
          <w:rtl/>
        </w:rPr>
        <w:t xml:space="preserve"> תוקן במידה רבה. </w:t>
      </w:r>
      <w:r w:rsidRPr="002F2BC5">
        <w:rPr>
          <w:rFonts w:hint="eastAsia"/>
          <w:rtl/>
        </w:rPr>
        <w:t>נמצא</w:t>
      </w:r>
      <w:r w:rsidRPr="002F2BC5">
        <w:rPr>
          <w:rtl/>
        </w:rPr>
        <w:t xml:space="preserve"> </w:t>
      </w:r>
      <w:r w:rsidRPr="002F2BC5">
        <w:rPr>
          <w:rFonts w:hint="eastAsia"/>
          <w:rtl/>
        </w:rPr>
        <w:t>כי</w:t>
      </w:r>
      <w:r w:rsidRPr="002F2BC5">
        <w:rPr>
          <w:rtl/>
        </w:rPr>
        <w:t xml:space="preserve"> </w:t>
      </w:r>
      <w:r w:rsidRPr="002F2BC5">
        <w:rPr>
          <w:rFonts w:hint="eastAsia"/>
          <w:rtl/>
        </w:rPr>
        <w:t>הפעלת</w:t>
      </w:r>
      <w:r w:rsidRPr="002F2BC5">
        <w:rPr>
          <w:rtl/>
        </w:rPr>
        <w:t xml:space="preserve"> </w:t>
      </w:r>
      <w:r w:rsidRPr="002F2BC5">
        <w:rPr>
          <w:rFonts w:hint="eastAsia"/>
          <w:rtl/>
        </w:rPr>
        <w:t>התוכנית</w:t>
      </w:r>
      <w:r w:rsidRPr="002F2BC5">
        <w:rPr>
          <w:rtl/>
        </w:rPr>
        <w:t xml:space="preserve"> </w:t>
      </w:r>
      <w:r w:rsidRPr="002F2BC5">
        <w:rPr>
          <w:rFonts w:hint="eastAsia"/>
          <w:rtl/>
        </w:rPr>
        <w:t>עוגנה</w:t>
      </w:r>
      <w:r w:rsidRPr="002F2BC5">
        <w:rPr>
          <w:rtl/>
        </w:rPr>
        <w:t xml:space="preserve"> </w:t>
      </w:r>
      <w:r w:rsidRPr="002F2BC5">
        <w:rPr>
          <w:rFonts w:hint="eastAsia"/>
          <w:rtl/>
        </w:rPr>
        <w:t>בחוק</w:t>
      </w:r>
      <w:r w:rsidRPr="002F2BC5">
        <w:rPr>
          <w:rtl/>
        </w:rPr>
        <w:t xml:space="preserve"> </w:t>
      </w:r>
      <w:r w:rsidRPr="002F2BC5">
        <w:rPr>
          <w:rFonts w:hint="cs"/>
          <w:rtl/>
        </w:rPr>
        <w:t>והושלמה פריסתה הארצית.</w:t>
      </w:r>
      <w:r w:rsidRPr="002F2BC5">
        <w:t xml:space="preserve"> </w:t>
      </w:r>
      <w:r w:rsidRPr="002F2BC5">
        <w:rPr>
          <w:rFonts w:hint="eastAsia"/>
          <w:rtl/>
        </w:rPr>
        <w:t>עם</w:t>
      </w:r>
      <w:r w:rsidRPr="002F2BC5">
        <w:rPr>
          <w:rtl/>
        </w:rPr>
        <w:t xml:space="preserve"> </w:t>
      </w:r>
      <w:r w:rsidRPr="002F2BC5">
        <w:rPr>
          <w:rFonts w:hint="eastAsia"/>
          <w:rtl/>
        </w:rPr>
        <w:t>זאת</w:t>
      </w:r>
      <w:r w:rsidRPr="002F2BC5">
        <w:rPr>
          <w:rFonts w:hint="cs"/>
          <w:rtl/>
        </w:rPr>
        <w:t>, מספר המשתתפים החדשים בתוכנית ירד בשנים 2022 - 2023 (מכ-400 לכ-350), וכן ירד בשנים הללו גם שיעורם של המשתתפים החדשים שביצעו עבירות אלימות בין בני זוג (מכ-12% לכ</w:t>
      </w:r>
      <w:r w:rsidRPr="002F2BC5">
        <w:rPr>
          <w:rtl/>
        </w:rPr>
        <w:t xml:space="preserve">-7%, </w:t>
      </w:r>
      <w:r w:rsidRPr="002F2BC5">
        <w:rPr>
          <w:rFonts w:hint="eastAsia"/>
          <w:rtl/>
        </w:rPr>
        <w:t>בהתאמה</w:t>
      </w:r>
      <w:r w:rsidRPr="002F2BC5">
        <w:rPr>
          <w:rtl/>
        </w:rPr>
        <w:t xml:space="preserve">). </w:t>
      </w:r>
      <w:r w:rsidRPr="002F2BC5">
        <w:rPr>
          <w:rFonts w:hint="eastAsia"/>
          <w:rtl/>
        </w:rPr>
        <w:t>יש</w:t>
      </w:r>
      <w:r w:rsidRPr="002F2BC5">
        <w:rPr>
          <w:rtl/>
        </w:rPr>
        <w:t xml:space="preserve"> לציין כי מספר המופנים על ידי </w:t>
      </w:r>
      <w:r w:rsidRPr="002F2BC5">
        <w:rPr>
          <w:rFonts w:hint="cs"/>
          <w:rtl/>
        </w:rPr>
        <w:t xml:space="preserve">בתי המשפט לבדיקת התאמה לתוכנית בשירות המבחן </w:t>
      </w:r>
      <w:r w:rsidRPr="002F2BC5">
        <w:rPr>
          <w:rtl/>
        </w:rPr>
        <w:t xml:space="preserve">בשנים הללו היה גבוה יותר, אך הרוב לא נמצאו מתאימים להשתתף בתוכנית: בשנת 2022 </w:t>
      </w:r>
      <w:r w:rsidRPr="002F2BC5">
        <w:rPr>
          <w:rFonts w:hint="eastAsia"/>
          <w:rtl/>
        </w:rPr>
        <w:t>נמצאו</w:t>
      </w:r>
      <w:r w:rsidRPr="002F2BC5">
        <w:rPr>
          <w:rtl/>
        </w:rPr>
        <w:t xml:space="preserve"> </w:t>
      </w:r>
      <w:r w:rsidRPr="002F2BC5">
        <w:rPr>
          <w:rFonts w:hint="eastAsia"/>
          <w:rtl/>
        </w:rPr>
        <w:t>מתאימים</w:t>
      </w:r>
      <w:r w:rsidRPr="002F2BC5">
        <w:rPr>
          <w:rtl/>
        </w:rPr>
        <w:t xml:space="preserve"> </w:t>
      </w:r>
      <w:r w:rsidRPr="002F2BC5">
        <w:rPr>
          <w:rFonts w:hint="eastAsia"/>
          <w:rtl/>
        </w:rPr>
        <w:t>לתוכנית</w:t>
      </w:r>
      <w:r w:rsidRPr="002F2BC5">
        <w:rPr>
          <w:rtl/>
        </w:rPr>
        <w:t xml:space="preserve"> 36 </w:t>
      </w:r>
      <w:r w:rsidRPr="002F2BC5">
        <w:rPr>
          <w:rFonts w:hint="eastAsia"/>
          <w:rtl/>
        </w:rPr>
        <w:t>מתוך</w:t>
      </w:r>
      <w:r w:rsidRPr="002F2BC5">
        <w:rPr>
          <w:rtl/>
        </w:rPr>
        <w:t xml:space="preserve"> 119 </w:t>
      </w:r>
      <w:r w:rsidRPr="002F2BC5">
        <w:rPr>
          <w:rFonts w:hint="cs"/>
          <w:rtl/>
        </w:rPr>
        <w:t>נאשמים בעבירות</w:t>
      </w:r>
      <w:r w:rsidRPr="002F2BC5">
        <w:rPr>
          <w:rtl/>
        </w:rPr>
        <w:t xml:space="preserve"> </w:t>
      </w:r>
      <w:r w:rsidRPr="002F2BC5">
        <w:rPr>
          <w:rFonts w:hint="cs"/>
          <w:rtl/>
        </w:rPr>
        <w:t xml:space="preserve">אלימות בין בני זוג שהופנו לבדיקת התאמה לתוכנית </w:t>
      </w:r>
      <w:r w:rsidRPr="002F2BC5">
        <w:rPr>
          <w:rtl/>
        </w:rPr>
        <w:t xml:space="preserve">(כ-30% </w:t>
      </w:r>
      <w:r w:rsidRPr="002F2BC5">
        <w:rPr>
          <w:rFonts w:hint="eastAsia"/>
          <w:rtl/>
        </w:rPr>
        <w:t>מהם</w:t>
      </w:r>
      <w:r w:rsidRPr="002F2BC5">
        <w:rPr>
          <w:rtl/>
        </w:rPr>
        <w:t xml:space="preserve">), ובשנת 2023 </w:t>
      </w:r>
      <w:r w:rsidRPr="002F2BC5">
        <w:rPr>
          <w:rFonts w:hint="eastAsia"/>
          <w:rtl/>
        </w:rPr>
        <w:t>נמצאו</w:t>
      </w:r>
      <w:r w:rsidRPr="002F2BC5">
        <w:rPr>
          <w:rtl/>
        </w:rPr>
        <w:t xml:space="preserve"> </w:t>
      </w:r>
      <w:r w:rsidRPr="002F2BC5">
        <w:rPr>
          <w:rFonts w:hint="eastAsia"/>
          <w:rtl/>
        </w:rPr>
        <w:t>מתאימים</w:t>
      </w:r>
      <w:r w:rsidRPr="002F2BC5">
        <w:rPr>
          <w:rtl/>
        </w:rPr>
        <w:t xml:space="preserve"> </w:t>
      </w:r>
      <w:r w:rsidRPr="002F2BC5">
        <w:rPr>
          <w:rFonts w:hint="eastAsia"/>
          <w:rtl/>
        </w:rPr>
        <w:t>לתוכנית</w:t>
      </w:r>
      <w:r w:rsidRPr="002F2BC5">
        <w:rPr>
          <w:rtl/>
        </w:rPr>
        <w:t xml:space="preserve"> 2</w:t>
      </w:r>
      <w:r w:rsidRPr="002F2BC5">
        <w:rPr>
          <w:rFonts w:hint="cs"/>
          <w:rtl/>
        </w:rPr>
        <w:t>8</w:t>
      </w:r>
      <w:r w:rsidRPr="002F2BC5">
        <w:rPr>
          <w:rtl/>
        </w:rPr>
        <w:t xml:space="preserve"> מתוך 82 </w:t>
      </w:r>
      <w:r w:rsidRPr="002F2BC5">
        <w:rPr>
          <w:rFonts w:hint="cs"/>
          <w:rtl/>
        </w:rPr>
        <w:t>נאשמים</w:t>
      </w:r>
      <w:r w:rsidRPr="002F2BC5">
        <w:rPr>
          <w:rtl/>
        </w:rPr>
        <w:t xml:space="preserve"> כאמור (כ-34% מהם)</w:t>
      </w:r>
      <w:r w:rsidRPr="002F2BC5">
        <w:rPr>
          <w:rStyle w:val="af9"/>
          <w:b w:val="0"/>
          <w:bCs w:val="0"/>
          <w:rtl/>
        </w:rPr>
        <w:footnoteReference w:id="451"/>
      </w:r>
      <w:r w:rsidRPr="002F2BC5">
        <w:rPr>
          <w:rFonts w:hint="cs"/>
          <w:rtl/>
        </w:rPr>
        <w:t>.</w:t>
      </w:r>
      <w:bookmarkEnd w:id="2282"/>
      <w:bookmarkEnd w:id="2283"/>
      <w:bookmarkEnd w:id="2284"/>
      <w:bookmarkEnd w:id="2285"/>
      <w:bookmarkEnd w:id="2286"/>
      <w:bookmarkEnd w:id="2287"/>
      <w:bookmarkEnd w:id="2288"/>
      <w:bookmarkEnd w:id="2289"/>
    </w:p>
    <w:p w14:paraId="5894D8BB" w14:textId="77777777" w:rsidR="00817399" w:rsidRPr="002F2BC5" w:rsidRDefault="00817399" w:rsidP="00817399">
      <w:pPr>
        <w:spacing w:line="269" w:lineRule="auto"/>
        <w:rPr>
          <w:rtl/>
        </w:rPr>
      </w:pPr>
    </w:p>
    <w:p w14:paraId="614B6974" w14:textId="77777777" w:rsidR="00817399" w:rsidRPr="002F2BC5" w:rsidRDefault="00817399" w:rsidP="00817399">
      <w:pPr>
        <w:spacing w:line="269" w:lineRule="auto"/>
        <w:rPr>
          <w:rtl/>
        </w:rPr>
      </w:pPr>
      <w:r w:rsidRPr="002F2BC5">
        <w:rPr>
          <w:rFonts w:hint="cs"/>
          <w:rtl/>
        </w:rPr>
        <w:t>הנהלת בתי המשפט מסרה במהלך ביקורת המעקב כי במהלך שנת 2024 חלה ירידה כללית במספר המופנים לתוכנית בתי המשפט הקהילתיים, ככל הנראה על רקע מלחמת חרבות ברזל. עוד מסרה כי במהלך שנת 2025 יפעלו הגורמים המוסמכים בבתי המשפט הקהילתיים למול השופטים הפליליים תוך שימת דגש מיוחדת על הפנייתם של נאשמים בעבירות אלימות במשפחה לבתי המשפט הקהילתיים.</w:t>
      </w:r>
    </w:p>
    <w:p w14:paraId="25197A15" w14:textId="77777777" w:rsidR="00817399" w:rsidRPr="002F2BC5" w:rsidRDefault="00817399" w:rsidP="00817399">
      <w:pPr>
        <w:spacing w:line="269" w:lineRule="auto"/>
        <w:rPr>
          <w:rtl/>
        </w:rPr>
      </w:pPr>
    </w:p>
    <w:p w14:paraId="5D6D4388" w14:textId="77777777" w:rsidR="00817399" w:rsidRPr="002F2BC5" w:rsidRDefault="00817399" w:rsidP="00817399">
      <w:pPr>
        <w:spacing w:line="269" w:lineRule="auto"/>
        <w:rPr>
          <w:rtl/>
        </w:rPr>
      </w:pPr>
      <w:r w:rsidRPr="002F2BC5">
        <w:rPr>
          <w:rFonts w:hint="cs"/>
          <w:rtl/>
        </w:rPr>
        <w:t>במסגרת הביקורת הנוכחית נבדק גם שיעורם של המופנים על ידי בתי המשפט לבדיקת התאמה לתוכנית שביצעו עבירות אלימות בין בני זוג מהחברה הערבית, ונבחן כמה מהם נמצאו מתאימים להשתתף בה. לפי נתוני שירות המבחן, בשנים 2022 עד ספטמבר 2024, שיעורם של המופנים לבדיקת התאמה לתוכנית מהחברה הערבית (כ-32%, 96 מתוך 296) ושל מי שנמצאו מתאימים להשתתף בתוכנית (כ-28%, 27 מתוך 96) היה דומה לשיעורם של המופנים לתסקיר שירות המבחן מהחברה הערבית מכלל המופנים לתסקיר שירות המבחן (כ-32%, 1,775 מתוך 5,542).</w:t>
      </w:r>
    </w:p>
    <w:p w14:paraId="43C49252" w14:textId="77777777" w:rsidR="00817399" w:rsidRPr="002F2BC5" w:rsidRDefault="00817399" w:rsidP="00817399">
      <w:pPr>
        <w:spacing w:line="269" w:lineRule="auto"/>
        <w:rPr>
          <w:rtl/>
        </w:rPr>
      </w:pPr>
    </w:p>
    <w:p w14:paraId="672E2C6D" w14:textId="77777777" w:rsidR="00817399" w:rsidRPr="002F2BC5" w:rsidRDefault="00817399" w:rsidP="00817399">
      <w:pPr>
        <w:spacing w:line="269" w:lineRule="auto"/>
        <w:rPr>
          <w:rtl/>
        </w:rPr>
      </w:pPr>
      <w:r w:rsidRPr="002F2BC5">
        <w:rPr>
          <w:rFonts w:hint="cs"/>
          <w:rtl/>
        </w:rPr>
        <w:t>לצד זאת, מחקר מלווה לתוכנית שפורסם בשנת 2023 וכלל נתונים על השנים 2014 - 2021, שב והצביע על התאמתה של תוכנית בתי המשפט הקהילתיים למשתתפים שביצעו עבירות אלימות במשפחה ועל שיעורם הגבוה של המשתתפים הללו מקרב המסיימים בהצלחה את התוכנית (כ-60% מהם)</w:t>
      </w:r>
      <w:r w:rsidRPr="002F2BC5">
        <w:rPr>
          <w:rStyle w:val="af9"/>
          <w:rtl/>
        </w:rPr>
        <w:footnoteReference w:id="452"/>
      </w:r>
      <w:r w:rsidRPr="002F2BC5">
        <w:rPr>
          <w:rFonts w:hint="cs"/>
          <w:rtl/>
        </w:rPr>
        <w:t xml:space="preserve"> - שיעור הגבוה בכ-10% בהשוואה לשיעור המשתתפים עם רקע של עבירות אחרות שסיימו בהצלחה (כ-50%). ממצאי המחקר שבו והצביעו גם על הצלחתה של התוכנית בצמצום העבריינות החוזרת. כך נמצא במחקר כי שיעור העבריינות החוזרת בקרב מסיימי התוכנית בהצלחה נמוך באופן ניכר (עד כדי 50%)</w:t>
      </w:r>
      <w:r w:rsidRPr="002F2BC5">
        <w:rPr>
          <w:rStyle w:val="af9"/>
          <w:rtl/>
        </w:rPr>
        <w:footnoteReference w:id="453"/>
      </w:r>
      <w:r w:rsidRPr="002F2BC5">
        <w:rPr>
          <w:rFonts w:hint="cs"/>
          <w:rtl/>
        </w:rPr>
        <w:t xml:space="preserve">. </w:t>
      </w:r>
    </w:p>
    <w:p w14:paraId="716B4D3A" w14:textId="77777777" w:rsidR="00817399" w:rsidRPr="002F2BC5" w:rsidRDefault="00817399" w:rsidP="00817399">
      <w:pPr>
        <w:spacing w:line="269" w:lineRule="auto"/>
        <w:rPr>
          <w:rtl/>
        </w:rPr>
      </w:pPr>
    </w:p>
    <w:p w14:paraId="3C7E9F09" w14:textId="77777777" w:rsidR="00817399" w:rsidRPr="002F2BC5" w:rsidRDefault="00817399" w:rsidP="00817399">
      <w:pPr>
        <w:spacing w:line="269" w:lineRule="auto"/>
        <w:rPr>
          <w:rtl/>
        </w:rPr>
      </w:pPr>
      <w:r w:rsidRPr="002F2BC5">
        <w:rPr>
          <w:rFonts w:hint="cs"/>
          <w:rtl/>
        </w:rPr>
        <w:t xml:space="preserve">על כך יש להוסיף כי ממצאי המחקר המלווה נגעו גם לאתגרים הגדולים שנלוו להפעלת בתי המשפט הקהילתיים במהלך תקופת הקורונה, ובייחוד לסיכון המוגבר לנסיגה בתהליכי השיקום ואף להרחקה מהתוכנית בשל ביצוע עבירות נוספות. מתוך המחקר עלה כי ההתמודדות עם </w:t>
      </w:r>
      <w:r w:rsidRPr="002F2BC5">
        <w:rPr>
          <w:rFonts w:hint="cs"/>
          <w:rtl/>
        </w:rPr>
        <w:lastRenderedPageBreak/>
        <w:t>אתגרים אלו חייבה את הגברת שיתוף הפעולה בין מערכת המשפט לגורמי המקצוע וכן חייבה לגלות הכלה וגמישות כלפי המשתתפים בתוכנית</w:t>
      </w:r>
      <w:r w:rsidRPr="002F2BC5">
        <w:rPr>
          <w:rStyle w:val="af9"/>
          <w:rtl/>
        </w:rPr>
        <w:footnoteReference w:id="454"/>
      </w:r>
      <w:r w:rsidRPr="002F2BC5">
        <w:rPr>
          <w:rFonts w:hint="cs"/>
          <w:rtl/>
        </w:rPr>
        <w:t>.</w:t>
      </w:r>
    </w:p>
    <w:p w14:paraId="60A7E493" w14:textId="77777777" w:rsidR="00817399" w:rsidRPr="002F2BC5" w:rsidRDefault="00817399" w:rsidP="00817399">
      <w:pPr>
        <w:spacing w:line="269" w:lineRule="auto"/>
        <w:rPr>
          <w:rtl/>
        </w:rPr>
      </w:pPr>
    </w:p>
    <w:p w14:paraId="23F8C01C" w14:textId="77777777" w:rsidR="00817399" w:rsidRPr="002F2BC5" w:rsidRDefault="00817399" w:rsidP="00817399">
      <w:pPr>
        <w:spacing w:line="269" w:lineRule="auto"/>
        <w:rPr>
          <w:rtl/>
        </w:rPr>
      </w:pPr>
      <w:r w:rsidRPr="002F2BC5">
        <w:rPr>
          <w:rFonts w:hint="cs"/>
          <w:rtl/>
        </w:rPr>
        <w:t>הנהלת בתי המשפט מסרה בתשובתה כי בחינת התאמתם של נאשמים לתוכנית בתי המשפט הקהילתיים נעשית על ידי שירות המבחן, על פי התנאים הקבועים בחוק, וכי בשנים האחרונות שיעורם של מי שנמצאו מתאימים להשתתף בתוכנית מכלל המועמדים שהופנו אליה עמד על כ-40% בלבד. עוד מסרה כי בימים אלה מסתיים גיבושו של נוהל עבודה בשעת חירום בבתי המשפט הקהילתיים, וזאת כדי לאפשר רציפות תפקודית ככל האפשר.</w:t>
      </w:r>
    </w:p>
    <w:p w14:paraId="18EEAA72" w14:textId="77777777" w:rsidR="00817399" w:rsidRPr="002F2BC5" w:rsidRDefault="00817399" w:rsidP="00817399">
      <w:pPr>
        <w:spacing w:line="269" w:lineRule="auto"/>
        <w:rPr>
          <w:rtl/>
        </w:rPr>
      </w:pPr>
    </w:p>
    <w:p w14:paraId="170D9AB4" w14:textId="77777777" w:rsidR="00817399" w:rsidRPr="002F2BC5" w:rsidRDefault="00817399" w:rsidP="00817399">
      <w:pPr>
        <w:spacing w:line="269" w:lineRule="auto"/>
        <w:rPr>
          <w:rtl/>
        </w:rPr>
      </w:pPr>
      <w:r w:rsidRPr="002F2BC5">
        <w:rPr>
          <w:rFonts w:hint="cs"/>
          <w:rtl/>
        </w:rPr>
        <w:t xml:space="preserve">משרד הרווחה מסר בתשובתו כי </w:t>
      </w:r>
      <w:r w:rsidRPr="002F2BC5">
        <w:rPr>
          <w:rtl/>
        </w:rPr>
        <w:t>בחודשים ינואר</w:t>
      </w:r>
      <w:r w:rsidRPr="002F2BC5">
        <w:rPr>
          <w:rFonts w:hint="cs"/>
          <w:rtl/>
        </w:rPr>
        <w:t>-</w:t>
      </w:r>
      <w:r w:rsidRPr="002F2BC5">
        <w:rPr>
          <w:rtl/>
        </w:rPr>
        <w:t xml:space="preserve">אפריל 2025 </w:t>
      </w:r>
      <w:r w:rsidRPr="002F2BC5">
        <w:rPr>
          <w:rFonts w:hint="cs"/>
          <w:rtl/>
        </w:rPr>
        <w:t>הופנו על ידי בתי המשפט 83 מועמדים שביצעו עבירת אלימות זוגית לבדיקת התאמה בשירות המבחן - עלייה של כ-84.5% ביחס לתקופה המקבילה בשנת 2024 (שאז הופנו לבדיקת התאמה 45 מועמדים בלבד). נוסף על כך, חלה עלייה גם במספר המצטרפים החדשים לתוכנית: מ-14 מצטרפים חדשים בחודשים ינואר-אפריל 2024 ל-19 מצטרפים חדשים במהלך התקופה המקבילה בשנת 2025. נכון למועד התשובה, התוכנית כוללת 880 משתתפים, שהצטרפו אליה במועדים שונים, ומהם 80 שביצעו עבירות אלימות זוגית [כ-9% מהם]. משרד הרווחה ציין עוד בתשובתו כי המשתתפים</w:t>
      </w:r>
      <w:r w:rsidRPr="002F2BC5">
        <w:rPr>
          <w:rtl/>
        </w:rPr>
        <w:t xml:space="preserve"> משולבים בקבוצות טיפוליות</w:t>
      </w:r>
      <w:r w:rsidRPr="002F2BC5">
        <w:rPr>
          <w:rFonts w:hint="cs"/>
          <w:rtl/>
        </w:rPr>
        <w:t xml:space="preserve"> של שירות המבחן, בבתי נועם או ביחידות העירוניות בקהילה, בשים לב לרמת המסוכנות שלהם ולמאפייניהם הייחודיים, וניתן להם מענה כוללני גם בתחומי התעסוקה ומיצוי הזכויות, בהתאם לצרכים שעלו בתהליך האבחון הראשוני. נוסף על כך, נכון למועד מתן התשובה, קציני המבחן ממשיכים ללוות 27 מבין מסיימי התוכנית שביצעו עבירות אלימות זוגית ושהם תחת צווי מבחן, במטרה להמשיך ולשמר את הישגי הטיפול ולסייע בהשתלבותם בקהילה. לעניין התאמת מתכונת התוכנית לעיתות משבר וחירום, משרד הרווחה מסר כי בעיתות אלו קציני המבחן עומדים </w:t>
      </w:r>
      <w:r w:rsidRPr="002F2BC5">
        <w:rPr>
          <w:rtl/>
        </w:rPr>
        <w:t xml:space="preserve">בקשר </w:t>
      </w:r>
      <w:r w:rsidRPr="002F2BC5">
        <w:rPr>
          <w:rFonts w:hint="cs"/>
          <w:rtl/>
        </w:rPr>
        <w:t>רציף עם משתתפי התוכנית, באופן פרונטלי או מקוון, וכן מתקיימים דיונים יזומים בבתי המשפט הקהילתיים לשם מתן מענה וסיוע בהתאם לצורכיהם</w:t>
      </w:r>
      <w:r w:rsidRPr="002F2BC5">
        <w:rPr>
          <w:rtl/>
        </w:rPr>
        <w:t>.</w:t>
      </w:r>
      <w:r w:rsidRPr="002F2BC5">
        <w:rPr>
          <w:rFonts w:hint="cs"/>
          <w:rtl/>
        </w:rPr>
        <w:t xml:space="preserve"> </w:t>
      </w:r>
    </w:p>
    <w:p w14:paraId="7FF4A335" w14:textId="77777777" w:rsidR="00817399" w:rsidRPr="002F2BC5" w:rsidRDefault="00817399" w:rsidP="00817399">
      <w:pPr>
        <w:spacing w:line="269" w:lineRule="auto"/>
        <w:rPr>
          <w:rtl/>
        </w:rPr>
      </w:pPr>
    </w:p>
    <w:p w14:paraId="672634D1" w14:textId="77777777" w:rsidR="00817399" w:rsidRPr="002F2BC5" w:rsidRDefault="00817399" w:rsidP="00817399">
      <w:pPr>
        <w:pStyle w:val="afffffffa"/>
        <w:spacing w:line="269" w:lineRule="auto"/>
        <w:rPr>
          <w:rtl/>
        </w:rPr>
      </w:pPr>
      <w:bookmarkStart w:id="2290" w:name="_Toc191987198"/>
      <w:bookmarkStart w:id="2291" w:name="_Toc192093206"/>
      <w:bookmarkStart w:id="2292" w:name="_Toc192612914"/>
      <w:bookmarkStart w:id="2293" w:name="_Toc198312366"/>
      <w:bookmarkStart w:id="2294" w:name="_Toc198312851"/>
      <w:bookmarkStart w:id="2295" w:name="_Toc200637003"/>
      <w:bookmarkStart w:id="2296" w:name="_Toc200440001"/>
      <w:bookmarkStart w:id="2297" w:name="_Toc201241106"/>
      <w:r w:rsidRPr="002F2BC5">
        <w:rPr>
          <w:rFonts w:hint="cs"/>
          <w:rtl/>
        </w:rPr>
        <w:t>מומלץ לשירות המבחן ולהנהלת בתי המשפט להמשיך ולבחון במשותף את הסיבות האפשריות לירידה בשיעורם של המשתתפים בתוכנית שביצעו עבירות אלימות בין בני זוג ואת הסיבות לשיעורם הנמוך יחסית של הנאשמים בעבירות אלימות במשפחה שנמצאו מתאימים להיכלל בתוכנית מכלל הנאשמים הללו המופנים לבדיקת התאמה לתוכנית. זאת לנוכח ההסתברות הנמוכה יותר לעבריינות חוזרת בקרב משתתפיה. עוד מומלץ להתאים את מתכונת הפעלת התוכנית גם לעיתות משבר וחירום, ובתוך כך להשלים את גיבוש נוהל העבודה בשעת חירום, כדי להבטיח את המשך השגת מטרותיה לנוכח האתגרים הגדולים הנלווים לתקופות אלו.</w:t>
      </w:r>
      <w:bookmarkEnd w:id="2290"/>
      <w:bookmarkEnd w:id="2291"/>
      <w:bookmarkEnd w:id="2292"/>
      <w:bookmarkEnd w:id="2293"/>
      <w:bookmarkEnd w:id="2294"/>
      <w:bookmarkEnd w:id="2295"/>
      <w:bookmarkEnd w:id="2296"/>
      <w:bookmarkEnd w:id="2297"/>
    </w:p>
    <w:bookmarkEnd w:id="2278"/>
    <w:p w14:paraId="3FC52CD6" w14:textId="77777777" w:rsidR="00817399" w:rsidRPr="002F2BC5" w:rsidRDefault="00817399" w:rsidP="00817399">
      <w:pPr>
        <w:spacing w:line="269" w:lineRule="auto"/>
        <w:rPr>
          <w:rtl/>
        </w:rPr>
      </w:pPr>
    </w:p>
    <w:p w14:paraId="0A55F1B3"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1E261F58" w14:textId="77777777" w:rsidR="00817399" w:rsidRPr="002F2BC5" w:rsidRDefault="00817399" w:rsidP="00817399">
      <w:pPr>
        <w:pStyle w:val="afffffff7"/>
        <w:spacing w:before="0" w:line="269" w:lineRule="auto"/>
      </w:pPr>
      <w:bookmarkStart w:id="2298" w:name="_Toc198312367"/>
      <w:bookmarkStart w:id="2299" w:name="_Toc198312852"/>
      <w:r w:rsidRPr="002F2BC5">
        <w:rPr>
          <w:noProof/>
        </w:rPr>
        <w:drawing>
          <wp:inline distT="0" distB="0" distL="0" distR="0" wp14:anchorId="43A80109" wp14:editId="1F3C9462">
            <wp:extent cx="4324350" cy="933450"/>
            <wp:effectExtent l="0" t="0" r="0" b="0"/>
            <wp:docPr id="57"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298"/>
      <w:bookmarkEnd w:id="2299"/>
    </w:p>
    <w:p w14:paraId="378D391A" w14:textId="77777777" w:rsidR="00817399" w:rsidRDefault="00817399" w:rsidP="00817399">
      <w:pPr>
        <w:bidi w:val="0"/>
        <w:spacing w:after="200" w:line="276" w:lineRule="auto"/>
        <w:rPr>
          <w:rtl/>
        </w:rPr>
      </w:pPr>
      <w:r>
        <w:rPr>
          <w:rtl/>
        </w:rPr>
        <w:br w:type="page"/>
      </w:r>
    </w:p>
    <w:p w14:paraId="3FD474E2" w14:textId="77777777" w:rsidR="00817399" w:rsidRPr="002F2BC5" w:rsidRDefault="00817399" w:rsidP="00817399">
      <w:pPr>
        <w:pStyle w:val="50"/>
        <w:spacing w:line="269" w:lineRule="auto"/>
        <w:rPr>
          <w:rtl/>
        </w:rPr>
      </w:pPr>
      <w:bookmarkStart w:id="2300" w:name="_Ref186999027"/>
      <w:bookmarkStart w:id="2301" w:name="_Toc189072299"/>
      <w:bookmarkStart w:id="2302" w:name="_Toc191987199"/>
      <w:bookmarkStart w:id="2303" w:name="_Toc192093207"/>
      <w:bookmarkStart w:id="2304" w:name="_Toc193110647"/>
      <w:bookmarkStart w:id="2305" w:name="_Toc192612915"/>
      <w:bookmarkStart w:id="2306" w:name="_Toc198312853"/>
      <w:bookmarkStart w:id="2307" w:name="_Toc200637004"/>
      <w:bookmarkStart w:id="2308" w:name="_Toc200440002"/>
      <w:bookmarkStart w:id="2309" w:name="_Toc201241107"/>
      <w:bookmarkEnd w:id="2279"/>
      <w:r w:rsidRPr="002F2BC5">
        <w:rPr>
          <w:rFonts w:hint="cs"/>
          <w:rtl/>
        </w:rPr>
        <w:lastRenderedPageBreak/>
        <w:t>טיפול ושיקום בין כותלי בית הסוהר</w:t>
      </w:r>
      <w:bookmarkEnd w:id="2165"/>
      <w:bookmarkEnd w:id="2300"/>
      <w:bookmarkEnd w:id="2301"/>
      <w:bookmarkEnd w:id="2302"/>
      <w:bookmarkEnd w:id="2303"/>
      <w:bookmarkEnd w:id="2304"/>
      <w:bookmarkEnd w:id="2305"/>
      <w:bookmarkEnd w:id="2306"/>
      <w:bookmarkEnd w:id="2307"/>
      <w:bookmarkEnd w:id="2308"/>
      <w:bookmarkEnd w:id="2309"/>
    </w:p>
    <w:p w14:paraId="5494E528" w14:textId="77777777" w:rsidR="00817399" w:rsidRPr="002F2BC5" w:rsidRDefault="00817399" w:rsidP="00817399">
      <w:pPr>
        <w:spacing w:line="269" w:lineRule="auto"/>
        <w:rPr>
          <w:rtl/>
        </w:rPr>
      </w:pPr>
    </w:p>
    <w:p w14:paraId="6F280E50" w14:textId="77777777" w:rsidR="00817399" w:rsidRPr="002F2BC5" w:rsidRDefault="00817399" w:rsidP="00817399">
      <w:pPr>
        <w:spacing w:line="269" w:lineRule="auto"/>
        <w:rPr>
          <w:rtl/>
        </w:rPr>
      </w:pPr>
      <w:r w:rsidRPr="002F2BC5">
        <w:rPr>
          <w:rtl/>
        </w:rPr>
        <w:t>האחריות לשיקום האסיר</w:t>
      </w:r>
      <w:r w:rsidRPr="002F2BC5">
        <w:rPr>
          <w:rFonts w:hint="cs"/>
          <w:rtl/>
        </w:rPr>
        <w:t>י</w:t>
      </w:r>
      <w:r w:rsidRPr="002F2BC5">
        <w:rPr>
          <w:rtl/>
        </w:rPr>
        <w:t>ם בתוך תקופת המאסר</w:t>
      </w:r>
      <w:r w:rsidRPr="002F2BC5">
        <w:rPr>
          <w:rFonts w:hint="cs"/>
          <w:rtl/>
        </w:rPr>
        <w:t>, ובכללם אסירים המרצים מאסר בגין עבירות אלימות במשפחה,</w:t>
      </w:r>
      <w:r w:rsidRPr="002F2BC5">
        <w:rPr>
          <w:rtl/>
        </w:rPr>
        <w:t xml:space="preserve"> </w:t>
      </w:r>
      <w:r w:rsidRPr="002F2BC5">
        <w:rPr>
          <w:rFonts w:hint="cs"/>
          <w:rtl/>
        </w:rPr>
        <w:t>היא אחד מיעדיו של שירות בתי הסוהר. זאת לצד ייעודו של שירות בתי הסוהר בהחזקת האסירים במשמורת למטרות ענישה וגמול ולשם הגנה על הציבור</w:t>
      </w:r>
      <w:r w:rsidRPr="002F2BC5">
        <w:rPr>
          <w:rStyle w:val="af9"/>
          <w:rtl/>
        </w:rPr>
        <w:footnoteReference w:id="455"/>
      </w:r>
      <w:r w:rsidRPr="002F2BC5">
        <w:rPr>
          <w:rFonts w:hint="cs"/>
          <w:rtl/>
        </w:rPr>
        <w:t>.</w:t>
      </w:r>
      <w:r w:rsidRPr="002F2BC5">
        <w:rPr>
          <w:rtl/>
        </w:rPr>
        <w:t xml:space="preserve"> </w:t>
      </w:r>
      <w:r w:rsidRPr="002F2BC5">
        <w:rPr>
          <w:rFonts w:hint="cs"/>
          <w:rtl/>
        </w:rPr>
        <w:t>במקרה שמדובר באסירים המרצים מאסר בגין עבירות אלימות במשפחה, החשיבות שבשילובם בתוכנית שיקומית במהלך מאסרם מקבלת משנה תוקף. זאת משום שלרוב אסירים אלו משוחררים בשחרור מינהלי, עקב עומס על בתי הסוהר (להלן - שחרור מינהלי)</w:t>
      </w:r>
      <w:r w:rsidRPr="002F2BC5">
        <w:rPr>
          <w:rStyle w:val="af9"/>
          <w:rtl/>
        </w:rPr>
        <w:footnoteReference w:id="456"/>
      </w:r>
      <w:r w:rsidRPr="002F2BC5">
        <w:rPr>
          <w:rFonts w:hint="cs"/>
          <w:rtl/>
        </w:rPr>
        <w:t>, בלי שבהחלטה על שחרורם מובאים בחשבון שיקולים הנוגעים למאפייני העבירה שביצעו או לרמת המסוכנות הנשקפת מהם</w:t>
      </w:r>
      <w:r w:rsidRPr="002F2BC5">
        <w:rPr>
          <w:rStyle w:val="af9"/>
          <w:rtl/>
        </w:rPr>
        <w:footnoteReference w:id="457"/>
      </w:r>
      <w:r w:rsidRPr="002F2BC5">
        <w:rPr>
          <w:rFonts w:hint="cs"/>
          <w:rtl/>
        </w:rPr>
        <w:t xml:space="preserve">. </w:t>
      </w:r>
    </w:p>
    <w:p w14:paraId="6EBA0AA5" w14:textId="77777777" w:rsidR="00817399" w:rsidRPr="002F2BC5" w:rsidRDefault="00817399" w:rsidP="00817399">
      <w:pPr>
        <w:spacing w:line="269" w:lineRule="auto"/>
        <w:rPr>
          <w:rtl/>
        </w:rPr>
      </w:pPr>
    </w:p>
    <w:p w14:paraId="7237583F" w14:textId="77777777" w:rsidR="00817399" w:rsidRPr="002F2BC5" w:rsidRDefault="00817399" w:rsidP="00817399">
      <w:pPr>
        <w:spacing w:line="269" w:lineRule="auto"/>
        <w:rPr>
          <w:rtl/>
        </w:rPr>
      </w:pPr>
      <w:r w:rsidRPr="002F2BC5">
        <w:rPr>
          <w:rFonts w:hint="cs"/>
          <w:rtl/>
        </w:rPr>
        <w:t>ההליך הטיפולי-שיקומי במהלך תקופת המאסר נועד בין השאר להפחית את ההיתכנות לביצוען של עבירות נוספות מצד האסיר לאחר שחרורו. הוא יכול להיעשות במסגרת טיפול פרטני או קבוצתי, שאינו בהכרח מותאם באופן ייעודי לעבירה שבגינה מרצה האסיר מאסר (להלן גם טיפול לא-ייעודי), והוא יכול להיעשות במסגרת הליך טיפולי במחלקה ייעודית לאסירים המרצים מאסר בגין עבירות מסוימות (להלן גם טיפול ייעודי)</w:t>
      </w:r>
      <w:r w:rsidRPr="002F2BC5">
        <w:rPr>
          <w:rStyle w:val="af9"/>
          <w:rtl/>
        </w:rPr>
        <w:footnoteReference w:id="458"/>
      </w:r>
      <w:r w:rsidRPr="002F2BC5">
        <w:rPr>
          <w:rtl/>
        </w:rPr>
        <w:t>.</w:t>
      </w:r>
      <w:r w:rsidRPr="002F2BC5">
        <w:rPr>
          <w:rFonts w:hint="cs"/>
          <w:rtl/>
        </w:rPr>
        <w:t xml:space="preserve"> סוג הטיפול מותאם באופן פרטני לצרכיו הייחודיים של כל אסיר ולבשלות שלו לטיפול, והוא נקבע בין השאר בהתאם לאורכו של המאסר, בצורך לייצב את מצבו הנפשי של האסיר ולרתום אותו לטיפול, בצורך להקנות לאסיר שאינו דובר השפה העברית את מיומנויות השפה, וכן בבעיות נוספות של האסיר המחייבות טיפול מקדים, כגון בעיית התמכרות המחייבת, קודם לשילובו בתוכנית שיקומית, גמילה מחומרים ממכרים. סוג הטיפול מותאם גם בשים לב להיצע התוכניות השיקומיות הקיימות.</w:t>
      </w:r>
    </w:p>
    <w:p w14:paraId="50414FEA" w14:textId="77777777" w:rsidR="00817399" w:rsidRPr="002F2BC5" w:rsidRDefault="00817399" w:rsidP="00817399">
      <w:pPr>
        <w:spacing w:line="269" w:lineRule="auto"/>
        <w:rPr>
          <w:rtl/>
        </w:rPr>
      </w:pPr>
    </w:p>
    <w:p w14:paraId="74A3948E" w14:textId="77777777" w:rsidR="00817399" w:rsidRPr="002F2BC5" w:rsidRDefault="00817399" w:rsidP="00817399">
      <w:pPr>
        <w:spacing w:line="269" w:lineRule="auto"/>
        <w:rPr>
          <w:rtl/>
        </w:rPr>
      </w:pPr>
      <w:r w:rsidRPr="002F2BC5">
        <w:rPr>
          <w:rFonts w:hint="cs"/>
          <w:rtl/>
        </w:rPr>
        <w:t>טיפול ייעודי לאסירים המרצים מאסר בגין עבירות אלימות במשפחה ניתן בין השאר במסגרת תוכנית "בית התקווה" בכלא חרמון (להלן - תוכנית "בית התקווה"). מחקר הערכה שנעשה בשנת 2015 על תוכנית זו העלה כי השתתפות בתוכנית מפחיתה באופן מובהק את העבריינות החוזרת בקרב המשתתפים בתוכנית, וכי בתום השנה הראשונה לשחרורם ממאסר, הסיכון שאסיר ששוקם בתוכנית ייאסר בשנית נמוך בכ-61% מסיכון זה אצל אסיר שלא שוקם בתוכנית. עם זאת, בתום חמש שנים ממועד השחרור ממאסר, פער זה פוחת במידה ניכרת, והוא אינו עוד מובהק סטטיסטית</w:t>
      </w:r>
      <w:r w:rsidRPr="002F2BC5">
        <w:rPr>
          <w:rStyle w:val="af9"/>
          <w:rtl/>
        </w:rPr>
        <w:footnoteReference w:id="459"/>
      </w:r>
      <w:r w:rsidRPr="002F2BC5">
        <w:rPr>
          <w:rFonts w:hint="cs"/>
          <w:rtl/>
        </w:rPr>
        <w:t xml:space="preserve">. עורכי המחקר ציינו כי הירידה בתרומתה של התוכנית עם חלוף השנים ממועד השחרור ממאסר מרמזת </w:t>
      </w:r>
      <w:r w:rsidRPr="002F2BC5">
        <w:rPr>
          <w:rtl/>
        </w:rPr>
        <w:t xml:space="preserve">על </w:t>
      </w:r>
      <w:r w:rsidRPr="002F2BC5">
        <w:rPr>
          <w:rFonts w:hint="cs"/>
          <w:rtl/>
        </w:rPr>
        <w:t>החשיבות שבהבטחת ה</w:t>
      </w:r>
      <w:r w:rsidRPr="002F2BC5">
        <w:rPr>
          <w:rtl/>
        </w:rPr>
        <w:t xml:space="preserve">רצף </w:t>
      </w:r>
      <w:r w:rsidRPr="002F2BC5">
        <w:rPr>
          <w:rFonts w:hint="cs"/>
          <w:rtl/>
        </w:rPr>
        <w:t>ה</w:t>
      </w:r>
      <w:r w:rsidRPr="002F2BC5">
        <w:rPr>
          <w:rtl/>
        </w:rPr>
        <w:t xml:space="preserve">טיפולי </w:t>
      </w:r>
      <w:r w:rsidRPr="002F2BC5">
        <w:rPr>
          <w:rFonts w:hint="cs"/>
          <w:rtl/>
        </w:rPr>
        <w:t>לאחר השחרור ממאסר</w:t>
      </w:r>
      <w:r w:rsidRPr="002F2BC5">
        <w:rPr>
          <w:rStyle w:val="af9"/>
          <w:rtl/>
        </w:rPr>
        <w:footnoteReference w:id="460"/>
      </w:r>
      <w:r w:rsidRPr="002F2BC5">
        <w:rPr>
          <w:rtl/>
        </w:rPr>
        <w:t>.</w:t>
      </w:r>
    </w:p>
    <w:p w14:paraId="4286EF8A" w14:textId="77777777" w:rsidR="00817399" w:rsidRPr="002F2BC5" w:rsidRDefault="00817399" w:rsidP="00817399">
      <w:pPr>
        <w:spacing w:line="269" w:lineRule="auto"/>
        <w:rPr>
          <w:rtl/>
        </w:rPr>
      </w:pPr>
    </w:p>
    <w:p w14:paraId="4DA066F6" w14:textId="77777777" w:rsidR="00817399" w:rsidRPr="002F2BC5" w:rsidRDefault="00817399" w:rsidP="00817399">
      <w:pPr>
        <w:spacing w:line="269" w:lineRule="auto"/>
        <w:rPr>
          <w:rtl/>
        </w:rPr>
      </w:pPr>
      <w:r w:rsidRPr="002F2BC5">
        <w:rPr>
          <w:rFonts w:hint="cs"/>
          <w:rtl/>
        </w:rPr>
        <w:t>לצד המענים השיקומיים, הייעודיים והלא-ייעודיים בין כותלי בית הסוהר, משנת 2019 החל שירות בתי הסוהר להפעיל תוכנית ייעודית בבית המעצר צלמון לטיפול בעצורים בגין עבירות אלימות במשפחה (להלן - התוכנית הייעודית לעצורים). תוכנית זו אינה מתמקדת במאפייניה של העבירה עצמה בשל קושי רב יותר לרתום את העצורים לטיפול כזה בתקופת המעצר, ובטרם נגזר דינם, אלא בייצוב מצבם הנפשי ובהכנתם לקראת שילובם בטיפול ייעודי בין כותלי בית הסוהר, לאחר שפיטתם וגזירת דינם.</w:t>
      </w:r>
    </w:p>
    <w:p w14:paraId="1D9ABF70" w14:textId="77777777" w:rsidR="00817399" w:rsidRPr="002F2BC5" w:rsidRDefault="00817399" w:rsidP="00817399">
      <w:pPr>
        <w:spacing w:line="269" w:lineRule="auto"/>
        <w:rPr>
          <w:rtl/>
        </w:rPr>
      </w:pPr>
    </w:p>
    <w:p w14:paraId="54AEFDE2" w14:textId="77777777" w:rsidR="00817399" w:rsidRPr="002F2BC5" w:rsidRDefault="00817399" w:rsidP="00817399">
      <w:pPr>
        <w:spacing w:line="269" w:lineRule="auto"/>
        <w:rPr>
          <w:rtl/>
        </w:rPr>
      </w:pPr>
      <w:bookmarkStart w:id="2310" w:name="_Toc191987200"/>
      <w:r w:rsidRPr="002F2BC5">
        <w:rPr>
          <w:rStyle w:val="70"/>
          <w:rFonts w:hint="cs"/>
          <w:rtl/>
        </w:rPr>
        <w:t>הביקורת הקודמת:</w:t>
      </w:r>
      <w:bookmarkEnd w:id="2310"/>
      <w:r w:rsidRPr="002F2BC5">
        <w:rPr>
          <w:rStyle w:val="70"/>
          <w:rFonts w:hint="cs"/>
          <w:rtl/>
        </w:rPr>
        <w:t xml:space="preserve"> </w:t>
      </w:r>
      <w:r w:rsidRPr="002F2BC5">
        <w:rPr>
          <w:rFonts w:hint="cs"/>
          <w:rtl/>
        </w:rPr>
        <w:t xml:space="preserve">נמצא כי לפי נתוני שירות בתי הסוהר, בשנים 2015 - 2019 חל גידול בשיעור האסירים שריצו מאסר בגין עבירות אלימות במשפחה והשתלבו בטיפול במהלך מאסרם, </w:t>
      </w:r>
      <w:r w:rsidRPr="002F2BC5">
        <w:rPr>
          <w:rFonts w:hint="cs"/>
          <w:rtl/>
        </w:rPr>
        <w:lastRenderedPageBreak/>
        <w:t>מכ-32% (417 מתוך 1,300) בשנת 2015 לכ-62% (889 מתוך 1,438) בשנת 2019. עיקר הגידול היה בשיעורם של אסירים ששולבו בתוכניות שיקומיות לא-ייעודיות: בשנת 2015 כ-23% מהאסירים שריצו מאסר בגין עבירות אלימות במשפחה (299 מתוך 1,300) שולבו בטיפול פרטני או קבוצתי שאינו ייעודי, לעומת כ-47% מהם (670 מתוך 1,438) בשנת 2019. לעומת זאת, הגידול בשיעורם של האסירים שריצו מאסר בגין עבירות אלימות במשפחה ושולבו בתוכניות שיקומיות ייעודיות עלה באופן מתון בשנים הללו: בשנת 2015 כ-9% מהאסירים שריצו מאסר בגין עבירות אלימות במשפחה (120 מתוך 1,300) שולבו בתוכניות שיקומיות ייעודיות, לעומת כ-15% מהם (219 מתוך 1,438) בשנת 2019.</w:t>
      </w:r>
    </w:p>
    <w:p w14:paraId="584EAAE8" w14:textId="77777777" w:rsidR="00817399" w:rsidRPr="002F2BC5" w:rsidRDefault="00817399" w:rsidP="00817399">
      <w:pPr>
        <w:spacing w:line="269" w:lineRule="auto"/>
        <w:rPr>
          <w:rtl/>
        </w:rPr>
      </w:pPr>
    </w:p>
    <w:p w14:paraId="5CFF5E05" w14:textId="77777777" w:rsidR="00817399" w:rsidRPr="002F2BC5" w:rsidRDefault="00817399" w:rsidP="00817399">
      <w:pPr>
        <w:spacing w:line="269" w:lineRule="auto"/>
        <w:rPr>
          <w:rtl/>
        </w:rPr>
      </w:pPr>
      <w:r w:rsidRPr="002F2BC5">
        <w:rPr>
          <w:rFonts w:hint="cs"/>
          <w:rtl/>
        </w:rPr>
        <w:t>הביקורת הקודמת העלתה עוד כי לפי נתוני שירות בתי הסוהר, כ-50% מהאסירים שריצו מאסר בגין עבירות אלימות במשפחה ריצו תקופות מאסר קצרות</w:t>
      </w:r>
      <w:r w:rsidRPr="002F2BC5">
        <w:rPr>
          <w:rStyle w:val="af9"/>
          <w:rtl/>
        </w:rPr>
        <w:footnoteReference w:id="461"/>
      </w:r>
      <w:r w:rsidRPr="002F2BC5">
        <w:rPr>
          <w:rFonts w:hint="cs"/>
          <w:rtl/>
        </w:rPr>
        <w:t xml:space="preserve"> וכי בשנת 2019 ריצו כ-66% מהאסירים בגין עבירות אלו מאסר של פחות מ-12 חודשים, כך שהיה קשה יותר לשלבם בתוכניות שיקומיות ייעודיות במהלך מאסרם. </w:t>
      </w:r>
    </w:p>
    <w:p w14:paraId="4BC6DA8E" w14:textId="77777777" w:rsidR="00817399" w:rsidRPr="002F2BC5" w:rsidRDefault="00817399" w:rsidP="00817399">
      <w:pPr>
        <w:spacing w:line="269" w:lineRule="auto"/>
        <w:rPr>
          <w:rtl/>
        </w:rPr>
      </w:pPr>
    </w:p>
    <w:p w14:paraId="26BB5347"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לשירות בתי הסוהר לפעול לשילובם של כלל האסירים המרצים מאסר בגין עבירות אלימות במשפחה בתוכניות שיקומיות ייעודיות. עוד הומלץ למשרד לביטחון לאומי, בשיתוף שירות בתי הסוהר, לבחון את הרחבת מערך המענים השיקומיים, כך שיינתן בהם מענה גם לאסירים המרצים מאסר קצר בגין עבירות אלימות במשפחה. </w:t>
      </w:r>
    </w:p>
    <w:p w14:paraId="7B768E86" w14:textId="77777777" w:rsidR="00817399" w:rsidRPr="002F2BC5" w:rsidRDefault="00817399" w:rsidP="00817399">
      <w:pPr>
        <w:spacing w:line="269" w:lineRule="auto"/>
        <w:rPr>
          <w:rtl/>
        </w:rPr>
      </w:pPr>
    </w:p>
    <w:p w14:paraId="0E46B2AE" w14:textId="77777777" w:rsidR="00817399" w:rsidRPr="002F2BC5" w:rsidRDefault="00817399" w:rsidP="00817399">
      <w:pPr>
        <w:spacing w:line="269" w:lineRule="auto"/>
        <w:rPr>
          <w:rtl/>
        </w:rPr>
      </w:pPr>
      <w:r w:rsidRPr="002F2BC5">
        <w:rPr>
          <w:rFonts w:hint="cs"/>
          <w:rtl/>
        </w:rPr>
        <w:t xml:space="preserve">שירות בתי הסוהר מסר בתשובתו לביקורת הקודמת מינואר 2021 כי הוא פועל כל העת להגדלת מספר האסירים בגין עבירות אלימות במשפחה המשולבים בתוכניות שיקומיות, וכי כל אסיר המביע נכונות להשתלב בטיפול ישולב בטיפול המתאים לו. אשר לאסירים המרצים מאסרים קצרים, </w:t>
      </w:r>
      <w:r w:rsidRPr="002F2BC5">
        <w:rPr>
          <w:rtl/>
        </w:rPr>
        <w:t>ש</w:t>
      </w:r>
      <w:r w:rsidRPr="002F2BC5">
        <w:rPr>
          <w:rFonts w:hint="cs"/>
          <w:rtl/>
        </w:rPr>
        <w:t xml:space="preserve">ירות בתי הסוהר והמשרד לביטחון לאומי </w:t>
      </w:r>
      <w:r w:rsidRPr="002F2BC5">
        <w:rPr>
          <w:rtl/>
        </w:rPr>
        <w:t>מסר</w:t>
      </w:r>
      <w:r w:rsidRPr="002F2BC5">
        <w:rPr>
          <w:rFonts w:hint="cs"/>
          <w:rtl/>
        </w:rPr>
        <w:t>ו</w:t>
      </w:r>
      <w:r w:rsidRPr="002F2BC5">
        <w:rPr>
          <w:rtl/>
        </w:rPr>
        <w:t xml:space="preserve"> כי </w:t>
      </w:r>
      <w:r w:rsidRPr="002F2BC5">
        <w:rPr>
          <w:rFonts w:hint="cs"/>
          <w:rtl/>
        </w:rPr>
        <w:t xml:space="preserve">שירות בתי הסוהר </w:t>
      </w:r>
      <w:r w:rsidRPr="002F2BC5">
        <w:rPr>
          <w:rtl/>
        </w:rPr>
        <w:t xml:space="preserve">פועל רבות </w:t>
      </w:r>
      <w:r w:rsidRPr="002F2BC5">
        <w:rPr>
          <w:rFonts w:hint="cs"/>
          <w:rtl/>
        </w:rPr>
        <w:t>כדי</w:t>
      </w:r>
      <w:r w:rsidRPr="002F2BC5">
        <w:rPr>
          <w:rtl/>
        </w:rPr>
        <w:t xml:space="preserve"> לנצל את תקופת המעצר והמאסר גם במקרים</w:t>
      </w:r>
      <w:r w:rsidRPr="002F2BC5">
        <w:rPr>
          <w:rFonts w:hint="cs"/>
          <w:rtl/>
        </w:rPr>
        <w:t xml:space="preserve"> </w:t>
      </w:r>
      <w:r w:rsidRPr="002F2BC5">
        <w:rPr>
          <w:rtl/>
        </w:rPr>
        <w:t>אלה</w:t>
      </w:r>
      <w:r w:rsidRPr="002F2BC5">
        <w:rPr>
          <w:rFonts w:hint="cs"/>
          <w:rtl/>
        </w:rPr>
        <w:t>, אף שאז לא מתאפשר מתן טיפול ייעודי מועיל</w:t>
      </w:r>
      <w:r w:rsidRPr="002F2BC5">
        <w:rPr>
          <w:rtl/>
        </w:rPr>
        <w:t>. עוד מסר</w:t>
      </w:r>
      <w:r w:rsidRPr="002F2BC5">
        <w:rPr>
          <w:rFonts w:hint="cs"/>
          <w:rtl/>
        </w:rPr>
        <w:t>ו</w:t>
      </w:r>
      <w:r w:rsidRPr="002F2BC5">
        <w:rPr>
          <w:rtl/>
        </w:rPr>
        <w:t xml:space="preserve"> כי בשנת 2020 נפתחה תוכנית טיפולית לאסירי אלימות במשפחה</w:t>
      </w:r>
      <w:r w:rsidRPr="002F2BC5">
        <w:rPr>
          <w:rFonts w:hint="cs"/>
          <w:rtl/>
        </w:rPr>
        <w:t xml:space="preserve"> </w:t>
      </w:r>
      <w:r w:rsidRPr="002F2BC5">
        <w:rPr>
          <w:rtl/>
        </w:rPr>
        <w:t xml:space="preserve">השפוטים למאסר קצר וכן תוכנית טיפולית לעצורים בגין אלימות במשפחה וכי </w:t>
      </w:r>
      <w:r w:rsidRPr="002F2BC5">
        <w:rPr>
          <w:rFonts w:hint="cs"/>
          <w:rtl/>
        </w:rPr>
        <w:t xml:space="preserve">בכוונתם להרחיב </w:t>
      </w:r>
      <w:r w:rsidRPr="002F2BC5">
        <w:rPr>
          <w:rtl/>
        </w:rPr>
        <w:t>תוכניות אלו</w:t>
      </w:r>
      <w:r w:rsidRPr="002F2BC5">
        <w:rPr>
          <w:rFonts w:hint="cs"/>
          <w:rtl/>
        </w:rPr>
        <w:t xml:space="preserve"> </w:t>
      </w:r>
      <w:r w:rsidRPr="002F2BC5">
        <w:rPr>
          <w:rtl/>
        </w:rPr>
        <w:t>בשנת 2021.</w:t>
      </w:r>
      <w:r w:rsidRPr="002F2BC5">
        <w:rPr>
          <w:rFonts w:hint="cs"/>
          <w:rtl/>
        </w:rPr>
        <w:t xml:space="preserve"> שירות בתי הסוהר הוסיף כי בתחילת שנת 2021 נפתחה הכשרה לעובדים סוציאליים להטמעת מיומנויות טיפוליות בעצורים בגין עבירות אלימות במשפחה כדי לגייסם לתהליך טיפולי כבר בזמן המעצר. </w:t>
      </w:r>
    </w:p>
    <w:p w14:paraId="49416466" w14:textId="77777777" w:rsidR="00817399" w:rsidRPr="002F2BC5" w:rsidRDefault="00817399" w:rsidP="00817399">
      <w:pPr>
        <w:spacing w:line="269" w:lineRule="auto"/>
        <w:rPr>
          <w:rtl/>
        </w:rPr>
      </w:pPr>
    </w:p>
    <w:p w14:paraId="6CB576D1" w14:textId="77777777" w:rsidR="00817399" w:rsidRPr="002F2BC5" w:rsidRDefault="00817399" w:rsidP="00817399">
      <w:pPr>
        <w:spacing w:line="269" w:lineRule="auto"/>
        <w:rPr>
          <w:rtl/>
        </w:rPr>
      </w:pPr>
      <w:bookmarkStart w:id="2311" w:name="_Toc191987201"/>
      <w:r w:rsidRPr="002F2BC5">
        <w:rPr>
          <w:rStyle w:val="70"/>
          <w:rFonts w:hint="cs"/>
          <w:rtl/>
        </w:rPr>
        <w:t>ביקורת המעקב:</w:t>
      </w:r>
      <w:bookmarkEnd w:id="2311"/>
      <w:r w:rsidRPr="002F2BC5">
        <w:rPr>
          <w:rStyle w:val="70"/>
          <w:rFonts w:hint="cs"/>
          <w:rtl/>
        </w:rPr>
        <w:t xml:space="preserve"> </w:t>
      </w:r>
      <w:r w:rsidRPr="002F2BC5">
        <w:rPr>
          <w:rFonts w:hint="cs"/>
          <w:rtl/>
        </w:rPr>
        <w:t>לפי נתוני שירות בתי הסוהר, נכון לפברואר 2025, ריצו 1,445 אסירים מאסר בגין עבירות אלימות במשפחה. כ-75% מהם שולבו במהלך מאסרם בתוכניות שיקומיות (1,084 מתוך 1,445)</w:t>
      </w:r>
      <w:r w:rsidRPr="002F2BC5">
        <w:rPr>
          <w:rStyle w:val="af9"/>
          <w:rtl/>
        </w:rPr>
        <w:footnoteReference w:id="462"/>
      </w:r>
      <w:r w:rsidRPr="002F2BC5">
        <w:rPr>
          <w:rFonts w:hint="cs"/>
          <w:rtl/>
        </w:rPr>
        <w:t>, כ-27% מהאסירים</w:t>
      </w:r>
      <w:r w:rsidRPr="002F2BC5">
        <w:rPr>
          <w:rtl/>
        </w:rPr>
        <w:t xml:space="preserve"> (</w:t>
      </w:r>
      <w:r w:rsidRPr="002F2BC5">
        <w:rPr>
          <w:rFonts w:hint="cs"/>
          <w:rtl/>
        </w:rPr>
        <w:t>389 מתוך 1,445</w:t>
      </w:r>
      <w:r w:rsidRPr="002F2BC5">
        <w:rPr>
          <w:rtl/>
        </w:rPr>
        <w:t xml:space="preserve">) שולבו </w:t>
      </w:r>
      <w:r w:rsidRPr="002F2BC5">
        <w:rPr>
          <w:rFonts w:hint="eastAsia"/>
          <w:rtl/>
        </w:rPr>
        <w:t>בתוכניות</w:t>
      </w:r>
      <w:r w:rsidRPr="002F2BC5">
        <w:rPr>
          <w:rtl/>
        </w:rPr>
        <w:t xml:space="preserve"> </w:t>
      </w:r>
      <w:r w:rsidRPr="002F2BC5">
        <w:rPr>
          <w:rFonts w:hint="eastAsia"/>
          <w:rtl/>
        </w:rPr>
        <w:t>שיקומיות</w:t>
      </w:r>
      <w:r w:rsidRPr="002F2BC5">
        <w:rPr>
          <w:rtl/>
        </w:rPr>
        <w:t xml:space="preserve"> </w:t>
      </w:r>
      <w:r w:rsidRPr="002F2BC5">
        <w:rPr>
          <w:rFonts w:hint="eastAsia"/>
          <w:rtl/>
        </w:rPr>
        <w:t>המיועדות</w:t>
      </w:r>
      <w:r w:rsidRPr="002F2BC5">
        <w:rPr>
          <w:rtl/>
        </w:rPr>
        <w:t xml:space="preserve"> לאסירים המרצים מאסר בגין עבירות </w:t>
      </w:r>
      <w:r w:rsidRPr="002F2BC5">
        <w:rPr>
          <w:rFonts w:hint="eastAsia"/>
          <w:rtl/>
        </w:rPr>
        <w:t>אלימות</w:t>
      </w:r>
      <w:r w:rsidRPr="002F2BC5">
        <w:rPr>
          <w:rtl/>
        </w:rPr>
        <w:t xml:space="preserve"> </w:t>
      </w:r>
      <w:r w:rsidRPr="002F2BC5">
        <w:rPr>
          <w:rFonts w:hint="eastAsia"/>
          <w:rtl/>
        </w:rPr>
        <w:t>כלליות</w:t>
      </w:r>
      <w:r w:rsidRPr="002F2BC5">
        <w:rPr>
          <w:rFonts w:hint="cs"/>
          <w:rtl/>
        </w:rPr>
        <w:t>,</w:t>
      </w:r>
      <w:r w:rsidRPr="002F2BC5">
        <w:rPr>
          <w:rtl/>
        </w:rPr>
        <w:t xml:space="preserve"> </w:t>
      </w:r>
      <w:r w:rsidRPr="002F2BC5">
        <w:rPr>
          <w:rFonts w:hint="eastAsia"/>
          <w:rtl/>
        </w:rPr>
        <w:t>ו</w:t>
      </w:r>
      <w:r w:rsidRPr="002F2BC5">
        <w:rPr>
          <w:rFonts w:hint="cs"/>
          <w:rtl/>
        </w:rPr>
        <w:t>כ</w:t>
      </w:r>
      <w:r w:rsidRPr="002F2BC5">
        <w:rPr>
          <w:rtl/>
        </w:rPr>
        <w:t>-</w:t>
      </w:r>
      <w:r w:rsidRPr="002F2BC5">
        <w:rPr>
          <w:rFonts w:hint="cs"/>
          <w:rtl/>
        </w:rPr>
        <w:t>30%</w:t>
      </w:r>
      <w:r w:rsidRPr="002F2BC5">
        <w:rPr>
          <w:rtl/>
        </w:rPr>
        <w:t xml:space="preserve"> (</w:t>
      </w:r>
      <w:r w:rsidRPr="002F2BC5">
        <w:rPr>
          <w:rFonts w:hint="cs"/>
          <w:rtl/>
        </w:rPr>
        <w:t>429 מתוך 1,445</w:t>
      </w:r>
      <w:r w:rsidRPr="002F2BC5">
        <w:rPr>
          <w:rtl/>
        </w:rPr>
        <w:t xml:space="preserve">) שולבו </w:t>
      </w:r>
      <w:r w:rsidRPr="002F2BC5">
        <w:rPr>
          <w:rFonts w:hint="eastAsia"/>
          <w:rtl/>
        </w:rPr>
        <w:t>בתוכניות</w:t>
      </w:r>
      <w:r w:rsidRPr="002F2BC5">
        <w:rPr>
          <w:rtl/>
        </w:rPr>
        <w:t xml:space="preserve"> </w:t>
      </w:r>
      <w:r w:rsidRPr="002F2BC5">
        <w:rPr>
          <w:rFonts w:hint="eastAsia"/>
          <w:rtl/>
        </w:rPr>
        <w:t>שיקומיות</w:t>
      </w:r>
      <w:r w:rsidRPr="002F2BC5">
        <w:rPr>
          <w:rtl/>
        </w:rPr>
        <w:t xml:space="preserve"> </w:t>
      </w:r>
      <w:r w:rsidRPr="002F2BC5">
        <w:rPr>
          <w:rFonts w:hint="eastAsia"/>
          <w:rtl/>
        </w:rPr>
        <w:t>ייעודיות</w:t>
      </w:r>
      <w:r w:rsidRPr="002F2BC5">
        <w:rPr>
          <w:rtl/>
        </w:rPr>
        <w:t xml:space="preserve"> בתחום האלימות במשפחה</w:t>
      </w:r>
      <w:r w:rsidRPr="002F2BC5">
        <w:rPr>
          <w:rFonts w:hint="cs"/>
          <w:rtl/>
        </w:rPr>
        <w:t xml:space="preserve">. עם זאת, בבחינת שיעור שילובם של האסירים הללו בתוכניות שיקומיות נכון לפברואר 2025 עולה כי נתון זה נמוך יותר: כ-14% מהם (204 מתוך 1,445) היו משולבים בפועל במועד זה בתוכניות שיקומיות המיועדות לאסירים המרצים מאסר בגין עבירות אלימות כלליות, ורק כ-18% (260 מתוך 1,445) היו משולבים בפועל בתוכניות שיקומיות </w:t>
      </w:r>
      <w:r w:rsidRPr="002F2BC5">
        <w:rPr>
          <w:rFonts w:hint="eastAsia"/>
          <w:rtl/>
        </w:rPr>
        <w:t>ייעודיות</w:t>
      </w:r>
      <w:r w:rsidRPr="002F2BC5">
        <w:rPr>
          <w:rtl/>
        </w:rPr>
        <w:t xml:space="preserve"> בתחום האלימות במשפחה</w:t>
      </w:r>
      <w:r w:rsidRPr="002F2BC5">
        <w:rPr>
          <w:rStyle w:val="af9"/>
          <w:rtl/>
        </w:rPr>
        <w:footnoteReference w:id="463"/>
      </w:r>
      <w:r w:rsidRPr="002F2BC5">
        <w:rPr>
          <w:rFonts w:hint="cs"/>
          <w:rtl/>
        </w:rPr>
        <w:t xml:space="preserve">. </w:t>
      </w:r>
    </w:p>
    <w:p w14:paraId="089C20FF" w14:textId="77777777" w:rsidR="00817399" w:rsidRPr="002F2BC5" w:rsidRDefault="00817399" w:rsidP="00817399">
      <w:pPr>
        <w:spacing w:line="269" w:lineRule="auto"/>
        <w:rPr>
          <w:rtl/>
        </w:rPr>
      </w:pPr>
    </w:p>
    <w:p w14:paraId="68AA8DDB" w14:textId="77777777" w:rsidR="00817399" w:rsidRPr="002F2BC5" w:rsidRDefault="00817399" w:rsidP="00817399">
      <w:pPr>
        <w:pStyle w:val="afffffff9"/>
        <w:spacing w:line="269" w:lineRule="auto"/>
        <w:rPr>
          <w:rtl/>
        </w:rPr>
      </w:pPr>
      <w:bookmarkStart w:id="2312" w:name="_Toc191987202"/>
      <w:bookmarkStart w:id="2313" w:name="_Toc192093208"/>
      <w:bookmarkStart w:id="2314" w:name="_Toc192612916"/>
      <w:bookmarkStart w:id="2315" w:name="_Toc198312368"/>
      <w:bookmarkStart w:id="2316" w:name="_Toc198312854"/>
      <w:bookmarkStart w:id="2317" w:name="_Toc200637005"/>
      <w:bookmarkStart w:id="2318" w:name="_Toc200440003"/>
      <w:bookmarkStart w:id="2319" w:name="_Toc201241108"/>
      <w:r w:rsidRPr="002F2BC5">
        <w:rPr>
          <w:rFonts w:hint="cs"/>
          <w:rtl/>
        </w:rPr>
        <w:lastRenderedPageBreak/>
        <w:t xml:space="preserve">הביקורת הקודמת העלתה </w:t>
      </w:r>
      <w:r w:rsidRPr="002F2BC5">
        <w:rPr>
          <w:rtl/>
        </w:rPr>
        <w:t xml:space="preserve">כי </w:t>
      </w:r>
      <w:r w:rsidRPr="002F2BC5">
        <w:rPr>
          <w:rFonts w:hint="cs"/>
          <w:rtl/>
        </w:rPr>
        <w:t>בשנת</w:t>
      </w:r>
      <w:r w:rsidRPr="002F2BC5">
        <w:rPr>
          <w:rtl/>
        </w:rPr>
        <w:t xml:space="preserve"> 2019 </w:t>
      </w:r>
      <w:r w:rsidRPr="002F2BC5">
        <w:rPr>
          <w:rFonts w:hint="cs"/>
          <w:rtl/>
        </w:rPr>
        <w:t>כ-62% מ</w:t>
      </w:r>
      <w:r w:rsidRPr="002F2BC5">
        <w:rPr>
          <w:rtl/>
        </w:rPr>
        <w:t xml:space="preserve">האסירים שריצו מאסר בגין עבירות אלימות במשפחה השתלבו בטיפול במהלך מאסרם (889 מתוך 1,438) </w:t>
      </w:r>
      <w:r w:rsidRPr="002F2BC5">
        <w:rPr>
          <w:rFonts w:hint="cs"/>
          <w:rtl/>
        </w:rPr>
        <w:t>ו</w:t>
      </w:r>
      <w:r w:rsidRPr="002F2BC5">
        <w:rPr>
          <w:rtl/>
        </w:rPr>
        <w:t>כ-</w:t>
      </w:r>
      <w:r w:rsidRPr="002F2BC5">
        <w:rPr>
          <w:rFonts w:hint="cs"/>
          <w:rtl/>
        </w:rPr>
        <w:t>15</w:t>
      </w:r>
      <w:r w:rsidRPr="002F2BC5">
        <w:rPr>
          <w:rtl/>
        </w:rPr>
        <w:t>% מהאסירים שריצו מאסר בגין עבירות אלימות במשפחה (219 מתוך 1,438) שולבו בתוכניות שיקומיות ייעודיות. בביקו</w:t>
      </w:r>
      <w:r w:rsidRPr="002F2BC5">
        <w:rPr>
          <w:rFonts w:hint="eastAsia"/>
          <w:rtl/>
        </w:rPr>
        <w:t>רת</w:t>
      </w:r>
      <w:r w:rsidRPr="002F2BC5">
        <w:rPr>
          <w:rtl/>
        </w:rPr>
        <w:t xml:space="preserve"> המעקב </w:t>
      </w:r>
      <w:r w:rsidRPr="002F2BC5">
        <w:rPr>
          <w:rFonts w:hint="eastAsia"/>
          <w:rtl/>
        </w:rPr>
        <w:t>הועלה</w:t>
      </w:r>
      <w:r w:rsidRPr="002F2BC5">
        <w:rPr>
          <w:rtl/>
        </w:rPr>
        <w:t xml:space="preserve"> </w:t>
      </w:r>
      <w:r w:rsidRPr="002F2BC5">
        <w:rPr>
          <w:rFonts w:hint="eastAsia"/>
          <w:rtl/>
        </w:rPr>
        <w:t>כי</w:t>
      </w:r>
      <w:r w:rsidRPr="002F2BC5">
        <w:rPr>
          <w:rtl/>
        </w:rPr>
        <w:t xml:space="preserve"> </w:t>
      </w:r>
      <w:r w:rsidRPr="002F2BC5">
        <w:rPr>
          <w:rFonts w:hint="eastAsia"/>
          <w:rtl/>
        </w:rPr>
        <w:t>הליקוי</w:t>
      </w:r>
      <w:r w:rsidRPr="002F2BC5">
        <w:rPr>
          <w:rtl/>
        </w:rPr>
        <w:t xml:space="preserve"> </w:t>
      </w:r>
      <w:r w:rsidRPr="002F2BC5">
        <w:rPr>
          <w:rFonts w:hint="eastAsia"/>
          <w:rtl/>
        </w:rPr>
        <w:t>תוקן</w:t>
      </w:r>
      <w:r w:rsidRPr="002F2BC5">
        <w:rPr>
          <w:rtl/>
        </w:rPr>
        <w:t xml:space="preserve"> </w:t>
      </w:r>
      <w:r w:rsidRPr="002F2BC5">
        <w:rPr>
          <w:rFonts w:hint="eastAsia"/>
          <w:rtl/>
        </w:rPr>
        <w:t>במידה</w:t>
      </w:r>
      <w:r w:rsidRPr="002F2BC5">
        <w:rPr>
          <w:rtl/>
        </w:rPr>
        <w:t xml:space="preserve"> </w:t>
      </w:r>
      <w:r w:rsidRPr="002F2BC5">
        <w:rPr>
          <w:rFonts w:hint="eastAsia"/>
          <w:rtl/>
        </w:rPr>
        <w:t>רבה</w:t>
      </w:r>
      <w:r w:rsidRPr="002F2BC5">
        <w:rPr>
          <w:rFonts w:hint="cs"/>
          <w:rtl/>
        </w:rPr>
        <w:t xml:space="preserve"> וכי שיעורם של האסירים שריצו מאסר בגין עבירות אלימות במשפחה ושולבו במהלך מאסרם בתוכניות שיקומיות עלה לכ-75% </w:t>
      </w:r>
      <w:r w:rsidRPr="002F2BC5">
        <w:rPr>
          <w:rFonts w:hint="eastAsia"/>
          <w:rtl/>
        </w:rPr>
        <w:t>נכון</w:t>
      </w:r>
      <w:r w:rsidRPr="002F2BC5">
        <w:rPr>
          <w:rtl/>
        </w:rPr>
        <w:t xml:space="preserve"> </w:t>
      </w:r>
      <w:r w:rsidRPr="002F2BC5">
        <w:rPr>
          <w:rFonts w:hint="eastAsia"/>
          <w:rtl/>
        </w:rPr>
        <w:t>ל</w:t>
      </w:r>
      <w:r w:rsidRPr="002F2BC5">
        <w:rPr>
          <w:rFonts w:hint="cs"/>
          <w:rtl/>
        </w:rPr>
        <w:t xml:space="preserve">פברואר </w:t>
      </w:r>
      <w:r w:rsidRPr="002F2BC5">
        <w:rPr>
          <w:rtl/>
        </w:rPr>
        <w:t>2025</w:t>
      </w:r>
      <w:r w:rsidRPr="002F2BC5">
        <w:rPr>
          <w:rFonts w:hint="cs"/>
          <w:rtl/>
        </w:rPr>
        <w:t xml:space="preserve">. גם </w:t>
      </w:r>
      <w:r w:rsidRPr="002F2BC5">
        <w:rPr>
          <w:rtl/>
        </w:rPr>
        <w:t xml:space="preserve">שיעורם של האסירים שריצו מאסר בגין עבירות אלימות במשפחה ושולבו </w:t>
      </w:r>
      <w:r w:rsidRPr="002F2BC5">
        <w:rPr>
          <w:rFonts w:hint="cs"/>
          <w:rtl/>
        </w:rPr>
        <w:t xml:space="preserve">במהלך מאסרם </w:t>
      </w:r>
      <w:r w:rsidRPr="002F2BC5">
        <w:rPr>
          <w:rtl/>
        </w:rPr>
        <w:t xml:space="preserve">בתוכניות שיקומיות ייעודיות </w:t>
      </w:r>
      <w:r w:rsidRPr="002F2BC5">
        <w:rPr>
          <w:rFonts w:hint="cs"/>
          <w:rtl/>
        </w:rPr>
        <w:t>עלה</w:t>
      </w:r>
      <w:r w:rsidRPr="002F2BC5">
        <w:rPr>
          <w:rtl/>
        </w:rPr>
        <w:t xml:space="preserve"> בשנים הללו (</w:t>
      </w:r>
      <w:r w:rsidRPr="002F2BC5">
        <w:rPr>
          <w:rFonts w:hint="cs"/>
          <w:rtl/>
        </w:rPr>
        <w:t>לכ-40%, נכון לפברואר 2025</w:t>
      </w:r>
      <w:r w:rsidRPr="002F2BC5">
        <w:rPr>
          <w:rtl/>
        </w:rPr>
        <w:t>).</w:t>
      </w:r>
      <w:r w:rsidRPr="002F2BC5">
        <w:rPr>
          <w:rFonts w:hint="cs"/>
          <w:rtl/>
        </w:rPr>
        <w:t xml:space="preserve"> יש לציין כי בשנים 2021 - 2023 שיעורם של האסירים שריצו מאסר קצר, ושנכונותם להשתלב בטיפול במהלך מאסרם עשויה אפוא להיות מצומצמת יותר, נותר דומה לביקורת הקודמת (כ-</w:t>
      </w:r>
      <w:r w:rsidRPr="002F2BC5">
        <w:rPr>
          <w:rtl/>
        </w:rPr>
        <w:t>64%</w:t>
      </w:r>
      <w:r w:rsidRPr="002F2BC5">
        <w:rPr>
          <w:rFonts w:hint="cs"/>
          <w:rtl/>
        </w:rPr>
        <w:t xml:space="preserve">, שהם </w:t>
      </w:r>
      <w:r w:rsidRPr="002F2BC5">
        <w:rPr>
          <w:rtl/>
        </w:rPr>
        <w:t>2,037</w:t>
      </w:r>
      <w:r w:rsidRPr="002F2BC5">
        <w:rPr>
          <w:rFonts w:hint="cs"/>
          <w:rtl/>
        </w:rPr>
        <w:t xml:space="preserve"> מתוך 3,172</w:t>
      </w:r>
      <w:r w:rsidRPr="002F2BC5">
        <w:rPr>
          <w:rStyle w:val="af9"/>
          <w:b w:val="0"/>
          <w:bCs w:val="0"/>
          <w:rtl/>
        </w:rPr>
        <w:footnoteReference w:id="464"/>
      </w:r>
      <w:r w:rsidRPr="002F2BC5">
        <w:rPr>
          <w:rFonts w:hint="cs"/>
          <w:rtl/>
        </w:rPr>
        <w:t>), ואילו בשנת 2024 שיעורם של האסירים הללו היה נמוך יותר ועמד על כ-</w:t>
      </w:r>
      <w:r w:rsidRPr="002F2BC5">
        <w:rPr>
          <w:rtl/>
        </w:rPr>
        <w:t>49</w:t>
      </w:r>
      <w:r w:rsidRPr="002F2BC5">
        <w:rPr>
          <w:rFonts w:hint="cs"/>
          <w:rtl/>
        </w:rPr>
        <w:t>% (567 מתוך 1,147).</w:t>
      </w:r>
      <w:bookmarkEnd w:id="2312"/>
      <w:bookmarkEnd w:id="2313"/>
      <w:bookmarkEnd w:id="2314"/>
      <w:bookmarkEnd w:id="2315"/>
      <w:bookmarkEnd w:id="2316"/>
      <w:bookmarkEnd w:id="2317"/>
      <w:bookmarkEnd w:id="2318"/>
      <w:bookmarkEnd w:id="2319"/>
    </w:p>
    <w:p w14:paraId="721105BD" w14:textId="77777777" w:rsidR="00817399" w:rsidRPr="002F2BC5" w:rsidRDefault="00817399" w:rsidP="00817399">
      <w:pPr>
        <w:spacing w:line="269" w:lineRule="auto"/>
        <w:rPr>
          <w:rtl/>
        </w:rPr>
      </w:pPr>
    </w:p>
    <w:p w14:paraId="1216152E" w14:textId="77777777" w:rsidR="00817399" w:rsidRPr="002F2BC5" w:rsidRDefault="00817399" w:rsidP="00817399">
      <w:pPr>
        <w:spacing w:line="269" w:lineRule="auto"/>
        <w:rPr>
          <w:rtl/>
        </w:rPr>
      </w:pPr>
      <w:r w:rsidRPr="002F2BC5">
        <w:rPr>
          <w:rFonts w:hint="cs"/>
          <w:rtl/>
        </w:rPr>
        <w:t>עוד הועלה כי לפי נתוני שירות בתי הסוהר, בשנים 2023 ו-2024 טופלו במסגרת התוכנית הייעודית לעצורים 106 עצורים (60 ו-46, בהתאמה). כשני שלישים מבין העצורים (71 מתוך 106) סיימו את הטיפול, וכשליש מבין מסיימי הטיפול (23 מתוך 71) שולבו בתוכניות שיקומיות בין כותלי בית הסוהר. שירות בתי הסוהר מסר במהלך ביקורת המעקב, בדצמבר 2024, כי הנתונים על המטופלים בתוכנית הייעודית לעצורים נאספו ידנית והוסיף כי מספרם ירד בשנת 2024 על רקע מלחמת חרבות ברזל.</w:t>
      </w:r>
    </w:p>
    <w:p w14:paraId="74374060" w14:textId="77777777" w:rsidR="00817399" w:rsidRPr="002F2BC5" w:rsidRDefault="00817399" w:rsidP="00817399">
      <w:pPr>
        <w:spacing w:line="269" w:lineRule="auto"/>
        <w:rPr>
          <w:rtl/>
        </w:rPr>
      </w:pPr>
    </w:p>
    <w:p w14:paraId="06ADABB3" w14:textId="77777777" w:rsidR="00817399" w:rsidRPr="002F2BC5" w:rsidRDefault="00817399" w:rsidP="00817399">
      <w:pPr>
        <w:pStyle w:val="afffffffa"/>
        <w:spacing w:line="269" w:lineRule="auto"/>
        <w:rPr>
          <w:rtl/>
        </w:rPr>
      </w:pPr>
      <w:bookmarkStart w:id="2320" w:name="_Toc191987203"/>
      <w:bookmarkStart w:id="2321" w:name="_Toc192093209"/>
      <w:bookmarkStart w:id="2322" w:name="_Toc192612917"/>
      <w:bookmarkStart w:id="2323" w:name="_Toc198312369"/>
      <w:bookmarkStart w:id="2324" w:name="_Toc198312855"/>
      <w:bookmarkStart w:id="2325" w:name="_Toc200637006"/>
      <w:bookmarkStart w:id="2326" w:name="_Toc200440004"/>
      <w:bookmarkStart w:id="2327" w:name="_Toc201241109"/>
      <w:r w:rsidRPr="002F2BC5">
        <w:rPr>
          <w:rFonts w:hint="cs"/>
          <w:rtl/>
        </w:rPr>
        <w:t>משרד מבקר המדינה שב וממליץ לשירות בתי הסוהר להמשיך ולפעול לשילובם של כלל האסירים המרצים מאסר בגין עבירות אלימות במשפחה בתוכניות שיקומיות ייעודיות או לא- ייעודיות, בהתאם לצרכיו של כל אסיר. בתוך כך מומלץ לשירות בתי הסוהר למפות את הסיבות לפער בשיעור האסירים שריצו מאסר בגין עבירות אלימות במשפחה ומשולבים במהלך מאסרם בתוכניות שיקומיות ייעודיות או לא-ייעודיות ובין שיעורם של האסירים המשולבים בזמן נתון בתוכניות השיקומיות הללו, לרבות תפוסה מלאה בתוכניות השיקומיות הייעודיות, נשירה מהתוכנית השיקומית או סיבות אחרות שאינן נוגעות להתאמתו של האסיר לשיקום.</w:t>
      </w:r>
      <w:bookmarkEnd w:id="2320"/>
      <w:bookmarkEnd w:id="2321"/>
      <w:bookmarkEnd w:id="2322"/>
      <w:bookmarkEnd w:id="2323"/>
      <w:bookmarkEnd w:id="2324"/>
      <w:bookmarkEnd w:id="2325"/>
      <w:bookmarkEnd w:id="2326"/>
      <w:bookmarkEnd w:id="2327"/>
    </w:p>
    <w:p w14:paraId="4FA09937" w14:textId="77777777" w:rsidR="00817399" w:rsidRPr="002F2BC5" w:rsidRDefault="00817399" w:rsidP="00817399">
      <w:pPr>
        <w:spacing w:line="269" w:lineRule="auto"/>
        <w:rPr>
          <w:rtl/>
        </w:rPr>
      </w:pPr>
    </w:p>
    <w:p w14:paraId="5F22ACBE" w14:textId="77777777" w:rsidR="00817399" w:rsidRPr="002F2BC5" w:rsidRDefault="00817399" w:rsidP="00817399">
      <w:pPr>
        <w:spacing w:line="269" w:lineRule="auto"/>
        <w:rPr>
          <w:rtl/>
        </w:rPr>
      </w:pPr>
      <w:r w:rsidRPr="002F2BC5">
        <w:rPr>
          <w:rFonts w:hint="cs"/>
          <w:rtl/>
        </w:rPr>
        <w:t>שירות בתי הסוהר מסר בתשובתו כי הוא מקיים באופן שוטף, שיטתי ומוקפד תהליך של בדיקת צרכים, איתור והתאמה של תוכניות הטיפול, ובכלל זה בהתייחס לאסירים המרצים מאסרים קצרים. זאת תוך מאמץ מתמיד לשלב בטיפול אסירים הזקוקים למענה ייעודי בתחום האלימות במשפחה וכן לרתימתם לטיפול של אסירים שנשרו מתוכניות אלו, בין השאר בשל התנהגות אלימה או התנגדות לטיפול. לצד זאת הוסיף כי יבחן את המלצות הביקורת.</w:t>
      </w:r>
    </w:p>
    <w:p w14:paraId="5049E617" w14:textId="77777777" w:rsidR="00817399" w:rsidRPr="002F2BC5" w:rsidRDefault="00817399" w:rsidP="00817399">
      <w:pPr>
        <w:spacing w:line="269" w:lineRule="auto"/>
        <w:rPr>
          <w:rtl/>
        </w:rPr>
      </w:pPr>
    </w:p>
    <w:p w14:paraId="3E0CDDDE"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0EA85B81" w14:textId="77777777" w:rsidR="00817399" w:rsidRPr="002F2BC5" w:rsidRDefault="00817399" w:rsidP="00817399">
      <w:pPr>
        <w:pStyle w:val="afffffff7"/>
        <w:spacing w:before="0" w:line="269" w:lineRule="auto"/>
        <w:rPr>
          <w:b/>
          <w:bCs/>
        </w:rPr>
      </w:pPr>
      <w:bookmarkStart w:id="2328" w:name="_Toc198312370"/>
      <w:bookmarkStart w:id="2329" w:name="_Toc198312856"/>
      <w:r w:rsidRPr="002F2BC5">
        <w:rPr>
          <w:b/>
          <w:noProof/>
        </w:rPr>
        <w:drawing>
          <wp:inline distT="0" distB="0" distL="0" distR="0" wp14:anchorId="72152C78" wp14:editId="3157F2A1">
            <wp:extent cx="4324350" cy="933450"/>
            <wp:effectExtent l="0" t="0" r="0" b="0"/>
            <wp:docPr id="58" name="תמונה 5" descr="תוכן התרשים מופיע בטקסט.">
              <a:extLst xmlns:a="http://schemas.openxmlformats.org/drawingml/2006/main">
                <a:ext uri="{FF2B5EF4-FFF2-40B4-BE49-F238E27FC236}">
                  <a16:creationId xmlns:a16="http://schemas.microsoft.com/office/drawing/2014/main" id="{FFD752D6-D45D-4012-ADE0-F0DD0147E75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FFD752D6-D45D-4012-ADE0-F0DD0147E754}"/>
                        </a:ext>
                      </a:extLst>
                    </pic:cNvPr>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328"/>
      <w:bookmarkEnd w:id="2329"/>
    </w:p>
    <w:p w14:paraId="6BCB0CC6" w14:textId="77777777" w:rsidR="00817399" w:rsidRDefault="00817399" w:rsidP="00817399">
      <w:pPr>
        <w:bidi w:val="0"/>
        <w:spacing w:after="200" w:line="276" w:lineRule="auto"/>
        <w:rPr>
          <w:rtl/>
        </w:rPr>
      </w:pPr>
      <w:r>
        <w:rPr>
          <w:rtl/>
        </w:rPr>
        <w:br w:type="page"/>
      </w:r>
    </w:p>
    <w:p w14:paraId="67B5E883" w14:textId="77777777" w:rsidR="00817399" w:rsidRPr="002F2BC5" w:rsidRDefault="00817399" w:rsidP="00817399">
      <w:pPr>
        <w:pStyle w:val="50"/>
        <w:spacing w:line="269" w:lineRule="auto"/>
        <w:rPr>
          <w:rtl/>
        </w:rPr>
      </w:pPr>
      <w:bookmarkStart w:id="2330" w:name="_Hlk184107680"/>
      <w:bookmarkStart w:id="2331" w:name="_Toc189072301"/>
      <w:bookmarkStart w:id="2332" w:name="_Toc191987204"/>
      <w:bookmarkStart w:id="2333" w:name="_Toc192093210"/>
      <w:bookmarkStart w:id="2334" w:name="_Toc193110648"/>
      <w:bookmarkStart w:id="2335" w:name="_Toc192612918"/>
      <w:bookmarkStart w:id="2336" w:name="_Toc198312857"/>
      <w:bookmarkStart w:id="2337" w:name="_Toc200637007"/>
      <w:bookmarkStart w:id="2338" w:name="_Toc200440005"/>
      <w:bookmarkStart w:id="2339" w:name="_Toc201241110"/>
      <w:r w:rsidRPr="002F2BC5">
        <w:rPr>
          <w:rFonts w:hint="cs"/>
          <w:rtl/>
        </w:rPr>
        <w:lastRenderedPageBreak/>
        <w:t>טיפול ושיקום לאחר שחרור הפוגע ממאסר</w:t>
      </w:r>
      <w:bookmarkEnd w:id="2330"/>
      <w:bookmarkEnd w:id="2331"/>
      <w:bookmarkEnd w:id="2332"/>
      <w:bookmarkEnd w:id="2333"/>
      <w:bookmarkEnd w:id="2334"/>
      <w:bookmarkEnd w:id="2335"/>
      <w:bookmarkEnd w:id="2336"/>
      <w:bookmarkEnd w:id="2337"/>
      <w:bookmarkEnd w:id="2338"/>
      <w:bookmarkEnd w:id="2339"/>
    </w:p>
    <w:p w14:paraId="48A5C8AC" w14:textId="77777777" w:rsidR="00817399" w:rsidRPr="002F2BC5" w:rsidRDefault="00817399" w:rsidP="00817399">
      <w:pPr>
        <w:spacing w:line="269" w:lineRule="auto"/>
        <w:rPr>
          <w:rtl/>
        </w:rPr>
      </w:pPr>
    </w:p>
    <w:p w14:paraId="1B105B95" w14:textId="77777777" w:rsidR="00817399" w:rsidRPr="002F2BC5" w:rsidRDefault="00817399" w:rsidP="00817399">
      <w:pPr>
        <w:spacing w:line="269" w:lineRule="auto"/>
        <w:rPr>
          <w:rtl/>
        </w:rPr>
      </w:pPr>
      <w:r w:rsidRPr="002F2BC5">
        <w:rPr>
          <w:rtl/>
        </w:rPr>
        <w:t>עם סיום ריצוי עונשם בבתי הסוהר ניצבים בפני האסירים המשוחררים</w:t>
      </w:r>
      <w:r w:rsidRPr="002F2BC5">
        <w:rPr>
          <w:rFonts w:hint="cs"/>
          <w:rtl/>
        </w:rPr>
        <w:t xml:space="preserve"> </w:t>
      </w:r>
      <w:r w:rsidRPr="002F2BC5">
        <w:rPr>
          <w:rtl/>
        </w:rPr>
        <w:t>אתגרים רבים להשתלבות מחודשת בקהילה.</w:t>
      </w:r>
      <w:r w:rsidRPr="002F2BC5">
        <w:rPr>
          <w:rFonts w:hint="cs"/>
          <w:rtl/>
        </w:rPr>
        <w:t xml:space="preserve"> לצד הצורך בהכנתם של האסירים המשוחררים עצמם לקראת אתגרים אלו, נדרשת גם היערכות הקהילה לקראת שחרורם. זאת כיוון שריצוי המאסר כשלעצמו אינו בהכרח מפחית ממסוכנותם של האסירים העומדים לקראת שחרור ומההסתברות כי יבצעו עבירות נוספות עם חזרתם לקהילה, בפרט בקרב אלו שלא השתלבו במהלך מאסרם בתוכניות טיפול ושיקום, לנוכח מסוכנותם הגבוהה או סירובם לטיפול.</w:t>
      </w:r>
    </w:p>
    <w:p w14:paraId="5D962896" w14:textId="77777777" w:rsidR="00817399" w:rsidRPr="002F2BC5" w:rsidRDefault="00817399" w:rsidP="00817399">
      <w:pPr>
        <w:spacing w:line="269" w:lineRule="auto"/>
        <w:rPr>
          <w:rtl/>
        </w:rPr>
      </w:pPr>
      <w:r w:rsidRPr="002F2BC5">
        <w:rPr>
          <w:rFonts w:hint="cs"/>
          <w:rtl/>
        </w:rPr>
        <w:t>עיקר האחריות להיערכות לקראת שחרורם של אסירים, ובתוך כך להכנת תוכניות שיקום לאסירים משוחררים ולניהול קליטתם ושיקומם בקהילה, מסורה בדין לרשות לשיקום האסיר, בתיאום עם שירות בתי הסוהר, וזאת מכוח חוק הרשות לשיקום האסיר</w:t>
      </w:r>
      <w:r w:rsidRPr="002F2BC5">
        <w:rPr>
          <w:rStyle w:val="af9"/>
          <w:rtl/>
        </w:rPr>
        <w:footnoteReference w:id="465"/>
      </w:r>
      <w:r w:rsidRPr="002F2BC5">
        <w:rPr>
          <w:rFonts w:hint="cs"/>
          <w:rtl/>
        </w:rPr>
        <w:t>. לפי תקנות הרשות לשיקום האסיר (ועדה להכנת תוכניות שיקום), התשמ"ז-1987 (להלן - תקנות הוועדה להכנת תוכניות שיקום), תוכנית שיקום לאסירים העומדים לקראת שחרור תוכן על ידי הרשות לשיקום האסיר בתיאום עם האסיר</w:t>
      </w:r>
      <w:r w:rsidRPr="002F2BC5">
        <w:rPr>
          <w:rStyle w:val="af9"/>
          <w:rtl/>
        </w:rPr>
        <w:footnoteReference w:id="466"/>
      </w:r>
      <w:r w:rsidRPr="002F2BC5">
        <w:rPr>
          <w:rFonts w:hint="cs"/>
          <w:rtl/>
        </w:rPr>
        <w:t>, והיא תובא גם לידיעת הגופים הנוגעים לתוכנית השיקום (להלן - תוכנית השיקום). לפי הדין, ככלל החובה להכין תוכנית שיקום אינה חלה בעניינם של אסירים שתקופת מאסרם אינה עולה על שישה חודשים</w:t>
      </w:r>
      <w:r w:rsidRPr="002F2BC5">
        <w:rPr>
          <w:rStyle w:val="af9"/>
          <w:rtl/>
        </w:rPr>
        <w:footnoteReference w:id="467"/>
      </w:r>
      <w:r w:rsidRPr="002F2BC5">
        <w:rPr>
          <w:rFonts w:hint="cs"/>
          <w:rtl/>
        </w:rPr>
        <w:t xml:space="preserve">. </w:t>
      </w:r>
    </w:p>
    <w:p w14:paraId="649FEAF1" w14:textId="77777777" w:rsidR="00817399" w:rsidRPr="002F2BC5" w:rsidRDefault="00817399" w:rsidP="00817399">
      <w:pPr>
        <w:spacing w:line="269" w:lineRule="auto"/>
        <w:rPr>
          <w:rtl/>
        </w:rPr>
      </w:pPr>
    </w:p>
    <w:p w14:paraId="66050155" w14:textId="77777777" w:rsidR="00817399" w:rsidRPr="002F2BC5" w:rsidRDefault="00817399" w:rsidP="00817399">
      <w:pPr>
        <w:spacing w:line="269" w:lineRule="auto"/>
        <w:rPr>
          <w:rtl/>
        </w:rPr>
      </w:pPr>
      <w:r w:rsidRPr="002F2BC5">
        <w:rPr>
          <w:rFonts w:hint="cs"/>
          <w:rtl/>
        </w:rPr>
        <w:t>מכוח הוראות הדין אחראית הרשות לשיקום האסיר גם להפעלת תוכניות שיקום בקהילה עבור אסירים משוחררים, בתיאום עם שירות המבחן למבוגרים</w:t>
      </w:r>
      <w:r w:rsidRPr="002F2BC5">
        <w:rPr>
          <w:rStyle w:val="af9"/>
          <w:rtl/>
        </w:rPr>
        <w:footnoteReference w:id="468"/>
      </w:r>
      <w:r w:rsidRPr="002F2BC5">
        <w:rPr>
          <w:rFonts w:hint="cs"/>
          <w:rtl/>
        </w:rPr>
        <w:t>, והיא מפעילה תוכניות כאלו בין השאר עבור אסירים שריצו מאסר בגין עבירות אלימות במשפחה, ובלבד שאובחנו ונמצאו מתאימים לשיקום במסגרות אלו (</w:t>
      </w:r>
      <w:bookmarkStart w:id="2340" w:name="_Hlk202342785"/>
      <w:r w:rsidRPr="002F2BC5">
        <w:rPr>
          <w:rFonts w:hint="cs"/>
          <w:rtl/>
        </w:rPr>
        <w:t>להלן גם תוכניות שיקום בפיקוח</w:t>
      </w:r>
      <w:bookmarkEnd w:id="2340"/>
      <w:r w:rsidRPr="002F2BC5">
        <w:rPr>
          <w:rFonts w:hint="cs"/>
          <w:rtl/>
        </w:rPr>
        <w:t>). תוכניות שיקום בפיקוח מיועדות עבור אסירים משוחררים בשחרור מוקדם, כתנאי לשחרורם, ולאסירים ששולבו בהליך טיפולי-שיקומי גם במהלך מאסרם מוקנית עדיפות בהשתלבות בתוכניות אלו. המשך הליווי במסגרת התוכנית נמשך גם לאחר סיומה, משהאסירים המשוחררים משתלבים בקהילה.</w:t>
      </w:r>
    </w:p>
    <w:p w14:paraId="6910F54A" w14:textId="77777777" w:rsidR="00817399" w:rsidRPr="002F2BC5" w:rsidRDefault="00817399" w:rsidP="00817399">
      <w:pPr>
        <w:spacing w:line="269" w:lineRule="auto"/>
        <w:rPr>
          <w:rtl/>
        </w:rPr>
      </w:pPr>
    </w:p>
    <w:p w14:paraId="4A9F08CD" w14:textId="77777777" w:rsidR="00817399" w:rsidRPr="002F2BC5" w:rsidRDefault="00817399" w:rsidP="00817399">
      <w:pPr>
        <w:spacing w:line="269" w:lineRule="auto"/>
        <w:rPr>
          <w:rtl/>
        </w:rPr>
      </w:pPr>
      <w:r w:rsidRPr="002F2BC5">
        <w:rPr>
          <w:rFonts w:hint="cs"/>
          <w:rtl/>
        </w:rPr>
        <w:t xml:space="preserve">מעצם טיבן, תוכניות שיקום בפיקוח </w:t>
      </w:r>
      <w:r w:rsidRPr="002F2BC5">
        <w:rPr>
          <w:rtl/>
        </w:rPr>
        <w:t>אינ</w:t>
      </w:r>
      <w:r w:rsidRPr="002F2BC5">
        <w:rPr>
          <w:rFonts w:hint="cs"/>
          <w:rtl/>
        </w:rPr>
        <w:t>ן</w:t>
      </w:r>
      <w:r w:rsidRPr="002F2BC5">
        <w:rPr>
          <w:rtl/>
        </w:rPr>
        <w:t xml:space="preserve"> </w:t>
      </w:r>
      <w:r w:rsidRPr="002F2BC5">
        <w:rPr>
          <w:rFonts w:hint="cs"/>
          <w:rtl/>
        </w:rPr>
        <w:t>מוצעות</w:t>
      </w:r>
      <w:r w:rsidRPr="002F2BC5">
        <w:rPr>
          <w:rtl/>
        </w:rPr>
        <w:t xml:space="preserve"> </w:t>
      </w:r>
      <w:r w:rsidRPr="002F2BC5">
        <w:rPr>
          <w:rFonts w:hint="cs"/>
          <w:rtl/>
        </w:rPr>
        <w:t>ל</w:t>
      </w:r>
      <w:r w:rsidRPr="002F2BC5">
        <w:rPr>
          <w:rtl/>
        </w:rPr>
        <w:t>כל אסיר, הן מטעמים טכניים</w:t>
      </w:r>
      <w:r w:rsidRPr="002F2BC5">
        <w:rPr>
          <w:rFonts w:hint="cs"/>
          <w:rtl/>
        </w:rPr>
        <w:t xml:space="preserve">-מינהליים </w:t>
      </w:r>
      <w:r w:rsidRPr="002F2BC5">
        <w:rPr>
          <w:rtl/>
        </w:rPr>
        <w:t>כגון יתרת מאסר קצרה</w:t>
      </w:r>
      <w:r w:rsidRPr="002F2BC5">
        <w:rPr>
          <w:rFonts w:hint="cs"/>
          <w:rtl/>
        </w:rPr>
        <w:t xml:space="preserve">, </w:t>
      </w:r>
      <w:r w:rsidRPr="002F2BC5">
        <w:rPr>
          <w:rtl/>
        </w:rPr>
        <w:t>והן מטעמים מהותיים</w:t>
      </w:r>
      <w:r w:rsidRPr="002F2BC5">
        <w:rPr>
          <w:rFonts w:hint="cs"/>
          <w:rtl/>
        </w:rPr>
        <w:t xml:space="preserve">, </w:t>
      </w:r>
      <w:r w:rsidRPr="002F2BC5">
        <w:rPr>
          <w:rtl/>
        </w:rPr>
        <w:t xml:space="preserve">כגון </w:t>
      </w:r>
      <w:r w:rsidRPr="002F2BC5">
        <w:rPr>
          <w:rFonts w:hint="cs"/>
          <w:rtl/>
        </w:rPr>
        <w:t>אי-</w:t>
      </w:r>
      <w:r w:rsidRPr="002F2BC5">
        <w:rPr>
          <w:rtl/>
        </w:rPr>
        <w:t xml:space="preserve">התאמה לטיפול או </w:t>
      </w:r>
      <w:r w:rsidRPr="002F2BC5">
        <w:rPr>
          <w:rFonts w:hint="cs"/>
          <w:rtl/>
        </w:rPr>
        <w:t>נכונות</w:t>
      </w:r>
      <w:r w:rsidRPr="002F2BC5">
        <w:rPr>
          <w:rtl/>
        </w:rPr>
        <w:t xml:space="preserve"> נמוכה לשיקום</w:t>
      </w:r>
      <w:r w:rsidRPr="002F2BC5">
        <w:rPr>
          <w:rStyle w:val="af9"/>
          <w:rtl/>
        </w:rPr>
        <w:footnoteReference w:id="469"/>
      </w:r>
      <w:r w:rsidRPr="002F2BC5">
        <w:rPr>
          <w:rtl/>
        </w:rPr>
        <w:t>.</w:t>
      </w:r>
      <w:r w:rsidRPr="002F2BC5">
        <w:rPr>
          <w:rFonts w:hint="cs"/>
          <w:rtl/>
        </w:rPr>
        <w:t xml:space="preserve"> במקרים שבהם אסירים העומדים לקראת שחרור אינם נמצאים מתאימים לתוכנית שיקום בפיקוח, הם עשויים להיות מופנים לתוכניות שיקום בקהילה שלא בפיקוח הרשות לשיקום האסיר, ובכלל זה לתוכניות שיקום במרכזים לטיפול ומניעת אלימות במשפחה (להלן גם תוכניות שיקום שלא בפיקוח). הפנייה של אסירים משוחררים לתוכניות שיקום שלא בפיקוח נעשית על ידי רכזים אזוריים המועסקים ברשויות המקומיות מטעם הרשות לשיקום האסיר. השתלבותם של אסירים משוחררים בתוכניות שיקום בקהילה שלא בפיקוח אינה כוללת רכיב סמכותי, ולכן באופן מובנה היא מותנית בנכונותם והסכמתם של האסירים הללו להליך טיפולי-שיקומי.</w:t>
      </w:r>
    </w:p>
    <w:p w14:paraId="5221700C" w14:textId="77777777" w:rsidR="00817399" w:rsidRPr="002F2BC5" w:rsidRDefault="00817399" w:rsidP="00817399">
      <w:pPr>
        <w:spacing w:line="269" w:lineRule="auto"/>
        <w:rPr>
          <w:rtl/>
        </w:rPr>
      </w:pPr>
    </w:p>
    <w:p w14:paraId="67D45273" w14:textId="77777777" w:rsidR="00817399" w:rsidRPr="002F2BC5" w:rsidRDefault="00817399" w:rsidP="00817399">
      <w:pPr>
        <w:spacing w:line="269" w:lineRule="auto"/>
        <w:rPr>
          <w:rtl/>
        </w:rPr>
      </w:pPr>
      <w:r w:rsidRPr="002F2BC5">
        <w:rPr>
          <w:rFonts w:hint="cs"/>
          <w:rtl/>
        </w:rPr>
        <w:t>הסמכות להתנות את שחרורם של אסירים בהשתלבותם בתוכנית שיקום בקהילה בפיקוח מסורה בדין לוועדת השחרורים, הפועלת לפי חוק שחרור על תנאי ממאסר (</w:t>
      </w:r>
      <w:bookmarkStart w:id="2342" w:name="_Hlk202342852"/>
      <w:r w:rsidRPr="002F2BC5">
        <w:rPr>
          <w:rFonts w:hint="cs"/>
          <w:rtl/>
        </w:rPr>
        <w:t>להלן - ועדת השחרורים</w:t>
      </w:r>
      <w:bookmarkEnd w:id="2342"/>
      <w:r w:rsidRPr="002F2BC5">
        <w:rPr>
          <w:rFonts w:hint="cs"/>
          <w:rtl/>
        </w:rPr>
        <w:t>)</w:t>
      </w:r>
      <w:r w:rsidRPr="002F2BC5">
        <w:rPr>
          <w:rStyle w:val="af9"/>
          <w:rtl/>
        </w:rPr>
        <w:footnoteReference w:id="470"/>
      </w:r>
      <w:r w:rsidRPr="002F2BC5">
        <w:rPr>
          <w:rFonts w:hint="cs"/>
          <w:rtl/>
        </w:rPr>
        <w:t>. לפי הוראות חוק שחרור על תנאי ממאסר, ועדת השחרורים תכריע בעניין</w:t>
      </w:r>
      <w:r w:rsidRPr="002F2BC5">
        <w:rPr>
          <w:rtl/>
        </w:rPr>
        <w:t xml:space="preserve"> שחרורו של אסיר </w:t>
      </w:r>
      <w:r w:rsidRPr="002F2BC5">
        <w:rPr>
          <w:rFonts w:hint="cs"/>
          <w:rtl/>
        </w:rPr>
        <w:lastRenderedPageBreak/>
        <w:t xml:space="preserve">המרצה מאסר בגין עבירות </w:t>
      </w:r>
      <w:r w:rsidRPr="002F2BC5">
        <w:rPr>
          <w:rtl/>
        </w:rPr>
        <w:t>אלימות במשפחה</w:t>
      </w:r>
      <w:r w:rsidRPr="002F2BC5">
        <w:rPr>
          <w:rFonts w:hint="cs"/>
          <w:rtl/>
        </w:rPr>
        <w:t>,</w:t>
      </w:r>
      <w:r w:rsidRPr="002F2BC5">
        <w:rPr>
          <w:rtl/>
        </w:rPr>
        <w:t xml:space="preserve"> רק</w:t>
      </w:r>
      <w:r w:rsidRPr="002F2BC5">
        <w:rPr>
          <w:rFonts w:hint="cs"/>
          <w:rtl/>
        </w:rPr>
        <w:t xml:space="preserve"> לאחר שתתקבל חוות דעת של צוות מקצועי, הכולל נציגים של משרד הרווחה ושל שירות בתי הסוהר, לעניין מידת הסכנה הנשקפת לציבור - ובכלל זה לנפגע העבירה בגין שחרור האסיר - ולסיכויי שיקומו (</w:t>
      </w:r>
      <w:bookmarkStart w:id="2343" w:name="_Hlk202342930"/>
      <w:r w:rsidRPr="002F2BC5">
        <w:rPr>
          <w:rFonts w:hint="cs"/>
          <w:rtl/>
        </w:rPr>
        <w:t>להלן - ועדות מחוזיות לאלימות במשפחה</w:t>
      </w:r>
      <w:bookmarkEnd w:id="2343"/>
      <w:r w:rsidRPr="002F2BC5">
        <w:rPr>
          <w:rFonts w:hint="cs"/>
          <w:rtl/>
        </w:rPr>
        <w:t>)</w:t>
      </w:r>
      <w:r w:rsidRPr="002F2BC5">
        <w:rPr>
          <w:rStyle w:val="af9"/>
          <w:rtl/>
        </w:rPr>
        <w:footnoteReference w:id="471"/>
      </w:r>
      <w:r w:rsidRPr="002F2BC5">
        <w:rPr>
          <w:rFonts w:hint="cs"/>
          <w:rtl/>
        </w:rPr>
        <w:t xml:space="preserve">. </w:t>
      </w:r>
    </w:p>
    <w:p w14:paraId="576BFAAA" w14:textId="77777777" w:rsidR="00817399" w:rsidRPr="002F2BC5" w:rsidRDefault="00817399" w:rsidP="00817399">
      <w:pPr>
        <w:spacing w:line="269" w:lineRule="auto"/>
        <w:rPr>
          <w:rtl/>
        </w:rPr>
      </w:pPr>
    </w:p>
    <w:p w14:paraId="647C3362" w14:textId="77777777" w:rsidR="00817399" w:rsidRPr="002F2BC5" w:rsidRDefault="00817399" w:rsidP="00817399">
      <w:pPr>
        <w:spacing w:line="269" w:lineRule="auto"/>
      </w:pPr>
      <w:r w:rsidRPr="002F2BC5">
        <w:rPr>
          <w:rFonts w:hint="cs"/>
          <w:rtl/>
        </w:rPr>
        <w:t>אומנם רובם הגדול של האסירים שריצו מאסר בגין עבירות אלימות במשפחה משתחררים שחרור מוקדם בטרם ריצו את מלוא עונשם, אך הלכה למעשה רובם המוחלט משתחררים בשחרור מוקדם שאינו מותנה בתנאים, ובכלל זה שחרור מינהלי: כ-90% מבין כלל האסירים ששוחררו ממאסר בגין עבירות אלימות במשפחה בשנים 2020 - 2024 שוחררו בשחרור מוקדם (4,659 מתוך 5,167)</w:t>
      </w:r>
      <w:r w:rsidRPr="002F2BC5">
        <w:rPr>
          <w:rStyle w:val="af9"/>
          <w:rtl/>
        </w:rPr>
        <w:footnoteReference w:id="472"/>
      </w:r>
      <w:r w:rsidRPr="002F2BC5">
        <w:rPr>
          <w:rFonts w:hint="cs"/>
          <w:rtl/>
        </w:rPr>
        <w:t xml:space="preserve"> ובשנת 2024 עמד שיעור זה על כ-93% (1,071 מתוך 1,147)</w:t>
      </w:r>
      <w:r w:rsidRPr="002F2BC5">
        <w:rPr>
          <w:rStyle w:val="af9"/>
          <w:rtl/>
        </w:rPr>
        <w:footnoteReference w:id="473"/>
      </w:r>
      <w:r w:rsidRPr="002F2BC5">
        <w:rPr>
          <w:rFonts w:hint="cs"/>
          <w:rtl/>
        </w:rPr>
        <w:t>. רק כ-6% מהמשוחררים בשחרור מוקדם בשנים 2020 - 2024 השתחררו בשחרור על תנאי, בתנאים שקבעה ועדת השחרורים (288 מתוך 4,659)</w:t>
      </w:r>
      <w:r w:rsidRPr="002F2BC5">
        <w:rPr>
          <w:rStyle w:val="af9"/>
          <w:rtl/>
        </w:rPr>
        <w:footnoteReference w:id="474"/>
      </w:r>
      <w:r w:rsidRPr="002F2BC5">
        <w:rPr>
          <w:rFonts w:hint="cs"/>
          <w:rtl/>
        </w:rPr>
        <w:t xml:space="preserve">. מחקר שנערך במטרה </w:t>
      </w:r>
      <w:r w:rsidRPr="002F2BC5">
        <w:rPr>
          <w:rtl/>
        </w:rPr>
        <w:t xml:space="preserve">להתחקות אחר הסיבות </w:t>
      </w:r>
      <w:r w:rsidRPr="002F2BC5">
        <w:rPr>
          <w:rFonts w:hint="cs"/>
          <w:rtl/>
        </w:rPr>
        <w:t>העיקריות ה</w:t>
      </w:r>
      <w:r w:rsidRPr="002F2BC5">
        <w:rPr>
          <w:rtl/>
        </w:rPr>
        <w:t>מובילות לדחיית</w:t>
      </w:r>
      <w:r w:rsidRPr="002F2BC5">
        <w:rPr>
          <w:rFonts w:hint="cs"/>
          <w:rtl/>
        </w:rPr>
        <w:t xml:space="preserve"> </w:t>
      </w:r>
      <w:r w:rsidRPr="002F2BC5">
        <w:rPr>
          <w:rtl/>
        </w:rPr>
        <w:t>בקשתו של אסיר</w:t>
      </w:r>
      <w:r w:rsidRPr="002F2BC5">
        <w:rPr>
          <w:rFonts w:hint="cs"/>
          <w:rtl/>
        </w:rPr>
        <w:t xml:space="preserve"> פלילי</w:t>
      </w:r>
      <w:r w:rsidRPr="002F2BC5">
        <w:rPr>
          <w:rtl/>
        </w:rPr>
        <w:t xml:space="preserve"> לשחרור על</w:t>
      </w:r>
      <w:r w:rsidRPr="002F2BC5">
        <w:rPr>
          <w:rFonts w:hint="cs"/>
          <w:rtl/>
        </w:rPr>
        <w:t xml:space="preserve"> </w:t>
      </w:r>
      <w:r w:rsidRPr="002F2BC5">
        <w:rPr>
          <w:rtl/>
        </w:rPr>
        <w:t>תנאי</w:t>
      </w:r>
      <w:r w:rsidRPr="002F2BC5">
        <w:rPr>
          <w:rFonts w:hint="cs"/>
          <w:rtl/>
        </w:rPr>
        <w:t xml:space="preserve"> הצביע על כך שרמת מסוכנותו הגבוהה של האסיר המבקש שחרור מוקדם הייתה הנימוק השכיח ביותר לדחיית הבקשה</w:t>
      </w:r>
      <w:r w:rsidRPr="002F2BC5">
        <w:rPr>
          <w:rStyle w:val="af9"/>
          <w:rtl/>
        </w:rPr>
        <w:footnoteReference w:id="475"/>
      </w:r>
      <w:r w:rsidRPr="002F2BC5">
        <w:rPr>
          <w:rtl/>
        </w:rPr>
        <w:t>.</w:t>
      </w:r>
    </w:p>
    <w:p w14:paraId="0BCC1876" w14:textId="77777777" w:rsidR="00817399" w:rsidRPr="002F2BC5" w:rsidRDefault="00817399" w:rsidP="00817399">
      <w:pPr>
        <w:spacing w:line="269" w:lineRule="auto"/>
        <w:rPr>
          <w:rtl/>
        </w:rPr>
      </w:pPr>
    </w:p>
    <w:p w14:paraId="2FD322E3" w14:textId="77777777" w:rsidR="00817399" w:rsidRPr="002F2BC5" w:rsidRDefault="00817399" w:rsidP="00817399">
      <w:pPr>
        <w:spacing w:line="269" w:lineRule="auto"/>
        <w:rPr>
          <w:rtl/>
        </w:rPr>
      </w:pPr>
      <w:r w:rsidRPr="002F2BC5">
        <w:rPr>
          <w:rFonts w:hint="cs"/>
          <w:rtl/>
        </w:rPr>
        <w:t>בביקורת הקודמת נבדקו היבטים מסוימים הנוגעים להיערכות גורמי אכיפת החוק וגורמי השיקום והטיפול בקהילה לקראת שחרורם של אסירים שריצו מאסרים בגין עבירות אלימות במשפחה, ובכלל זה שילובם של אסירים אלו בתוכניות שיקום בקהילה בפיקוח ושלא בפיקוח. להלן יובאו ממצאי הביקורת בנושאים אלו.</w:t>
      </w:r>
    </w:p>
    <w:p w14:paraId="51EE24E6" w14:textId="77777777" w:rsidR="00817399" w:rsidRPr="002F2BC5" w:rsidRDefault="00817399" w:rsidP="00817399">
      <w:pPr>
        <w:spacing w:line="269" w:lineRule="auto"/>
        <w:rPr>
          <w:rtl/>
        </w:rPr>
      </w:pPr>
    </w:p>
    <w:p w14:paraId="380A5B81" w14:textId="77777777" w:rsidR="00817399" w:rsidRPr="002F2BC5" w:rsidRDefault="00817399" w:rsidP="00817399">
      <w:pPr>
        <w:pStyle w:val="6"/>
        <w:spacing w:line="269" w:lineRule="auto"/>
        <w:rPr>
          <w:rtl/>
        </w:rPr>
      </w:pPr>
      <w:bookmarkStart w:id="2344" w:name="_Toc189072302"/>
      <w:bookmarkStart w:id="2345" w:name="_Toc191987205"/>
      <w:bookmarkStart w:id="2346" w:name="_Toc193110649"/>
      <w:r w:rsidRPr="002F2BC5">
        <w:rPr>
          <w:rFonts w:hint="cs"/>
          <w:rtl/>
        </w:rPr>
        <w:t>תוכניות שיקום בקהילה לאסירים משוחררים בפיקוח</w:t>
      </w:r>
      <w:bookmarkEnd w:id="2344"/>
      <w:bookmarkEnd w:id="2345"/>
      <w:bookmarkEnd w:id="2346"/>
    </w:p>
    <w:p w14:paraId="00653670" w14:textId="77777777" w:rsidR="00817399" w:rsidRPr="002F2BC5" w:rsidRDefault="00817399" w:rsidP="00817399">
      <w:pPr>
        <w:spacing w:line="269" w:lineRule="auto"/>
        <w:rPr>
          <w:rtl/>
        </w:rPr>
      </w:pPr>
    </w:p>
    <w:p w14:paraId="45E6209B" w14:textId="77777777" w:rsidR="00817399" w:rsidRPr="002F2BC5" w:rsidRDefault="00817399" w:rsidP="00817399">
      <w:pPr>
        <w:spacing w:line="269" w:lineRule="auto"/>
        <w:rPr>
          <w:rtl/>
        </w:rPr>
      </w:pPr>
      <w:bookmarkStart w:id="2347" w:name="_Toc191987206"/>
      <w:r w:rsidRPr="002F2BC5">
        <w:rPr>
          <w:rStyle w:val="70"/>
          <w:rFonts w:hint="cs"/>
          <w:rtl/>
        </w:rPr>
        <w:t>הביקורת הקודמת:</w:t>
      </w:r>
      <w:bookmarkEnd w:id="2347"/>
      <w:r w:rsidRPr="002F2BC5">
        <w:rPr>
          <w:rStyle w:val="70"/>
          <w:rFonts w:hint="cs"/>
          <w:rtl/>
        </w:rPr>
        <w:t xml:space="preserve"> </w:t>
      </w:r>
      <w:r w:rsidRPr="002F2BC5">
        <w:rPr>
          <w:rFonts w:hint="cs"/>
          <w:rtl/>
        </w:rPr>
        <w:t>במועד סיום הביקורת הקודמת הפעילה הרשות לשיקום האסיר מסגרת אחת בלבד במחוז המרכז, שבה ניתן מענה שיקומי בפיקוח (</w:t>
      </w:r>
      <w:bookmarkStart w:id="2348" w:name="_Hlk202343017"/>
      <w:r w:rsidRPr="002F2BC5">
        <w:rPr>
          <w:rFonts w:hint="cs"/>
          <w:rtl/>
        </w:rPr>
        <w:t>להלן - הוסטל "מפתחות</w:t>
      </w:r>
      <w:bookmarkEnd w:id="2348"/>
      <w:r w:rsidRPr="002F2BC5">
        <w:rPr>
          <w:rFonts w:hint="cs"/>
          <w:rtl/>
        </w:rPr>
        <w:t>")</w:t>
      </w:r>
      <w:r w:rsidRPr="002F2BC5">
        <w:rPr>
          <w:rStyle w:val="af9"/>
          <w:rtl/>
        </w:rPr>
        <w:footnoteReference w:id="476"/>
      </w:r>
      <w:r w:rsidRPr="002F2BC5">
        <w:rPr>
          <w:rFonts w:hint="cs"/>
          <w:rtl/>
        </w:rPr>
        <w:t>. בשנים 2015 - 2019 טופלו בהוסטל "מפתחות" 58 אסירים משוחררים</w:t>
      </w:r>
      <w:r w:rsidRPr="002F2BC5">
        <w:rPr>
          <w:rStyle w:val="af9"/>
          <w:rtl/>
        </w:rPr>
        <w:footnoteReference w:id="477"/>
      </w:r>
      <w:r w:rsidRPr="002F2BC5">
        <w:rPr>
          <w:rFonts w:hint="cs"/>
          <w:rtl/>
        </w:rPr>
        <w:t>. נמצא עוד כי על אף המלצתה של ועדת רוזנבאום, במועד סיום הביקורת הקודמת לא ניתן מענה שיקומי בפיקוח, שלא בתנאי מגורים, עבור אסירים משוחררים שריצו מאסרים קצרים ושרמת המסוכנות שנשקפה מהם לא הייתה גבוהה, זאת משום שלא הוקצה תקציב ייעודי לטובת הפעלתה של תוכנית שיקומית כזו.</w:t>
      </w:r>
    </w:p>
    <w:p w14:paraId="287DC3D0" w14:textId="77777777" w:rsidR="00817399" w:rsidRPr="002F2BC5" w:rsidRDefault="00817399" w:rsidP="00817399">
      <w:pPr>
        <w:spacing w:line="269" w:lineRule="auto"/>
        <w:rPr>
          <w:rtl/>
        </w:rPr>
      </w:pPr>
    </w:p>
    <w:p w14:paraId="7BCDBAD5"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לרשות לשיקום האסיר לבחון את הרחבת תוכניות השיקום בפיקוח במטרה להגדיל את מספר האסירים המשוחררים המשולבים בתוכניות אלו. </w:t>
      </w:r>
    </w:p>
    <w:p w14:paraId="1E856708" w14:textId="77777777" w:rsidR="00817399" w:rsidRPr="002F2BC5" w:rsidRDefault="00817399" w:rsidP="00817399">
      <w:pPr>
        <w:spacing w:line="269" w:lineRule="auto"/>
        <w:rPr>
          <w:rtl/>
        </w:rPr>
      </w:pPr>
    </w:p>
    <w:p w14:paraId="7ECE55E0" w14:textId="77777777" w:rsidR="00817399" w:rsidRPr="002F2BC5" w:rsidRDefault="00817399" w:rsidP="00817399">
      <w:pPr>
        <w:spacing w:line="269" w:lineRule="auto"/>
        <w:rPr>
          <w:rtl/>
        </w:rPr>
      </w:pPr>
      <w:r w:rsidRPr="002F2BC5">
        <w:rPr>
          <w:rFonts w:hint="cs"/>
          <w:rtl/>
        </w:rPr>
        <w:t xml:space="preserve">הרשות לשיקום האסיר מסרה בתשובתה לביקורת הקודמת מפברואר 2021 כי החלה בהפעלתו של מרכז יום לאסירים משוחררים כחלק מהוסטל "מפתחות", וכי היא פועלת להקמת קבוצות טיפוליות לאסירים הללו בכלל מחוזותיה. עוד ציינה בתשובתה כי היא פועלת בשיתוף שירות בתי </w:t>
      </w:r>
      <w:r w:rsidRPr="002F2BC5">
        <w:rPr>
          <w:rFonts w:hint="cs"/>
          <w:rtl/>
        </w:rPr>
        <w:lastRenderedPageBreak/>
        <w:t>הסוהר ומשרד הרווחה כדי להביא לידיעת מטופלים פוטנציאליים את דבר קיומם של המענים החדשים.</w:t>
      </w:r>
    </w:p>
    <w:p w14:paraId="4CC16683" w14:textId="77777777" w:rsidR="00817399" w:rsidRPr="002F2BC5" w:rsidRDefault="00817399" w:rsidP="00817399">
      <w:pPr>
        <w:spacing w:line="269" w:lineRule="auto"/>
        <w:rPr>
          <w:rtl/>
        </w:rPr>
      </w:pPr>
    </w:p>
    <w:p w14:paraId="32869E69" w14:textId="77777777" w:rsidR="00817399" w:rsidRPr="002F2BC5" w:rsidRDefault="00817399" w:rsidP="00817399">
      <w:pPr>
        <w:spacing w:line="269" w:lineRule="auto"/>
        <w:rPr>
          <w:rtl/>
        </w:rPr>
      </w:pPr>
      <w:bookmarkStart w:id="2349" w:name="_Toc191987207"/>
      <w:r w:rsidRPr="002F2BC5">
        <w:rPr>
          <w:rStyle w:val="70"/>
          <w:rFonts w:hint="cs"/>
          <w:rtl/>
        </w:rPr>
        <w:t>ביקורת המעקב:</w:t>
      </w:r>
      <w:bookmarkEnd w:id="2349"/>
      <w:r w:rsidRPr="002F2BC5">
        <w:rPr>
          <w:rStyle w:val="70"/>
          <w:rFonts w:hint="cs"/>
          <w:rtl/>
        </w:rPr>
        <w:t xml:space="preserve"> </w:t>
      </w:r>
      <w:r w:rsidRPr="002F2BC5">
        <w:rPr>
          <w:rFonts w:hint="cs"/>
          <w:rtl/>
        </w:rPr>
        <w:t xml:space="preserve">בשנים 2020 - אוגוסט 2024 התקבלו לטיפול בהוסטל "מפתחות" 40 מטופלים חדשים (שמונה מטופלים חדשים בממוצע בכל שנה); רובם (29 מהם) מטופלים מהמגזר הערבי; ארבעה דוברי רוסית; ושניים ממוצא אתיופי. שיעור הנשירה מטיפול בהוסטל היה בשנים הללו כ-28% (11 מטופלים לא סיימו את הטיפול בהצלחה). נוסף על כך הועלה כי בשנת 2021 הוקם לצד הוסטל "מפתחות" מרכז יום "מפתחות", המספק טיפול ברמת עצימות נמוכה מזו שניתנת בהוסטל, והוא נותן מענה גם לאסירים משוחררים שריצו עונש מאסר קצר או שבשל גילם המתקדם או מצבם הבריאותי הם אינם יכולים להשתלב בהליך טיפולי-שיקומי עצים בהוסטל. בשנים 2021 - אוגוסט 2024 התקבלו לטיפול במרכז היום "מפתחות" 50 מטופלים חדשים (12 מטופלים חדשים בממוצע בכל שנה). כשליש מהמטופלים היו מהמגזר הערבי (19 מהם); שמונה דוברי רוסית ושניים ממוצא אתיופי. שיעור הנשירה מטיפול במרכז היום היה בשנים הללו זהה לשיעור הנשירה במרכז היום - כ-28% (14 מטופלים לא סיימו את הטיפול בהצלחה). </w:t>
      </w:r>
    </w:p>
    <w:p w14:paraId="7177EE6B" w14:textId="77777777" w:rsidR="00817399" w:rsidRPr="002F2BC5" w:rsidRDefault="00817399" w:rsidP="00817399">
      <w:pPr>
        <w:spacing w:line="269" w:lineRule="auto"/>
        <w:rPr>
          <w:rtl/>
        </w:rPr>
      </w:pPr>
    </w:p>
    <w:p w14:paraId="21027BA1" w14:textId="77777777" w:rsidR="00817399" w:rsidRPr="002F2BC5" w:rsidRDefault="00817399" w:rsidP="00817399">
      <w:pPr>
        <w:spacing w:line="269" w:lineRule="auto"/>
        <w:rPr>
          <w:rtl/>
        </w:rPr>
      </w:pPr>
      <w:r w:rsidRPr="002F2BC5">
        <w:rPr>
          <w:rFonts w:hint="cs"/>
          <w:rtl/>
        </w:rPr>
        <w:t>לצד ההוסטל ומרכז היום "מפתחות" (</w:t>
      </w:r>
      <w:bookmarkStart w:id="2350" w:name="_Hlk202343069"/>
      <w:r w:rsidRPr="002F2BC5">
        <w:rPr>
          <w:rFonts w:hint="cs"/>
          <w:rtl/>
        </w:rPr>
        <w:t xml:space="preserve">להלן יחדיו - המרכז הרב-תחומי "מפתחות") </w:t>
      </w:r>
      <w:bookmarkEnd w:id="2350"/>
      <w:r w:rsidRPr="002F2BC5">
        <w:rPr>
          <w:rFonts w:hint="cs"/>
          <w:rtl/>
        </w:rPr>
        <w:t>הוקמו בשנים 2021 ו-2022 הוסטל ומרכז יום גם במחוז הצפון (</w:t>
      </w:r>
      <w:bookmarkStart w:id="2351" w:name="_Hlk202343152"/>
      <w:r w:rsidRPr="002F2BC5">
        <w:rPr>
          <w:rFonts w:hint="cs"/>
          <w:rtl/>
        </w:rPr>
        <w:t xml:space="preserve">להלן - הוסטל "קמה" ומרכז יום "קמה" ולהלן יחדיו - המרכז הרב-תחומי "קמה"). </w:t>
      </w:r>
      <w:bookmarkEnd w:id="2351"/>
      <w:r w:rsidRPr="002F2BC5">
        <w:rPr>
          <w:rFonts w:hint="cs"/>
          <w:rtl/>
        </w:rPr>
        <w:t>בשנים 2021 - אוגוסט 2024 התקבלו לטיפול במרכז היום "קמה" 49 מטופלים חדשים (12 מטופלים חדשים בממוצע בכל שנה); רובם מטופלים מהמגזר הערבי (38 מהם); שלושה דוברי רוסית; ואחד ממוצא אתיופי. שיעור הנשירה מטיפול בהוסטל היה בשנים הללו כ-10% (חמישה מטופלים לא סיימו את הטיפול בהצלחה). אשר למרכז היום "קמה", בשנים 2022 - אוגוסט 2024 התקבלו לטיפול בו 15 מטופלים חדשים (חמישה מטופלים חדשים בממוצע בכל שנה); רובם (11 מהם) מטופלים מהמגזר הערבי; שניים דוברי רוסית ואחד ממוצא אתיופי. לפי נתוני הרשות לשיקום האסיר, בשנים הללו לא הייתה נשירה של מטופלים מטיפול בהוסטל "קמה".</w:t>
      </w:r>
    </w:p>
    <w:p w14:paraId="774D9398" w14:textId="77777777" w:rsidR="00817399" w:rsidRPr="002F2BC5" w:rsidRDefault="00817399" w:rsidP="00817399">
      <w:pPr>
        <w:spacing w:line="269" w:lineRule="auto"/>
        <w:rPr>
          <w:rtl/>
        </w:rPr>
      </w:pPr>
    </w:p>
    <w:p w14:paraId="762432B0" w14:textId="77777777" w:rsidR="00817399" w:rsidRPr="002F2BC5" w:rsidRDefault="00817399" w:rsidP="00817399">
      <w:pPr>
        <w:pStyle w:val="afffffff9"/>
        <w:spacing w:line="269" w:lineRule="auto"/>
        <w:rPr>
          <w:rtl/>
        </w:rPr>
      </w:pPr>
      <w:bookmarkStart w:id="2352" w:name="_Toc191987208"/>
      <w:bookmarkStart w:id="2353" w:name="_Toc192093211"/>
      <w:bookmarkStart w:id="2354" w:name="_Toc192612919"/>
      <w:bookmarkStart w:id="2355" w:name="_Toc198312371"/>
      <w:bookmarkStart w:id="2356" w:name="_Toc198312858"/>
      <w:bookmarkStart w:id="2357" w:name="_Toc200637008"/>
      <w:bookmarkStart w:id="2358" w:name="_Toc200440006"/>
      <w:bookmarkStart w:id="2359" w:name="_Toc201241111"/>
      <w:r w:rsidRPr="002F2BC5">
        <w:rPr>
          <w:rFonts w:hint="cs"/>
          <w:rtl/>
        </w:rPr>
        <w:t xml:space="preserve">הביקורת הקודמת העלתה כי </w:t>
      </w:r>
      <w:r w:rsidRPr="002F2BC5">
        <w:rPr>
          <w:rtl/>
        </w:rPr>
        <w:t xml:space="preserve">במועד </w:t>
      </w:r>
      <w:r w:rsidRPr="002F2BC5">
        <w:rPr>
          <w:rFonts w:hint="cs"/>
          <w:rtl/>
        </w:rPr>
        <w:t>סיומה</w:t>
      </w:r>
      <w:r w:rsidRPr="002F2BC5">
        <w:rPr>
          <w:rtl/>
        </w:rPr>
        <w:t xml:space="preserve"> הפעילה הרשות לשיקום האסיר מסגרת אחת בלבד במחוז המרכז, שבה ניתן מענה שיקומי בפיקוח </w:t>
      </w:r>
      <w:r w:rsidRPr="002F2BC5">
        <w:rPr>
          <w:rFonts w:hint="cs"/>
          <w:rtl/>
        </w:rPr>
        <w:t>וכי</w:t>
      </w:r>
      <w:r w:rsidRPr="002F2BC5">
        <w:rPr>
          <w:rtl/>
        </w:rPr>
        <w:t xml:space="preserve"> בשנים 2015 - 2019 טופלו </w:t>
      </w:r>
      <w:r w:rsidRPr="002F2BC5">
        <w:rPr>
          <w:rFonts w:hint="cs"/>
          <w:rtl/>
        </w:rPr>
        <w:t>בה</w:t>
      </w:r>
      <w:r w:rsidRPr="002F2BC5">
        <w:rPr>
          <w:rtl/>
        </w:rPr>
        <w:t xml:space="preserve"> 58 אסירים משוחררים</w:t>
      </w:r>
      <w:r w:rsidRPr="002F2BC5">
        <w:rPr>
          <w:rFonts w:hint="cs"/>
          <w:rtl/>
        </w:rPr>
        <w:t xml:space="preserve">. בביקורת המעקב </w:t>
      </w:r>
      <w:r w:rsidRPr="002F2BC5">
        <w:rPr>
          <w:rFonts w:hint="eastAsia"/>
          <w:rtl/>
        </w:rPr>
        <w:t>הועלה</w:t>
      </w:r>
      <w:r w:rsidRPr="002F2BC5">
        <w:rPr>
          <w:rtl/>
        </w:rPr>
        <w:t xml:space="preserve"> כי הליקוי תוקן במידה </w:t>
      </w:r>
      <w:r w:rsidRPr="002F2BC5">
        <w:rPr>
          <w:rFonts w:hint="cs"/>
          <w:rtl/>
        </w:rPr>
        <w:t>חלקית</w:t>
      </w:r>
      <w:r w:rsidRPr="002F2BC5">
        <w:rPr>
          <w:rtl/>
        </w:rPr>
        <w:t>.</w:t>
      </w:r>
      <w:r w:rsidRPr="002F2BC5">
        <w:rPr>
          <w:rFonts w:hint="cs"/>
          <w:rtl/>
        </w:rPr>
        <w:t xml:space="preserve"> נמצא כי מספר המטופלים המצטבר במסגרות השיקום בקהילה בפיקוח שמפעילה הרשות לשיקום האסיר, בתנאי מגורים ושלא בתנאי מגורים, גדל מאז הביקורת הקודמת כמעט פי שלושה - מ-58 בשנים 2015 - 2019 ל-154 בשנים 2020 - אוגוסט 2024. עוד נמצא כי בתוכניות שיקום בקהילה בפיקוח ניתן מענה לאסירים משוחררים בעלי מאפיינים מגוונים, וכי במרכז הרב-תחומי "מפתחות" ניתן מענה טיפולי-שיקומי גם לבנות זוגם של האסירים - בין השאר במסגרת טיפולים פרטניים, זוגיים וקבוצתיים</w:t>
      </w:r>
      <w:r w:rsidRPr="002F2BC5">
        <w:rPr>
          <w:rStyle w:val="af9"/>
          <w:b w:val="0"/>
          <w:bCs w:val="0"/>
          <w:rtl/>
        </w:rPr>
        <w:footnoteReference w:id="478"/>
      </w:r>
      <w:r w:rsidRPr="002F2BC5">
        <w:rPr>
          <w:rFonts w:hint="cs"/>
          <w:rtl/>
        </w:rPr>
        <w:t>. עם זאת, הועלה כי שיעורם של האסירים המשוחררים ששולבו במסגרות השיקום בקהילה בפיקוח מתוך כלל האסירים המשוחררים נותר מזערי - כ-3% (154 מתוך 5,167 אסירים ששוחררו בשנים 2020 - 2024 לאחר מאסר בגין עבירות אלימות במשפחה)</w:t>
      </w:r>
      <w:r w:rsidRPr="002F2BC5">
        <w:rPr>
          <w:rStyle w:val="af9"/>
          <w:b w:val="0"/>
          <w:bCs w:val="0"/>
          <w:rtl/>
        </w:rPr>
        <w:footnoteReference w:id="479"/>
      </w:r>
      <w:r w:rsidRPr="002F2BC5">
        <w:rPr>
          <w:rFonts w:hint="cs"/>
          <w:rtl/>
        </w:rPr>
        <w:t>.</w:t>
      </w:r>
      <w:bookmarkEnd w:id="2352"/>
      <w:bookmarkEnd w:id="2353"/>
      <w:bookmarkEnd w:id="2354"/>
      <w:bookmarkEnd w:id="2355"/>
      <w:bookmarkEnd w:id="2356"/>
      <w:bookmarkEnd w:id="2357"/>
      <w:bookmarkEnd w:id="2358"/>
      <w:bookmarkEnd w:id="2359"/>
    </w:p>
    <w:p w14:paraId="65B98F88" w14:textId="77777777" w:rsidR="00817399" w:rsidRPr="002F2BC5" w:rsidRDefault="00817399" w:rsidP="00817399">
      <w:pPr>
        <w:spacing w:line="269" w:lineRule="auto"/>
        <w:rPr>
          <w:rtl/>
        </w:rPr>
      </w:pPr>
    </w:p>
    <w:p w14:paraId="1AC44F84" w14:textId="77777777" w:rsidR="00817399" w:rsidRPr="002F2BC5" w:rsidRDefault="00817399" w:rsidP="00817399">
      <w:pPr>
        <w:pStyle w:val="afffffff9"/>
        <w:spacing w:line="269" w:lineRule="auto"/>
        <w:rPr>
          <w:rtl/>
        </w:rPr>
      </w:pPr>
      <w:bookmarkStart w:id="2360" w:name="_Toc198312372"/>
      <w:bookmarkStart w:id="2361" w:name="_Toc198312859"/>
      <w:bookmarkStart w:id="2362" w:name="_Toc200637009"/>
      <w:bookmarkStart w:id="2363" w:name="_Toc200440007"/>
      <w:bookmarkStart w:id="2364" w:name="_Toc201241112"/>
      <w:bookmarkStart w:id="2365" w:name="_Toc191987209"/>
      <w:bookmarkStart w:id="2366" w:name="_Toc192093212"/>
      <w:bookmarkStart w:id="2367" w:name="_Toc192612920"/>
      <w:r w:rsidRPr="002F2BC5">
        <w:rPr>
          <w:rFonts w:hint="cs"/>
          <w:rtl/>
        </w:rPr>
        <w:t>ביקורת המעקב העלתה עוד כי אף שהרשות לשיקום האסיר מנהלת מעקב שיטתי אחר שיעורי הנשירה מטיפול במסגרות הטיפוליות שהיא מפעילה, הפעלתן של המסגרות הללו אינה נתמכת במחקר מלווה. כך גם עלה כי לא נעשתה מדידה תוצאתית של פעילות המסגרות הטיפוליות ולא נבחנה מידת תרומתן לצמצום תופעת העבריינות החוזרת.</w:t>
      </w:r>
      <w:bookmarkEnd w:id="2360"/>
      <w:bookmarkEnd w:id="2361"/>
      <w:bookmarkEnd w:id="2362"/>
      <w:bookmarkEnd w:id="2363"/>
      <w:bookmarkEnd w:id="2364"/>
      <w:r w:rsidRPr="002F2BC5">
        <w:rPr>
          <w:rFonts w:hint="cs"/>
          <w:rtl/>
        </w:rPr>
        <w:t xml:space="preserve"> </w:t>
      </w:r>
      <w:bookmarkEnd w:id="2365"/>
      <w:bookmarkEnd w:id="2366"/>
      <w:bookmarkEnd w:id="2367"/>
    </w:p>
    <w:p w14:paraId="782B3F23" w14:textId="77777777" w:rsidR="00817399" w:rsidRPr="002F2BC5" w:rsidRDefault="00817399" w:rsidP="00817399">
      <w:pPr>
        <w:spacing w:line="269" w:lineRule="auto"/>
        <w:rPr>
          <w:rtl/>
        </w:rPr>
      </w:pPr>
    </w:p>
    <w:p w14:paraId="2E2206CB" w14:textId="77777777" w:rsidR="00817399" w:rsidRPr="002F2BC5" w:rsidRDefault="00817399" w:rsidP="00817399">
      <w:pPr>
        <w:pStyle w:val="afffffffa"/>
        <w:spacing w:line="269" w:lineRule="auto"/>
        <w:rPr>
          <w:rtl/>
        </w:rPr>
      </w:pPr>
      <w:bookmarkStart w:id="2368" w:name="_Toc191987210"/>
      <w:bookmarkStart w:id="2369" w:name="_Toc192093213"/>
      <w:bookmarkStart w:id="2370" w:name="_Toc192612921"/>
      <w:bookmarkStart w:id="2371" w:name="_Toc198312373"/>
      <w:bookmarkStart w:id="2372" w:name="_Toc198312860"/>
      <w:bookmarkStart w:id="2373" w:name="_Toc200637010"/>
      <w:bookmarkStart w:id="2374" w:name="_Toc200440008"/>
      <w:bookmarkStart w:id="2375" w:name="_Toc201241113"/>
      <w:r w:rsidRPr="002F2BC5">
        <w:rPr>
          <w:rFonts w:hint="cs"/>
          <w:rtl/>
        </w:rPr>
        <w:t>מומלץ לרשות לשיקום האסיר לקדם מחקר מלווה להפעלתן של המסגרות הטיפוליות שהיא מפעילה לאסירים משוחררים בפיקוח כדי לבחון את תרומתן לצמצום תופעת העבריינות החוזרת ומידת התאמתן למאפייניהם וצורכיהם המגוונים של המטופלים.</w:t>
      </w:r>
      <w:bookmarkEnd w:id="2368"/>
      <w:bookmarkEnd w:id="2369"/>
      <w:bookmarkEnd w:id="2370"/>
      <w:bookmarkEnd w:id="2371"/>
      <w:bookmarkEnd w:id="2372"/>
      <w:bookmarkEnd w:id="2373"/>
      <w:bookmarkEnd w:id="2374"/>
      <w:bookmarkEnd w:id="2375"/>
    </w:p>
    <w:p w14:paraId="6A6B74EE" w14:textId="77777777" w:rsidR="00817399" w:rsidRPr="002F2BC5" w:rsidRDefault="00817399" w:rsidP="00817399">
      <w:pPr>
        <w:spacing w:line="269" w:lineRule="auto"/>
        <w:rPr>
          <w:rtl/>
        </w:rPr>
      </w:pPr>
      <w:r w:rsidRPr="002F2BC5">
        <w:rPr>
          <w:rFonts w:hint="cs"/>
          <w:rtl/>
        </w:rPr>
        <w:lastRenderedPageBreak/>
        <w:t>הרשות לשיקום האסיר מסרה בתשובתה ממאי 2025 כי אכן יש מקום לקידום מחקר על מועילותן של המסגרות הטיפוליות שהיא מפעילה, אך הדבר מותנה בהקצאת תקציב ייעודי.</w:t>
      </w:r>
    </w:p>
    <w:p w14:paraId="3771D0D6" w14:textId="77777777" w:rsidR="00817399" w:rsidRPr="002F2BC5" w:rsidRDefault="00817399" w:rsidP="00817399">
      <w:pPr>
        <w:spacing w:line="269" w:lineRule="auto"/>
        <w:rPr>
          <w:rtl/>
        </w:rPr>
      </w:pPr>
    </w:p>
    <w:p w14:paraId="24657DAE"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6493512D" w14:textId="77777777" w:rsidR="00817399" w:rsidRPr="002F2BC5" w:rsidRDefault="00817399" w:rsidP="00817399">
      <w:pPr>
        <w:pStyle w:val="afffffff7"/>
        <w:spacing w:before="0" w:line="269" w:lineRule="auto"/>
        <w:rPr>
          <w:noProof/>
        </w:rPr>
      </w:pPr>
      <w:bookmarkStart w:id="2376" w:name="_Toc198312374"/>
      <w:bookmarkStart w:id="2377" w:name="_Toc198312861"/>
      <w:bookmarkStart w:id="2378" w:name="_Toc189072303"/>
      <w:r w:rsidRPr="002F2BC5">
        <w:rPr>
          <w:noProof/>
          <w:sz w:val="24"/>
        </w:rPr>
        <w:drawing>
          <wp:inline distT="0" distB="0" distL="0" distR="0" wp14:anchorId="1603C7DC" wp14:editId="2A16ED55">
            <wp:extent cx="4324350" cy="933450"/>
            <wp:effectExtent l="0" t="0" r="0" b="0"/>
            <wp:docPr id="2052770952" name="תמונה 205277095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1056"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376"/>
      <w:bookmarkEnd w:id="2377"/>
    </w:p>
    <w:bookmarkEnd w:id="2378"/>
    <w:p w14:paraId="029E2ACE" w14:textId="77777777" w:rsidR="00817399" w:rsidRPr="002F2BC5" w:rsidRDefault="00817399" w:rsidP="00817399">
      <w:pPr>
        <w:spacing w:line="269" w:lineRule="auto"/>
        <w:rPr>
          <w:rtl/>
        </w:rPr>
      </w:pPr>
    </w:p>
    <w:p w14:paraId="08DCD331" w14:textId="77777777" w:rsidR="00817399" w:rsidRPr="002F2BC5" w:rsidRDefault="00817399" w:rsidP="00817399">
      <w:pPr>
        <w:pStyle w:val="6"/>
        <w:spacing w:line="269" w:lineRule="auto"/>
        <w:rPr>
          <w:rtl/>
        </w:rPr>
      </w:pPr>
      <w:bookmarkStart w:id="2379" w:name="_Toc189072304"/>
      <w:bookmarkStart w:id="2380" w:name="_Toc191987211"/>
      <w:bookmarkStart w:id="2381" w:name="_Toc193110650"/>
      <w:r w:rsidRPr="002F2BC5">
        <w:rPr>
          <w:rFonts w:hint="cs"/>
          <w:rtl/>
        </w:rPr>
        <w:t>תוכניות שיקום בקהילה לאסירים משוחררים שלא בפיקוח</w:t>
      </w:r>
      <w:bookmarkEnd w:id="2379"/>
      <w:bookmarkEnd w:id="2380"/>
      <w:bookmarkEnd w:id="2381"/>
    </w:p>
    <w:p w14:paraId="1A9EB4AE" w14:textId="77777777" w:rsidR="00817399" w:rsidRPr="002F2BC5" w:rsidRDefault="00817399" w:rsidP="00817399">
      <w:pPr>
        <w:spacing w:line="269" w:lineRule="auto"/>
        <w:rPr>
          <w:rtl/>
        </w:rPr>
      </w:pPr>
    </w:p>
    <w:p w14:paraId="55863252" w14:textId="77777777" w:rsidR="00817399" w:rsidRPr="002F2BC5" w:rsidRDefault="00817399" w:rsidP="00817399">
      <w:pPr>
        <w:spacing w:line="269" w:lineRule="auto"/>
        <w:rPr>
          <w:rtl/>
        </w:rPr>
      </w:pPr>
      <w:bookmarkStart w:id="2382" w:name="_Toc191987212"/>
      <w:r w:rsidRPr="002F2BC5">
        <w:rPr>
          <w:rStyle w:val="70"/>
          <w:rFonts w:hint="cs"/>
          <w:rtl/>
        </w:rPr>
        <w:t>הביקורת הקודמת:</w:t>
      </w:r>
      <w:bookmarkEnd w:id="2382"/>
      <w:r w:rsidRPr="002F2BC5">
        <w:rPr>
          <w:rStyle w:val="70"/>
          <w:rFonts w:hint="cs"/>
          <w:rtl/>
        </w:rPr>
        <w:t xml:space="preserve"> </w:t>
      </w:r>
      <w:r w:rsidRPr="002F2BC5">
        <w:rPr>
          <w:rFonts w:hint="cs"/>
          <w:rtl/>
        </w:rPr>
        <w:t xml:space="preserve">נמצא כי לפי הערכות הרשות לשיקום האסיר, אסירים משוחררים מעטים בלבד השתלבו בתוכניות שיקום בקהילה שלא בפיקוח, ובכללן במרכזים לטיפול ומניעת אלימות במשפחה. עוד הועלה כי בשל מספרם הזניח של אסירים אלו, הרשות לשיקום האסיר לא אספה או איגמה נתונים בנושא זה. </w:t>
      </w:r>
    </w:p>
    <w:p w14:paraId="18454A72" w14:textId="77777777" w:rsidR="00817399" w:rsidRPr="002F2BC5" w:rsidRDefault="00817399" w:rsidP="00817399">
      <w:pPr>
        <w:spacing w:line="269" w:lineRule="auto"/>
        <w:rPr>
          <w:rtl/>
        </w:rPr>
      </w:pPr>
    </w:p>
    <w:p w14:paraId="3545C0B2" w14:textId="77777777" w:rsidR="00817399" w:rsidRPr="002F2BC5" w:rsidRDefault="00817399" w:rsidP="00817399">
      <w:pPr>
        <w:spacing w:line="269" w:lineRule="auto"/>
        <w:rPr>
          <w:rtl/>
        </w:rPr>
      </w:pPr>
      <w:r w:rsidRPr="002F2BC5">
        <w:rPr>
          <w:rFonts w:hint="cs"/>
          <w:rtl/>
        </w:rPr>
        <w:t xml:space="preserve">משרד מבקר המדינה המליץ בביקורת הקודמת לרשות לשיקום האסיר ולמשרד הרווחה, בשיתוף המחלקות לשירותים חברתיים, לפעול להרחבת תוכניות השיקום שלא בפיקוח וכן לפעול להכשרתם של גורמי הטיפול בקהילה בתחום הטיפול והשיקום של אסירים משוחררים שריצו מאסר בגין עבירות אלימות במשפחה. </w:t>
      </w:r>
    </w:p>
    <w:p w14:paraId="4FFE38DE" w14:textId="77777777" w:rsidR="00817399" w:rsidRPr="002F2BC5" w:rsidRDefault="00817399" w:rsidP="00817399">
      <w:pPr>
        <w:spacing w:line="269" w:lineRule="auto"/>
        <w:rPr>
          <w:rtl/>
        </w:rPr>
      </w:pPr>
    </w:p>
    <w:p w14:paraId="66D86C12" w14:textId="77777777" w:rsidR="00817399" w:rsidRPr="002F2BC5" w:rsidRDefault="00817399" w:rsidP="00817399">
      <w:pPr>
        <w:spacing w:line="269" w:lineRule="auto"/>
        <w:rPr>
          <w:rtl/>
        </w:rPr>
      </w:pPr>
      <w:r w:rsidRPr="002F2BC5">
        <w:rPr>
          <w:rFonts w:hint="cs"/>
          <w:rtl/>
        </w:rPr>
        <w:t xml:space="preserve">הרשות לשיקום האסיר מסרה בתשובתה לביקורת הקודמת מפברואר 2021 כי המרכזים לטיפול ומניעת אלימות במשפחה חוששים לקבל לטיפול אסירים משוחררים. </w:t>
      </w:r>
    </w:p>
    <w:p w14:paraId="17B6DD10" w14:textId="77777777" w:rsidR="00817399" w:rsidRPr="002F2BC5" w:rsidRDefault="00817399" w:rsidP="00817399">
      <w:pPr>
        <w:spacing w:line="269" w:lineRule="auto"/>
        <w:rPr>
          <w:rtl/>
        </w:rPr>
      </w:pPr>
    </w:p>
    <w:p w14:paraId="5D4B5F37" w14:textId="77777777" w:rsidR="00817399" w:rsidRPr="002F2BC5" w:rsidRDefault="00817399" w:rsidP="00817399">
      <w:pPr>
        <w:spacing w:line="269" w:lineRule="auto"/>
        <w:rPr>
          <w:rtl/>
        </w:rPr>
      </w:pPr>
      <w:bookmarkStart w:id="2383" w:name="_Toc191987213"/>
      <w:r w:rsidRPr="002F2BC5">
        <w:rPr>
          <w:rStyle w:val="70"/>
          <w:rFonts w:hint="cs"/>
          <w:rtl/>
        </w:rPr>
        <w:t>ביקורת המעקב:</w:t>
      </w:r>
      <w:bookmarkEnd w:id="2383"/>
      <w:r w:rsidRPr="002F2BC5">
        <w:rPr>
          <w:rStyle w:val="70"/>
          <w:rFonts w:hint="cs"/>
          <w:rtl/>
        </w:rPr>
        <w:t xml:space="preserve"> </w:t>
      </w:r>
      <w:r w:rsidRPr="002F2BC5">
        <w:rPr>
          <w:rFonts w:hint="eastAsia"/>
          <w:rtl/>
        </w:rPr>
        <w:t>הרשות</w:t>
      </w:r>
      <w:r w:rsidRPr="002F2BC5">
        <w:rPr>
          <w:rtl/>
        </w:rPr>
        <w:t xml:space="preserve"> לשיקום האסיר </w:t>
      </w:r>
      <w:r w:rsidRPr="002F2BC5">
        <w:rPr>
          <w:rFonts w:hint="eastAsia"/>
          <w:rtl/>
        </w:rPr>
        <w:t>אכן</w:t>
      </w:r>
      <w:r w:rsidRPr="002F2BC5">
        <w:rPr>
          <w:rtl/>
        </w:rPr>
        <w:t xml:space="preserve"> </w:t>
      </w:r>
      <w:r w:rsidRPr="002F2BC5">
        <w:rPr>
          <w:rFonts w:hint="eastAsia"/>
          <w:rtl/>
        </w:rPr>
        <w:t>החלה</w:t>
      </w:r>
      <w:r w:rsidRPr="002F2BC5">
        <w:rPr>
          <w:rtl/>
        </w:rPr>
        <w:t xml:space="preserve"> לפעול </w:t>
      </w:r>
      <w:r w:rsidRPr="002F2BC5">
        <w:rPr>
          <w:rFonts w:hint="eastAsia"/>
          <w:rtl/>
        </w:rPr>
        <w:t>לגיבוש</w:t>
      </w:r>
      <w:r w:rsidRPr="002F2BC5">
        <w:rPr>
          <w:rtl/>
        </w:rPr>
        <w:t xml:space="preserve"> מתווה עבודה משותף עם המרכזים </w:t>
      </w:r>
      <w:r w:rsidRPr="002F2BC5">
        <w:rPr>
          <w:rFonts w:hint="eastAsia"/>
          <w:rtl/>
        </w:rPr>
        <w:t>לשם</w:t>
      </w:r>
      <w:r w:rsidRPr="002F2BC5">
        <w:rPr>
          <w:rtl/>
        </w:rPr>
        <w:t xml:space="preserve"> </w:t>
      </w:r>
      <w:r w:rsidRPr="002F2BC5">
        <w:rPr>
          <w:rFonts w:hint="eastAsia"/>
          <w:rtl/>
        </w:rPr>
        <w:t>פיתוח</w:t>
      </w:r>
      <w:r w:rsidRPr="002F2BC5">
        <w:rPr>
          <w:rtl/>
        </w:rPr>
        <w:t xml:space="preserve"> מענים שיקומיים ברמת עצימות נמוכה יותר עבור אסירים משוחררים. </w:t>
      </w:r>
      <w:r w:rsidRPr="002F2BC5">
        <w:rPr>
          <w:rFonts w:hint="eastAsia"/>
          <w:rtl/>
        </w:rPr>
        <w:t>במסגרת</w:t>
      </w:r>
      <w:r w:rsidRPr="002F2BC5">
        <w:rPr>
          <w:rtl/>
        </w:rPr>
        <w:t xml:space="preserve"> שיתוף הפעולה בין הוועדה הבין-משרדית הקבועה לבין הרשות לשיקום האסיר </w:t>
      </w:r>
      <w:r w:rsidRPr="002F2BC5">
        <w:rPr>
          <w:rFonts w:hint="eastAsia"/>
          <w:rtl/>
        </w:rPr>
        <w:t>אף</w:t>
      </w:r>
      <w:r w:rsidRPr="002F2BC5">
        <w:rPr>
          <w:rtl/>
        </w:rPr>
        <w:t xml:space="preserve"> </w:t>
      </w:r>
      <w:r w:rsidRPr="002F2BC5">
        <w:rPr>
          <w:rFonts w:hint="eastAsia"/>
          <w:rtl/>
        </w:rPr>
        <w:t>התקיימו</w:t>
      </w:r>
      <w:r w:rsidRPr="002F2BC5">
        <w:rPr>
          <w:rtl/>
        </w:rPr>
        <w:t xml:space="preserve"> הכשרות ייעודיות בתחום האלימות במשפחה למפקחי שיקום מחוזיים ורכזי שיקום האסיר במחוזות </w:t>
      </w:r>
      <w:r w:rsidRPr="002F2BC5">
        <w:rPr>
          <w:rFonts w:hint="eastAsia"/>
          <w:rtl/>
        </w:rPr>
        <w:t>השונים</w:t>
      </w:r>
      <w:r w:rsidRPr="002F2BC5">
        <w:rPr>
          <w:rtl/>
        </w:rPr>
        <w:t xml:space="preserve">. תוכנית ההכשרה נבנתה על פי </w:t>
      </w:r>
      <w:r w:rsidRPr="002F2BC5">
        <w:rPr>
          <w:rFonts w:hint="eastAsia"/>
          <w:rtl/>
        </w:rPr>
        <w:t>צורכיהם</w:t>
      </w:r>
      <w:r w:rsidRPr="002F2BC5">
        <w:rPr>
          <w:rtl/>
        </w:rPr>
        <w:t xml:space="preserve"> הייחודיים של אסירים משוחררים </w:t>
      </w:r>
      <w:r w:rsidRPr="002F2BC5">
        <w:rPr>
          <w:rFonts w:hint="cs"/>
          <w:rtl/>
        </w:rPr>
        <w:t xml:space="preserve">שריצו מאסר </w:t>
      </w:r>
      <w:r w:rsidRPr="002F2BC5">
        <w:rPr>
          <w:rtl/>
        </w:rPr>
        <w:t>בגין עבירות אלימות במשפחה.</w:t>
      </w:r>
    </w:p>
    <w:p w14:paraId="2F90A7DC" w14:textId="77777777" w:rsidR="00817399" w:rsidRPr="002F2BC5" w:rsidRDefault="00817399" w:rsidP="00817399">
      <w:pPr>
        <w:spacing w:line="269" w:lineRule="auto"/>
        <w:rPr>
          <w:rtl/>
        </w:rPr>
      </w:pPr>
    </w:p>
    <w:p w14:paraId="5B846575" w14:textId="77777777" w:rsidR="00817399" w:rsidRPr="002F2BC5" w:rsidRDefault="00817399" w:rsidP="00817399">
      <w:pPr>
        <w:spacing w:line="269" w:lineRule="auto"/>
        <w:rPr>
          <w:rtl/>
        </w:rPr>
      </w:pPr>
      <w:r w:rsidRPr="002F2BC5">
        <w:rPr>
          <w:rFonts w:hint="eastAsia"/>
          <w:rtl/>
        </w:rPr>
        <w:t>עם</w:t>
      </w:r>
      <w:r w:rsidRPr="002F2BC5">
        <w:rPr>
          <w:rtl/>
        </w:rPr>
        <w:t xml:space="preserve"> </w:t>
      </w:r>
      <w:r w:rsidRPr="002F2BC5">
        <w:rPr>
          <w:rFonts w:hint="eastAsia"/>
          <w:rtl/>
        </w:rPr>
        <w:t>זאת</w:t>
      </w:r>
      <w:r w:rsidRPr="002F2BC5">
        <w:rPr>
          <w:rtl/>
        </w:rPr>
        <w:t xml:space="preserve"> </w:t>
      </w:r>
      <w:r w:rsidRPr="002F2BC5">
        <w:rPr>
          <w:rFonts w:hint="eastAsia"/>
          <w:rtl/>
        </w:rPr>
        <w:t>הועלה</w:t>
      </w:r>
      <w:r w:rsidRPr="002F2BC5">
        <w:rPr>
          <w:rtl/>
        </w:rPr>
        <w:t xml:space="preserve"> </w:t>
      </w:r>
      <w:r w:rsidRPr="002F2BC5">
        <w:rPr>
          <w:rFonts w:hint="eastAsia"/>
          <w:rtl/>
        </w:rPr>
        <w:t>כי</w:t>
      </w:r>
      <w:r w:rsidRPr="002F2BC5">
        <w:rPr>
          <w:rtl/>
        </w:rPr>
        <w:t xml:space="preserve"> שיעורם של אסירים משוחררים שריצו מאסר בגין עבירות אלימות במשפחה </w:t>
      </w:r>
      <w:r w:rsidRPr="002F2BC5">
        <w:rPr>
          <w:rFonts w:hint="eastAsia"/>
          <w:rtl/>
        </w:rPr>
        <w:t>והשתלבו</w:t>
      </w:r>
      <w:r w:rsidRPr="002F2BC5">
        <w:rPr>
          <w:rtl/>
        </w:rPr>
        <w:t xml:space="preserve"> בתוכניות שיקום בקהילה שלא בפיקוח נותר נמוך (פחות מ-10% מהם), וזאת </w:t>
      </w:r>
      <w:r w:rsidRPr="002F2BC5">
        <w:rPr>
          <w:rFonts w:hint="eastAsia"/>
          <w:rtl/>
        </w:rPr>
        <w:t>גם</w:t>
      </w:r>
      <w:r w:rsidRPr="002F2BC5">
        <w:rPr>
          <w:rtl/>
        </w:rPr>
        <w:t xml:space="preserve"> </w:t>
      </w:r>
      <w:r w:rsidRPr="002F2BC5">
        <w:rPr>
          <w:rFonts w:hint="eastAsia"/>
          <w:rtl/>
        </w:rPr>
        <w:t>משום</w:t>
      </w:r>
      <w:r w:rsidRPr="002F2BC5">
        <w:rPr>
          <w:rtl/>
        </w:rPr>
        <w:t xml:space="preserve"> </w:t>
      </w:r>
      <w:r w:rsidRPr="002F2BC5">
        <w:rPr>
          <w:rFonts w:hint="eastAsia"/>
          <w:rtl/>
        </w:rPr>
        <w:t>שהמענים</w:t>
      </w:r>
      <w:r w:rsidRPr="002F2BC5">
        <w:rPr>
          <w:rtl/>
        </w:rPr>
        <w:t xml:space="preserve"> </w:t>
      </w:r>
      <w:r w:rsidRPr="002F2BC5">
        <w:rPr>
          <w:rFonts w:hint="eastAsia"/>
          <w:rtl/>
        </w:rPr>
        <w:t>הקיימים</w:t>
      </w:r>
      <w:r w:rsidRPr="002F2BC5">
        <w:rPr>
          <w:rtl/>
        </w:rPr>
        <w:t xml:space="preserve"> </w:t>
      </w:r>
      <w:r w:rsidRPr="002F2BC5">
        <w:rPr>
          <w:rFonts w:hint="eastAsia"/>
          <w:rtl/>
        </w:rPr>
        <w:t>אינם</w:t>
      </w:r>
      <w:r w:rsidRPr="002F2BC5">
        <w:rPr>
          <w:rtl/>
        </w:rPr>
        <w:t xml:space="preserve"> </w:t>
      </w:r>
      <w:r w:rsidRPr="002F2BC5">
        <w:rPr>
          <w:rFonts w:hint="eastAsia"/>
          <w:rtl/>
        </w:rPr>
        <w:t>מתאימים</w:t>
      </w:r>
      <w:r w:rsidRPr="002F2BC5">
        <w:rPr>
          <w:rtl/>
        </w:rPr>
        <w:t xml:space="preserve"> </w:t>
      </w:r>
      <w:r w:rsidRPr="002F2BC5">
        <w:rPr>
          <w:rFonts w:hint="eastAsia"/>
          <w:rtl/>
        </w:rPr>
        <w:t>לצורכיהם</w:t>
      </w:r>
      <w:r w:rsidRPr="002F2BC5">
        <w:rPr>
          <w:rtl/>
        </w:rPr>
        <w:t xml:space="preserve"> </w:t>
      </w:r>
      <w:r w:rsidRPr="002F2BC5">
        <w:rPr>
          <w:rFonts w:hint="eastAsia"/>
          <w:rtl/>
        </w:rPr>
        <w:t>ולמאפייניהם</w:t>
      </w:r>
      <w:r w:rsidRPr="002F2BC5">
        <w:rPr>
          <w:rtl/>
        </w:rPr>
        <w:t xml:space="preserve"> </w:t>
      </w:r>
      <w:r w:rsidRPr="002F2BC5">
        <w:rPr>
          <w:rFonts w:hint="eastAsia"/>
          <w:rtl/>
        </w:rPr>
        <w:t>הייחודיים</w:t>
      </w:r>
      <w:r w:rsidRPr="002F2BC5">
        <w:rPr>
          <w:rtl/>
        </w:rPr>
        <w:t xml:space="preserve">. כך לדוגמה מקרים ספורים בלבד של אסירים משוחררים כאמור הופנו לטיפול בבתי נועם. </w:t>
      </w:r>
      <w:r w:rsidRPr="002F2BC5">
        <w:rPr>
          <w:rFonts w:hint="eastAsia"/>
          <w:rtl/>
        </w:rPr>
        <w:t>עוד</w:t>
      </w:r>
      <w:r w:rsidRPr="002F2BC5">
        <w:rPr>
          <w:rtl/>
        </w:rPr>
        <w:t xml:space="preserve"> הועלה כי </w:t>
      </w:r>
      <w:r w:rsidRPr="002F2BC5">
        <w:rPr>
          <w:rFonts w:hint="eastAsia"/>
          <w:rtl/>
        </w:rPr>
        <w:t>הרשות</w:t>
      </w:r>
      <w:r w:rsidRPr="002F2BC5">
        <w:rPr>
          <w:rtl/>
        </w:rPr>
        <w:t xml:space="preserve"> לשיקום האסיר </w:t>
      </w:r>
      <w:r w:rsidRPr="002F2BC5">
        <w:rPr>
          <w:rFonts w:hint="eastAsia"/>
          <w:rtl/>
        </w:rPr>
        <w:t>אינה</w:t>
      </w:r>
      <w:r w:rsidRPr="002F2BC5">
        <w:rPr>
          <w:rtl/>
        </w:rPr>
        <w:t xml:space="preserve"> אוספת או </w:t>
      </w:r>
      <w:r w:rsidRPr="002F2BC5">
        <w:rPr>
          <w:rFonts w:hint="eastAsia"/>
          <w:rtl/>
        </w:rPr>
        <w:t>מאגמת</w:t>
      </w:r>
      <w:r w:rsidRPr="002F2BC5">
        <w:rPr>
          <w:rtl/>
        </w:rPr>
        <w:t xml:space="preserve"> באופן סדור ושיטתי נתונים בנושא זה.</w:t>
      </w:r>
    </w:p>
    <w:p w14:paraId="01351EBC" w14:textId="77777777" w:rsidR="00817399" w:rsidRPr="002F2BC5" w:rsidRDefault="00817399" w:rsidP="00817399">
      <w:pPr>
        <w:spacing w:line="269" w:lineRule="auto"/>
        <w:rPr>
          <w:rtl/>
        </w:rPr>
      </w:pPr>
    </w:p>
    <w:p w14:paraId="6DE8D4FB" w14:textId="77777777" w:rsidR="00817399" w:rsidRPr="002F2BC5" w:rsidRDefault="00817399" w:rsidP="00817399">
      <w:pPr>
        <w:pStyle w:val="afffffff9"/>
        <w:spacing w:line="269" w:lineRule="auto"/>
        <w:rPr>
          <w:rtl/>
        </w:rPr>
      </w:pPr>
      <w:bookmarkStart w:id="2384" w:name="_Toc191987214"/>
      <w:bookmarkStart w:id="2385" w:name="_Toc192093214"/>
      <w:bookmarkStart w:id="2386" w:name="_Toc192612922"/>
      <w:bookmarkStart w:id="2387" w:name="_Toc198312375"/>
      <w:bookmarkStart w:id="2388" w:name="_Toc198312862"/>
      <w:bookmarkStart w:id="2389" w:name="_Toc200637011"/>
      <w:bookmarkStart w:id="2390" w:name="_Toc200440009"/>
      <w:bookmarkStart w:id="2391" w:name="_Toc201241114"/>
      <w:r w:rsidRPr="002F2BC5">
        <w:rPr>
          <w:rFonts w:hint="eastAsia"/>
          <w:rtl/>
        </w:rPr>
        <w:t>בביקורת</w:t>
      </w:r>
      <w:r w:rsidRPr="002F2BC5">
        <w:rPr>
          <w:rtl/>
        </w:rPr>
        <w:t xml:space="preserve"> הקודמת </w:t>
      </w:r>
      <w:r w:rsidRPr="002F2BC5">
        <w:rPr>
          <w:rFonts w:hint="eastAsia"/>
          <w:rtl/>
        </w:rPr>
        <w:t>הועלה</w:t>
      </w:r>
      <w:r w:rsidRPr="002F2BC5">
        <w:rPr>
          <w:rtl/>
        </w:rPr>
        <w:t xml:space="preserve"> כי אסירים </w:t>
      </w:r>
      <w:r w:rsidRPr="002F2BC5">
        <w:rPr>
          <w:rFonts w:hint="eastAsia"/>
          <w:rtl/>
        </w:rPr>
        <w:t>משוחררים</w:t>
      </w:r>
      <w:r w:rsidRPr="002F2BC5">
        <w:rPr>
          <w:rtl/>
        </w:rPr>
        <w:t xml:space="preserve"> מעטים </w:t>
      </w:r>
      <w:r w:rsidRPr="002F2BC5">
        <w:rPr>
          <w:rFonts w:hint="eastAsia"/>
          <w:rtl/>
        </w:rPr>
        <w:t>בלבד</w:t>
      </w:r>
      <w:r w:rsidRPr="002F2BC5">
        <w:rPr>
          <w:rtl/>
        </w:rPr>
        <w:t xml:space="preserve"> </w:t>
      </w:r>
      <w:r w:rsidRPr="002F2BC5">
        <w:rPr>
          <w:rFonts w:hint="eastAsia"/>
          <w:rtl/>
        </w:rPr>
        <w:t>השתלבו</w:t>
      </w:r>
      <w:r w:rsidRPr="002F2BC5">
        <w:rPr>
          <w:rtl/>
        </w:rPr>
        <w:t xml:space="preserve"> </w:t>
      </w:r>
      <w:r w:rsidRPr="002F2BC5">
        <w:rPr>
          <w:rFonts w:hint="eastAsia"/>
          <w:rtl/>
        </w:rPr>
        <w:t>בתוכניות</w:t>
      </w:r>
      <w:r w:rsidRPr="002F2BC5">
        <w:rPr>
          <w:rtl/>
        </w:rPr>
        <w:t xml:space="preserve"> </w:t>
      </w:r>
      <w:r w:rsidRPr="002F2BC5">
        <w:rPr>
          <w:rFonts w:hint="eastAsia"/>
          <w:rtl/>
        </w:rPr>
        <w:t>שיקום</w:t>
      </w:r>
      <w:r w:rsidRPr="002F2BC5">
        <w:rPr>
          <w:rtl/>
        </w:rPr>
        <w:t xml:space="preserve"> </w:t>
      </w:r>
      <w:r w:rsidRPr="002F2BC5">
        <w:rPr>
          <w:rFonts w:hint="eastAsia"/>
          <w:rtl/>
        </w:rPr>
        <w:t>בקהילה</w:t>
      </w:r>
      <w:r w:rsidRPr="002F2BC5">
        <w:rPr>
          <w:rtl/>
        </w:rPr>
        <w:t xml:space="preserve"> </w:t>
      </w:r>
      <w:r w:rsidRPr="002F2BC5">
        <w:rPr>
          <w:rFonts w:hint="eastAsia"/>
          <w:rtl/>
        </w:rPr>
        <w:t>שלא</w:t>
      </w:r>
      <w:r w:rsidRPr="002F2BC5">
        <w:rPr>
          <w:rtl/>
        </w:rPr>
        <w:t xml:space="preserve"> </w:t>
      </w:r>
      <w:r w:rsidRPr="002F2BC5">
        <w:rPr>
          <w:rFonts w:hint="eastAsia"/>
          <w:rtl/>
        </w:rPr>
        <w:t>בפיקוח</w:t>
      </w:r>
      <w:r w:rsidRPr="002F2BC5">
        <w:rPr>
          <w:rtl/>
        </w:rPr>
        <w:t xml:space="preserve"> וכי הרשות לשיקום האסיר לא אספה נתונים בנושא. </w:t>
      </w:r>
      <w:r w:rsidRPr="002F2BC5">
        <w:rPr>
          <w:rFonts w:hint="eastAsia"/>
          <w:rtl/>
        </w:rPr>
        <w:t>בביקורת</w:t>
      </w:r>
      <w:r w:rsidRPr="002F2BC5">
        <w:rPr>
          <w:rtl/>
        </w:rPr>
        <w:t xml:space="preserve"> המעקב הועלה כי התיקון תוקן במידה מועטה. </w:t>
      </w:r>
      <w:r w:rsidRPr="002F2BC5">
        <w:rPr>
          <w:rFonts w:hint="eastAsia"/>
          <w:rtl/>
        </w:rPr>
        <w:t>אומנם</w:t>
      </w:r>
      <w:r w:rsidRPr="002F2BC5">
        <w:rPr>
          <w:rtl/>
        </w:rPr>
        <w:t xml:space="preserve"> </w:t>
      </w:r>
      <w:r w:rsidRPr="002F2BC5">
        <w:rPr>
          <w:rFonts w:hint="eastAsia"/>
          <w:rtl/>
        </w:rPr>
        <w:t>הרשות</w:t>
      </w:r>
      <w:r w:rsidRPr="002F2BC5">
        <w:rPr>
          <w:rtl/>
        </w:rPr>
        <w:t xml:space="preserve"> </w:t>
      </w:r>
      <w:r w:rsidRPr="002F2BC5">
        <w:rPr>
          <w:rFonts w:hint="eastAsia"/>
          <w:rtl/>
        </w:rPr>
        <w:t>לשיקום</w:t>
      </w:r>
      <w:r w:rsidRPr="002F2BC5">
        <w:rPr>
          <w:rtl/>
        </w:rPr>
        <w:t xml:space="preserve"> האסיר החלה לפעול </w:t>
      </w:r>
      <w:r w:rsidRPr="002F2BC5">
        <w:rPr>
          <w:rFonts w:hint="eastAsia"/>
          <w:rtl/>
        </w:rPr>
        <w:t>לגיבוש</w:t>
      </w:r>
      <w:r w:rsidRPr="002F2BC5">
        <w:rPr>
          <w:rtl/>
        </w:rPr>
        <w:t xml:space="preserve"> מתווה עבודה משותף עם המרכזים </w:t>
      </w:r>
      <w:r w:rsidRPr="002F2BC5">
        <w:rPr>
          <w:rFonts w:hint="eastAsia"/>
          <w:rtl/>
        </w:rPr>
        <w:t>לשם</w:t>
      </w:r>
      <w:r w:rsidRPr="002F2BC5">
        <w:rPr>
          <w:rtl/>
        </w:rPr>
        <w:t xml:space="preserve"> </w:t>
      </w:r>
      <w:r w:rsidRPr="002F2BC5">
        <w:rPr>
          <w:rFonts w:hint="eastAsia"/>
          <w:rtl/>
        </w:rPr>
        <w:t>פיתוח</w:t>
      </w:r>
      <w:r w:rsidRPr="002F2BC5">
        <w:rPr>
          <w:rtl/>
        </w:rPr>
        <w:t xml:space="preserve"> מענים שיקומיים </w:t>
      </w:r>
      <w:r w:rsidRPr="002F2BC5">
        <w:rPr>
          <w:rFonts w:hint="eastAsia"/>
          <w:rtl/>
        </w:rPr>
        <w:t>מסויימים</w:t>
      </w:r>
      <w:r w:rsidRPr="002F2BC5">
        <w:rPr>
          <w:rtl/>
        </w:rPr>
        <w:t xml:space="preserve"> עבור אסירים משוחררים </w:t>
      </w:r>
      <w:r w:rsidRPr="002F2BC5">
        <w:rPr>
          <w:rFonts w:hint="eastAsia"/>
          <w:rtl/>
        </w:rPr>
        <w:t>והתקיימו</w:t>
      </w:r>
      <w:r w:rsidRPr="002F2BC5">
        <w:rPr>
          <w:rtl/>
        </w:rPr>
        <w:t xml:space="preserve"> </w:t>
      </w:r>
      <w:r w:rsidRPr="002F2BC5">
        <w:rPr>
          <w:rFonts w:hint="eastAsia"/>
          <w:rtl/>
        </w:rPr>
        <w:t>הכשרות</w:t>
      </w:r>
      <w:r w:rsidRPr="002F2BC5">
        <w:rPr>
          <w:rtl/>
        </w:rPr>
        <w:t xml:space="preserve"> </w:t>
      </w:r>
      <w:r w:rsidRPr="002F2BC5">
        <w:rPr>
          <w:rFonts w:hint="eastAsia"/>
          <w:rtl/>
        </w:rPr>
        <w:t>ייעודיות</w:t>
      </w:r>
      <w:r w:rsidRPr="002F2BC5">
        <w:rPr>
          <w:rtl/>
        </w:rPr>
        <w:t xml:space="preserve"> בתחום האלימות במשפחה למפקחי שיקום מחוזיים ורכזי שיקום. עם זאת, </w:t>
      </w:r>
      <w:r w:rsidRPr="002F2BC5">
        <w:rPr>
          <w:rFonts w:hint="eastAsia"/>
          <w:rtl/>
        </w:rPr>
        <w:t>שיעורם</w:t>
      </w:r>
      <w:r w:rsidRPr="002F2BC5">
        <w:rPr>
          <w:rtl/>
        </w:rPr>
        <w:t xml:space="preserve"> של </w:t>
      </w:r>
      <w:r w:rsidRPr="002F2BC5">
        <w:rPr>
          <w:rFonts w:hint="eastAsia"/>
          <w:rtl/>
        </w:rPr>
        <w:t>ה</w:t>
      </w:r>
      <w:r w:rsidRPr="002F2BC5">
        <w:rPr>
          <w:rtl/>
        </w:rPr>
        <w:t xml:space="preserve">אסירים </w:t>
      </w:r>
      <w:r w:rsidRPr="002F2BC5">
        <w:rPr>
          <w:rFonts w:hint="eastAsia"/>
          <w:rtl/>
        </w:rPr>
        <w:t>ה</w:t>
      </w:r>
      <w:r w:rsidRPr="002F2BC5">
        <w:rPr>
          <w:rtl/>
        </w:rPr>
        <w:t xml:space="preserve">משוחררים </w:t>
      </w:r>
      <w:r w:rsidRPr="002F2BC5">
        <w:rPr>
          <w:rFonts w:hint="eastAsia"/>
          <w:rtl/>
        </w:rPr>
        <w:t>שהשתלבו</w:t>
      </w:r>
      <w:r w:rsidRPr="002F2BC5">
        <w:rPr>
          <w:rtl/>
        </w:rPr>
        <w:t xml:space="preserve"> בתוכניות שיקום בקהילה שלא בפיקוח נותר נמוך (פחות מ-10%) והרשות אינה אוספת </w:t>
      </w:r>
      <w:r w:rsidRPr="002F2BC5">
        <w:rPr>
          <w:rFonts w:hint="eastAsia"/>
          <w:rtl/>
        </w:rPr>
        <w:t>נתונים</w:t>
      </w:r>
      <w:r w:rsidRPr="002F2BC5">
        <w:rPr>
          <w:rtl/>
        </w:rPr>
        <w:t xml:space="preserve"> </w:t>
      </w:r>
      <w:r w:rsidRPr="002F2BC5">
        <w:rPr>
          <w:rFonts w:hint="eastAsia"/>
          <w:rtl/>
        </w:rPr>
        <w:t>באופן</w:t>
      </w:r>
      <w:r w:rsidRPr="002F2BC5">
        <w:rPr>
          <w:rtl/>
        </w:rPr>
        <w:t xml:space="preserve"> </w:t>
      </w:r>
      <w:r w:rsidRPr="002F2BC5">
        <w:rPr>
          <w:rFonts w:hint="eastAsia"/>
          <w:rtl/>
        </w:rPr>
        <w:t>סדור</w:t>
      </w:r>
      <w:r w:rsidRPr="002F2BC5">
        <w:rPr>
          <w:rtl/>
        </w:rPr>
        <w:t xml:space="preserve"> </w:t>
      </w:r>
      <w:r w:rsidRPr="002F2BC5">
        <w:rPr>
          <w:rFonts w:hint="eastAsia"/>
          <w:rtl/>
        </w:rPr>
        <w:t>ושיטתי</w:t>
      </w:r>
      <w:r w:rsidRPr="002F2BC5">
        <w:rPr>
          <w:rtl/>
        </w:rPr>
        <w:t xml:space="preserve"> </w:t>
      </w:r>
      <w:r w:rsidRPr="002F2BC5">
        <w:rPr>
          <w:rFonts w:hint="eastAsia"/>
          <w:rtl/>
        </w:rPr>
        <w:t>בנושא</w:t>
      </w:r>
      <w:r w:rsidRPr="002F2BC5">
        <w:rPr>
          <w:rtl/>
        </w:rPr>
        <w:t>.</w:t>
      </w:r>
      <w:bookmarkEnd w:id="2384"/>
      <w:bookmarkEnd w:id="2385"/>
      <w:bookmarkEnd w:id="2386"/>
      <w:bookmarkEnd w:id="2387"/>
      <w:bookmarkEnd w:id="2388"/>
      <w:bookmarkEnd w:id="2389"/>
      <w:bookmarkEnd w:id="2390"/>
      <w:bookmarkEnd w:id="2391"/>
    </w:p>
    <w:p w14:paraId="183F945A" w14:textId="77777777" w:rsidR="00817399" w:rsidRPr="002F2BC5" w:rsidRDefault="00817399" w:rsidP="00817399">
      <w:pPr>
        <w:spacing w:line="269" w:lineRule="auto"/>
        <w:rPr>
          <w:rtl/>
        </w:rPr>
      </w:pPr>
    </w:p>
    <w:p w14:paraId="5A2B06C1" w14:textId="77777777" w:rsidR="00817399" w:rsidRPr="002F2BC5" w:rsidRDefault="00817399" w:rsidP="00817399">
      <w:pPr>
        <w:pStyle w:val="afffffffa"/>
        <w:spacing w:line="269" w:lineRule="auto"/>
        <w:rPr>
          <w:rtl/>
        </w:rPr>
      </w:pPr>
      <w:bookmarkStart w:id="2392" w:name="_Toc191987215"/>
      <w:bookmarkStart w:id="2393" w:name="_Toc192093215"/>
      <w:bookmarkStart w:id="2394" w:name="_Toc192612923"/>
      <w:bookmarkStart w:id="2395" w:name="_Toc198312376"/>
      <w:bookmarkStart w:id="2396" w:name="_Toc198312863"/>
      <w:bookmarkStart w:id="2397" w:name="_Toc200637012"/>
      <w:bookmarkStart w:id="2398" w:name="_Toc200440010"/>
      <w:bookmarkStart w:id="2399" w:name="_Toc201241115"/>
      <w:r w:rsidRPr="002F2BC5">
        <w:rPr>
          <w:rFonts w:hint="cs"/>
          <w:rtl/>
        </w:rPr>
        <w:t xml:space="preserve">מומלץ לרשות לשיקום האסיר לפעול במשותף עם המרכזים לטיפול ומניעת אלימות במשפחה ושירות המבחן להשלמת מתווה העבודה המשותף, שהעבודה עליו כבר החלה, לצורך איתור והתאמת מענים טיפוליים-שיקומיים במרכזים עבור אסירים משוחררים המביעים נכונות </w:t>
      </w:r>
      <w:r w:rsidRPr="002F2BC5">
        <w:rPr>
          <w:rFonts w:hint="cs"/>
          <w:rtl/>
        </w:rPr>
        <w:lastRenderedPageBreak/>
        <w:t>להשתלבות בהליכים אלו, בהלימה לצורכיהם ומאפייניהם הייחודיים. עוד מומלץ לרשות לשיקום האסיר להקפיד על איסוף ואיגום סדור ושיטתי של נתונים בעניינם של אסירים המשולבים בתוכניות שיקום שלא בפיקוח כדי שנתונים אלו יוכלו לשמש כבסיס לקביעת המדיניות ותוכניות העבודה בנושא זה ובחינת מועילותם לאורך זמן.</w:t>
      </w:r>
      <w:bookmarkEnd w:id="2392"/>
      <w:bookmarkEnd w:id="2393"/>
      <w:bookmarkEnd w:id="2394"/>
      <w:bookmarkEnd w:id="2395"/>
      <w:bookmarkEnd w:id="2396"/>
      <w:bookmarkEnd w:id="2397"/>
      <w:bookmarkEnd w:id="2398"/>
      <w:bookmarkEnd w:id="2399"/>
      <w:r w:rsidRPr="002F2BC5">
        <w:rPr>
          <w:rFonts w:hint="cs"/>
          <w:rtl/>
        </w:rPr>
        <w:t xml:space="preserve"> </w:t>
      </w:r>
    </w:p>
    <w:p w14:paraId="3FAEED95"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34DD544E" w14:textId="77777777" w:rsidR="00817399" w:rsidRPr="002F2BC5" w:rsidRDefault="00817399" w:rsidP="00817399">
      <w:pPr>
        <w:pStyle w:val="afffffff7"/>
        <w:spacing w:before="0" w:line="269" w:lineRule="auto"/>
        <w:rPr>
          <w:b/>
          <w:bCs/>
        </w:rPr>
      </w:pPr>
      <w:bookmarkStart w:id="2400" w:name="_Toc198312377"/>
      <w:bookmarkStart w:id="2401" w:name="_Toc198312864"/>
      <w:bookmarkStart w:id="2402" w:name="_Toc189072305"/>
      <w:r w:rsidRPr="002F2BC5">
        <w:rPr>
          <w:b/>
          <w:bCs/>
          <w:noProof/>
        </w:rPr>
        <w:drawing>
          <wp:inline distT="0" distB="0" distL="0" distR="0" wp14:anchorId="4C9BA860" wp14:editId="0A974431">
            <wp:extent cx="4324350" cy="933450"/>
            <wp:effectExtent l="0" t="0" r="0" b="0"/>
            <wp:docPr id="61" name="תמונה 4" descr="תוכן התרשים מופיע בטקסט.">
              <a:extLst xmlns:a="http://schemas.openxmlformats.org/drawingml/2006/main">
                <a:ext uri="{FF2B5EF4-FFF2-40B4-BE49-F238E27FC236}">
                  <a16:creationId xmlns:a16="http://schemas.microsoft.com/office/drawing/2014/main" id="{7DFF41A5-8EE2-47FA-95A0-B712657544BC}"/>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DFF41A5-8EE2-47FA-95A0-B712657544B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400"/>
      <w:bookmarkEnd w:id="2401"/>
    </w:p>
    <w:p w14:paraId="29F812BF" w14:textId="77777777" w:rsidR="00817399" w:rsidRPr="002F2BC5" w:rsidRDefault="00817399" w:rsidP="00817399">
      <w:pPr>
        <w:spacing w:line="269" w:lineRule="auto"/>
        <w:rPr>
          <w:rtl/>
        </w:rPr>
      </w:pPr>
    </w:p>
    <w:p w14:paraId="2CF3FE22" w14:textId="77777777" w:rsidR="00817399" w:rsidRPr="002F2BC5" w:rsidRDefault="00817399" w:rsidP="00817399">
      <w:pPr>
        <w:pStyle w:val="6"/>
        <w:spacing w:line="269" w:lineRule="auto"/>
        <w:rPr>
          <w:rtl/>
        </w:rPr>
      </w:pPr>
      <w:bookmarkStart w:id="2403" w:name="_Toc191987216"/>
      <w:bookmarkStart w:id="2404" w:name="_Toc193110651"/>
      <w:bookmarkStart w:id="2405" w:name="_Ref196670878"/>
      <w:r w:rsidRPr="002F2BC5">
        <w:rPr>
          <w:rFonts w:hint="cs"/>
          <w:rtl/>
        </w:rPr>
        <w:t>מעורבותם של</w:t>
      </w:r>
      <w:bookmarkStart w:id="2406" w:name="_Hlk184107814"/>
      <w:bookmarkStart w:id="2407" w:name="_Ref188772276"/>
      <w:bookmarkStart w:id="2408" w:name="_Toc189072306"/>
      <w:bookmarkStart w:id="2409" w:name="_Ref183673822"/>
      <w:bookmarkEnd w:id="2402"/>
      <w:r w:rsidRPr="002F2BC5">
        <w:rPr>
          <w:rFonts w:hint="cs"/>
          <w:rtl/>
        </w:rPr>
        <w:t xml:space="preserve"> גורמי הטיפול והאכיפה בקהילה בהיערכות לקראת שחרורם הצפוי של עצורים או אסירים שרמת מסוכנותם גבוהה</w:t>
      </w:r>
      <w:bookmarkEnd w:id="2406"/>
      <w:r w:rsidRPr="002F2BC5">
        <w:rPr>
          <w:rStyle w:val="af9"/>
          <w:rtl/>
        </w:rPr>
        <w:footnoteReference w:id="480"/>
      </w:r>
      <w:bookmarkEnd w:id="2403"/>
      <w:bookmarkEnd w:id="2404"/>
      <w:bookmarkEnd w:id="2405"/>
      <w:bookmarkEnd w:id="2407"/>
      <w:bookmarkEnd w:id="2408"/>
    </w:p>
    <w:p w14:paraId="2769228A" w14:textId="77777777" w:rsidR="00817399" w:rsidRPr="002F2BC5" w:rsidRDefault="00817399" w:rsidP="00817399">
      <w:pPr>
        <w:spacing w:line="269" w:lineRule="auto"/>
        <w:rPr>
          <w:rtl/>
        </w:rPr>
      </w:pPr>
    </w:p>
    <w:p w14:paraId="075EC6DA" w14:textId="77777777" w:rsidR="00817399" w:rsidRPr="002F2BC5" w:rsidRDefault="00817399" w:rsidP="00817399">
      <w:pPr>
        <w:spacing w:line="269" w:lineRule="auto"/>
        <w:rPr>
          <w:rtl/>
        </w:rPr>
      </w:pPr>
      <w:bookmarkStart w:id="2410" w:name="_Toc191987217"/>
      <w:r w:rsidRPr="002F2BC5">
        <w:rPr>
          <w:rStyle w:val="70"/>
          <w:rFonts w:hint="cs"/>
          <w:rtl/>
        </w:rPr>
        <w:t>הביקורת הקודמת:</w:t>
      </w:r>
      <w:bookmarkEnd w:id="2410"/>
      <w:r w:rsidRPr="002F2BC5">
        <w:rPr>
          <w:rStyle w:val="70"/>
          <w:rFonts w:hint="cs"/>
          <w:rtl/>
        </w:rPr>
        <w:t xml:space="preserve"> </w:t>
      </w:r>
      <w:r w:rsidRPr="002F2BC5">
        <w:rPr>
          <w:rFonts w:hint="cs"/>
          <w:rtl/>
        </w:rPr>
        <w:t xml:space="preserve">נמצא כי ההסדרים הנורמטיביים לעניין בחינת הערכת מסוכנותם של עצורים או אסירים העומדים לקראת שחרור, בכלל זה במסגרת הדיון בעניינם בוועדת השחרורים ובוועדות המחוזיות, ומסירת הודעה בדבר רמת מסוכנותם ושחרורם הצפוי לגורמי הטיפול והאכיפה בקהילה - אינם נותנים מענה מספק: כך לדוגמה הועלה </w:t>
      </w:r>
      <w:bookmarkStart w:id="2411" w:name="_Hlk191995345"/>
      <w:r w:rsidRPr="002F2BC5">
        <w:rPr>
          <w:rFonts w:hint="cs"/>
          <w:rtl/>
        </w:rPr>
        <w:t>כי עניינם של אסירים שאינם מבקשים להשתחרר שחרור על תנאי, השפוטים לתקופת מאסר שאינה עולה על ארבע שנים והמשוחררים בשחרור מינהלי</w:t>
      </w:r>
      <w:r w:rsidRPr="002F2BC5">
        <w:rPr>
          <w:rStyle w:val="af9"/>
          <w:rtl/>
        </w:rPr>
        <w:footnoteReference w:id="481"/>
      </w:r>
      <w:r w:rsidRPr="002F2BC5">
        <w:rPr>
          <w:rFonts w:hint="cs"/>
          <w:rtl/>
        </w:rPr>
        <w:t>, או המשוחררים לאחר ריצוי מלוא תקופת המאסר (</w:t>
      </w:r>
      <w:bookmarkStart w:id="2412" w:name="_Hlk202343378"/>
      <w:r w:rsidRPr="002F2BC5">
        <w:rPr>
          <w:rFonts w:hint="cs"/>
          <w:rtl/>
        </w:rPr>
        <w:t>להלן גם - שחרור מלא</w:t>
      </w:r>
      <w:bookmarkEnd w:id="2412"/>
      <w:r w:rsidRPr="002F2BC5">
        <w:rPr>
          <w:rFonts w:hint="cs"/>
          <w:rtl/>
        </w:rPr>
        <w:t>), אינו מובא בפני ועדת השחרורים, ואם לא הגישו בקשה לשחרור על תנאי או שזו נדחתה, גם אין חובה בדין או בהוראות רגולטוריות אחרות להביא את עניינם בפני הוועדות המחוזיות המוסמכות לדון ברמת מסוכנותם ובהיערכות לקראת חזרתם לקהילה; כך גם לא חלה בדין או בהוראות רגולטוריות אחרות החובה למסור הודעה לגורמי הטיפול בקהילה על כך שעצור בעבירת אלימות במשפחה עומד בפני שחרור שעה שנפגע העבירה אינו מוכר לשירותי הרווחה</w:t>
      </w:r>
      <w:bookmarkEnd w:id="2411"/>
      <w:r w:rsidRPr="002F2BC5">
        <w:rPr>
          <w:rStyle w:val="af9"/>
          <w:rtl/>
        </w:rPr>
        <w:footnoteReference w:id="482"/>
      </w:r>
      <w:r w:rsidRPr="002F2BC5">
        <w:rPr>
          <w:rFonts w:hint="cs"/>
          <w:rtl/>
        </w:rPr>
        <w:t>; נוסף על כך, אף כי המהימנות של הליך הערכת מסוכנות תלויה במידה רבה באפשרות להביא את עמדתם של הפוגע ושל הנפגע - גורמי הטיפול בקהילה, כמו גם נציגי הרשות לשיקום האסיר, אינם חברים קבועים בוועדה המחוזית והשתתפותם נתונה לשיקול דעת החברים הקבועים בוועדה</w:t>
      </w:r>
      <w:r w:rsidRPr="002F2BC5">
        <w:rPr>
          <w:rStyle w:val="af9"/>
          <w:rtl/>
        </w:rPr>
        <w:footnoteReference w:id="483"/>
      </w:r>
      <w:r w:rsidRPr="002F2BC5">
        <w:rPr>
          <w:rFonts w:hint="cs"/>
          <w:rtl/>
        </w:rPr>
        <w:t>.</w:t>
      </w:r>
    </w:p>
    <w:p w14:paraId="59FF4DF2" w14:textId="77777777" w:rsidR="00817399" w:rsidRPr="002F2BC5" w:rsidRDefault="00817399" w:rsidP="00817399">
      <w:pPr>
        <w:spacing w:line="269" w:lineRule="auto"/>
        <w:rPr>
          <w:rtl/>
        </w:rPr>
      </w:pPr>
    </w:p>
    <w:p w14:paraId="325E11F5" w14:textId="77777777" w:rsidR="00817399" w:rsidRPr="002F2BC5" w:rsidRDefault="00817399" w:rsidP="00817399">
      <w:pPr>
        <w:spacing w:line="269" w:lineRule="auto"/>
        <w:rPr>
          <w:rtl/>
        </w:rPr>
      </w:pPr>
      <w:r w:rsidRPr="002F2BC5">
        <w:rPr>
          <w:rFonts w:hint="cs"/>
          <w:rtl/>
        </w:rPr>
        <w:t xml:space="preserve">עוד הועלה כי בשנת 2020 החל המשרד לביטחון לאומי בהקמת יחידה ייעודית למעקב אחר גברים אלימים </w:t>
      </w:r>
      <w:bookmarkStart w:id="2413" w:name="_Hlk202343460"/>
      <w:r w:rsidRPr="002F2BC5">
        <w:rPr>
          <w:rFonts w:hint="cs"/>
          <w:rtl/>
        </w:rPr>
        <w:t>(להלן - יחידת המעקב</w:t>
      </w:r>
      <w:bookmarkEnd w:id="2413"/>
      <w:r w:rsidRPr="002F2BC5">
        <w:rPr>
          <w:rFonts w:hint="cs"/>
          <w:rtl/>
        </w:rPr>
        <w:t xml:space="preserve">), וכחלק ממהלך זה הוקמה מערכת ממוחשבת משותפת לשירות בתי הסוהר ומשטרת ישראל. במסגרת זו, החל מאוקטובר 2020 מועברת התראה לגורמים הרלוונטיים במשטרת ישראל על שחרורם של אסירים שרמת מסוכנותם גבוהה, ובכללם אסירים שריצו מאסר בגין עבירות אלימות במשפחה. עם זאת, במועד סיום הביקורת הקודמת טרם </w:t>
      </w:r>
      <w:r w:rsidRPr="002F2BC5">
        <w:rPr>
          <w:rFonts w:hint="cs"/>
          <w:rtl/>
        </w:rPr>
        <w:lastRenderedPageBreak/>
        <w:t xml:space="preserve">הושלמה הקמת יחידת המעקב, אף כי המשרד לביטחון לאומי היה מצוי בעיצומה של עבודת מטה בנושא. </w:t>
      </w:r>
    </w:p>
    <w:p w14:paraId="5DE3C40F" w14:textId="77777777" w:rsidR="00817399" w:rsidRPr="002F2BC5" w:rsidRDefault="00817399" w:rsidP="00817399">
      <w:pPr>
        <w:spacing w:line="269" w:lineRule="auto"/>
        <w:rPr>
          <w:rtl/>
        </w:rPr>
      </w:pPr>
    </w:p>
    <w:p w14:paraId="05E56E69" w14:textId="77777777" w:rsidR="00817399" w:rsidRPr="002F2BC5" w:rsidRDefault="00817399" w:rsidP="00817399">
      <w:pPr>
        <w:spacing w:line="269" w:lineRule="auto"/>
      </w:pPr>
      <w:r w:rsidRPr="002F2BC5">
        <w:rPr>
          <w:rFonts w:hint="cs"/>
          <w:rtl/>
        </w:rPr>
        <w:t>משרד מבקר המדינה המליץ בביקורת הקודמת למשרד לביטחון לאומי ולמשרד המשפטים כי יפעלו לקביעת חובת מסירת הודעה מראש לנפגע העבירה על שחרורם הצפוי של אסירים שריצו מאסר בגין עבירת אלימות במשפחה ושוחררו שחרור מינהלי - גם שעה שלא ביקשו באופן יזום את מסירת המידע האמור. עוד המליץ משרד מבקר המדינה על בחינת הצורך בשינוי נוהלי העבודה, באופן שיבטיח כי מידע על שחרורו הצפוי של עצור בעבירת אלימות במשפחה יובא לידיעת גורמי הטיפול בקהילה.</w:t>
      </w:r>
    </w:p>
    <w:p w14:paraId="4DC96864" w14:textId="77777777" w:rsidR="00817399" w:rsidRPr="002F2BC5" w:rsidRDefault="00817399" w:rsidP="00817399">
      <w:pPr>
        <w:spacing w:line="269" w:lineRule="auto"/>
        <w:rPr>
          <w:rtl/>
        </w:rPr>
      </w:pPr>
    </w:p>
    <w:p w14:paraId="42B6B1A6" w14:textId="77777777" w:rsidR="00817399" w:rsidRPr="002F2BC5" w:rsidRDefault="00817399" w:rsidP="00817399">
      <w:pPr>
        <w:spacing w:line="269" w:lineRule="auto"/>
        <w:rPr>
          <w:rtl/>
        </w:rPr>
      </w:pPr>
      <w:r w:rsidRPr="002F2BC5">
        <w:rPr>
          <w:rFonts w:hint="cs"/>
          <w:rtl/>
        </w:rPr>
        <w:t xml:space="preserve">המשרד לביטחון לאומי מסר בתשובתו לביקורת הקודמת מפברואר 2021 כי במהלך המחצית הראשונה של שנת 2020 הוא קיים עבודת מטה משותפת עם משטרת ישראל ושירות בתי הסוהר בעניין העברת מידע על אסירים משוחררים. במסגרת זו אושרה </w:t>
      </w:r>
      <w:r w:rsidRPr="002F2BC5">
        <w:rPr>
          <w:rFonts w:hint="eastAsia"/>
          <w:rtl/>
        </w:rPr>
        <w:t>ר</w:t>
      </w:r>
      <w:r w:rsidRPr="002F2BC5">
        <w:rPr>
          <w:rFonts w:hint="cs"/>
          <w:rtl/>
        </w:rPr>
        <w:t>שימה של חמישה סוגי אסירים, ובהם אסירים המרצים מאסר בגין עבירות אלימות במשפחה ואסירים מוּעדים, אשר מידע על שחרורם העתידי יועבר למשטרה. שירות בתי הסוהר</w:t>
      </w:r>
      <w:r w:rsidRPr="002F2BC5">
        <w:rPr>
          <w:rtl/>
        </w:rPr>
        <w:t xml:space="preserve"> </w:t>
      </w:r>
      <w:r w:rsidRPr="002F2BC5">
        <w:rPr>
          <w:rFonts w:hint="cs"/>
          <w:rtl/>
        </w:rPr>
        <w:t>מסר</w:t>
      </w:r>
      <w:r w:rsidRPr="002F2BC5">
        <w:rPr>
          <w:rtl/>
        </w:rPr>
        <w:t xml:space="preserve"> בתשוב</w:t>
      </w:r>
      <w:r w:rsidRPr="002F2BC5">
        <w:rPr>
          <w:rFonts w:hint="cs"/>
          <w:rtl/>
        </w:rPr>
        <w:t>ו</w:t>
      </w:r>
      <w:r w:rsidRPr="002F2BC5">
        <w:rPr>
          <w:rFonts w:hint="eastAsia"/>
          <w:rtl/>
        </w:rPr>
        <w:t>ת</w:t>
      </w:r>
      <w:r w:rsidRPr="002F2BC5">
        <w:rPr>
          <w:rFonts w:hint="cs"/>
          <w:rtl/>
        </w:rPr>
        <w:t>יו</w:t>
      </w:r>
      <w:r w:rsidRPr="002F2BC5">
        <w:rPr>
          <w:rtl/>
        </w:rPr>
        <w:t xml:space="preserve"> </w:t>
      </w:r>
      <w:r w:rsidRPr="002F2BC5">
        <w:rPr>
          <w:rFonts w:hint="cs"/>
          <w:rtl/>
        </w:rPr>
        <w:t xml:space="preserve">מינואר וממרץ 2021 </w:t>
      </w:r>
      <w:r w:rsidRPr="002F2BC5">
        <w:rPr>
          <w:rFonts w:hint="eastAsia"/>
          <w:rtl/>
        </w:rPr>
        <w:t>כי</w:t>
      </w:r>
      <w:r w:rsidRPr="002F2BC5">
        <w:rPr>
          <w:rtl/>
        </w:rPr>
        <w:t xml:space="preserve"> </w:t>
      </w:r>
      <w:r w:rsidRPr="002F2BC5">
        <w:rPr>
          <w:rFonts w:hint="cs"/>
          <w:rtl/>
        </w:rPr>
        <w:t>ככל האפשר הוועדה המחוזית דנה גם בעניינם של אסירים המשתחררים שחרור מינהלי לצורך בחינת מסוכנותם</w:t>
      </w:r>
      <w:r w:rsidRPr="002F2BC5">
        <w:rPr>
          <w:rtl/>
        </w:rPr>
        <w:t>.</w:t>
      </w:r>
      <w:r w:rsidRPr="002F2BC5">
        <w:rPr>
          <w:rFonts w:hint="cs"/>
          <w:rtl/>
        </w:rPr>
        <w:t xml:space="preserve"> במקרים שבהם מתרשמת הוועדה המחוזית כי רמת המסוכנות הנשקפת מהאסיר גבוהה, היא פונה ישירות לגורמי הטיפול בקהילה ומעדכנת אותם בדבר הצורך בהיערכותם מבחינת ההגנה על נפגע העבירה.</w:t>
      </w:r>
    </w:p>
    <w:p w14:paraId="75CA07AA" w14:textId="77777777" w:rsidR="00817399" w:rsidRPr="002F2BC5" w:rsidRDefault="00817399" w:rsidP="00817399">
      <w:pPr>
        <w:spacing w:line="269" w:lineRule="auto"/>
        <w:rPr>
          <w:rtl/>
        </w:rPr>
      </w:pPr>
    </w:p>
    <w:p w14:paraId="62950735" w14:textId="77777777" w:rsidR="00817399" w:rsidRPr="002F2BC5" w:rsidRDefault="00817399" w:rsidP="00817399">
      <w:pPr>
        <w:spacing w:line="269" w:lineRule="auto"/>
        <w:rPr>
          <w:rtl/>
        </w:rPr>
      </w:pPr>
      <w:bookmarkStart w:id="2414" w:name="_Toc191987218"/>
      <w:r w:rsidRPr="002F2BC5">
        <w:rPr>
          <w:rStyle w:val="70"/>
          <w:rFonts w:hint="cs"/>
          <w:rtl/>
        </w:rPr>
        <w:t>ביקורת המעקב:</w:t>
      </w:r>
      <w:bookmarkEnd w:id="2414"/>
      <w:r w:rsidRPr="002F2BC5">
        <w:rPr>
          <w:rStyle w:val="70"/>
          <w:rFonts w:hint="cs"/>
          <w:rtl/>
        </w:rPr>
        <w:t xml:space="preserve"> </w:t>
      </w:r>
      <w:r w:rsidRPr="002F2BC5">
        <w:rPr>
          <w:rFonts w:hint="cs"/>
          <w:rtl/>
        </w:rPr>
        <w:t>נמצא כי הנהלים המסדירים את עבודת הוועדות המחוזיות ואת שיתוף הפעולה בינן לבין שירות בתי הסוהר לא עודכנו, בכלל זה בכל הנוגע למעורבות גורמי הטיפול בקהילה בהיערכות לקראת שחרורם של אסירים המרצים מאסר בגין עבירות אלימות במשפחה</w:t>
      </w:r>
      <w:r w:rsidRPr="002F2BC5">
        <w:rPr>
          <w:rStyle w:val="af9"/>
          <w:rtl/>
        </w:rPr>
        <w:footnoteReference w:id="484"/>
      </w:r>
      <w:r w:rsidRPr="002F2BC5">
        <w:rPr>
          <w:rFonts w:hint="cs"/>
          <w:rtl/>
        </w:rPr>
        <w:t>. כמו כן לפי הערכת משרד הרווחה, גורמי הטיפול בקהילה משתתפים רק בכ-30% מדיוני הוועדה המחוזית, אף שעמדתם בעניין האסירים וחוות דעתם הסוציאלית בעניין נפגעי העבירה מובאים בפני הוועדה, גם אם אינם נוכחים בעצמם בדיון</w:t>
      </w:r>
      <w:r w:rsidRPr="002F2BC5">
        <w:rPr>
          <w:rtl/>
        </w:rPr>
        <w:t>.</w:t>
      </w:r>
      <w:r w:rsidRPr="002F2BC5">
        <w:rPr>
          <w:rFonts w:hint="cs"/>
          <w:rtl/>
        </w:rPr>
        <w:t xml:space="preserve"> עוד נמצא כי הקמתה של יחידת המעקב, שעבודת המטה לקראת הקמתה החלה בשנת 2020, הושלמה באוגוסט 2024, עם כניסתו לתוקף של תיקון 19 לחוק למניעת אלימות במשפחה, שמכוחו היחידה הוקמה והחלה לפעול</w:t>
      </w:r>
      <w:r w:rsidRPr="002F2BC5">
        <w:rPr>
          <w:rStyle w:val="af9"/>
          <w:rtl/>
        </w:rPr>
        <w:footnoteReference w:id="485"/>
      </w:r>
      <w:r w:rsidRPr="002F2BC5">
        <w:rPr>
          <w:rFonts w:hint="cs"/>
          <w:rtl/>
        </w:rPr>
        <w:t>.</w:t>
      </w:r>
    </w:p>
    <w:p w14:paraId="0A425F3D" w14:textId="77777777" w:rsidR="00817399" w:rsidRPr="002F2BC5" w:rsidRDefault="00817399" w:rsidP="00817399">
      <w:pPr>
        <w:spacing w:line="269" w:lineRule="auto"/>
        <w:rPr>
          <w:rtl/>
        </w:rPr>
      </w:pPr>
    </w:p>
    <w:p w14:paraId="2F4C589D" w14:textId="77777777" w:rsidR="00817399" w:rsidRPr="002F2BC5" w:rsidRDefault="00817399" w:rsidP="00817399">
      <w:pPr>
        <w:spacing w:line="269" w:lineRule="auto"/>
        <w:rPr>
          <w:rtl/>
        </w:rPr>
      </w:pPr>
      <w:r w:rsidRPr="002F2BC5">
        <w:rPr>
          <w:rFonts w:hint="cs"/>
          <w:rtl/>
        </w:rPr>
        <w:t>משרד הרווחה מסר במהלך ביקורת המעקב, בדצמבר 2024, כי קיים קושי להביא בפני הוועדות המחוזיות מידע מלא ועדכני על נפגעי העבירה, כאשר הם אינם מעוניינים לעמוד בקשר עם גורמי הטיפול בקהילה. עוד מסר כי קושי נוסף בהקשר זה הוא היעדרו של גורם מרָכז בכל מחלקה לשירותים חברתיים, שיוכל לשמש כאיש קשר עבור הוועדה המחוזית לצורך קבלת מידע עדכני על נפגעי עבירות אלימות במשפחה. זאת בשונה מההסדר שנקבע לעניין נפגעי עבירות מין, שאז נקבע עובד סוציאלי ייעודי בכל מחלקה לשירותים חברתיים, האמון בין השאר על התיווך מול גורמים רלוונטיים הנוגעים לנפגעי עבירות אלו ולזכויותיהם בגופים וברשויות השונות</w:t>
      </w:r>
      <w:r w:rsidRPr="002F2BC5">
        <w:rPr>
          <w:rStyle w:val="af9"/>
          <w:rtl/>
        </w:rPr>
        <w:footnoteReference w:id="486"/>
      </w:r>
      <w:r w:rsidRPr="002F2BC5">
        <w:rPr>
          <w:rFonts w:hint="cs"/>
          <w:rtl/>
        </w:rPr>
        <w:t>.</w:t>
      </w:r>
    </w:p>
    <w:p w14:paraId="1EF05461" w14:textId="77777777" w:rsidR="00817399" w:rsidRPr="002F2BC5" w:rsidRDefault="00817399" w:rsidP="00817399">
      <w:pPr>
        <w:spacing w:line="269" w:lineRule="auto"/>
        <w:rPr>
          <w:rtl/>
        </w:rPr>
      </w:pPr>
    </w:p>
    <w:p w14:paraId="04E1E2CF" w14:textId="77777777" w:rsidR="00817399" w:rsidRPr="002F2BC5" w:rsidRDefault="00817399" w:rsidP="00817399">
      <w:pPr>
        <w:pStyle w:val="afffffff9"/>
        <w:spacing w:line="269" w:lineRule="auto"/>
        <w:rPr>
          <w:rtl/>
        </w:rPr>
      </w:pPr>
      <w:bookmarkStart w:id="2415" w:name="_Toc191987219"/>
      <w:bookmarkStart w:id="2416" w:name="_Toc198312378"/>
      <w:bookmarkStart w:id="2417" w:name="_Toc198312865"/>
      <w:bookmarkStart w:id="2418" w:name="_Toc200637013"/>
      <w:bookmarkStart w:id="2419" w:name="_Toc200440011"/>
      <w:bookmarkStart w:id="2420" w:name="_Toc201241116"/>
      <w:bookmarkStart w:id="2421" w:name="_Toc192093216"/>
      <w:bookmarkStart w:id="2422" w:name="_Toc192612924"/>
      <w:r w:rsidRPr="002F2BC5">
        <w:rPr>
          <w:rtl/>
        </w:rPr>
        <w:t>הביקורת הקודמת העלתה כי ההסדרים הנורמטיביים לעניין בחינת הערכת מסוכנותם של עצורים או אסירים העומדים לקראת שחרור אינם נותנים מענה מספ</w:t>
      </w:r>
      <w:r w:rsidRPr="002F2BC5">
        <w:rPr>
          <w:rFonts w:hint="eastAsia"/>
          <w:rtl/>
        </w:rPr>
        <w:t>ק</w:t>
      </w:r>
      <w:r w:rsidRPr="002F2BC5">
        <w:rPr>
          <w:rFonts w:hint="cs"/>
          <w:rtl/>
        </w:rPr>
        <w:t xml:space="preserve"> - ישנם </w:t>
      </w:r>
      <w:r w:rsidRPr="002F2BC5">
        <w:rPr>
          <w:rFonts w:hint="eastAsia"/>
          <w:rtl/>
        </w:rPr>
        <w:t>אסירים</w:t>
      </w:r>
      <w:r w:rsidRPr="002F2BC5">
        <w:rPr>
          <w:rtl/>
        </w:rPr>
        <w:t xml:space="preserve"> </w:t>
      </w:r>
      <w:r w:rsidRPr="002F2BC5">
        <w:rPr>
          <w:rFonts w:hint="eastAsia"/>
          <w:rtl/>
        </w:rPr>
        <w:t>שעניינ</w:t>
      </w:r>
      <w:r w:rsidRPr="002F2BC5">
        <w:rPr>
          <w:rFonts w:hint="cs"/>
          <w:rtl/>
        </w:rPr>
        <w:t>ם</w:t>
      </w:r>
      <w:r w:rsidRPr="002F2BC5">
        <w:rPr>
          <w:rtl/>
        </w:rPr>
        <w:t xml:space="preserve"> אינו מובא בפני ועדת השחרורים, </w:t>
      </w:r>
      <w:r w:rsidRPr="002F2BC5">
        <w:rPr>
          <w:rFonts w:hint="eastAsia"/>
          <w:rtl/>
        </w:rPr>
        <w:t>וגם</w:t>
      </w:r>
      <w:r w:rsidRPr="002F2BC5">
        <w:rPr>
          <w:rtl/>
        </w:rPr>
        <w:t xml:space="preserve"> </w:t>
      </w:r>
      <w:r w:rsidRPr="002F2BC5">
        <w:rPr>
          <w:rFonts w:hint="eastAsia"/>
          <w:rtl/>
        </w:rPr>
        <w:t>אין</w:t>
      </w:r>
      <w:r w:rsidRPr="002F2BC5">
        <w:rPr>
          <w:rtl/>
        </w:rPr>
        <w:t xml:space="preserve"> חובה </w:t>
      </w:r>
      <w:r w:rsidRPr="002F2BC5">
        <w:rPr>
          <w:rFonts w:hint="eastAsia"/>
          <w:rtl/>
        </w:rPr>
        <w:t>להביא</w:t>
      </w:r>
      <w:r w:rsidRPr="002F2BC5">
        <w:rPr>
          <w:rtl/>
        </w:rPr>
        <w:t xml:space="preserve"> </w:t>
      </w:r>
      <w:r w:rsidRPr="002F2BC5">
        <w:rPr>
          <w:rFonts w:hint="eastAsia"/>
          <w:rtl/>
        </w:rPr>
        <w:t>את</w:t>
      </w:r>
      <w:r w:rsidRPr="002F2BC5">
        <w:rPr>
          <w:rtl/>
        </w:rPr>
        <w:t xml:space="preserve"> </w:t>
      </w:r>
      <w:r w:rsidRPr="002F2BC5">
        <w:rPr>
          <w:rFonts w:hint="eastAsia"/>
          <w:rtl/>
        </w:rPr>
        <w:t>עניינ</w:t>
      </w:r>
      <w:r w:rsidRPr="002F2BC5">
        <w:rPr>
          <w:rFonts w:hint="cs"/>
          <w:rtl/>
        </w:rPr>
        <w:t>ם</w:t>
      </w:r>
      <w:r w:rsidRPr="002F2BC5">
        <w:rPr>
          <w:rtl/>
        </w:rPr>
        <w:t xml:space="preserve"> בפני הוועדות המחוזיות </w:t>
      </w:r>
      <w:r w:rsidRPr="002F2BC5">
        <w:rPr>
          <w:rtl/>
        </w:rPr>
        <w:lastRenderedPageBreak/>
        <w:t xml:space="preserve">המוסמכות לדון ברמת מסוכנותם ובהיערכות לקראת חזרתם לקהילה; </w:t>
      </w:r>
      <w:r w:rsidRPr="002F2BC5">
        <w:rPr>
          <w:rFonts w:hint="eastAsia"/>
          <w:rtl/>
        </w:rPr>
        <w:t>כמו</w:t>
      </w:r>
      <w:r w:rsidRPr="002F2BC5">
        <w:rPr>
          <w:rtl/>
        </w:rPr>
        <w:t xml:space="preserve"> </w:t>
      </w:r>
      <w:r w:rsidRPr="002F2BC5">
        <w:rPr>
          <w:rFonts w:hint="eastAsia"/>
          <w:rtl/>
        </w:rPr>
        <w:t>כן</w:t>
      </w:r>
      <w:r w:rsidRPr="002F2BC5">
        <w:rPr>
          <w:rtl/>
        </w:rPr>
        <w:t xml:space="preserve"> </w:t>
      </w:r>
      <w:r w:rsidRPr="002F2BC5">
        <w:rPr>
          <w:rFonts w:hint="eastAsia"/>
          <w:rtl/>
        </w:rPr>
        <w:t>אין</w:t>
      </w:r>
      <w:r w:rsidRPr="002F2BC5">
        <w:rPr>
          <w:rtl/>
        </w:rPr>
        <w:t xml:space="preserve"> </w:t>
      </w:r>
      <w:r w:rsidRPr="002F2BC5">
        <w:rPr>
          <w:rFonts w:hint="eastAsia"/>
          <w:rtl/>
        </w:rPr>
        <w:t>חובה</w:t>
      </w:r>
      <w:r w:rsidRPr="002F2BC5">
        <w:rPr>
          <w:rtl/>
        </w:rPr>
        <w:t xml:space="preserve"> למסור הודעה לגורמי הטיפול בקהילה על כך שעצור בעבירת אלימות במשפחה עומד בפני שחרור שעה שנפגע העבירה אינו מוכר לשירותי הרווחה</w:t>
      </w:r>
      <w:r w:rsidRPr="002F2BC5">
        <w:rPr>
          <w:rFonts w:hint="cs"/>
          <w:rtl/>
        </w:rPr>
        <w:t xml:space="preserve">. בביקורת המעקב </w:t>
      </w:r>
      <w:r w:rsidRPr="002F2BC5">
        <w:rPr>
          <w:rFonts w:hint="eastAsia"/>
          <w:rtl/>
        </w:rPr>
        <w:t>הועלה</w:t>
      </w:r>
      <w:r w:rsidRPr="002F2BC5">
        <w:rPr>
          <w:rtl/>
        </w:rPr>
        <w:t xml:space="preserve"> כי הליקוי לא תוקן </w:t>
      </w:r>
      <w:r w:rsidRPr="002F2BC5">
        <w:rPr>
          <w:rFonts w:hint="cs"/>
          <w:rtl/>
        </w:rPr>
        <w:t>וכי ההסדרים האמורים</w:t>
      </w:r>
      <w:r w:rsidRPr="002F2BC5">
        <w:rPr>
          <w:rtl/>
        </w:rPr>
        <w:t xml:space="preserve"> </w:t>
      </w:r>
      <w:r w:rsidRPr="002F2BC5">
        <w:rPr>
          <w:rFonts w:hint="eastAsia"/>
          <w:rtl/>
        </w:rPr>
        <w:t>נותרו</w:t>
      </w:r>
      <w:r w:rsidRPr="002F2BC5">
        <w:rPr>
          <w:rtl/>
        </w:rPr>
        <w:t xml:space="preserve"> </w:t>
      </w:r>
      <w:r w:rsidRPr="002F2BC5">
        <w:rPr>
          <w:rFonts w:hint="eastAsia"/>
          <w:rtl/>
        </w:rPr>
        <w:t>בעינם</w:t>
      </w:r>
      <w:r w:rsidRPr="002F2BC5">
        <w:rPr>
          <w:rFonts w:hint="cs"/>
          <w:rtl/>
        </w:rPr>
        <w:t xml:space="preserve">, ואין בהם די כדי להתמודד באופן מלא עם החסמים והאתגרים הכרוכים באיסוף מידע מלא ועדכני על אודות נפגעי העבירה ובהבאת המידע בפני הוועדות המחוזיות. </w:t>
      </w:r>
      <w:r w:rsidRPr="002F2BC5">
        <w:rPr>
          <w:rFonts w:hint="eastAsia"/>
          <w:rtl/>
        </w:rPr>
        <w:t>הדבר</w:t>
      </w:r>
      <w:r w:rsidRPr="002F2BC5">
        <w:rPr>
          <w:rtl/>
        </w:rPr>
        <w:t xml:space="preserve"> </w:t>
      </w:r>
      <w:r w:rsidRPr="002F2BC5">
        <w:rPr>
          <w:rFonts w:hint="eastAsia"/>
          <w:rtl/>
        </w:rPr>
        <w:t>עלול</w:t>
      </w:r>
      <w:r w:rsidRPr="002F2BC5">
        <w:rPr>
          <w:rtl/>
        </w:rPr>
        <w:t xml:space="preserve"> </w:t>
      </w:r>
      <w:r w:rsidRPr="002F2BC5">
        <w:rPr>
          <w:rFonts w:hint="eastAsia"/>
          <w:rtl/>
        </w:rPr>
        <w:t>להוביל</w:t>
      </w:r>
      <w:r w:rsidRPr="002F2BC5">
        <w:rPr>
          <w:rtl/>
        </w:rPr>
        <w:t xml:space="preserve"> לפג</w:t>
      </w:r>
      <w:r w:rsidRPr="002F2BC5">
        <w:rPr>
          <w:rFonts w:hint="eastAsia"/>
          <w:rtl/>
        </w:rPr>
        <w:t>יעה</w:t>
      </w:r>
      <w:r w:rsidRPr="002F2BC5">
        <w:rPr>
          <w:rtl/>
        </w:rPr>
        <w:t xml:space="preserve"> </w:t>
      </w:r>
      <w:r w:rsidRPr="002F2BC5">
        <w:rPr>
          <w:rFonts w:hint="eastAsia"/>
          <w:rtl/>
        </w:rPr>
        <w:t>בהיערכות</w:t>
      </w:r>
      <w:r w:rsidRPr="002F2BC5">
        <w:rPr>
          <w:rtl/>
        </w:rPr>
        <w:t xml:space="preserve"> </w:t>
      </w:r>
      <w:r w:rsidRPr="002F2BC5">
        <w:rPr>
          <w:rFonts w:hint="eastAsia"/>
          <w:rtl/>
        </w:rPr>
        <w:t>לקראת</w:t>
      </w:r>
      <w:r w:rsidRPr="002F2BC5">
        <w:rPr>
          <w:rtl/>
        </w:rPr>
        <w:t xml:space="preserve"> </w:t>
      </w:r>
      <w:r w:rsidRPr="002F2BC5">
        <w:rPr>
          <w:rFonts w:hint="eastAsia"/>
          <w:rtl/>
        </w:rPr>
        <w:t>חזרתם</w:t>
      </w:r>
      <w:r w:rsidRPr="002F2BC5">
        <w:rPr>
          <w:rtl/>
        </w:rPr>
        <w:t xml:space="preserve"> </w:t>
      </w:r>
      <w:r w:rsidRPr="002F2BC5">
        <w:rPr>
          <w:rFonts w:hint="eastAsia"/>
          <w:rtl/>
        </w:rPr>
        <w:t>לקהילה</w:t>
      </w:r>
      <w:r w:rsidRPr="002F2BC5">
        <w:rPr>
          <w:rtl/>
        </w:rPr>
        <w:t xml:space="preserve"> של האסירים המשוחררים </w:t>
      </w:r>
      <w:r w:rsidRPr="002F2BC5">
        <w:rPr>
          <w:rFonts w:hint="eastAsia"/>
          <w:rtl/>
        </w:rPr>
        <w:t>הללו</w:t>
      </w:r>
      <w:r w:rsidRPr="002F2BC5">
        <w:rPr>
          <w:rtl/>
        </w:rPr>
        <w:t xml:space="preserve"> </w:t>
      </w:r>
      <w:r w:rsidRPr="002F2BC5">
        <w:rPr>
          <w:rFonts w:hint="eastAsia"/>
          <w:rtl/>
        </w:rPr>
        <w:t>ולכך</w:t>
      </w:r>
      <w:r w:rsidRPr="002F2BC5">
        <w:rPr>
          <w:rtl/>
        </w:rPr>
        <w:t xml:space="preserve"> </w:t>
      </w:r>
      <w:r w:rsidRPr="002F2BC5">
        <w:rPr>
          <w:rFonts w:hint="eastAsia"/>
          <w:rtl/>
        </w:rPr>
        <w:t>שהיא</w:t>
      </w:r>
      <w:r w:rsidRPr="002F2BC5">
        <w:rPr>
          <w:rtl/>
        </w:rPr>
        <w:t xml:space="preserve"> </w:t>
      </w:r>
      <w:r w:rsidRPr="002F2BC5">
        <w:rPr>
          <w:rFonts w:hint="eastAsia"/>
          <w:rtl/>
        </w:rPr>
        <w:t>תיעשה</w:t>
      </w:r>
      <w:r w:rsidRPr="002F2BC5">
        <w:rPr>
          <w:rtl/>
        </w:rPr>
        <w:t xml:space="preserve"> </w:t>
      </w:r>
      <w:r w:rsidRPr="002F2BC5">
        <w:rPr>
          <w:rFonts w:hint="eastAsia"/>
          <w:rtl/>
        </w:rPr>
        <w:t>בהתבסס</w:t>
      </w:r>
      <w:r w:rsidRPr="002F2BC5">
        <w:rPr>
          <w:rtl/>
        </w:rPr>
        <w:t xml:space="preserve"> </w:t>
      </w:r>
      <w:r w:rsidRPr="002F2BC5">
        <w:rPr>
          <w:rFonts w:hint="eastAsia"/>
          <w:rtl/>
        </w:rPr>
        <w:t>על</w:t>
      </w:r>
      <w:r w:rsidRPr="002F2BC5">
        <w:rPr>
          <w:rtl/>
        </w:rPr>
        <w:t xml:space="preserve"> </w:t>
      </w:r>
      <w:r w:rsidRPr="002F2BC5">
        <w:rPr>
          <w:rFonts w:hint="eastAsia"/>
          <w:rtl/>
        </w:rPr>
        <w:t>מידע</w:t>
      </w:r>
      <w:r w:rsidRPr="002F2BC5">
        <w:rPr>
          <w:rtl/>
        </w:rPr>
        <w:t xml:space="preserve"> </w:t>
      </w:r>
      <w:r w:rsidRPr="002F2BC5">
        <w:rPr>
          <w:rFonts w:hint="eastAsia"/>
          <w:rtl/>
        </w:rPr>
        <w:t>חלקי</w:t>
      </w:r>
      <w:r w:rsidRPr="002F2BC5">
        <w:rPr>
          <w:rtl/>
        </w:rPr>
        <w:t xml:space="preserve"> </w:t>
      </w:r>
      <w:r w:rsidRPr="002F2BC5">
        <w:rPr>
          <w:rFonts w:hint="eastAsia"/>
          <w:rtl/>
        </w:rPr>
        <w:t>בלבד</w:t>
      </w:r>
      <w:r w:rsidRPr="002F2BC5">
        <w:rPr>
          <w:rtl/>
        </w:rPr>
        <w:t>.</w:t>
      </w:r>
      <w:bookmarkEnd w:id="2415"/>
      <w:bookmarkEnd w:id="2416"/>
      <w:bookmarkEnd w:id="2417"/>
      <w:bookmarkEnd w:id="2418"/>
      <w:bookmarkEnd w:id="2419"/>
      <w:bookmarkEnd w:id="2420"/>
      <w:r w:rsidRPr="002F2BC5">
        <w:rPr>
          <w:rFonts w:hint="cs"/>
          <w:rtl/>
        </w:rPr>
        <w:t xml:space="preserve"> </w:t>
      </w:r>
      <w:bookmarkEnd w:id="2421"/>
      <w:bookmarkEnd w:id="2422"/>
    </w:p>
    <w:p w14:paraId="68C6E34F" w14:textId="77777777" w:rsidR="00817399" w:rsidRPr="002F2BC5" w:rsidRDefault="00817399" w:rsidP="00817399">
      <w:pPr>
        <w:spacing w:line="269" w:lineRule="auto"/>
        <w:rPr>
          <w:rtl/>
        </w:rPr>
      </w:pPr>
    </w:p>
    <w:p w14:paraId="310B2BCF" w14:textId="77777777" w:rsidR="00817399" w:rsidRPr="002F2BC5" w:rsidRDefault="00817399" w:rsidP="00817399">
      <w:pPr>
        <w:pStyle w:val="afffffffa"/>
        <w:spacing w:line="269" w:lineRule="auto"/>
        <w:rPr>
          <w:rtl/>
        </w:rPr>
      </w:pPr>
      <w:bookmarkStart w:id="2423" w:name="_Toc191987220"/>
      <w:bookmarkStart w:id="2424" w:name="_Toc192093217"/>
      <w:bookmarkStart w:id="2425" w:name="_Toc192612925"/>
      <w:bookmarkStart w:id="2426" w:name="_Toc198312379"/>
      <w:bookmarkStart w:id="2427" w:name="_Toc198312866"/>
      <w:bookmarkStart w:id="2428" w:name="_Toc200637014"/>
      <w:bookmarkStart w:id="2429" w:name="_Toc200440012"/>
      <w:bookmarkStart w:id="2430" w:name="_Toc201241117"/>
      <w:r w:rsidRPr="002F2BC5">
        <w:rPr>
          <w:rFonts w:hint="cs"/>
          <w:rtl/>
        </w:rPr>
        <w:t>מומלץ למשרד הרווחה, בשיתוף שירות בתי הסוהר והרשויות המקומיות, לפעול לכך שעמדתם של נפגעי עבירות אלימות במשפחה ומידע עדכני ומלא הנוגע להם יובאו בפני הוועדות המחוזיות באמצעות גורמי הטיפול בקהילה. בתוך כך מומלץ למנות גורם מרכזי בכל מחלקה לשירותים חברתיים, שישמש גורם מקשר ומתווך לעניין נפגעי עבירות אלימות במשפחה מול גורמים חיצוניים ובכלל זה הוועדות המחוזיות, בדומה להסדר שנקבע לעניין נפגעי עבירות מין.</w:t>
      </w:r>
      <w:bookmarkEnd w:id="2423"/>
      <w:bookmarkEnd w:id="2424"/>
      <w:bookmarkEnd w:id="2425"/>
      <w:bookmarkEnd w:id="2426"/>
      <w:bookmarkEnd w:id="2427"/>
      <w:bookmarkEnd w:id="2428"/>
      <w:bookmarkEnd w:id="2429"/>
      <w:bookmarkEnd w:id="2430"/>
    </w:p>
    <w:p w14:paraId="149C8370" w14:textId="77777777" w:rsidR="00817399" w:rsidRPr="002F2BC5" w:rsidRDefault="00817399" w:rsidP="00817399">
      <w:pPr>
        <w:spacing w:line="269" w:lineRule="auto"/>
        <w:rPr>
          <w:rtl/>
        </w:rPr>
      </w:pPr>
    </w:p>
    <w:p w14:paraId="536B0DFE" w14:textId="77777777" w:rsidR="00817399" w:rsidRPr="002F2BC5" w:rsidRDefault="00817399" w:rsidP="00817399">
      <w:pPr>
        <w:spacing w:line="269" w:lineRule="auto"/>
        <w:rPr>
          <w:rtl/>
        </w:rPr>
      </w:pPr>
      <w:r w:rsidRPr="002F2BC5">
        <w:rPr>
          <w:rFonts w:hint="cs"/>
          <w:rtl/>
        </w:rPr>
        <w:t>שירות בתי הסוהר מסר בתשובתו כי הבאת עמדת נפגעי העבירה בפני הוועדות המחוזיות היא נדבך חשוב בעבודתן של הוועדות. הוא הוסיף כי עניין זה אינו מצוי באחריותו, אך הוא ישתף פעולה עם משרד הרווחה אם יידרש לכך, ובהקשר זה ציין כי נכון למועד מתן התשובה, פועלים שירות בתי הסוהר ומשרד הרווחה במשותף לעדכון פקודת הנציבות ונוהלי עבודתו של משרד הרווחה.</w:t>
      </w:r>
    </w:p>
    <w:p w14:paraId="4D04ACDA" w14:textId="77777777" w:rsidR="00817399" w:rsidRPr="002F2BC5" w:rsidRDefault="00817399" w:rsidP="00817399">
      <w:pPr>
        <w:spacing w:line="269" w:lineRule="auto"/>
        <w:rPr>
          <w:rtl/>
        </w:rPr>
      </w:pPr>
    </w:p>
    <w:p w14:paraId="47681065" w14:textId="77777777" w:rsidR="00817399" w:rsidRPr="002F2BC5" w:rsidRDefault="00817399" w:rsidP="00817399">
      <w:pPr>
        <w:spacing w:line="269" w:lineRule="auto"/>
        <w:rPr>
          <w:rtl/>
        </w:rPr>
      </w:pPr>
      <w:r w:rsidRPr="002F2BC5">
        <w:rPr>
          <w:rFonts w:hint="eastAsia"/>
          <w:rtl/>
        </w:rPr>
        <w:t>מרכז</w:t>
      </w:r>
      <w:r w:rsidRPr="002F2BC5">
        <w:rPr>
          <w:rtl/>
        </w:rPr>
        <w:t xml:space="preserve"> </w:t>
      </w:r>
      <w:r w:rsidRPr="002F2BC5">
        <w:rPr>
          <w:rFonts w:hint="eastAsia"/>
          <w:rtl/>
        </w:rPr>
        <w:t>השלטון</w:t>
      </w:r>
      <w:r w:rsidRPr="002F2BC5">
        <w:rPr>
          <w:rtl/>
        </w:rPr>
        <w:t xml:space="preserve"> </w:t>
      </w:r>
      <w:r w:rsidRPr="002F2BC5">
        <w:rPr>
          <w:rFonts w:hint="eastAsia"/>
          <w:rtl/>
        </w:rPr>
        <w:t>המקומי</w:t>
      </w:r>
      <w:r w:rsidRPr="002F2BC5">
        <w:rPr>
          <w:rtl/>
        </w:rPr>
        <w:t xml:space="preserve"> </w:t>
      </w:r>
      <w:r w:rsidRPr="002F2BC5">
        <w:rPr>
          <w:rFonts w:hint="eastAsia"/>
          <w:rtl/>
        </w:rPr>
        <w:t>מסר</w:t>
      </w:r>
      <w:r w:rsidRPr="002F2BC5">
        <w:rPr>
          <w:rtl/>
        </w:rPr>
        <w:t xml:space="preserve"> </w:t>
      </w:r>
      <w:r w:rsidRPr="002F2BC5">
        <w:rPr>
          <w:rFonts w:hint="eastAsia"/>
          <w:rtl/>
        </w:rPr>
        <w:t>בתשובתו</w:t>
      </w:r>
      <w:r w:rsidRPr="002F2BC5">
        <w:rPr>
          <w:rtl/>
        </w:rPr>
        <w:t xml:space="preserve"> כי חשיבות הבאת עמדת נפגע עבירת </w:t>
      </w:r>
      <w:r w:rsidRPr="002F2BC5">
        <w:rPr>
          <w:rFonts w:hint="eastAsia"/>
          <w:rtl/>
        </w:rPr>
        <w:t>ה</w:t>
      </w:r>
      <w:r w:rsidRPr="002F2BC5">
        <w:rPr>
          <w:rtl/>
        </w:rPr>
        <w:t xml:space="preserve">אלימות </w:t>
      </w:r>
      <w:r w:rsidRPr="002F2BC5">
        <w:rPr>
          <w:rFonts w:hint="eastAsia"/>
          <w:rtl/>
        </w:rPr>
        <w:t>במשפחה</w:t>
      </w:r>
      <w:r w:rsidRPr="002F2BC5">
        <w:rPr>
          <w:rtl/>
        </w:rPr>
        <w:t xml:space="preserve"> בפני ועדת השחרורים היא ברורה, וה</w:t>
      </w:r>
      <w:r w:rsidRPr="002F2BC5">
        <w:rPr>
          <w:rFonts w:hint="eastAsia"/>
          <w:rtl/>
        </w:rPr>
        <w:t>מחלקות</w:t>
      </w:r>
      <w:r w:rsidRPr="002F2BC5">
        <w:rPr>
          <w:rtl/>
        </w:rPr>
        <w:t xml:space="preserve"> </w:t>
      </w:r>
      <w:r w:rsidRPr="002F2BC5">
        <w:rPr>
          <w:rFonts w:hint="eastAsia"/>
          <w:rtl/>
        </w:rPr>
        <w:t>לשירותים</w:t>
      </w:r>
      <w:r w:rsidRPr="002F2BC5">
        <w:rPr>
          <w:rtl/>
        </w:rPr>
        <w:t xml:space="preserve"> </w:t>
      </w:r>
      <w:r w:rsidRPr="002F2BC5">
        <w:rPr>
          <w:rFonts w:hint="eastAsia"/>
          <w:rtl/>
        </w:rPr>
        <w:t>חברתיים</w:t>
      </w:r>
      <w:r w:rsidRPr="002F2BC5">
        <w:rPr>
          <w:rtl/>
        </w:rPr>
        <w:t xml:space="preserve"> פועלות ככל הניתן לכך שהדבר </w:t>
      </w:r>
      <w:r w:rsidRPr="002F2BC5">
        <w:rPr>
          <w:rFonts w:hint="eastAsia"/>
          <w:rtl/>
        </w:rPr>
        <w:t>אכן</w:t>
      </w:r>
      <w:r w:rsidRPr="002F2BC5">
        <w:rPr>
          <w:rtl/>
        </w:rPr>
        <w:t xml:space="preserve"> </w:t>
      </w:r>
      <w:r w:rsidRPr="002F2BC5">
        <w:rPr>
          <w:rFonts w:hint="eastAsia"/>
          <w:rtl/>
        </w:rPr>
        <w:t>ייעשה</w:t>
      </w:r>
      <w:r w:rsidRPr="002F2BC5">
        <w:rPr>
          <w:rtl/>
        </w:rPr>
        <w:t xml:space="preserve">, </w:t>
      </w:r>
      <w:r w:rsidRPr="002F2BC5">
        <w:rPr>
          <w:rFonts w:hint="eastAsia"/>
          <w:rtl/>
        </w:rPr>
        <w:t>ובלבד</w:t>
      </w:r>
      <w:r w:rsidRPr="002F2BC5">
        <w:rPr>
          <w:rtl/>
        </w:rPr>
        <w:t xml:space="preserve"> </w:t>
      </w:r>
      <w:r w:rsidRPr="002F2BC5">
        <w:rPr>
          <w:rFonts w:hint="eastAsia"/>
          <w:rtl/>
        </w:rPr>
        <w:t>שנפגע</w:t>
      </w:r>
      <w:r w:rsidRPr="002F2BC5">
        <w:rPr>
          <w:rtl/>
        </w:rPr>
        <w:t xml:space="preserve"> </w:t>
      </w:r>
      <w:r w:rsidRPr="002F2BC5">
        <w:rPr>
          <w:rFonts w:hint="eastAsia"/>
          <w:rtl/>
        </w:rPr>
        <w:t>העבירה</w:t>
      </w:r>
      <w:r w:rsidRPr="002F2BC5">
        <w:rPr>
          <w:rtl/>
        </w:rPr>
        <w:t xml:space="preserve"> </w:t>
      </w:r>
      <w:r w:rsidRPr="002F2BC5">
        <w:rPr>
          <w:rFonts w:hint="eastAsia"/>
          <w:rtl/>
        </w:rPr>
        <w:t>מוכר</w:t>
      </w:r>
      <w:r w:rsidRPr="002F2BC5">
        <w:rPr>
          <w:rtl/>
        </w:rPr>
        <w:t xml:space="preserve"> </w:t>
      </w:r>
      <w:r w:rsidRPr="002F2BC5">
        <w:rPr>
          <w:rFonts w:hint="eastAsia"/>
          <w:rtl/>
        </w:rPr>
        <w:t>להן</w:t>
      </w:r>
      <w:r w:rsidRPr="002F2BC5">
        <w:rPr>
          <w:rtl/>
        </w:rPr>
        <w:t xml:space="preserve"> </w:t>
      </w:r>
      <w:r w:rsidRPr="002F2BC5">
        <w:rPr>
          <w:rFonts w:hint="eastAsia"/>
          <w:rtl/>
        </w:rPr>
        <w:t>ומובאת</w:t>
      </w:r>
      <w:r w:rsidRPr="002F2BC5">
        <w:rPr>
          <w:rtl/>
        </w:rPr>
        <w:t xml:space="preserve"> לידיעתן </w:t>
      </w:r>
      <w:r w:rsidRPr="002F2BC5">
        <w:rPr>
          <w:rFonts w:hint="eastAsia"/>
          <w:rtl/>
        </w:rPr>
        <w:t>האפשרות</w:t>
      </w:r>
      <w:r w:rsidRPr="002F2BC5">
        <w:rPr>
          <w:rtl/>
        </w:rPr>
        <w:t xml:space="preserve"> </w:t>
      </w:r>
      <w:r w:rsidRPr="002F2BC5">
        <w:rPr>
          <w:rFonts w:hint="eastAsia"/>
          <w:rtl/>
        </w:rPr>
        <w:t>להביא</w:t>
      </w:r>
      <w:r w:rsidRPr="002F2BC5">
        <w:rPr>
          <w:rtl/>
        </w:rPr>
        <w:t xml:space="preserve"> </w:t>
      </w:r>
      <w:r w:rsidRPr="002F2BC5">
        <w:rPr>
          <w:rFonts w:hint="eastAsia"/>
          <w:rtl/>
        </w:rPr>
        <w:t>את</w:t>
      </w:r>
      <w:r w:rsidRPr="002F2BC5">
        <w:rPr>
          <w:rtl/>
        </w:rPr>
        <w:t xml:space="preserve"> </w:t>
      </w:r>
      <w:r w:rsidRPr="002F2BC5">
        <w:rPr>
          <w:rFonts w:hint="eastAsia"/>
          <w:rtl/>
        </w:rPr>
        <w:t>עמדתו</w:t>
      </w:r>
      <w:r w:rsidRPr="002F2BC5">
        <w:rPr>
          <w:rtl/>
        </w:rPr>
        <w:t xml:space="preserve">. </w:t>
      </w:r>
      <w:r w:rsidRPr="002F2BC5">
        <w:rPr>
          <w:rFonts w:hint="eastAsia"/>
          <w:rtl/>
        </w:rPr>
        <w:t>עוד</w:t>
      </w:r>
      <w:r w:rsidRPr="002F2BC5">
        <w:rPr>
          <w:rtl/>
        </w:rPr>
        <w:t xml:space="preserve"> </w:t>
      </w:r>
      <w:r w:rsidRPr="002F2BC5">
        <w:rPr>
          <w:rFonts w:hint="eastAsia"/>
          <w:rtl/>
        </w:rPr>
        <w:t>מסר</w:t>
      </w:r>
      <w:r w:rsidRPr="002F2BC5">
        <w:rPr>
          <w:rtl/>
        </w:rPr>
        <w:t xml:space="preserve"> </w:t>
      </w:r>
      <w:r w:rsidRPr="002F2BC5">
        <w:rPr>
          <w:rFonts w:hint="eastAsia"/>
          <w:rtl/>
        </w:rPr>
        <w:t>כי</w:t>
      </w:r>
      <w:r w:rsidRPr="002F2BC5">
        <w:rPr>
          <w:rtl/>
        </w:rPr>
        <w:t xml:space="preserve"> </w:t>
      </w:r>
      <w:r w:rsidRPr="002F2BC5">
        <w:rPr>
          <w:rFonts w:hint="eastAsia"/>
          <w:rtl/>
        </w:rPr>
        <w:t>אף</w:t>
      </w:r>
      <w:r w:rsidRPr="002F2BC5">
        <w:rPr>
          <w:rtl/>
        </w:rPr>
        <w:t xml:space="preserve"> </w:t>
      </w:r>
      <w:r w:rsidRPr="002F2BC5">
        <w:rPr>
          <w:rFonts w:hint="eastAsia"/>
          <w:rtl/>
        </w:rPr>
        <w:t>שההמלצה</w:t>
      </w:r>
      <w:r w:rsidRPr="002F2BC5">
        <w:rPr>
          <w:rtl/>
        </w:rPr>
        <w:t xml:space="preserve"> למנות גורם מקשר לעניין נפגעי עבירות אלימות במשפחה היא ראויה, </w:t>
      </w:r>
      <w:r w:rsidRPr="002F2BC5">
        <w:rPr>
          <w:rFonts w:hint="eastAsia"/>
          <w:rtl/>
        </w:rPr>
        <w:t>יישומה</w:t>
      </w:r>
      <w:r w:rsidRPr="002F2BC5">
        <w:rPr>
          <w:rtl/>
        </w:rPr>
        <w:t xml:space="preserve"> </w:t>
      </w:r>
      <w:r w:rsidRPr="002F2BC5">
        <w:rPr>
          <w:rFonts w:hint="eastAsia"/>
          <w:rtl/>
        </w:rPr>
        <w:t>יתאפשר</w:t>
      </w:r>
      <w:r w:rsidRPr="002F2BC5">
        <w:rPr>
          <w:rtl/>
        </w:rPr>
        <w:t xml:space="preserve"> </w:t>
      </w:r>
      <w:r w:rsidRPr="002F2BC5">
        <w:rPr>
          <w:rFonts w:hint="cs"/>
          <w:rtl/>
        </w:rPr>
        <w:t xml:space="preserve">אם </w:t>
      </w:r>
      <w:r w:rsidRPr="002F2BC5">
        <w:rPr>
          <w:rFonts w:hint="eastAsia"/>
          <w:rtl/>
        </w:rPr>
        <w:t>יינתן</w:t>
      </w:r>
      <w:r w:rsidRPr="002F2BC5">
        <w:rPr>
          <w:rtl/>
        </w:rPr>
        <w:t xml:space="preserve"> </w:t>
      </w:r>
      <w:r w:rsidRPr="002F2BC5">
        <w:rPr>
          <w:rFonts w:hint="eastAsia"/>
          <w:rtl/>
        </w:rPr>
        <w:t>תקצוב</w:t>
      </w:r>
      <w:r w:rsidRPr="002F2BC5">
        <w:rPr>
          <w:rtl/>
        </w:rPr>
        <w:t xml:space="preserve"> </w:t>
      </w:r>
      <w:r w:rsidRPr="002F2BC5">
        <w:rPr>
          <w:rFonts w:hint="eastAsia"/>
          <w:rtl/>
        </w:rPr>
        <w:t>ייעודי</w:t>
      </w:r>
      <w:r w:rsidRPr="002F2BC5">
        <w:rPr>
          <w:rtl/>
        </w:rPr>
        <w:t xml:space="preserve"> </w:t>
      </w:r>
      <w:r w:rsidRPr="002F2BC5">
        <w:rPr>
          <w:rFonts w:hint="eastAsia"/>
          <w:rtl/>
        </w:rPr>
        <w:t>לצורך</w:t>
      </w:r>
      <w:r w:rsidRPr="002F2BC5">
        <w:rPr>
          <w:rtl/>
        </w:rPr>
        <w:t xml:space="preserve"> </w:t>
      </w:r>
      <w:r w:rsidRPr="002F2BC5">
        <w:rPr>
          <w:rFonts w:hint="eastAsia"/>
          <w:rtl/>
        </w:rPr>
        <w:t>כך</w:t>
      </w:r>
      <w:r w:rsidRPr="002F2BC5">
        <w:rPr>
          <w:rtl/>
        </w:rPr>
        <w:t>.</w:t>
      </w:r>
    </w:p>
    <w:p w14:paraId="7E49CD6D" w14:textId="77777777" w:rsidR="00817399" w:rsidRPr="002F2BC5" w:rsidRDefault="00817399" w:rsidP="00817399">
      <w:pPr>
        <w:spacing w:line="269" w:lineRule="auto"/>
        <w:rPr>
          <w:rtl/>
        </w:rPr>
      </w:pPr>
    </w:p>
    <w:p w14:paraId="705ACD86"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668B827E" w14:textId="77777777" w:rsidR="00817399" w:rsidRPr="002F2BC5" w:rsidRDefault="00817399" w:rsidP="00817399">
      <w:pPr>
        <w:pStyle w:val="afffffff7"/>
        <w:spacing w:before="0" w:line="269" w:lineRule="auto"/>
        <w:rPr>
          <w:b/>
          <w:bCs/>
        </w:rPr>
      </w:pPr>
      <w:bookmarkStart w:id="2431" w:name="_Toc198312380"/>
      <w:bookmarkStart w:id="2432" w:name="_Toc198312867"/>
      <w:bookmarkStart w:id="2433" w:name="_Toc189072307"/>
      <w:r w:rsidRPr="002F2BC5">
        <w:rPr>
          <w:b/>
          <w:bCs/>
          <w:noProof/>
        </w:rPr>
        <w:drawing>
          <wp:inline distT="0" distB="0" distL="0" distR="0" wp14:anchorId="681FD30E" wp14:editId="27F0B653">
            <wp:extent cx="4324350" cy="933450"/>
            <wp:effectExtent l="0" t="0" r="0" b="0"/>
            <wp:docPr id="62"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431"/>
      <w:bookmarkEnd w:id="2432"/>
    </w:p>
    <w:bookmarkEnd w:id="2433"/>
    <w:p w14:paraId="1119FC82" w14:textId="77777777" w:rsidR="00817399" w:rsidRPr="002F2BC5" w:rsidRDefault="00817399" w:rsidP="00817399">
      <w:pPr>
        <w:spacing w:line="269" w:lineRule="auto"/>
        <w:rPr>
          <w:b/>
          <w:bCs/>
          <w:rtl/>
        </w:rPr>
      </w:pPr>
    </w:p>
    <w:p w14:paraId="2CF8CDCF" w14:textId="77777777" w:rsidR="00817399" w:rsidRPr="002F2BC5" w:rsidRDefault="00817399" w:rsidP="00817399">
      <w:pPr>
        <w:pStyle w:val="6"/>
        <w:spacing w:line="269" w:lineRule="auto"/>
        <w:rPr>
          <w:rtl/>
        </w:rPr>
      </w:pPr>
      <w:bookmarkStart w:id="2434" w:name="_Ref186992615"/>
      <w:bookmarkStart w:id="2435" w:name="_Toc189072308"/>
      <w:bookmarkStart w:id="2436" w:name="_Toc191987221"/>
      <w:bookmarkStart w:id="2437" w:name="_Toc193110652"/>
      <w:bookmarkEnd w:id="2409"/>
      <w:r w:rsidRPr="002F2BC5">
        <w:rPr>
          <w:rFonts w:hint="cs"/>
          <w:rtl/>
        </w:rPr>
        <w:t>רתימה להליך טיפולי-שיקומי בקהילה</w:t>
      </w:r>
      <w:bookmarkEnd w:id="2434"/>
      <w:bookmarkEnd w:id="2435"/>
      <w:bookmarkEnd w:id="2436"/>
      <w:bookmarkEnd w:id="2437"/>
      <w:r w:rsidRPr="002F2BC5">
        <w:rPr>
          <w:rFonts w:hint="cs"/>
          <w:rtl/>
        </w:rPr>
        <w:t xml:space="preserve"> לאחר שחרור ממאסר</w:t>
      </w:r>
    </w:p>
    <w:p w14:paraId="5FFC5C15" w14:textId="77777777" w:rsidR="00817399" w:rsidRPr="002F2BC5" w:rsidRDefault="00817399" w:rsidP="00817399">
      <w:pPr>
        <w:spacing w:line="269" w:lineRule="auto"/>
        <w:rPr>
          <w:rtl/>
        </w:rPr>
      </w:pPr>
    </w:p>
    <w:p w14:paraId="6F658252" w14:textId="77777777" w:rsidR="00817399" w:rsidRPr="002F2BC5" w:rsidRDefault="00817399" w:rsidP="00817399">
      <w:pPr>
        <w:spacing w:line="269" w:lineRule="auto"/>
        <w:rPr>
          <w:rtl/>
        </w:rPr>
      </w:pPr>
      <w:bookmarkStart w:id="2438" w:name="_Toc191987222"/>
      <w:r w:rsidRPr="002F2BC5">
        <w:rPr>
          <w:rStyle w:val="70"/>
          <w:rFonts w:hint="cs"/>
          <w:rtl/>
        </w:rPr>
        <w:t>הביקורת הקודמת:</w:t>
      </w:r>
      <w:bookmarkEnd w:id="2438"/>
      <w:r w:rsidRPr="002F2BC5">
        <w:rPr>
          <w:rStyle w:val="70"/>
          <w:rFonts w:hint="cs"/>
          <w:rtl/>
        </w:rPr>
        <w:t xml:space="preserve"> </w:t>
      </w:r>
      <w:r w:rsidRPr="002F2BC5">
        <w:rPr>
          <w:rFonts w:hint="cs"/>
          <w:rtl/>
        </w:rPr>
        <w:t>נמצא כי רובם הגדול של האסירים שריצו עונש מאסר בגין עבירות אלימות במשפחה משתחררים שחרור מינהלי בלי שעניינם מובא בפני ועדת השחרורים, שבסמכותה להתנות את שחרורם בהשתלבות בתוכנית שיקום בקהילה. כך גם בנוגע לאסירים שאינם משוחררים שחרור מוקדם, משלא נמצאו מתאימים לכך בשל רמת מסוכנותם הגבוהה, ועל כן משתחררים רק לאחר שריצו את מלוא תקופת מאסרם.</w:t>
      </w:r>
    </w:p>
    <w:p w14:paraId="244564D3" w14:textId="77777777" w:rsidR="00817399" w:rsidRPr="002F2BC5" w:rsidRDefault="00817399" w:rsidP="00817399">
      <w:pPr>
        <w:spacing w:line="269" w:lineRule="auto"/>
        <w:rPr>
          <w:rtl/>
        </w:rPr>
      </w:pPr>
    </w:p>
    <w:p w14:paraId="1539AED3" w14:textId="77777777" w:rsidR="00817399" w:rsidRPr="002F2BC5" w:rsidRDefault="00817399" w:rsidP="00817399">
      <w:pPr>
        <w:spacing w:line="269" w:lineRule="auto"/>
        <w:rPr>
          <w:rtl/>
        </w:rPr>
      </w:pPr>
      <w:r w:rsidRPr="002F2BC5">
        <w:rPr>
          <w:rFonts w:hint="cs"/>
          <w:rtl/>
        </w:rPr>
        <w:t>משרד מבקר המדינה המליץ בביקורת הקודמת למשרד לביטחון לאומי ולמשרד המשפטים כי יפעלו להסדרת מנגנון השחרור המינהלי של אסירים המרצים מאסר בגין עבירות אלימות במשפחה, ובכלל זה יבחנו תמריצי</w:t>
      </w:r>
      <w:r w:rsidRPr="002F2BC5">
        <w:rPr>
          <w:rFonts w:hint="eastAsia"/>
          <w:rtl/>
        </w:rPr>
        <w:t>ם</w:t>
      </w:r>
      <w:r w:rsidRPr="002F2BC5">
        <w:rPr>
          <w:rFonts w:hint="cs"/>
          <w:rtl/>
        </w:rPr>
        <w:t xml:space="preserve"> לשילובם בטיפול בין כותלי בית הסוהר ולאחר שחרורם.</w:t>
      </w:r>
    </w:p>
    <w:p w14:paraId="60F482A8" w14:textId="77777777" w:rsidR="00817399" w:rsidRPr="002F2BC5" w:rsidRDefault="00817399" w:rsidP="00817399">
      <w:pPr>
        <w:spacing w:line="269" w:lineRule="auto"/>
        <w:rPr>
          <w:rtl/>
        </w:rPr>
      </w:pPr>
    </w:p>
    <w:p w14:paraId="1F45551A" w14:textId="77777777" w:rsidR="00817399" w:rsidRPr="002F2BC5" w:rsidRDefault="00817399" w:rsidP="00817399">
      <w:pPr>
        <w:spacing w:line="269" w:lineRule="auto"/>
        <w:rPr>
          <w:rtl/>
        </w:rPr>
      </w:pPr>
      <w:r w:rsidRPr="002F2BC5">
        <w:rPr>
          <w:rFonts w:hint="cs"/>
          <w:rtl/>
        </w:rPr>
        <w:t xml:space="preserve">משרד המשפטים מסר בתשובתו לביקורת הקודמת מפברואר 2021 כי פעל בשיתוף יתר גופי הממשלה להרחבה ולהתאמת תוכניות השיקום לצורכיהם של האסירים המשוחררים כדי להגדיל את שיעורם של האסירים המשוחררים המופנים לאפיק שיקומי. הרשות לשיקום האסיר מסרה בתשובתה מפברואר 2021 כי פיתחה מודל לרתימת אסירים משוחררים, שריצו מאסר בגין עבירות </w:t>
      </w:r>
      <w:r w:rsidRPr="002F2BC5">
        <w:rPr>
          <w:rFonts w:hint="cs"/>
          <w:rtl/>
        </w:rPr>
        <w:lastRenderedPageBreak/>
        <w:t xml:space="preserve">אלימות במשפחה, לתוכניות שיקום בקהילה שלא בפיקוח וכן גיבשה סל סיוע שעניינו מתן מענה לצרכים התעסוקתיים, הכלכליים והמשפחתיים של האסירים הללו. </w:t>
      </w:r>
    </w:p>
    <w:p w14:paraId="41DE99C4" w14:textId="77777777" w:rsidR="00817399" w:rsidRPr="002F2BC5" w:rsidRDefault="00817399" w:rsidP="00817399">
      <w:pPr>
        <w:spacing w:line="269" w:lineRule="auto"/>
        <w:rPr>
          <w:rtl/>
        </w:rPr>
      </w:pPr>
    </w:p>
    <w:p w14:paraId="13BDCD72" w14:textId="77777777" w:rsidR="00817399" w:rsidRPr="002F2BC5" w:rsidRDefault="00817399" w:rsidP="00817399">
      <w:pPr>
        <w:spacing w:line="269" w:lineRule="auto"/>
        <w:rPr>
          <w:rtl/>
        </w:rPr>
      </w:pPr>
      <w:bookmarkStart w:id="2439" w:name="_Toc191987223"/>
      <w:r w:rsidRPr="002F2BC5">
        <w:rPr>
          <w:rStyle w:val="70"/>
          <w:rFonts w:hint="cs"/>
          <w:rtl/>
        </w:rPr>
        <w:t>ביקורת המעקב:</w:t>
      </w:r>
      <w:bookmarkEnd w:id="2439"/>
      <w:r w:rsidRPr="002F2BC5">
        <w:rPr>
          <w:rStyle w:val="70"/>
          <w:rFonts w:hint="cs"/>
          <w:rtl/>
        </w:rPr>
        <w:t xml:space="preserve"> </w:t>
      </w:r>
      <w:r w:rsidRPr="002F2BC5">
        <w:rPr>
          <w:rFonts w:hint="cs"/>
          <w:rtl/>
        </w:rPr>
        <w:t>נמצא כי שיעורם של האסירים שריצו מאסר בגין עבירות אלימות במשפחה והשתלבו בתוכניות שיקום בקהילה, בפיקוח או שלא בפיקוח, נותר נמוך (פחות מכ-10% מכלל האסירים הללו). נוסף על כך, במסגרת תיקון לפקודת בתי הסוהר שהתקבל בשנת 2021 (</w:t>
      </w:r>
      <w:bookmarkStart w:id="2440" w:name="_Hlk202343592"/>
      <w:r w:rsidRPr="002F2BC5">
        <w:rPr>
          <w:rFonts w:hint="cs"/>
          <w:rtl/>
        </w:rPr>
        <w:t>להלן גם - תיקון 57 לפקודת בתי הסוהר</w:t>
      </w:r>
      <w:bookmarkEnd w:id="2440"/>
      <w:r w:rsidRPr="002F2BC5">
        <w:rPr>
          <w:rFonts w:hint="cs"/>
          <w:rtl/>
        </w:rPr>
        <w:t>) נקבע הסדר מיוחד, המאפשר להביא בחשבון במנגנון השחרור המינהלי את רמת מסוכנותם של האסירים. בתוך כך נקבעו יתרות מאסר מרביות ארוכות יותר לאסירים המרצים מאסר בגין עבירות שרמת המסוכנות בהן גבוהה, ובכללן עבירות אלימות במשפחה, כתנאי לשחרורם בשחרור מינהלי</w:t>
      </w:r>
      <w:r w:rsidRPr="002F2BC5">
        <w:rPr>
          <w:rStyle w:val="af9"/>
          <w:rtl/>
        </w:rPr>
        <w:footnoteReference w:id="487"/>
      </w:r>
      <w:r w:rsidRPr="002F2BC5">
        <w:rPr>
          <w:rFonts w:hint="cs"/>
          <w:rtl/>
        </w:rPr>
        <w:t xml:space="preserve">. זאת בד בבד עם הרחבתו של מנגנון השחרור המינהלי הכללי וקיצור יתרות המאסר המרביות ביתר העבירות. </w:t>
      </w:r>
      <w:r w:rsidRPr="002F2BC5">
        <w:rPr>
          <w:rFonts w:hint="eastAsia"/>
          <w:rtl/>
        </w:rPr>
        <w:t>כחלק</w:t>
      </w:r>
      <w:r w:rsidRPr="002F2BC5">
        <w:rPr>
          <w:rtl/>
        </w:rPr>
        <w:t xml:space="preserve"> </w:t>
      </w:r>
      <w:r w:rsidRPr="002F2BC5">
        <w:rPr>
          <w:rFonts w:hint="eastAsia"/>
          <w:rtl/>
        </w:rPr>
        <w:t>מהרחבתו</w:t>
      </w:r>
      <w:r w:rsidRPr="002F2BC5">
        <w:rPr>
          <w:rtl/>
        </w:rPr>
        <w:t xml:space="preserve"> </w:t>
      </w:r>
      <w:r w:rsidRPr="002F2BC5">
        <w:rPr>
          <w:rFonts w:hint="eastAsia"/>
          <w:rtl/>
        </w:rPr>
        <w:t>של</w:t>
      </w:r>
      <w:r w:rsidRPr="002F2BC5">
        <w:rPr>
          <w:rtl/>
        </w:rPr>
        <w:t xml:space="preserve"> </w:t>
      </w:r>
      <w:r w:rsidRPr="002F2BC5">
        <w:rPr>
          <w:rFonts w:hint="eastAsia"/>
          <w:rtl/>
        </w:rPr>
        <w:t>מנגנון</w:t>
      </w:r>
      <w:r w:rsidRPr="002F2BC5">
        <w:rPr>
          <w:rtl/>
        </w:rPr>
        <w:t xml:space="preserve"> </w:t>
      </w:r>
      <w:r w:rsidRPr="002F2BC5">
        <w:rPr>
          <w:rFonts w:hint="eastAsia"/>
          <w:rtl/>
        </w:rPr>
        <w:t>השחרור</w:t>
      </w:r>
      <w:r w:rsidRPr="002F2BC5">
        <w:rPr>
          <w:rtl/>
        </w:rPr>
        <w:t xml:space="preserve"> </w:t>
      </w:r>
      <w:r w:rsidRPr="002F2BC5">
        <w:rPr>
          <w:rFonts w:hint="eastAsia"/>
          <w:rtl/>
        </w:rPr>
        <w:t>המינהלי</w:t>
      </w:r>
      <w:r w:rsidRPr="002F2BC5">
        <w:rPr>
          <w:rtl/>
        </w:rPr>
        <w:t xml:space="preserve"> </w:t>
      </w:r>
      <w:r w:rsidRPr="002F2BC5">
        <w:rPr>
          <w:rFonts w:hint="eastAsia"/>
          <w:rtl/>
        </w:rPr>
        <w:t>אף</w:t>
      </w:r>
      <w:r w:rsidRPr="002F2BC5">
        <w:rPr>
          <w:rtl/>
        </w:rPr>
        <w:t xml:space="preserve"> </w:t>
      </w:r>
      <w:r w:rsidRPr="002F2BC5">
        <w:rPr>
          <w:rFonts w:hint="eastAsia"/>
          <w:rtl/>
        </w:rPr>
        <w:t>נקבעו</w:t>
      </w:r>
      <w:r w:rsidRPr="002F2BC5">
        <w:rPr>
          <w:rtl/>
        </w:rPr>
        <w:t xml:space="preserve"> </w:t>
      </w:r>
      <w:r w:rsidRPr="002F2BC5">
        <w:rPr>
          <w:rFonts w:hint="eastAsia"/>
          <w:rtl/>
        </w:rPr>
        <w:t>יתרות</w:t>
      </w:r>
      <w:r w:rsidRPr="002F2BC5">
        <w:rPr>
          <w:rtl/>
        </w:rPr>
        <w:t xml:space="preserve"> </w:t>
      </w:r>
      <w:r w:rsidRPr="002F2BC5">
        <w:rPr>
          <w:rFonts w:hint="eastAsia"/>
          <w:rtl/>
        </w:rPr>
        <w:t>מאסר</w:t>
      </w:r>
      <w:r w:rsidRPr="002F2BC5">
        <w:rPr>
          <w:rtl/>
        </w:rPr>
        <w:t xml:space="preserve"> </w:t>
      </w:r>
      <w:r w:rsidRPr="002F2BC5">
        <w:rPr>
          <w:rFonts w:hint="eastAsia"/>
          <w:rtl/>
        </w:rPr>
        <w:t>ארוכות</w:t>
      </w:r>
      <w:r w:rsidRPr="002F2BC5">
        <w:rPr>
          <w:rtl/>
        </w:rPr>
        <w:t xml:space="preserve"> </w:t>
      </w:r>
      <w:r w:rsidRPr="002F2BC5">
        <w:rPr>
          <w:rFonts w:hint="eastAsia"/>
          <w:rtl/>
        </w:rPr>
        <w:t>יותר</w:t>
      </w:r>
      <w:r w:rsidRPr="002F2BC5">
        <w:rPr>
          <w:rtl/>
        </w:rPr>
        <w:t xml:space="preserve"> </w:t>
      </w:r>
      <w:r w:rsidRPr="002F2BC5">
        <w:rPr>
          <w:rFonts w:hint="eastAsia"/>
          <w:rtl/>
        </w:rPr>
        <w:t>לגבי</w:t>
      </w:r>
      <w:r w:rsidRPr="002F2BC5">
        <w:rPr>
          <w:rtl/>
        </w:rPr>
        <w:t xml:space="preserve"> </w:t>
      </w:r>
      <w:r w:rsidRPr="002F2BC5">
        <w:rPr>
          <w:rFonts w:hint="eastAsia"/>
          <w:rtl/>
        </w:rPr>
        <w:t>אסירים</w:t>
      </w:r>
      <w:r w:rsidRPr="002F2BC5">
        <w:rPr>
          <w:rtl/>
        </w:rPr>
        <w:t xml:space="preserve"> </w:t>
      </w:r>
      <w:r w:rsidRPr="002F2BC5">
        <w:rPr>
          <w:rFonts w:hint="eastAsia"/>
          <w:rtl/>
        </w:rPr>
        <w:t>שהוחלט</w:t>
      </w:r>
      <w:r w:rsidRPr="002F2BC5">
        <w:rPr>
          <w:rtl/>
        </w:rPr>
        <w:t xml:space="preserve"> </w:t>
      </w:r>
      <w:r w:rsidRPr="002F2BC5">
        <w:rPr>
          <w:rFonts w:hint="eastAsia"/>
          <w:rtl/>
        </w:rPr>
        <w:t>לשחררם</w:t>
      </w:r>
      <w:r w:rsidRPr="002F2BC5">
        <w:rPr>
          <w:rtl/>
        </w:rPr>
        <w:t xml:space="preserve"> </w:t>
      </w:r>
      <w:r w:rsidRPr="002F2BC5">
        <w:rPr>
          <w:rFonts w:hint="eastAsia"/>
          <w:rtl/>
        </w:rPr>
        <w:t>על</w:t>
      </w:r>
      <w:r w:rsidRPr="002F2BC5">
        <w:rPr>
          <w:rtl/>
        </w:rPr>
        <w:t xml:space="preserve"> </w:t>
      </w:r>
      <w:r w:rsidRPr="002F2BC5">
        <w:rPr>
          <w:rFonts w:hint="eastAsia"/>
          <w:rtl/>
        </w:rPr>
        <w:t>תנאי</w:t>
      </w:r>
      <w:r w:rsidRPr="002F2BC5">
        <w:rPr>
          <w:rtl/>
        </w:rPr>
        <w:t xml:space="preserve">, </w:t>
      </w:r>
      <w:r w:rsidRPr="002F2BC5">
        <w:rPr>
          <w:rFonts w:hint="eastAsia"/>
          <w:rtl/>
        </w:rPr>
        <w:t>וזאת</w:t>
      </w:r>
      <w:r w:rsidRPr="002F2BC5">
        <w:rPr>
          <w:rtl/>
        </w:rPr>
        <w:t xml:space="preserve"> </w:t>
      </w:r>
      <w:r w:rsidRPr="002F2BC5">
        <w:rPr>
          <w:rFonts w:hint="eastAsia"/>
          <w:rtl/>
        </w:rPr>
        <w:t>ללא</w:t>
      </w:r>
      <w:r w:rsidRPr="002F2BC5">
        <w:rPr>
          <w:rtl/>
        </w:rPr>
        <w:t xml:space="preserve"> </w:t>
      </w:r>
      <w:r w:rsidRPr="002F2BC5">
        <w:rPr>
          <w:rFonts w:hint="eastAsia"/>
          <w:rtl/>
        </w:rPr>
        <w:t>קשר</w:t>
      </w:r>
      <w:r w:rsidRPr="002F2BC5">
        <w:rPr>
          <w:rtl/>
        </w:rPr>
        <w:t xml:space="preserve"> </w:t>
      </w:r>
      <w:r w:rsidRPr="002F2BC5">
        <w:rPr>
          <w:rFonts w:hint="eastAsia"/>
          <w:rtl/>
        </w:rPr>
        <w:t>לרמת</w:t>
      </w:r>
      <w:r w:rsidRPr="002F2BC5">
        <w:rPr>
          <w:rtl/>
        </w:rPr>
        <w:t xml:space="preserve"> </w:t>
      </w:r>
      <w:r w:rsidRPr="002F2BC5">
        <w:rPr>
          <w:rFonts w:hint="eastAsia"/>
          <w:rtl/>
        </w:rPr>
        <w:t>מסוכנותם</w:t>
      </w:r>
      <w:r w:rsidRPr="002F2BC5">
        <w:rPr>
          <w:rtl/>
        </w:rPr>
        <w:t xml:space="preserve">, במטרה להגביר את המוטיבציה של </w:t>
      </w:r>
      <w:r w:rsidRPr="002F2BC5">
        <w:rPr>
          <w:rFonts w:hint="eastAsia"/>
          <w:rtl/>
        </w:rPr>
        <w:t>האסירים</w:t>
      </w:r>
      <w:r w:rsidRPr="002F2BC5">
        <w:rPr>
          <w:rtl/>
        </w:rPr>
        <w:t xml:space="preserve"> </w:t>
      </w:r>
      <w:r w:rsidRPr="002F2BC5">
        <w:rPr>
          <w:rFonts w:hint="eastAsia"/>
          <w:rtl/>
        </w:rPr>
        <w:t>הללו</w:t>
      </w:r>
      <w:r w:rsidRPr="002F2BC5">
        <w:rPr>
          <w:rtl/>
        </w:rPr>
        <w:t xml:space="preserve"> </w:t>
      </w:r>
      <w:r w:rsidRPr="002F2BC5">
        <w:rPr>
          <w:rFonts w:hint="eastAsia"/>
          <w:rtl/>
        </w:rPr>
        <w:t>להשתלב</w:t>
      </w:r>
      <w:r w:rsidRPr="002F2BC5">
        <w:rPr>
          <w:rtl/>
        </w:rPr>
        <w:t xml:space="preserve"> </w:t>
      </w:r>
      <w:r w:rsidRPr="002F2BC5">
        <w:rPr>
          <w:rFonts w:hint="eastAsia"/>
          <w:rtl/>
        </w:rPr>
        <w:t>במהלך</w:t>
      </w:r>
      <w:r w:rsidRPr="002F2BC5">
        <w:rPr>
          <w:rtl/>
        </w:rPr>
        <w:t xml:space="preserve"> מאסרם </w:t>
      </w:r>
      <w:r w:rsidRPr="002F2BC5">
        <w:rPr>
          <w:rFonts w:hint="eastAsia"/>
          <w:rtl/>
        </w:rPr>
        <w:t>בהליך</w:t>
      </w:r>
      <w:r w:rsidRPr="002F2BC5">
        <w:rPr>
          <w:rtl/>
        </w:rPr>
        <w:t xml:space="preserve"> </w:t>
      </w:r>
      <w:r w:rsidRPr="002F2BC5">
        <w:rPr>
          <w:rFonts w:hint="eastAsia"/>
          <w:rtl/>
        </w:rPr>
        <w:t>טיפולי</w:t>
      </w:r>
      <w:r w:rsidRPr="002F2BC5">
        <w:rPr>
          <w:rtl/>
        </w:rPr>
        <w:t xml:space="preserve">-שיקומי </w:t>
      </w:r>
      <w:r w:rsidRPr="002F2BC5">
        <w:rPr>
          <w:rFonts w:hint="eastAsia"/>
          <w:rtl/>
        </w:rPr>
        <w:t>משמעותי</w:t>
      </w:r>
      <w:r w:rsidRPr="002F2BC5">
        <w:rPr>
          <w:rtl/>
        </w:rPr>
        <w:t xml:space="preserve">, </w:t>
      </w:r>
      <w:r w:rsidRPr="002F2BC5">
        <w:rPr>
          <w:rFonts w:hint="eastAsia"/>
          <w:rtl/>
        </w:rPr>
        <w:t>וכך</w:t>
      </w:r>
      <w:r w:rsidRPr="002F2BC5">
        <w:rPr>
          <w:rtl/>
        </w:rPr>
        <w:t xml:space="preserve"> </w:t>
      </w:r>
      <w:r w:rsidRPr="002F2BC5">
        <w:rPr>
          <w:rFonts w:hint="eastAsia"/>
          <w:rtl/>
        </w:rPr>
        <w:t>לקדם</w:t>
      </w:r>
      <w:r w:rsidRPr="002F2BC5">
        <w:rPr>
          <w:rtl/>
        </w:rPr>
        <w:t xml:space="preserve"> </w:t>
      </w:r>
      <w:r w:rsidRPr="002F2BC5">
        <w:rPr>
          <w:rFonts w:hint="eastAsia"/>
          <w:rtl/>
        </w:rPr>
        <w:t>את</w:t>
      </w:r>
      <w:r w:rsidRPr="002F2BC5">
        <w:rPr>
          <w:rtl/>
        </w:rPr>
        <w:t xml:space="preserve"> </w:t>
      </w:r>
      <w:r w:rsidRPr="002F2BC5">
        <w:rPr>
          <w:rFonts w:hint="eastAsia"/>
          <w:rtl/>
        </w:rPr>
        <w:t>הסיכוי</w:t>
      </w:r>
      <w:r w:rsidRPr="002F2BC5">
        <w:rPr>
          <w:rtl/>
        </w:rPr>
        <w:t xml:space="preserve"> </w:t>
      </w:r>
      <w:r w:rsidRPr="002F2BC5">
        <w:rPr>
          <w:rFonts w:hint="eastAsia"/>
          <w:rtl/>
        </w:rPr>
        <w:t>כי</w:t>
      </w:r>
      <w:r w:rsidRPr="002F2BC5">
        <w:rPr>
          <w:rtl/>
        </w:rPr>
        <w:t xml:space="preserve"> </w:t>
      </w:r>
      <w:r w:rsidRPr="002F2BC5">
        <w:rPr>
          <w:rFonts w:hint="eastAsia"/>
          <w:rtl/>
        </w:rPr>
        <w:t>אכן</w:t>
      </w:r>
      <w:r w:rsidRPr="002F2BC5">
        <w:rPr>
          <w:rtl/>
        </w:rPr>
        <w:t xml:space="preserve"> </w:t>
      </w:r>
      <w:r w:rsidRPr="002F2BC5">
        <w:rPr>
          <w:rFonts w:hint="eastAsia"/>
          <w:rtl/>
        </w:rPr>
        <w:t>ישוחררו</w:t>
      </w:r>
      <w:r w:rsidRPr="002F2BC5">
        <w:rPr>
          <w:rtl/>
        </w:rPr>
        <w:t xml:space="preserve"> </w:t>
      </w:r>
      <w:r w:rsidRPr="002F2BC5">
        <w:rPr>
          <w:rFonts w:hint="eastAsia"/>
          <w:rtl/>
        </w:rPr>
        <w:t>בשחרור</w:t>
      </w:r>
      <w:r w:rsidRPr="002F2BC5">
        <w:rPr>
          <w:rtl/>
        </w:rPr>
        <w:t xml:space="preserve"> </w:t>
      </w:r>
      <w:r w:rsidRPr="002F2BC5">
        <w:rPr>
          <w:rFonts w:hint="eastAsia"/>
          <w:rtl/>
        </w:rPr>
        <w:t>על</w:t>
      </w:r>
      <w:r w:rsidRPr="002F2BC5">
        <w:rPr>
          <w:rtl/>
        </w:rPr>
        <w:t xml:space="preserve"> </w:t>
      </w:r>
      <w:r w:rsidRPr="002F2BC5">
        <w:rPr>
          <w:rFonts w:hint="eastAsia"/>
          <w:rtl/>
        </w:rPr>
        <w:t>תנאי</w:t>
      </w:r>
      <w:r w:rsidRPr="002F2BC5">
        <w:rPr>
          <w:rStyle w:val="af9"/>
          <w:rtl/>
        </w:rPr>
        <w:footnoteReference w:id="488"/>
      </w:r>
      <w:r w:rsidRPr="002F2BC5">
        <w:rPr>
          <w:rtl/>
        </w:rPr>
        <w:t>.</w:t>
      </w:r>
      <w:r w:rsidRPr="002F2BC5">
        <w:rPr>
          <w:rFonts w:hint="cs"/>
          <w:rtl/>
        </w:rPr>
        <w:t xml:space="preserve"> עם זאת, לא נכללה בתיקון 57 לפקודת בתי הסוהר, כמו גם בתיקוני חקיקה מאוחרים יותר, התייחסות להתניית השחרור המינהלי בהשתלבות בתוכניות שיקום בפיקוח בקהילה.</w:t>
      </w:r>
    </w:p>
    <w:p w14:paraId="737F4EB3" w14:textId="77777777" w:rsidR="00817399" w:rsidRPr="002F2BC5" w:rsidRDefault="00817399" w:rsidP="00817399">
      <w:pPr>
        <w:spacing w:line="269" w:lineRule="auto"/>
        <w:rPr>
          <w:rtl/>
        </w:rPr>
      </w:pPr>
    </w:p>
    <w:p w14:paraId="75FB2362" w14:textId="77777777" w:rsidR="00817399" w:rsidRPr="002F2BC5" w:rsidRDefault="00817399" w:rsidP="00817399">
      <w:pPr>
        <w:spacing w:line="269" w:lineRule="auto"/>
        <w:rPr>
          <w:b/>
          <w:bCs/>
          <w:rtl/>
        </w:rPr>
      </w:pPr>
      <w:r w:rsidRPr="002F2BC5">
        <w:rPr>
          <w:rFonts w:hint="eastAsia"/>
          <w:b/>
          <w:bCs/>
          <w:rtl/>
        </w:rPr>
        <w:t>במצב</w:t>
      </w:r>
      <w:r w:rsidRPr="002F2BC5">
        <w:rPr>
          <w:b/>
          <w:bCs/>
          <w:rtl/>
        </w:rPr>
        <w:t xml:space="preserve"> </w:t>
      </w:r>
      <w:r w:rsidRPr="002F2BC5">
        <w:rPr>
          <w:rFonts w:hint="eastAsia"/>
          <w:b/>
          <w:bCs/>
          <w:rtl/>
        </w:rPr>
        <w:t>שבו</w:t>
      </w:r>
      <w:r w:rsidRPr="002F2BC5">
        <w:rPr>
          <w:b/>
          <w:bCs/>
          <w:rtl/>
        </w:rPr>
        <w:t xml:space="preserve"> </w:t>
      </w:r>
      <w:r w:rsidRPr="002F2BC5">
        <w:rPr>
          <w:rFonts w:hint="eastAsia"/>
          <w:b/>
          <w:bCs/>
          <w:rtl/>
        </w:rPr>
        <w:t>הפוגע</w:t>
      </w:r>
      <w:r w:rsidRPr="002F2BC5">
        <w:rPr>
          <w:b/>
          <w:bCs/>
          <w:rtl/>
        </w:rPr>
        <w:t xml:space="preserve"> </w:t>
      </w:r>
      <w:r w:rsidRPr="002F2BC5">
        <w:rPr>
          <w:rFonts w:hint="eastAsia"/>
          <w:b/>
          <w:bCs/>
          <w:rtl/>
        </w:rPr>
        <w:t>ריצה</w:t>
      </w:r>
      <w:r w:rsidRPr="002F2BC5">
        <w:rPr>
          <w:b/>
          <w:bCs/>
          <w:rtl/>
        </w:rPr>
        <w:t xml:space="preserve"> </w:t>
      </w:r>
      <w:r w:rsidRPr="002F2BC5">
        <w:rPr>
          <w:rFonts w:hint="eastAsia"/>
          <w:b/>
          <w:bCs/>
          <w:rtl/>
        </w:rPr>
        <w:t>מאסר</w:t>
      </w:r>
      <w:r w:rsidRPr="002F2BC5">
        <w:rPr>
          <w:b/>
          <w:bCs/>
          <w:rtl/>
        </w:rPr>
        <w:t xml:space="preserve"> </w:t>
      </w:r>
      <w:r w:rsidRPr="002F2BC5">
        <w:rPr>
          <w:rFonts w:hint="eastAsia"/>
          <w:b/>
          <w:bCs/>
          <w:rtl/>
        </w:rPr>
        <w:t>בגין</w:t>
      </w:r>
      <w:r w:rsidRPr="002F2BC5">
        <w:rPr>
          <w:b/>
          <w:bCs/>
          <w:rtl/>
        </w:rPr>
        <w:t xml:space="preserve"> </w:t>
      </w:r>
      <w:r w:rsidRPr="002F2BC5">
        <w:rPr>
          <w:rFonts w:hint="eastAsia"/>
          <w:b/>
          <w:bCs/>
          <w:rtl/>
        </w:rPr>
        <w:t>עבירת</w:t>
      </w:r>
      <w:r w:rsidRPr="002F2BC5">
        <w:rPr>
          <w:b/>
          <w:bCs/>
          <w:rtl/>
        </w:rPr>
        <w:t xml:space="preserve"> </w:t>
      </w:r>
      <w:r w:rsidRPr="002F2BC5">
        <w:rPr>
          <w:rFonts w:hint="eastAsia"/>
          <w:b/>
          <w:bCs/>
          <w:rtl/>
        </w:rPr>
        <w:t>אלימות</w:t>
      </w:r>
      <w:r w:rsidRPr="002F2BC5">
        <w:rPr>
          <w:b/>
          <w:bCs/>
          <w:rtl/>
        </w:rPr>
        <w:t xml:space="preserve"> </w:t>
      </w:r>
      <w:r w:rsidRPr="002F2BC5">
        <w:rPr>
          <w:rFonts w:hint="eastAsia"/>
          <w:b/>
          <w:bCs/>
          <w:rtl/>
        </w:rPr>
        <w:t>במשפחה</w:t>
      </w:r>
      <w:r w:rsidRPr="002F2BC5">
        <w:rPr>
          <w:b/>
          <w:bCs/>
          <w:rtl/>
        </w:rPr>
        <w:t xml:space="preserve">, כל שכן </w:t>
      </w:r>
      <w:r w:rsidRPr="002F2BC5">
        <w:rPr>
          <w:rFonts w:hint="eastAsia"/>
          <w:b/>
          <w:bCs/>
          <w:rtl/>
        </w:rPr>
        <w:t>אם</w:t>
      </w:r>
      <w:r w:rsidRPr="002F2BC5">
        <w:rPr>
          <w:b/>
          <w:bCs/>
          <w:rtl/>
        </w:rPr>
        <w:t xml:space="preserve"> </w:t>
      </w:r>
      <w:r w:rsidRPr="002F2BC5">
        <w:rPr>
          <w:rFonts w:hint="eastAsia"/>
          <w:b/>
          <w:bCs/>
          <w:rtl/>
        </w:rPr>
        <w:t>היה</w:t>
      </w:r>
      <w:r w:rsidRPr="002F2BC5">
        <w:rPr>
          <w:b/>
          <w:bCs/>
          <w:rtl/>
        </w:rPr>
        <w:t xml:space="preserve"> </w:t>
      </w:r>
      <w:r w:rsidRPr="002F2BC5">
        <w:rPr>
          <w:rFonts w:hint="eastAsia"/>
          <w:b/>
          <w:bCs/>
          <w:rtl/>
        </w:rPr>
        <w:t>כלוא</w:t>
      </w:r>
      <w:r w:rsidRPr="002F2BC5">
        <w:rPr>
          <w:b/>
          <w:bCs/>
          <w:rtl/>
        </w:rPr>
        <w:t xml:space="preserve"> </w:t>
      </w:r>
      <w:r w:rsidRPr="002F2BC5">
        <w:rPr>
          <w:rFonts w:hint="eastAsia"/>
          <w:b/>
          <w:bCs/>
          <w:rtl/>
        </w:rPr>
        <w:t>זמן</w:t>
      </w:r>
      <w:r w:rsidRPr="002F2BC5">
        <w:rPr>
          <w:b/>
          <w:bCs/>
          <w:rtl/>
        </w:rPr>
        <w:t xml:space="preserve"> </w:t>
      </w:r>
      <w:r w:rsidRPr="002F2BC5">
        <w:rPr>
          <w:rFonts w:hint="eastAsia"/>
          <w:b/>
          <w:bCs/>
          <w:rtl/>
        </w:rPr>
        <w:t>ממושך</w:t>
      </w:r>
      <w:r w:rsidRPr="002F2BC5">
        <w:rPr>
          <w:b/>
          <w:bCs/>
          <w:rtl/>
        </w:rPr>
        <w:t xml:space="preserve"> </w:t>
      </w:r>
      <w:r w:rsidRPr="002F2BC5">
        <w:rPr>
          <w:rFonts w:hint="eastAsia"/>
          <w:b/>
          <w:bCs/>
          <w:rtl/>
        </w:rPr>
        <w:t>בשל</w:t>
      </w:r>
      <w:r w:rsidRPr="002F2BC5">
        <w:rPr>
          <w:b/>
          <w:bCs/>
          <w:rtl/>
        </w:rPr>
        <w:t xml:space="preserve"> </w:t>
      </w:r>
      <w:r w:rsidRPr="002F2BC5">
        <w:rPr>
          <w:rFonts w:hint="eastAsia"/>
          <w:b/>
          <w:bCs/>
          <w:rtl/>
        </w:rPr>
        <w:t>כך</w:t>
      </w:r>
      <w:r w:rsidRPr="002F2BC5">
        <w:rPr>
          <w:b/>
          <w:bCs/>
          <w:rtl/>
        </w:rPr>
        <w:t xml:space="preserve">, </w:t>
      </w:r>
      <w:r w:rsidRPr="002F2BC5">
        <w:rPr>
          <w:rFonts w:hint="eastAsia"/>
          <w:b/>
          <w:bCs/>
          <w:rtl/>
        </w:rPr>
        <w:t>חיוני</w:t>
      </w:r>
      <w:r w:rsidRPr="002F2BC5">
        <w:rPr>
          <w:b/>
          <w:bCs/>
          <w:rtl/>
        </w:rPr>
        <w:t xml:space="preserve"> </w:t>
      </w:r>
      <w:r w:rsidRPr="002F2BC5">
        <w:rPr>
          <w:rFonts w:hint="eastAsia"/>
          <w:b/>
          <w:bCs/>
          <w:rtl/>
        </w:rPr>
        <w:t>כי</w:t>
      </w:r>
      <w:r w:rsidRPr="002F2BC5">
        <w:rPr>
          <w:b/>
          <w:bCs/>
          <w:rtl/>
        </w:rPr>
        <w:t xml:space="preserve"> </w:t>
      </w:r>
      <w:r w:rsidRPr="002F2BC5">
        <w:rPr>
          <w:rFonts w:hint="eastAsia"/>
          <w:b/>
          <w:bCs/>
          <w:rtl/>
        </w:rPr>
        <w:t>חזרתו</w:t>
      </w:r>
      <w:r w:rsidRPr="002F2BC5">
        <w:rPr>
          <w:b/>
          <w:bCs/>
          <w:rtl/>
        </w:rPr>
        <w:t xml:space="preserve"> </w:t>
      </w:r>
      <w:r w:rsidRPr="002F2BC5">
        <w:rPr>
          <w:rFonts w:hint="eastAsia"/>
          <w:b/>
          <w:bCs/>
          <w:rtl/>
        </w:rPr>
        <w:t>לחברה</w:t>
      </w:r>
      <w:r w:rsidRPr="002F2BC5">
        <w:rPr>
          <w:b/>
          <w:bCs/>
          <w:rtl/>
        </w:rPr>
        <w:t xml:space="preserve"> </w:t>
      </w:r>
      <w:r w:rsidRPr="002F2BC5">
        <w:rPr>
          <w:rFonts w:hint="eastAsia"/>
          <w:b/>
          <w:bCs/>
          <w:rtl/>
        </w:rPr>
        <w:t>ולחיים</w:t>
      </w:r>
      <w:r w:rsidRPr="002F2BC5">
        <w:rPr>
          <w:b/>
          <w:bCs/>
          <w:rtl/>
        </w:rPr>
        <w:t xml:space="preserve"> </w:t>
      </w:r>
      <w:r w:rsidRPr="002F2BC5">
        <w:rPr>
          <w:rFonts w:hint="eastAsia"/>
          <w:b/>
          <w:bCs/>
          <w:rtl/>
        </w:rPr>
        <w:t>הציבוריים</w:t>
      </w:r>
      <w:r w:rsidRPr="002F2BC5">
        <w:rPr>
          <w:b/>
          <w:bCs/>
          <w:rtl/>
        </w:rPr>
        <w:t xml:space="preserve"> </w:t>
      </w:r>
      <w:r w:rsidRPr="002F2BC5">
        <w:rPr>
          <w:rFonts w:hint="eastAsia"/>
          <w:b/>
          <w:bCs/>
          <w:rtl/>
        </w:rPr>
        <w:t>תיעשה</w:t>
      </w:r>
      <w:r w:rsidRPr="002F2BC5">
        <w:rPr>
          <w:b/>
          <w:bCs/>
          <w:rtl/>
        </w:rPr>
        <w:t xml:space="preserve"> </w:t>
      </w:r>
      <w:r w:rsidRPr="002F2BC5">
        <w:rPr>
          <w:rFonts w:hint="eastAsia"/>
          <w:b/>
          <w:bCs/>
          <w:rtl/>
        </w:rPr>
        <w:t>באופן</w:t>
      </w:r>
      <w:r w:rsidRPr="002F2BC5">
        <w:rPr>
          <w:b/>
          <w:bCs/>
          <w:rtl/>
        </w:rPr>
        <w:t xml:space="preserve"> </w:t>
      </w:r>
      <w:r w:rsidRPr="002F2BC5">
        <w:rPr>
          <w:rFonts w:hint="eastAsia"/>
          <w:b/>
          <w:bCs/>
          <w:rtl/>
        </w:rPr>
        <w:t>מדורג</w:t>
      </w:r>
      <w:r w:rsidRPr="002F2BC5">
        <w:rPr>
          <w:b/>
          <w:bCs/>
          <w:rtl/>
        </w:rPr>
        <w:t xml:space="preserve">, </w:t>
      </w:r>
      <w:r w:rsidRPr="002F2BC5">
        <w:rPr>
          <w:rFonts w:hint="eastAsia"/>
          <w:b/>
          <w:bCs/>
          <w:rtl/>
        </w:rPr>
        <w:t>תוך</w:t>
      </w:r>
      <w:r w:rsidRPr="002F2BC5">
        <w:rPr>
          <w:b/>
          <w:bCs/>
          <w:rtl/>
        </w:rPr>
        <w:t xml:space="preserve"> </w:t>
      </w:r>
      <w:r w:rsidRPr="002F2BC5">
        <w:rPr>
          <w:rFonts w:hint="eastAsia"/>
          <w:b/>
          <w:bCs/>
          <w:rtl/>
        </w:rPr>
        <w:t>פיקוח</w:t>
      </w:r>
      <w:r w:rsidRPr="002F2BC5">
        <w:rPr>
          <w:b/>
          <w:bCs/>
          <w:rtl/>
        </w:rPr>
        <w:t xml:space="preserve"> </w:t>
      </w:r>
      <w:r w:rsidRPr="002F2BC5">
        <w:rPr>
          <w:rFonts w:hint="eastAsia"/>
          <w:b/>
          <w:bCs/>
          <w:rtl/>
        </w:rPr>
        <w:t>ועם</w:t>
      </w:r>
      <w:r w:rsidRPr="002F2BC5">
        <w:rPr>
          <w:b/>
          <w:bCs/>
          <w:rtl/>
        </w:rPr>
        <w:t xml:space="preserve"> </w:t>
      </w:r>
      <w:r w:rsidRPr="002F2BC5">
        <w:rPr>
          <w:rFonts w:hint="eastAsia"/>
          <w:b/>
          <w:bCs/>
          <w:rtl/>
        </w:rPr>
        <w:t>כלים</w:t>
      </w:r>
      <w:r w:rsidRPr="002F2BC5">
        <w:rPr>
          <w:b/>
          <w:bCs/>
          <w:rtl/>
        </w:rPr>
        <w:t xml:space="preserve"> </w:t>
      </w:r>
      <w:r w:rsidRPr="002F2BC5">
        <w:rPr>
          <w:rFonts w:hint="eastAsia"/>
          <w:b/>
          <w:bCs/>
          <w:rtl/>
        </w:rPr>
        <w:t>טיפוליים</w:t>
      </w:r>
      <w:r w:rsidRPr="002F2BC5">
        <w:rPr>
          <w:b/>
          <w:bCs/>
          <w:rtl/>
        </w:rPr>
        <w:t xml:space="preserve"> </w:t>
      </w:r>
      <w:r w:rsidRPr="002F2BC5">
        <w:rPr>
          <w:rFonts w:hint="eastAsia"/>
          <w:b/>
          <w:bCs/>
          <w:rtl/>
        </w:rPr>
        <w:t>והצבת</w:t>
      </w:r>
      <w:r w:rsidRPr="002F2BC5">
        <w:rPr>
          <w:b/>
          <w:bCs/>
          <w:rtl/>
        </w:rPr>
        <w:t xml:space="preserve"> </w:t>
      </w:r>
      <w:r w:rsidRPr="002F2BC5">
        <w:rPr>
          <w:rFonts w:hint="eastAsia"/>
          <w:b/>
          <w:bCs/>
          <w:rtl/>
        </w:rPr>
        <w:t>מסגרת</w:t>
      </w:r>
      <w:r w:rsidRPr="002F2BC5">
        <w:rPr>
          <w:b/>
          <w:bCs/>
          <w:rtl/>
        </w:rPr>
        <w:t xml:space="preserve"> </w:t>
      </w:r>
      <w:r w:rsidRPr="002F2BC5">
        <w:rPr>
          <w:rFonts w:hint="eastAsia"/>
          <w:b/>
          <w:bCs/>
          <w:rtl/>
        </w:rPr>
        <w:t>יציבה</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שגרה</w:t>
      </w:r>
      <w:r w:rsidRPr="002F2BC5">
        <w:rPr>
          <w:rFonts w:hint="cs"/>
          <w:b/>
          <w:bCs/>
          <w:rtl/>
        </w:rPr>
        <w:t>,</w:t>
      </w:r>
      <w:r w:rsidRPr="002F2BC5">
        <w:rPr>
          <w:b/>
          <w:bCs/>
          <w:rtl/>
        </w:rPr>
        <w:t xml:space="preserve"> </w:t>
      </w:r>
      <w:r w:rsidRPr="002F2BC5">
        <w:rPr>
          <w:rFonts w:hint="eastAsia"/>
          <w:b/>
          <w:bCs/>
          <w:rtl/>
        </w:rPr>
        <w:t>שיסייעו</w:t>
      </w:r>
      <w:r w:rsidRPr="002F2BC5">
        <w:rPr>
          <w:b/>
          <w:bCs/>
          <w:rtl/>
        </w:rPr>
        <w:t xml:space="preserve"> </w:t>
      </w:r>
      <w:r w:rsidRPr="002F2BC5">
        <w:rPr>
          <w:rFonts w:hint="eastAsia"/>
          <w:b/>
          <w:bCs/>
          <w:rtl/>
        </w:rPr>
        <w:t>לו</w:t>
      </w:r>
      <w:r w:rsidRPr="002F2BC5">
        <w:rPr>
          <w:b/>
          <w:bCs/>
          <w:rtl/>
        </w:rPr>
        <w:t xml:space="preserve"> </w:t>
      </w:r>
      <w:r w:rsidRPr="002F2BC5">
        <w:rPr>
          <w:rFonts w:hint="eastAsia"/>
          <w:b/>
          <w:bCs/>
          <w:rtl/>
        </w:rPr>
        <w:t>להתמודד</w:t>
      </w:r>
      <w:r w:rsidRPr="002F2BC5">
        <w:rPr>
          <w:b/>
          <w:bCs/>
          <w:rtl/>
        </w:rPr>
        <w:t xml:space="preserve"> </w:t>
      </w:r>
      <w:r w:rsidRPr="002F2BC5">
        <w:rPr>
          <w:rFonts w:hint="eastAsia"/>
          <w:b/>
          <w:bCs/>
          <w:rtl/>
        </w:rPr>
        <w:t>עם</w:t>
      </w:r>
      <w:r w:rsidRPr="002F2BC5">
        <w:rPr>
          <w:b/>
          <w:bCs/>
          <w:rtl/>
        </w:rPr>
        <w:t xml:space="preserve"> </w:t>
      </w:r>
      <w:r w:rsidRPr="002F2BC5">
        <w:rPr>
          <w:rFonts w:hint="eastAsia"/>
          <w:b/>
          <w:bCs/>
          <w:rtl/>
        </w:rPr>
        <w:t>בעיות</w:t>
      </w:r>
      <w:r w:rsidRPr="002F2BC5">
        <w:rPr>
          <w:b/>
          <w:bCs/>
          <w:rtl/>
        </w:rPr>
        <w:t xml:space="preserve"> </w:t>
      </w:r>
      <w:r w:rsidRPr="002F2BC5">
        <w:rPr>
          <w:rFonts w:hint="eastAsia"/>
          <w:b/>
          <w:bCs/>
          <w:rtl/>
        </w:rPr>
        <w:t>וקשיים</w:t>
      </w:r>
      <w:r w:rsidRPr="002F2BC5">
        <w:rPr>
          <w:b/>
          <w:bCs/>
          <w:rtl/>
        </w:rPr>
        <w:t xml:space="preserve"> </w:t>
      </w:r>
      <w:r w:rsidRPr="002F2BC5">
        <w:rPr>
          <w:rFonts w:hint="eastAsia"/>
          <w:b/>
          <w:bCs/>
          <w:rtl/>
        </w:rPr>
        <w:t>שעלולים</w:t>
      </w:r>
      <w:r w:rsidRPr="002F2BC5">
        <w:rPr>
          <w:b/>
          <w:bCs/>
          <w:rtl/>
        </w:rPr>
        <w:t xml:space="preserve"> </w:t>
      </w:r>
      <w:r w:rsidRPr="002F2BC5">
        <w:rPr>
          <w:rFonts w:hint="eastAsia"/>
          <w:b/>
          <w:bCs/>
          <w:rtl/>
        </w:rPr>
        <w:t>להתעורר</w:t>
      </w:r>
      <w:r w:rsidRPr="002F2BC5">
        <w:rPr>
          <w:b/>
          <w:bCs/>
          <w:rtl/>
        </w:rPr>
        <w:t xml:space="preserve"> </w:t>
      </w:r>
      <w:r w:rsidRPr="002F2BC5">
        <w:rPr>
          <w:rFonts w:hint="eastAsia"/>
          <w:b/>
          <w:bCs/>
          <w:rtl/>
        </w:rPr>
        <w:t>מעצם</w:t>
      </w:r>
      <w:r w:rsidRPr="002F2BC5">
        <w:rPr>
          <w:b/>
          <w:bCs/>
          <w:rtl/>
        </w:rPr>
        <w:t xml:space="preserve"> </w:t>
      </w:r>
      <w:r w:rsidRPr="002F2BC5">
        <w:rPr>
          <w:rFonts w:hint="eastAsia"/>
          <w:b/>
          <w:bCs/>
          <w:rtl/>
        </w:rPr>
        <w:t>היציאה</w:t>
      </w:r>
      <w:r w:rsidRPr="002F2BC5">
        <w:rPr>
          <w:b/>
          <w:bCs/>
          <w:rtl/>
        </w:rPr>
        <w:t xml:space="preserve"> </w:t>
      </w:r>
      <w:r w:rsidRPr="002F2BC5">
        <w:rPr>
          <w:rFonts w:hint="eastAsia"/>
          <w:b/>
          <w:bCs/>
          <w:rtl/>
        </w:rPr>
        <w:t>מהמסגרת</w:t>
      </w:r>
      <w:r w:rsidRPr="002F2BC5">
        <w:rPr>
          <w:b/>
          <w:bCs/>
          <w:rtl/>
        </w:rPr>
        <w:t xml:space="preserve"> </w:t>
      </w:r>
      <w:r w:rsidRPr="002F2BC5">
        <w:rPr>
          <w:rFonts w:hint="eastAsia"/>
          <w:b/>
          <w:bCs/>
          <w:rtl/>
        </w:rPr>
        <w:t>הנוקשה</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הכלא</w:t>
      </w:r>
      <w:r w:rsidRPr="002F2BC5">
        <w:rPr>
          <w:rStyle w:val="af9"/>
          <w:b/>
          <w:bCs/>
          <w:rtl/>
        </w:rPr>
        <w:footnoteReference w:id="489"/>
      </w:r>
      <w:r w:rsidRPr="002F2BC5">
        <w:rPr>
          <w:b/>
          <w:bCs/>
          <w:rtl/>
        </w:rPr>
        <w:t xml:space="preserve">. ביקורת המעקב העלתה כי דווקא במקרים </w:t>
      </w:r>
      <w:r w:rsidRPr="002F2BC5">
        <w:rPr>
          <w:rFonts w:hint="eastAsia"/>
          <w:b/>
          <w:bCs/>
          <w:rtl/>
        </w:rPr>
        <w:t>שבהם</w:t>
      </w:r>
      <w:r w:rsidRPr="002F2BC5">
        <w:rPr>
          <w:b/>
          <w:bCs/>
          <w:rtl/>
        </w:rPr>
        <w:t xml:space="preserve"> אסיר ריצה את מלוא תקופת המאסר, בכלל זה בשל רמת מסוכנות גבוהה או </w:t>
      </w:r>
      <w:r w:rsidRPr="002F2BC5">
        <w:rPr>
          <w:rFonts w:hint="eastAsia"/>
          <w:b/>
          <w:bCs/>
          <w:rtl/>
        </w:rPr>
        <w:t>חוסר</w:t>
      </w:r>
      <w:r w:rsidRPr="002F2BC5">
        <w:rPr>
          <w:b/>
          <w:bCs/>
          <w:rtl/>
        </w:rPr>
        <w:t xml:space="preserve"> נכונות </w:t>
      </w:r>
      <w:r w:rsidRPr="002F2BC5">
        <w:rPr>
          <w:rFonts w:hint="eastAsia"/>
          <w:b/>
          <w:bCs/>
          <w:rtl/>
        </w:rPr>
        <w:t>להשתלב</w:t>
      </w:r>
      <w:r w:rsidRPr="002F2BC5">
        <w:rPr>
          <w:b/>
          <w:bCs/>
          <w:rtl/>
        </w:rPr>
        <w:t xml:space="preserve"> בהליך טיפולי-שיקומי בין כותלי בית הסוהר, ההסדרים הקבועים בדין אינם מאפשרים להתנות את שחרורו ממאסר בהשתלבות בתוכנית שיקום בקהילה. </w:t>
      </w:r>
    </w:p>
    <w:p w14:paraId="3E895845" w14:textId="77777777" w:rsidR="00817399" w:rsidRPr="002F2BC5" w:rsidRDefault="00817399" w:rsidP="00817399">
      <w:pPr>
        <w:spacing w:line="269" w:lineRule="auto"/>
        <w:rPr>
          <w:rtl/>
        </w:rPr>
      </w:pPr>
    </w:p>
    <w:p w14:paraId="360C17AC" w14:textId="77777777" w:rsidR="00817399" w:rsidRPr="002F2BC5" w:rsidRDefault="00817399" w:rsidP="00817399">
      <w:pPr>
        <w:spacing w:line="269" w:lineRule="auto"/>
        <w:rPr>
          <w:b/>
          <w:bCs/>
          <w:rtl/>
        </w:rPr>
      </w:pPr>
      <w:r w:rsidRPr="002F2BC5">
        <w:rPr>
          <w:rFonts w:hint="cs"/>
          <w:b/>
          <w:bCs/>
          <w:rtl/>
        </w:rPr>
        <w:t>עולה אפוא החשש כי דווקא האסירים שרמת המסוכנות הנשקפת מהם היא הגבוהה ביותר הם אלו שעניינם אינו מובא בפני ועדת השחרורים ושחרורם אינו מותנה בהשתלבות בתוכנית שיקום בפיקוח בקהילה. בנסיבות מסוימות בחינת רמת מסוכנותם וההיערכות לקראת חזרתם לקהילה עלולים להיעשות גם מבלי שהובאה עמדת גורמי הטיפול בקהילה ונפגעי העבירה</w:t>
      </w:r>
      <w:r w:rsidRPr="002F2BC5">
        <w:rPr>
          <w:rStyle w:val="af9"/>
          <w:b/>
          <w:bCs/>
          <w:rtl/>
        </w:rPr>
        <w:footnoteReference w:id="490"/>
      </w:r>
      <w:r w:rsidRPr="002F2BC5">
        <w:rPr>
          <w:rFonts w:hint="cs"/>
          <w:b/>
          <w:bCs/>
          <w:rtl/>
        </w:rPr>
        <w:t>.</w:t>
      </w:r>
    </w:p>
    <w:p w14:paraId="08F4FBB4" w14:textId="77777777" w:rsidR="00817399" w:rsidRPr="002F2BC5" w:rsidRDefault="00817399" w:rsidP="00817399">
      <w:pPr>
        <w:spacing w:line="269" w:lineRule="auto"/>
        <w:rPr>
          <w:rtl/>
        </w:rPr>
      </w:pPr>
    </w:p>
    <w:p w14:paraId="3968D02E" w14:textId="77777777" w:rsidR="00817399" w:rsidRPr="002F2BC5" w:rsidRDefault="00817399" w:rsidP="00817399">
      <w:pPr>
        <w:spacing w:line="269" w:lineRule="auto"/>
        <w:rPr>
          <w:rtl/>
        </w:rPr>
      </w:pPr>
      <w:r w:rsidRPr="002F2BC5">
        <w:rPr>
          <w:rFonts w:hint="cs"/>
          <w:rtl/>
        </w:rPr>
        <w:t>יש לציין עוד כי לצד אסירים ששוחררו שחרור מנהלי או שחרור מלא גם עניינם של אסירים השפוטים לתקופות מאסר קצרות בגין עבירות אלימות במשפחה אינו מובא בפני ועדת השחרורים, וממילא אי אפשר להתנות את שחרורם בתוכנית שיקום בקהילה. אלא שתקופת מאסרם הקצרה של אסירים אלו אינה מעידה בהכרח על רמת מסוכנות נמוכה. לעיתים, אסירים אלו, המרצים עונשי מאסר קצרים, ושככל הנראה גם לא השתלבו בהליך טיפולי-שיקומי בין כותלי בית הסוהר</w:t>
      </w:r>
      <w:r w:rsidRPr="002F2BC5">
        <w:rPr>
          <w:rStyle w:val="af9"/>
          <w:rtl/>
        </w:rPr>
        <w:footnoteReference w:id="491"/>
      </w:r>
      <w:r w:rsidRPr="002F2BC5">
        <w:rPr>
          <w:rFonts w:hint="cs"/>
          <w:rtl/>
        </w:rPr>
        <w:t xml:space="preserve">, היו מוחזקים עצורים במהלך ההליך המשפטי, לנוכח רמת מסוכנותם הגבוהה, ועל פי הדין היו זכאים לניכוי תקופת מעצרם מתקופת מאסרם. </w:t>
      </w:r>
    </w:p>
    <w:p w14:paraId="05073980" w14:textId="77777777" w:rsidR="00817399" w:rsidRPr="002F2BC5" w:rsidRDefault="00817399" w:rsidP="00817399">
      <w:pPr>
        <w:spacing w:line="269" w:lineRule="auto"/>
        <w:rPr>
          <w:rtl/>
        </w:rPr>
      </w:pPr>
    </w:p>
    <w:p w14:paraId="01358D3D" w14:textId="1E38E07C" w:rsidR="00817399" w:rsidRPr="002F2BC5" w:rsidRDefault="00817399" w:rsidP="00817399">
      <w:pPr>
        <w:spacing w:line="269" w:lineRule="auto"/>
        <w:rPr>
          <w:rtl/>
        </w:rPr>
      </w:pPr>
      <w:r w:rsidRPr="002F2BC5">
        <w:rPr>
          <w:rFonts w:hint="cs"/>
          <w:rtl/>
        </w:rPr>
        <w:t>ב</w:t>
      </w:r>
      <w:r w:rsidRPr="002F2BC5">
        <w:rPr>
          <w:rtl/>
        </w:rPr>
        <w:fldChar w:fldCharType="begin"/>
      </w:r>
      <w:r w:rsidRPr="002F2BC5">
        <w:rPr>
          <w:rtl/>
        </w:rPr>
        <w:instrText xml:space="preserve"> </w:instrText>
      </w:r>
      <w:r w:rsidRPr="002F2BC5">
        <w:rPr>
          <w:rFonts w:hint="cs"/>
        </w:rPr>
        <w:instrText>REF</w:instrText>
      </w:r>
      <w:r w:rsidRPr="002F2BC5">
        <w:rPr>
          <w:rFonts w:hint="cs"/>
          <w:rtl/>
        </w:rPr>
        <w:instrText xml:space="preserve"> _</w:instrText>
      </w:r>
      <w:r w:rsidRPr="002F2BC5">
        <w:rPr>
          <w:rFonts w:hint="cs"/>
        </w:rPr>
        <w:instrText>Ref187266857 \r \h</w:instrText>
      </w:r>
      <w:r w:rsidRPr="002F2BC5">
        <w:rPr>
          <w:rtl/>
        </w:rPr>
        <w:instrText xml:space="preserve">  \* </w:instrText>
      </w:r>
      <w:r w:rsidRPr="002F2BC5">
        <w:instrText>MERGEFORMAT</w:instrText>
      </w:r>
      <w:r w:rsidRPr="002F2BC5">
        <w:rPr>
          <w:rtl/>
        </w:rPr>
        <w:instrText xml:space="preserve"> </w:instrText>
      </w:r>
      <w:r w:rsidRPr="002F2BC5">
        <w:rPr>
          <w:rtl/>
        </w:rPr>
      </w:r>
      <w:r w:rsidRPr="002F2BC5">
        <w:rPr>
          <w:rtl/>
        </w:rPr>
        <w:fldChar w:fldCharType="separate"/>
      </w:r>
      <w:r w:rsidR="00BB5E31">
        <w:rPr>
          <w:cs/>
        </w:rPr>
        <w:t>‎</w:t>
      </w:r>
      <w:r w:rsidR="00BB5E31">
        <w:rPr>
          <w:rtl/>
        </w:rPr>
        <w:t>תרשים 27</w:t>
      </w:r>
      <w:r w:rsidRPr="002F2BC5">
        <w:rPr>
          <w:rtl/>
        </w:rPr>
        <w:fldChar w:fldCharType="end"/>
      </w:r>
      <w:r w:rsidRPr="002F2BC5">
        <w:rPr>
          <w:rFonts w:hint="cs"/>
          <w:rtl/>
        </w:rPr>
        <w:t xml:space="preserve"> להלן מוצגות האפשרויות של רתימתם לטיפול של עוברי חוק בתחום האלימות במשפחה, למן ביצוע העבירה ועד לשחרורם ממאסר, הממחישות כיצד דווקא אסירים שרמתם מסוכנותם היא הגבוהה ביותר חוזרים לקהילה עם תום מאסרם ללא פיקוח. </w:t>
      </w:r>
    </w:p>
    <w:p w14:paraId="7E78174D" w14:textId="77777777" w:rsidR="00817399" w:rsidRPr="002F2BC5" w:rsidRDefault="00817399" w:rsidP="00817399">
      <w:pPr>
        <w:spacing w:line="269" w:lineRule="auto"/>
        <w:rPr>
          <w:rtl/>
        </w:rPr>
      </w:pPr>
    </w:p>
    <w:p w14:paraId="6022E360" w14:textId="77777777" w:rsidR="00817399" w:rsidRPr="002F2BC5" w:rsidRDefault="00817399" w:rsidP="00817399">
      <w:pPr>
        <w:pStyle w:val="a9"/>
        <w:spacing w:line="269" w:lineRule="auto"/>
        <w:rPr>
          <w:rtl/>
        </w:rPr>
      </w:pPr>
      <w:bookmarkStart w:id="2441" w:name="_Ref187266857"/>
      <w:bookmarkStart w:id="2442" w:name="_Toc192672919"/>
      <w:r w:rsidRPr="002F2BC5">
        <w:rPr>
          <w:rFonts w:hint="cs"/>
          <w:rtl/>
        </w:rPr>
        <w:lastRenderedPageBreak/>
        <w:t>:</w:t>
      </w:r>
      <w:bookmarkEnd w:id="2441"/>
      <w:r w:rsidRPr="002F2BC5">
        <w:rPr>
          <w:rFonts w:hint="cs"/>
          <w:rtl/>
        </w:rPr>
        <w:t xml:space="preserve"> </w:t>
      </w:r>
      <w:bookmarkStart w:id="2443" w:name="_Hlk192070182"/>
      <w:r w:rsidRPr="002F2BC5">
        <w:rPr>
          <w:b w:val="0"/>
          <w:bCs/>
          <w:rtl/>
        </w:rPr>
        <w:t xml:space="preserve">האפשרויות של רתימתם לטיפול של עוברי חוק בתחום האלימות במשפחה, </w:t>
      </w:r>
      <w:r w:rsidRPr="002F2BC5">
        <w:rPr>
          <w:rFonts w:hint="cs"/>
          <w:b w:val="0"/>
          <w:bCs/>
          <w:rtl/>
        </w:rPr>
        <w:t>למן</w:t>
      </w:r>
      <w:r w:rsidRPr="002F2BC5">
        <w:rPr>
          <w:rtl/>
        </w:rPr>
        <w:t xml:space="preserve"> </w:t>
      </w:r>
      <w:r w:rsidRPr="002F2BC5">
        <w:rPr>
          <w:rFonts w:hint="eastAsia"/>
          <w:b w:val="0"/>
          <w:bCs/>
          <w:rtl/>
        </w:rPr>
        <w:t>ביצוע</w:t>
      </w:r>
      <w:r w:rsidRPr="002F2BC5">
        <w:rPr>
          <w:b w:val="0"/>
          <w:bCs/>
          <w:rtl/>
        </w:rPr>
        <w:t xml:space="preserve"> </w:t>
      </w:r>
      <w:r w:rsidRPr="002F2BC5">
        <w:rPr>
          <w:rFonts w:hint="eastAsia"/>
          <w:b w:val="0"/>
          <w:bCs/>
          <w:rtl/>
        </w:rPr>
        <w:t>העבירה</w:t>
      </w:r>
      <w:r w:rsidRPr="002F2BC5">
        <w:rPr>
          <w:b w:val="0"/>
          <w:bCs/>
          <w:rtl/>
        </w:rPr>
        <w:t xml:space="preserve"> </w:t>
      </w:r>
      <w:r w:rsidRPr="002F2BC5">
        <w:rPr>
          <w:rFonts w:hint="eastAsia"/>
          <w:b w:val="0"/>
          <w:bCs/>
          <w:rtl/>
        </w:rPr>
        <w:t>ועד</w:t>
      </w:r>
      <w:r w:rsidRPr="002F2BC5">
        <w:rPr>
          <w:b w:val="0"/>
          <w:bCs/>
          <w:rtl/>
        </w:rPr>
        <w:t xml:space="preserve"> </w:t>
      </w:r>
      <w:r w:rsidRPr="002F2BC5">
        <w:rPr>
          <w:rFonts w:hint="eastAsia"/>
          <w:b w:val="0"/>
          <w:bCs/>
          <w:rtl/>
        </w:rPr>
        <w:t>לשחרורם</w:t>
      </w:r>
      <w:r w:rsidRPr="002F2BC5">
        <w:rPr>
          <w:b w:val="0"/>
          <w:bCs/>
          <w:rtl/>
        </w:rPr>
        <w:t xml:space="preserve"> </w:t>
      </w:r>
      <w:r w:rsidRPr="002F2BC5">
        <w:rPr>
          <w:rFonts w:hint="eastAsia"/>
          <w:b w:val="0"/>
          <w:bCs/>
          <w:rtl/>
        </w:rPr>
        <w:t>ממאסר</w:t>
      </w:r>
      <w:r w:rsidRPr="002F2BC5">
        <w:rPr>
          <w:b w:val="0"/>
          <w:bCs/>
          <w:rtl/>
        </w:rPr>
        <w:t xml:space="preserve">, </w:t>
      </w:r>
      <w:r w:rsidRPr="002F2BC5">
        <w:rPr>
          <w:rFonts w:hint="eastAsia"/>
          <w:b w:val="0"/>
          <w:bCs/>
          <w:rtl/>
        </w:rPr>
        <w:t>הממחישות</w:t>
      </w:r>
      <w:r w:rsidRPr="002F2BC5">
        <w:rPr>
          <w:b w:val="0"/>
          <w:bCs/>
          <w:rtl/>
        </w:rPr>
        <w:t xml:space="preserve"> </w:t>
      </w:r>
      <w:r w:rsidRPr="002F2BC5">
        <w:rPr>
          <w:rFonts w:hint="eastAsia"/>
          <w:b w:val="0"/>
          <w:bCs/>
          <w:rtl/>
        </w:rPr>
        <w:t>כיצד</w:t>
      </w:r>
      <w:r w:rsidRPr="002F2BC5">
        <w:rPr>
          <w:b w:val="0"/>
          <w:bCs/>
          <w:rtl/>
        </w:rPr>
        <w:t xml:space="preserve"> </w:t>
      </w:r>
      <w:r w:rsidRPr="002F2BC5">
        <w:rPr>
          <w:rFonts w:hint="eastAsia"/>
          <w:b w:val="0"/>
          <w:bCs/>
          <w:rtl/>
        </w:rPr>
        <w:t>אסירים</w:t>
      </w:r>
      <w:r w:rsidRPr="002F2BC5">
        <w:rPr>
          <w:b w:val="0"/>
          <w:bCs/>
          <w:rtl/>
        </w:rPr>
        <w:t xml:space="preserve"> </w:t>
      </w:r>
      <w:r w:rsidRPr="002F2BC5">
        <w:rPr>
          <w:rFonts w:hint="eastAsia"/>
          <w:b w:val="0"/>
          <w:bCs/>
          <w:rtl/>
        </w:rPr>
        <w:t>שרמתם</w:t>
      </w:r>
      <w:r w:rsidRPr="002F2BC5">
        <w:rPr>
          <w:b w:val="0"/>
          <w:bCs/>
          <w:rtl/>
        </w:rPr>
        <w:t xml:space="preserve"> </w:t>
      </w:r>
      <w:r w:rsidRPr="002F2BC5">
        <w:rPr>
          <w:rFonts w:hint="eastAsia"/>
          <w:b w:val="0"/>
          <w:bCs/>
          <w:rtl/>
        </w:rPr>
        <w:t>מסוכנותם</w:t>
      </w:r>
      <w:r w:rsidRPr="002F2BC5">
        <w:rPr>
          <w:b w:val="0"/>
          <w:bCs/>
          <w:rtl/>
        </w:rPr>
        <w:t xml:space="preserve"> </w:t>
      </w:r>
      <w:r w:rsidRPr="002F2BC5">
        <w:rPr>
          <w:rFonts w:hint="eastAsia"/>
          <w:b w:val="0"/>
          <w:bCs/>
          <w:rtl/>
        </w:rPr>
        <w:t>היא</w:t>
      </w:r>
      <w:r w:rsidRPr="002F2BC5">
        <w:rPr>
          <w:b w:val="0"/>
          <w:bCs/>
          <w:rtl/>
        </w:rPr>
        <w:t xml:space="preserve"> </w:t>
      </w:r>
      <w:r w:rsidRPr="002F2BC5">
        <w:rPr>
          <w:rFonts w:hint="eastAsia"/>
          <w:b w:val="0"/>
          <w:bCs/>
          <w:rtl/>
        </w:rPr>
        <w:t>הגבוהה</w:t>
      </w:r>
      <w:r w:rsidRPr="002F2BC5">
        <w:rPr>
          <w:b w:val="0"/>
          <w:bCs/>
          <w:rtl/>
        </w:rPr>
        <w:t xml:space="preserve"> </w:t>
      </w:r>
      <w:r w:rsidRPr="002F2BC5">
        <w:rPr>
          <w:rFonts w:hint="eastAsia"/>
          <w:b w:val="0"/>
          <w:bCs/>
          <w:rtl/>
        </w:rPr>
        <w:t>ביותר</w:t>
      </w:r>
      <w:r w:rsidRPr="002F2BC5">
        <w:rPr>
          <w:b w:val="0"/>
          <w:bCs/>
          <w:rtl/>
        </w:rPr>
        <w:t xml:space="preserve"> </w:t>
      </w:r>
      <w:r w:rsidRPr="002F2BC5">
        <w:rPr>
          <w:rFonts w:hint="eastAsia"/>
          <w:b w:val="0"/>
          <w:bCs/>
          <w:rtl/>
        </w:rPr>
        <w:t>חוזרים</w:t>
      </w:r>
      <w:r w:rsidRPr="002F2BC5">
        <w:rPr>
          <w:b w:val="0"/>
          <w:bCs/>
          <w:rtl/>
        </w:rPr>
        <w:t xml:space="preserve"> </w:t>
      </w:r>
      <w:r w:rsidRPr="002F2BC5">
        <w:rPr>
          <w:rFonts w:hint="eastAsia"/>
          <w:b w:val="0"/>
          <w:bCs/>
          <w:rtl/>
        </w:rPr>
        <w:t>לקהילה</w:t>
      </w:r>
      <w:r w:rsidRPr="002F2BC5">
        <w:rPr>
          <w:b w:val="0"/>
          <w:bCs/>
          <w:rtl/>
        </w:rPr>
        <w:t xml:space="preserve"> </w:t>
      </w:r>
      <w:r w:rsidRPr="002F2BC5">
        <w:rPr>
          <w:rFonts w:hint="eastAsia"/>
          <w:b w:val="0"/>
          <w:bCs/>
          <w:rtl/>
        </w:rPr>
        <w:t>עם</w:t>
      </w:r>
      <w:r w:rsidRPr="002F2BC5">
        <w:rPr>
          <w:b w:val="0"/>
          <w:bCs/>
          <w:rtl/>
        </w:rPr>
        <w:t xml:space="preserve"> </w:t>
      </w:r>
      <w:r w:rsidRPr="002F2BC5">
        <w:rPr>
          <w:rFonts w:hint="eastAsia"/>
          <w:b w:val="0"/>
          <w:bCs/>
          <w:rtl/>
        </w:rPr>
        <w:t>תום</w:t>
      </w:r>
      <w:r w:rsidRPr="002F2BC5">
        <w:rPr>
          <w:b w:val="0"/>
          <w:bCs/>
          <w:rtl/>
        </w:rPr>
        <w:t xml:space="preserve"> </w:t>
      </w:r>
      <w:r w:rsidRPr="002F2BC5">
        <w:rPr>
          <w:rFonts w:hint="eastAsia"/>
          <w:b w:val="0"/>
          <w:bCs/>
          <w:rtl/>
        </w:rPr>
        <w:t>מאסרם</w:t>
      </w:r>
      <w:r w:rsidRPr="002F2BC5">
        <w:rPr>
          <w:b w:val="0"/>
          <w:bCs/>
          <w:rtl/>
        </w:rPr>
        <w:t xml:space="preserve"> ללא פיקוח</w:t>
      </w:r>
      <w:r w:rsidRPr="002F2BC5">
        <w:rPr>
          <w:rFonts w:hint="cs"/>
          <w:b w:val="0"/>
          <w:bCs/>
          <w:rtl/>
        </w:rPr>
        <w:t>, 2023</w:t>
      </w:r>
      <w:bookmarkEnd w:id="2442"/>
      <w:bookmarkEnd w:id="2443"/>
    </w:p>
    <w:p w14:paraId="3579CFBD" w14:textId="77777777" w:rsidR="00817399" w:rsidRPr="002F2BC5" w:rsidRDefault="00817399" w:rsidP="00817399">
      <w:pPr>
        <w:pStyle w:val="afffffff4"/>
        <w:bidi/>
        <w:spacing w:before="0" w:after="0" w:line="269" w:lineRule="auto"/>
        <w:rPr>
          <w:rtl/>
        </w:rPr>
      </w:pPr>
      <w:r w:rsidRPr="002F2BC5">
        <w:rPr>
          <w:noProof/>
          <w:rtl/>
        </w:rPr>
        <w:t xml:space="preserve"> </w:t>
      </w:r>
      <w:r w:rsidRPr="002F2BC5">
        <w:rPr>
          <w:noProof/>
        </w:rPr>
        <w:drawing>
          <wp:inline distT="0" distB="0" distL="0" distR="0" wp14:anchorId="588F59C1" wp14:editId="0E732585">
            <wp:extent cx="4680000" cy="3840666"/>
            <wp:effectExtent l="0" t="0" r="6350" b="7620"/>
            <wp:docPr id="2052770995" name="תמונה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80000" cy="3840666"/>
                    </a:xfrm>
                    <a:prstGeom prst="rect">
                      <a:avLst/>
                    </a:prstGeom>
                    <a:noFill/>
                  </pic:spPr>
                </pic:pic>
              </a:graphicData>
            </a:graphic>
          </wp:inline>
        </w:drawing>
      </w:r>
    </w:p>
    <w:p w14:paraId="1D2354C9" w14:textId="77777777" w:rsidR="00817399" w:rsidRPr="002F2BC5" w:rsidRDefault="00817399" w:rsidP="00817399">
      <w:pPr>
        <w:pStyle w:val="afffffff1"/>
        <w:bidi/>
        <w:spacing w:line="269" w:lineRule="auto"/>
        <w:rPr>
          <w:rtl/>
        </w:rPr>
      </w:pPr>
      <w:r w:rsidRPr="002F2BC5">
        <w:rPr>
          <w:rFonts w:hint="cs"/>
          <w:rtl/>
        </w:rPr>
        <w:t xml:space="preserve">לפי נתוני הנהלת בתי המשפט, משטרת ישראל, שירות המבחן במשרד הרווחה, שירות בתי הסוהר והרשות לשיקום האסיר לשנת 2023, בעיבוד משרד מבקר המדינה. </w:t>
      </w:r>
    </w:p>
    <w:p w14:paraId="6F7875AA" w14:textId="77777777" w:rsidR="00817399" w:rsidRPr="002F2BC5" w:rsidRDefault="00817399" w:rsidP="00817399">
      <w:pPr>
        <w:pStyle w:val="afffffff1"/>
        <w:bidi/>
        <w:rPr>
          <w:rtl/>
        </w:rPr>
      </w:pPr>
      <w:r w:rsidRPr="002F2BC5">
        <w:rPr>
          <w:rtl/>
        </w:rPr>
        <w:t>הנתונים על סוגי שחרורים ממאסר מתבססים על שיעור המשוחררים מכלל האסירים הפליליים, לרבות אסירים שריצו מאסר בגין עבירות אלימות במשפחה או אלימות זוגית.</w:t>
      </w:r>
    </w:p>
    <w:p w14:paraId="7B46E201" w14:textId="77777777" w:rsidR="00817399" w:rsidRPr="002F2BC5" w:rsidRDefault="00817399" w:rsidP="00817399">
      <w:pPr>
        <w:pStyle w:val="afffffff1"/>
        <w:bidi/>
        <w:rPr>
          <w:rtl/>
        </w:rPr>
      </w:pPr>
      <w:r w:rsidRPr="002F2BC5">
        <w:rPr>
          <w:vertAlign w:val="superscript"/>
          <w:rtl/>
        </w:rPr>
        <w:t>(1)</w:t>
      </w:r>
      <w:r w:rsidRPr="002F2BC5">
        <w:rPr>
          <w:rtl/>
        </w:rPr>
        <w:t xml:space="preserve"> הנתון מתייחס לכל סוגי הצווים שהתבקשו, לרבות בגין אלימות שאינה בין בני זוג.</w:t>
      </w:r>
    </w:p>
    <w:p w14:paraId="69594C41" w14:textId="77777777" w:rsidR="00817399" w:rsidRPr="002F2BC5" w:rsidRDefault="00817399" w:rsidP="00817399">
      <w:pPr>
        <w:pStyle w:val="afffffff1"/>
        <w:bidi/>
        <w:rPr>
          <w:rtl/>
        </w:rPr>
      </w:pPr>
      <w:r w:rsidRPr="002F2BC5">
        <w:rPr>
          <w:vertAlign w:val="superscript"/>
          <w:rtl/>
        </w:rPr>
        <w:t xml:space="preserve">(2) </w:t>
      </w:r>
      <w:r w:rsidRPr="002F2BC5">
        <w:rPr>
          <w:rtl/>
        </w:rPr>
        <w:t>הנתון מתייחס לתיקי חקירה שנפתחו בגין עבירות אלימות או איומים בין בני זוג, לרבות תלונות הדדיות של שני בני הזוג.</w:t>
      </w:r>
    </w:p>
    <w:p w14:paraId="21CF3840" w14:textId="77777777" w:rsidR="00817399" w:rsidRPr="002F2BC5" w:rsidRDefault="00817399" w:rsidP="00817399">
      <w:pPr>
        <w:pStyle w:val="afffffff1"/>
        <w:bidi/>
        <w:rPr>
          <w:rtl/>
        </w:rPr>
      </w:pPr>
      <w:r w:rsidRPr="002F2BC5">
        <w:rPr>
          <w:vertAlign w:val="superscript"/>
          <w:rtl/>
        </w:rPr>
        <w:t>(3)</w:t>
      </w:r>
      <w:r w:rsidRPr="002F2BC5">
        <w:rPr>
          <w:rtl/>
        </w:rPr>
        <w:t xml:space="preserve"> לא קיים נתון בנושא זה.</w:t>
      </w:r>
    </w:p>
    <w:p w14:paraId="25ADB28A" w14:textId="77777777" w:rsidR="00817399" w:rsidRPr="002F2BC5" w:rsidRDefault="00817399" w:rsidP="00817399">
      <w:pPr>
        <w:pStyle w:val="afffffff1"/>
        <w:bidi/>
        <w:rPr>
          <w:rtl/>
        </w:rPr>
      </w:pPr>
      <w:r w:rsidRPr="002F2BC5">
        <w:rPr>
          <w:vertAlign w:val="superscript"/>
          <w:rtl/>
        </w:rPr>
        <w:t>(4)</w:t>
      </w:r>
      <w:r w:rsidRPr="002F2BC5">
        <w:rPr>
          <w:rtl/>
        </w:rPr>
        <w:t xml:space="preserve"> הנתון מתייחס למספר המטופלים בבתי נועם ובקבוצות הטיפוליות שמפעיל שירות המבחן וכן למספר המשתתפים בתוכנית בתי משפט קהילתיים. הנתונים אינם כוללים מטופלים במרכזים לטיפול ומניעת אלימות במשפחה.</w:t>
      </w:r>
    </w:p>
    <w:p w14:paraId="13A70FF5" w14:textId="77777777" w:rsidR="00817399" w:rsidRPr="002F2BC5" w:rsidRDefault="00817399" w:rsidP="00817399">
      <w:pPr>
        <w:spacing w:line="269" w:lineRule="auto"/>
        <w:rPr>
          <w:rtl/>
        </w:rPr>
      </w:pPr>
    </w:p>
    <w:p w14:paraId="0B1BE9D9" w14:textId="77777777" w:rsidR="00817399" w:rsidRPr="002F2BC5" w:rsidRDefault="00817399" w:rsidP="00817399">
      <w:pPr>
        <w:spacing w:line="269" w:lineRule="auto"/>
        <w:rPr>
          <w:b/>
          <w:bCs/>
          <w:rtl/>
        </w:rPr>
      </w:pPr>
      <w:r w:rsidRPr="002F2BC5">
        <w:rPr>
          <w:rFonts w:hint="cs"/>
          <w:b/>
          <w:bCs/>
          <w:rtl/>
        </w:rPr>
        <w:t xml:space="preserve">הועלה כי הרשות לשיקום האסיר גיבשה מתווה עבודה משותף עם הוועדות המחוזיות ושירות בתי הסוהר במטרה לייעל את הליכי האבחון והשיקום של אסירים העומדים בפני אפשרות לשחרור על תנאי ובכך להגדיל את שיעורם של אסירים המרצים מאסר בגין עבירות אלימות במשפחה המשולבים בתוכניות שיקום בפיקוח לאחר שחרורם. עוד הועלה כי הרשות לשיקום האסיר החלה לקדם במהלך שנת 2024 תיקון חקיקה שיאפשר להתנות את חישוב תקופת המעצר עד תום ההליכים המשפטיים בעבירות אלימות במשפחה במניין תקופת המאסר. עם זאת, במועד סיום הביקורת, דצמבר 2024, הליכים אלו היו מצויים רק בתחילתם - </w:t>
      </w:r>
      <w:r w:rsidRPr="002F2BC5">
        <w:rPr>
          <w:rFonts w:hint="eastAsia"/>
          <w:b/>
          <w:bCs/>
          <w:rtl/>
        </w:rPr>
        <w:t>גיבוש</w:t>
      </w:r>
      <w:r w:rsidRPr="002F2BC5">
        <w:rPr>
          <w:b/>
          <w:bCs/>
          <w:rtl/>
        </w:rPr>
        <w:t xml:space="preserve"> </w:t>
      </w:r>
      <w:r w:rsidRPr="002F2BC5">
        <w:rPr>
          <w:rFonts w:hint="eastAsia"/>
          <w:b/>
          <w:bCs/>
          <w:rtl/>
        </w:rPr>
        <w:t>טיוטה</w:t>
      </w:r>
      <w:r w:rsidRPr="002F2BC5">
        <w:rPr>
          <w:b/>
          <w:bCs/>
          <w:rtl/>
        </w:rPr>
        <w:t xml:space="preserve"> </w:t>
      </w:r>
      <w:r w:rsidRPr="002F2BC5">
        <w:rPr>
          <w:rFonts w:hint="eastAsia"/>
          <w:b/>
          <w:bCs/>
          <w:rtl/>
        </w:rPr>
        <w:t>של</w:t>
      </w:r>
      <w:r w:rsidRPr="002F2BC5">
        <w:rPr>
          <w:b/>
          <w:bCs/>
          <w:rtl/>
        </w:rPr>
        <w:t xml:space="preserve"> </w:t>
      </w:r>
      <w:r w:rsidRPr="002F2BC5">
        <w:rPr>
          <w:rFonts w:hint="eastAsia"/>
          <w:b/>
          <w:bCs/>
          <w:rtl/>
        </w:rPr>
        <w:t>הצעה</w:t>
      </w:r>
      <w:r w:rsidRPr="002F2BC5">
        <w:rPr>
          <w:b/>
          <w:bCs/>
          <w:rtl/>
        </w:rPr>
        <w:t xml:space="preserve"> </w:t>
      </w:r>
      <w:r w:rsidRPr="002F2BC5">
        <w:rPr>
          <w:rFonts w:hint="eastAsia"/>
          <w:b/>
          <w:bCs/>
          <w:rtl/>
        </w:rPr>
        <w:t>לתיקון</w:t>
      </w:r>
      <w:r w:rsidRPr="002F2BC5">
        <w:rPr>
          <w:b/>
          <w:bCs/>
          <w:rtl/>
        </w:rPr>
        <w:t xml:space="preserve"> </w:t>
      </w:r>
      <w:r w:rsidRPr="002F2BC5">
        <w:rPr>
          <w:rFonts w:hint="eastAsia"/>
          <w:b/>
          <w:bCs/>
          <w:rtl/>
        </w:rPr>
        <w:t>החקיקה</w:t>
      </w:r>
      <w:r w:rsidRPr="002F2BC5">
        <w:rPr>
          <w:b/>
          <w:bCs/>
          <w:rtl/>
        </w:rPr>
        <w:t xml:space="preserve"> </w:t>
      </w:r>
      <w:r w:rsidRPr="002F2BC5">
        <w:rPr>
          <w:rFonts w:hint="eastAsia"/>
          <w:b/>
          <w:bCs/>
          <w:rtl/>
        </w:rPr>
        <w:t>האמור</w:t>
      </w:r>
      <w:r w:rsidRPr="002F2BC5">
        <w:rPr>
          <w:rFonts w:hint="cs"/>
          <w:b/>
          <w:bCs/>
          <w:rtl/>
        </w:rPr>
        <w:t xml:space="preserve">. </w:t>
      </w:r>
    </w:p>
    <w:p w14:paraId="48E6D404" w14:textId="77777777" w:rsidR="00817399" w:rsidRPr="002F2BC5" w:rsidRDefault="00817399" w:rsidP="00817399">
      <w:pPr>
        <w:spacing w:line="269" w:lineRule="auto"/>
        <w:rPr>
          <w:rtl/>
        </w:rPr>
      </w:pPr>
    </w:p>
    <w:p w14:paraId="5A608168" w14:textId="77777777" w:rsidR="00817399" w:rsidRPr="002F2BC5" w:rsidRDefault="00817399" w:rsidP="00817399">
      <w:pPr>
        <w:spacing w:line="269" w:lineRule="auto"/>
        <w:rPr>
          <w:rtl/>
        </w:rPr>
      </w:pPr>
      <w:r w:rsidRPr="002F2BC5">
        <w:rPr>
          <w:rFonts w:hint="cs"/>
          <w:rtl/>
        </w:rPr>
        <w:t xml:space="preserve">אשר לסל הסיוע שגיבשה הרשות לשיקום האסיר בעקבות הביקורת הקודמת, הועלה בביקורת המעקב כי סל הסיוע חשוב לצורכיהם התעסוקתיים, הכלכליים והמשפחתיים של האסירים המשוחררים והיה בו כדי לאפשר את תהליך חזרתם המדורג לקהילה, להפחית את ההסתברות </w:t>
      </w:r>
      <w:r w:rsidRPr="002F2BC5">
        <w:rPr>
          <w:rFonts w:hint="cs"/>
          <w:rtl/>
        </w:rPr>
        <w:lastRenderedPageBreak/>
        <w:t>לעבריינות חוזרת וכן לסייע ברתימתם להליך טיפולי-שיקומי</w:t>
      </w:r>
      <w:r w:rsidRPr="002F2BC5">
        <w:rPr>
          <w:rStyle w:val="af9"/>
          <w:rtl/>
        </w:rPr>
        <w:footnoteReference w:id="492"/>
      </w:r>
      <w:r w:rsidRPr="002F2BC5">
        <w:rPr>
          <w:rFonts w:hint="cs"/>
          <w:rtl/>
        </w:rPr>
        <w:t>. אלא שנמצא כי לא הוקצה תקציב ייעודי לצורך השימוש בסל השיקום עבור רתימתם לטיפול של אסירים משוחררים שריצו מאסר בגין עבירות אלימות במשפחה, וכך האפשרות להסתייע בסל השיקום לרתימתם לטיפול לאחר שחרורם וחזרתם לקהילה של האסירים המשוחררים הללו נותרה מוגבלת.</w:t>
      </w:r>
    </w:p>
    <w:p w14:paraId="43515876" w14:textId="77777777" w:rsidR="00817399" w:rsidRPr="002F2BC5" w:rsidRDefault="00817399" w:rsidP="00817399">
      <w:pPr>
        <w:spacing w:line="269" w:lineRule="auto"/>
        <w:rPr>
          <w:rtl/>
        </w:rPr>
      </w:pPr>
    </w:p>
    <w:p w14:paraId="22BB6D01" w14:textId="77777777" w:rsidR="00817399" w:rsidRPr="002F2BC5" w:rsidRDefault="00817399" w:rsidP="00817399">
      <w:pPr>
        <w:spacing w:line="269" w:lineRule="auto"/>
        <w:rPr>
          <w:rtl/>
        </w:rPr>
      </w:pPr>
      <w:r w:rsidRPr="002F2BC5">
        <w:rPr>
          <w:rFonts w:hint="cs"/>
          <w:rtl/>
        </w:rPr>
        <w:t>יצוין עוד כי בשנת 2022 הוקמה בשירות בתי הסוהר מחלקת קשרי קהילה שמטרתה לאפשר חזרה של אסיר בשחרור מלא לקהילה תוך יצירת רצף טיפולי ובכך להפחית את הסיכון שבעבריינות חוזרת (להלן - המסלול הקהילתי). החל מאפריל 2024 הוחלט לכלול במסלול הקהילתי גם אסירים שריצו מאסר בגין עבירות אלימות במשפחה, ועיקר המענה הניתן להם הוא בכל הקשור למיצוי זכויות סוציאליות מול המוסד לביטוח לאומי. אומנם הסיוע לאסיר המשוחרר במסגרת המסלול הקהילתי אינו מותנה בשילובו בתוכנית שיקום בקהילה, ולא מעורבים בו גורמי טיפול בקהילה, אך הקשר שנוצר בין האסיר המשוחרר ובין גורמים בקהילה כחלק מתהליך מיצוי הזכויות עשוי לסייע בהמשך לרתימתו לטיפול.</w:t>
      </w:r>
    </w:p>
    <w:p w14:paraId="0B517371" w14:textId="77777777" w:rsidR="00817399" w:rsidRPr="002F2BC5" w:rsidRDefault="00817399" w:rsidP="00817399">
      <w:pPr>
        <w:spacing w:line="269" w:lineRule="auto"/>
        <w:rPr>
          <w:rtl/>
        </w:rPr>
      </w:pPr>
    </w:p>
    <w:p w14:paraId="4EC672BE" w14:textId="77777777" w:rsidR="00817399" w:rsidRPr="002F2BC5" w:rsidRDefault="00817399" w:rsidP="00817399">
      <w:pPr>
        <w:pStyle w:val="afffffff9"/>
        <w:spacing w:line="269" w:lineRule="auto"/>
        <w:rPr>
          <w:rtl/>
        </w:rPr>
      </w:pPr>
      <w:bookmarkStart w:id="2444" w:name="_Toc191987224"/>
      <w:bookmarkStart w:id="2445" w:name="_Toc192093218"/>
      <w:bookmarkStart w:id="2446" w:name="_Toc192612926"/>
      <w:bookmarkStart w:id="2447" w:name="_Toc198312381"/>
      <w:bookmarkStart w:id="2448" w:name="_Toc198312868"/>
      <w:bookmarkStart w:id="2449" w:name="_Toc200637015"/>
      <w:bookmarkStart w:id="2450" w:name="_Toc200440013"/>
      <w:bookmarkStart w:id="2451" w:name="_Toc201241118"/>
      <w:r w:rsidRPr="002F2BC5">
        <w:rPr>
          <w:rFonts w:hint="cs"/>
          <w:rtl/>
        </w:rPr>
        <w:t xml:space="preserve">הביקורת הקודמת העלתה כי רובם הגדול של האסירים שריצו עונש מאסר בגין עבירות אלימות במשפחה משתחררים שחרור מינהלי בלי שעניינם מובא בפני ועדת השחרורים, שבסמכותה להתנות את שחרורם בהשתלבות בתוכנית שיקום בקהילה. כך גם בנוגע לאסירים שאינם משוחררים שחרור מוקדם, משלא נמצאו מתאימים לכך בשל רמת מסוכנותם הגבוהה, ועל כן משתחררים רק לאחר שריצו את מלוא תקופת מאסרם. בביקורת המעקב הועלה כי הליקוי לא תוקן וכי </w:t>
      </w:r>
      <w:r w:rsidRPr="002F2BC5">
        <w:rPr>
          <w:rtl/>
        </w:rPr>
        <w:t>שיעורם של האסירים שריצו מאסר בגין עבירות אלימות במשפחה והשתלבו בתוכניות שיקום בקהילה, בפיקוח או שלא בפיקוח, נותר נמוך (פחות מכ-10% מכלל האסירים הללו).</w:t>
      </w:r>
      <w:r w:rsidRPr="002F2BC5">
        <w:rPr>
          <w:rFonts w:hint="cs"/>
          <w:rtl/>
        </w:rPr>
        <w:t xml:space="preserve"> עוד הועלה כי בהיעדר תקציב ייעודי, אין בידי הרשות לשיקום האסיר כלים מספקים, הכוללים בצידם תמריצים משמעותיים, שיהיה</w:t>
      </w:r>
      <w:r w:rsidRPr="002F2BC5">
        <w:rPr>
          <w:rtl/>
        </w:rPr>
        <w:t xml:space="preserve"> בהם כדי לרתום ולעודד את שילובם בתוכנית שיקום בקהילה שלא בפיקוח של אסירים משוחררים, ששוחררו </w:t>
      </w:r>
      <w:r w:rsidRPr="002F2BC5">
        <w:rPr>
          <w:rFonts w:hint="cs"/>
          <w:rtl/>
        </w:rPr>
        <w:t>שחרור</w:t>
      </w:r>
      <w:r w:rsidRPr="002F2BC5">
        <w:rPr>
          <w:rtl/>
        </w:rPr>
        <w:t xml:space="preserve"> מינהלי או לאחר ריצוי מלוא עונשם.</w:t>
      </w:r>
      <w:bookmarkEnd w:id="2444"/>
      <w:bookmarkEnd w:id="2445"/>
      <w:bookmarkEnd w:id="2446"/>
      <w:bookmarkEnd w:id="2447"/>
      <w:bookmarkEnd w:id="2448"/>
      <w:bookmarkEnd w:id="2449"/>
      <w:bookmarkEnd w:id="2450"/>
      <w:bookmarkEnd w:id="2451"/>
    </w:p>
    <w:p w14:paraId="2E2CC1CF" w14:textId="77777777" w:rsidR="00817399" w:rsidRPr="002F2BC5" w:rsidRDefault="00817399" w:rsidP="00817399">
      <w:pPr>
        <w:spacing w:line="269" w:lineRule="auto"/>
        <w:rPr>
          <w:rtl/>
        </w:rPr>
      </w:pPr>
    </w:p>
    <w:p w14:paraId="0613F36D" w14:textId="77777777" w:rsidR="00817399" w:rsidRPr="002F2BC5" w:rsidRDefault="00817399" w:rsidP="00817399">
      <w:pPr>
        <w:spacing w:line="269" w:lineRule="auto"/>
        <w:rPr>
          <w:rtl/>
        </w:rPr>
      </w:pPr>
      <w:r w:rsidRPr="002F2BC5">
        <w:rPr>
          <w:rFonts w:hint="cs"/>
          <w:rtl/>
        </w:rPr>
        <w:t>המשרד לביטחון לאומי מסר בתשובתו כי במהלך שנת 2022 החלה לפעול תוכנית לליווי אסירים המשוחררים בשחרור מלא, לאחר שחרורם, למניעת עבריינות חוזרת. התוכנית מופעלת בשיתוף הרשות לביטחון קהילתי, שירות בתי הסוהר והרשות לשיקום האסיר, ובמסגרתה שישה עובדי תמיכה, ליווי ומניעת התדרדרות למסיימי תוכניות (עובדי תל"מ) מטעם הרשות לביטחון קהילתי, הפועלים ברשויות מקומיות בעיקר בחברה הערבית, מסייעים בהיערכות בקהילה לקראת שחרורם של האסירים הללו ובליווי ומעקב בתקופה הסמוכה לשחרורם</w:t>
      </w:r>
      <w:r w:rsidRPr="002F2BC5">
        <w:rPr>
          <w:rStyle w:val="af9"/>
          <w:rtl/>
        </w:rPr>
        <w:footnoteReference w:id="493"/>
      </w:r>
      <w:r w:rsidRPr="002F2BC5">
        <w:rPr>
          <w:rFonts w:hint="cs"/>
          <w:rtl/>
        </w:rPr>
        <w:t xml:space="preserve">. </w:t>
      </w:r>
    </w:p>
    <w:p w14:paraId="466E4C2D" w14:textId="77777777" w:rsidR="00817399" w:rsidRPr="002F2BC5" w:rsidRDefault="00817399" w:rsidP="00817399">
      <w:pPr>
        <w:spacing w:line="269" w:lineRule="auto"/>
        <w:rPr>
          <w:rtl/>
        </w:rPr>
      </w:pPr>
    </w:p>
    <w:p w14:paraId="106D414D" w14:textId="77777777" w:rsidR="00817399" w:rsidRPr="002F2BC5" w:rsidRDefault="00817399" w:rsidP="00817399">
      <w:pPr>
        <w:spacing w:line="269" w:lineRule="auto"/>
        <w:rPr>
          <w:rtl/>
        </w:rPr>
      </w:pPr>
      <w:r w:rsidRPr="002F2BC5">
        <w:rPr>
          <w:rFonts w:hint="eastAsia"/>
          <w:rtl/>
        </w:rPr>
        <w:t>הרשות</w:t>
      </w:r>
      <w:r w:rsidRPr="002F2BC5">
        <w:rPr>
          <w:rtl/>
        </w:rPr>
        <w:t xml:space="preserve"> </w:t>
      </w:r>
      <w:r w:rsidRPr="002F2BC5">
        <w:rPr>
          <w:rFonts w:hint="eastAsia"/>
          <w:rtl/>
        </w:rPr>
        <w:t>לשיקום</w:t>
      </w:r>
      <w:r w:rsidRPr="002F2BC5">
        <w:rPr>
          <w:rtl/>
        </w:rPr>
        <w:t xml:space="preserve"> </w:t>
      </w:r>
      <w:r w:rsidRPr="002F2BC5">
        <w:rPr>
          <w:rFonts w:hint="eastAsia"/>
          <w:rtl/>
        </w:rPr>
        <w:t>האסיר</w:t>
      </w:r>
      <w:r w:rsidRPr="002F2BC5">
        <w:rPr>
          <w:rtl/>
        </w:rPr>
        <w:t xml:space="preserve"> </w:t>
      </w:r>
      <w:r w:rsidRPr="002F2BC5">
        <w:rPr>
          <w:rFonts w:hint="eastAsia"/>
          <w:rtl/>
        </w:rPr>
        <w:t>מסרה</w:t>
      </w:r>
      <w:r w:rsidRPr="002F2BC5">
        <w:rPr>
          <w:rtl/>
        </w:rPr>
        <w:t xml:space="preserve"> </w:t>
      </w:r>
      <w:r w:rsidRPr="002F2BC5">
        <w:rPr>
          <w:rFonts w:hint="eastAsia"/>
          <w:rtl/>
        </w:rPr>
        <w:t>בתשובתה</w:t>
      </w:r>
      <w:r w:rsidRPr="002F2BC5">
        <w:rPr>
          <w:rtl/>
        </w:rPr>
        <w:t xml:space="preserve"> </w:t>
      </w:r>
      <w:r w:rsidRPr="002F2BC5">
        <w:rPr>
          <w:rFonts w:hint="eastAsia"/>
          <w:rtl/>
        </w:rPr>
        <w:t>כי</w:t>
      </w:r>
      <w:r w:rsidRPr="002F2BC5">
        <w:rPr>
          <w:rtl/>
        </w:rPr>
        <w:t xml:space="preserve"> </w:t>
      </w:r>
      <w:r w:rsidRPr="002F2BC5">
        <w:rPr>
          <w:rFonts w:hint="eastAsia"/>
          <w:rtl/>
        </w:rPr>
        <w:t>נציגיה</w:t>
      </w:r>
      <w:r w:rsidRPr="002F2BC5">
        <w:rPr>
          <w:rtl/>
        </w:rPr>
        <w:t xml:space="preserve"> </w:t>
      </w:r>
      <w:r w:rsidRPr="002F2BC5">
        <w:rPr>
          <w:rFonts w:hint="eastAsia"/>
          <w:rtl/>
        </w:rPr>
        <w:t>פועלים</w:t>
      </w:r>
      <w:r w:rsidRPr="002F2BC5">
        <w:rPr>
          <w:rtl/>
        </w:rPr>
        <w:t xml:space="preserve"> </w:t>
      </w:r>
      <w:r w:rsidRPr="002F2BC5">
        <w:rPr>
          <w:rFonts w:hint="eastAsia"/>
          <w:rtl/>
        </w:rPr>
        <w:t>לרתימתם</w:t>
      </w:r>
      <w:r w:rsidRPr="002F2BC5">
        <w:rPr>
          <w:rtl/>
        </w:rPr>
        <w:t xml:space="preserve"> </w:t>
      </w:r>
      <w:r w:rsidRPr="002F2BC5">
        <w:rPr>
          <w:rFonts w:hint="eastAsia"/>
          <w:rtl/>
        </w:rPr>
        <w:t>לטיפול</w:t>
      </w:r>
      <w:r w:rsidRPr="002F2BC5">
        <w:rPr>
          <w:rtl/>
        </w:rPr>
        <w:t xml:space="preserve"> </w:t>
      </w:r>
      <w:r w:rsidRPr="002F2BC5">
        <w:rPr>
          <w:rFonts w:hint="eastAsia"/>
          <w:rtl/>
        </w:rPr>
        <w:t>של</w:t>
      </w:r>
      <w:r w:rsidRPr="002F2BC5">
        <w:rPr>
          <w:rtl/>
        </w:rPr>
        <w:t xml:space="preserve"> </w:t>
      </w:r>
      <w:r w:rsidRPr="002F2BC5">
        <w:rPr>
          <w:rFonts w:hint="eastAsia"/>
          <w:rtl/>
        </w:rPr>
        <w:t>אסירים</w:t>
      </w:r>
      <w:r w:rsidRPr="002F2BC5">
        <w:rPr>
          <w:rtl/>
        </w:rPr>
        <w:t xml:space="preserve"> </w:t>
      </w:r>
      <w:r w:rsidRPr="002F2BC5">
        <w:rPr>
          <w:rFonts w:hint="eastAsia"/>
          <w:rtl/>
        </w:rPr>
        <w:t>בגין</w:t>
      </w:r>
      <w:r w:rsidRPr="002F2BC5">
        <w:rPr>
          <w:rtl/>
        </w:rPr>
        <w:t xml:space="preserve"> </w:t>
      </w:r>
      <w:r w:rsidRPr="002F2BC5">
        <w:rPr>
          <w:rFonts w:hint="eastAsia"/>
          <w:rtl/>
        </w:rPr>
        <w:t>עבירות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cs"/>
          <w:rtl/>
        </w:rPr>
        <w:t xml:space="preserve">גם </w:t>
      </w:r>
      <w:r w:rsidRPr="002F2BC5">
        <w:rPr>
          <w:rFonts w:hint="eastAsia"/>
          <w:rtl/>
        </w:rPr>
        <w:t>באמצעות</w:t>
      </w:r>
      <w:r w:rsidRPr="002F2BC5">
        <w:rPr>
          <w:rtl/>
        </w:rPr>
        <w:t xml:space="preserve"> </w:t>
      </w:r>
      <w:r w:rsidRPr="002F2BC5">
        <w:rPr>
          <w:rFonts w:hint="eastAsia"/>
          <w:rtl/>
        </w:rPr>
        <w:t>העלאת</w:t>
      </w:r>
      <w:r w:rsidRPr="002F2BC5">
        <w:rPr>
          <w:rtl/>
        </w:rPr>
        <w:t xml:space="preserve"> </w:t>
      </w:r>
      <w:r w:rsidRPr="002F2BC5">
        <w:rPr>
          <w:rFonts w:hint="eastAsia"/>
          <w:rtl/>
        </w:rPr>
        <w:t>המודעות</w:t>
      </w:r>
      <w:r w:rsidRPr="002F2BC5">
        <w:rPr>
          <w:rtl/>
        </w:rPr>
        <w:t xml:space="preserve"> </w:t>
      </w:r>
      <w:r w:rsidRPr="002F2BC5">
        <w:rPr>
          <w:rFonts w:hint="eastAsia"/>
          <w:rtl/>
        </w:rPr>
        <w:t>לזכויות</w:t>
      </w:r>
      <w:r w:rsidRPr="002F2BC5">
        <w:rPr>
          <w:rtl/>
        </w:rPr>
        <w:t xml:space="preserve"> </w:t>
      </w:r>
      <w:r w:rsidRPr="002F2BC5">
        <w:rPr>
          <w:rFonts w:hint="eastAsia"/>
          <w:rtl/>
        </w:rPr>
        <w:t>ולשירותים</w:t>
      </w:r>
      <w:r w:rsidRPr="002F2BC5">
        <w:rPr>
          <w:rtl/>
        </w:rPr>
        <w:t xml:space="preserve">, </w:t>
      </w:r>
      <w:r w:rsidRPr="002F2BC5">
        <w:rPr>
          <w:rFonts w:hint="eastAsia"/>
          <w:rtl/>
        </w:rPr>
        <w:t>לרבות</w:t>
      </w:r>
      <w:r w:rsidRPr="002F2BC5">
        <w:rPr>
          <w:rtl/>
        </w:rPr>
        <w:t xml:space="preserve"> </w:t>
      </w:r>
      <w:r w:rsidRPr="002F2BC5">
        <w:rPr>
          <w:rFonts w:hint="eastAsia"/>
          <w:rtl/>
        </w:rPr>
        <w:t>בתחום</w:t>
      </w:r>
      <w:r w:rsidRPr="002F2BC5">
        <w:rPr>
          <w:rtl/>
        </w:rPr>
        <w:t xml:space="preserve"> </w:t>
      </w:r>
      <w:r w:rsidRPr="002F2BC5">
        <w:rPr>
          <w:rFonts w:hint="eastAsia"/>
          <w:rtl/>
        </w:rPr>
        <w:t>השיקום</w:t>
      </w:r>
      <w:r w:rsidRPr="002F2BC5">
        <w:rPr>
          <w:rtl/>
        </w:rPr>
        <w:t xml:space="preserve"> </w:t>
      </w:r>
      <w:r w:rsidRPr="002F2BC5">
        <w:rPr>
          <w:rFonts w:hint="eastAsia"/>
          <w:rtl/>
        </w:rPr>
        <w:t>והטיפול</w:t>
      </w:r>
      <w:r w:rsidRPr="002F2BC5">
        <w:rPr>
          <w:rtl/>
        </w:rPr>
        <w:t xml:space="preserve">, </w:t>
      </w:r>
      <w:r w:rsidRPr="002F2BC5">
        <w:rPr>
          <w:rFonts w:hint="cs"/>
          <w:rtl/>
        </w:rPr>
        <w:t xml:space="preserve">אשר </w:t>
      </w:r>
      <w:r w:rsidRPr="002F2BC5">
        <w:rPr>
          <w:rtl/>
        </w:rPr>
        <w:t xml:space="preserve">להם </w:t>
      </w:r>
      <w:r w:rsidRPr="002F2BC5">
        <w:rPr>
          <w:rFonts w:hint="eastAsia"/>
          <w:rtl/>
        </w:rPr>
        <w:t>יהיו</w:t>
      </w:r>
      <w:r w:rsidRPr="002F2BC5">
        <w:rPr>
          <w:rtl/>
        </w:rPr>
        <w:t xml:space="preserve"> זכאים לאחר שחרורם: במסגרת </w:t>
      </w:r>
      <w:r w:rsidRPr="002F2BC5">
        <w:rPr>
          <w:rFonts w:hint="eastAsia"/>
          <w:rtl/>
        </w:rPr>
        <w:t>סדנאות</w:t>
      </w:r>
      <w:r w:rsidRPr="002F2BC5">
        <w:rPr>
          <w:rtl/>
        </w:rPr>
        <w:t xml:space="preserve"> שהיא מקיימת בבתי הסוהר באמצעות נציגיה, </w:t>
      </w:r>
      <w:r w:rsidRPr="002F2BC5">
        <w:rPr>
          <w:rFonts w:hint="eastAsia"/>
          <w:rtl/>
        </w:rPr>
        <w:t>במסגרת</w:t>
      </w:r>
      <w:r w:rsidRPr="002F2BC5">
        <w:rPr>
          <w:rtl/>
        </w:rPr>
        <w:t xml:space="preserve"> </w:t>
      </w:r>
      <w:r w:rsidRPr="002F2BC5">
        <w:rPr>
          <w:rFonts w:hint="eastAsia"/>
          <w:rtl/>
        </w:rPr>
        <w:t>מפגשים</w:t>
      </w:r>
      <w:r w:rsidRPr="002F2BC5">
        <w:rPr>
          <w:rtl/>
        </w:rPr>
        <w:t xml:space="preserve"> בבתי הסוהר </w:t>
      </w:r>
      <w:r w:rsidRPr="002F2BC5">
        <w:rPr>
          <w:rFonts w:hint="eastAsia"/>
          <w:rtl/>
        </w:rPr>
        <w:t>עם</w:t>
      </w:r>
      <w:r w:rsidRPr="002F2BC5">
        <w:rPr>
          <w:rtl/>
        </w:rPr>
        <w:t xml:space="preserve"> נציגי המסגרות השיקומיות ש</w:t>
      </w:r>
      <w:r w:rsidRPr="002F2BC5">
        <w:rPr>
          <w:rFonts w:hint="eastAsia"/>
          <w:rtl/>
        </w:rPr>
        <w:t>היא</w:t>
      </w:r>
      <w:r w:rsidRPr="002F2BC5">
        <w:rPr>
          <w:rtl/>
        </w:rPr>
        <w:t xml:space="preserve"> </w:t>
      </w:r>
      <w:r w:rsidRPr="002F2BC5">
        <w:rPr>
          <w:rFonts w:hint="eastAsia"/>
          <w:rtl/>
        </w:rPr>
        <w:t>מפעילה</w:t>
      </w:r>
      <w:r w:rsidRPr="002F2BC5">
        <w:rPr>
          <w:rtl/>
        </w:rPr>
        <w:t xml:space="preserve">, </w:t>
      </w:r>
      <w:r w:rsidRPr="002F2BC5">
        <w:rPr>
          <w:rFonts w:hint="eastAsia"/>
          <w:rtl/>
        </w:rPr>
        <w:t>במסגרת</w:t>
      </w:r>
      <w:r w:rsidRPr="002F2BC5">
        <w:rPr>
          <w:rtl/>
        </w:rPr>
        <w:t xml:space="preserve"> </w:t>
      </w:r>
      <w:r w:rsidRPr="002F2BC5">
        <w:rPr>
          <w:rFonts w:hint="eastAsia"/>
          <w:rtl/>
        </w:rPr>
        <w:t>מפגשים</w:t>
      </w:r>
      <w:r w:rsidRPr="002F2BC5">
        <w:rPr>
          <w:rtl/>
        </w:rPr>
        <w:t xml:space="preserve"> </w:t>
      </w:r>
      <w:r w:rsidRPr="002F2BC5">
        <w:rPr>
          <w:rFonts w:hint="eastAsia"/>
          <w:rtl/>
        </w:rPr>
        <w:t>משותפים</w:t>
      </w:r>
      <w:r w:rsidRPr="002F2BC5">
        <w:rPr>
          <w:rtl/>
        </w:rPr>
        <w:t xml:space="preserve"> </w:t>
      </w:r>
      <w:r w:rsidRPr="002F2BC5">
        <w:rPr>
          <w:rFonts w:hint="eastAsia"/>
          <w:rtl/>
        </w:rPr>
        <w:t>של</w:t>
      </w:r>
      <w:r w:rsidRPr="002F2BC5">
        <w:rPr>
          <w:rtl/>
        </w:rPr>
        <w:t xml:space="preserve"> </w:t>
      </w:r>
      <w:r w:rsidRPr="002F2BC5">
        <w:rPr>
          <w:rFonts w:hint="eastAsia"/>
          <w:rtl/>
        </w:rPr>
        <w:t>האסירים</w:t>
      </w:r>
      <w:r w:rsidRPr="002F2BC5">
        <w:rPr>
          <w:rtl/>
        </w:rPr>
        <w:t xml:space="preserve"> עם ילדי</w:t>
      </w:r>
      <w:r w:rsidRPr="002F2BC5">
        <w:rPr>
          <w:rFonts w:hint="eastAsia"/>
          <w:rtl/>
        </w:rPr>
        <w:t>הם</w:t>
      </w:r>
      <w:r w:rsidRPr="002F2BC5">
        <w:rPr>
          <w:rtl/>
        </w:rPr>
        <w:t xml:space="preserve"> (</w:t>
      </w:r>
      <w:r w:rsidRPr="002F2BC5">
        <w:rPr>
          <w:rFonts w:hint="eastAsia"/>
          <w:rtl/>
        </w:rPr>
        <w:t>פרויקט</w:t>
      </w:r>
      <w:r w:rsidRPr="002F2BC5">
        <w:rPr>
          <w:rtl/>
        </w:rPr>
        <w:t xml:space="preserve"> "ילדי </w:t>
      </w:r>
      <w:r w:rsidRPr="002F2BC5">
        <w:rPr>
          <w:rFonts w:hint="eastAsia"/>
          <w:rtl/>
        </w:rPr>
        <w:t>האסיר</w:t>
      </w:r>
      <w:r w:rsidRPr="002F2BC5">
        <w:rPr>
          <w:rtl/>
        </w:rPr>
        <w:t xml:space="preserve">", </w:t>
      </w:r>
      <w:r w:rsidRPr="002F2BC5">
        <w:rPr>
          <w:rFonts w:hint="eastAsia"/>
          <w:rtl/>
        </w:rPr>
        <w:t>בשיתוף</w:t>
      </w:r>
      <w:r w:rsidRPr="002F2BC5">
        <w:rPr>
          <w:rtl/>
        </w:rPr>
        <w:t xml:space="preserve"> </w:t>
      </w:r>
      <w:r w:rsidRPr="002F2BC5">
        <w:rPr>
          <w:rFonts w:hint="eastAsia"/>
          <w:rtl/>
        </w:rPr>
        <w:t>שירות</w:t>
      </w:r>
      <w:r w:rsidRPr="002F2BC5">
        <w:rPr>
          <w:rtl/>
        </w:rPr>
        <w:t xml:space="preserve"> </w:t>
      </w:r>
      <w:r w:rsidRPr="002F2BC5">
        <w:rPr>
          <w:rFonts w:hint="eastAsia"/>
          <w:rtl/>
        </w:rPr>
        <w:t>בתי</w:t>
      </w:r>
      <w:r w:rsidRPr="002F2BC5">
        <w:rPr>
          <w:rtl/>
        </w:rPr>
        <w:t xml:space="preserve"> </w:t>
      </w:r>
      <w:r w:rsidRPr="002F2BC5">
        <w:rPr>
          <w:rFonts w:hint="eastAsia"/>
          <w:rtl/>
        </w:rPr>
        <w:t>הסוהר</w:t>
      </w:r>
      <w:r w:rsidRPr="002F2BC5">
        <w:rPr>
          <w:rtl/>
        </w:rPr>
        <w:t xml:space="preserve">) וכן </w:t>
      </w:r>
      <w:r w:rsidRPr="002F2BC5">
        <w:rPr>
          <w:rFonts w:hint="eastAsia"/>
          <w:rtl/>
        </w:rPr>
        <w:t>באמצעות</w:t>
      </w:r>
      <w:r w:rsidRPr="002F2BC5">
        <w:rPr>
          <w:rtl/>
        </w:rPr>
        <w:t xml:space="preserve"> </w:t>
      </w:r>
      <w:r w:rsidRPr="002F2BC5">
        <w:rPr>
          <w:rFonts w:hint="eastAsia"/>
          <w:rtl/>
        </w:rPr>
        <w:t>הפצת</w:t>
      </w:r>
      <w:r w:rsidRPr="002F2BC5">
        <w:rPr>
          <w:rtl/>
        </w:rPr>
        <w:t xml:space="preserve"> </w:t>
      </w:r>
      <w:r w:rsidRPr="002F2BC5">
        <w:rPr>
          <w:rFonts w:hint="eastAsia"/>
          <w:rtl/>
        </w:rPr>
        <w:t>חוברות</w:t>
      </w:r>
      <w:r w:rsidRPr="002F2BC5">
        <w:rPr>
          <w:rtl/>
        </w:rPr>
        <w:t xml:space="preserve"> </w:t>
      </w:r>
      <w:r w:rsidRPr="002F2BC5">
        <w:rPr>
          <w:rFonts w:hint="eastAsia"/>
          <w:rtl/>
        </w:rPr>
        <w:t>מידע</w:t>
      </w:r>
      <w:r w:rsidRPr="002F2BC5">
        <w:rPr>
          <w:rtl/>
        </w:rPr>
        <w:t xml:space="preserve"> בנושא.</w:t>
      </w:r>
      <w:r w:rsidRPr="002F2BC5">
        <w:rPr>
          <w:rFonts w:hint="cs"/>
          <w:rtl/>
        </w:rPr>
        <w:t xml:space="preserve"> </w:t>
      </w:r>
    </w:p>
    <w:p w14:paraId="4A6EF07A" w14:textId="77777777" w:rsidR="00817399" w:rsidRPr="002F2BC5" w:rsidRDefault="00817399" w:rsidP="00817399">
      <w:pPr>
        <w:spacing w:line="269" w:lineRule="auto"/>
        <w:rPr>
          <w:rtl/>
        </w:rPr>
      </w:pPr>
    </w:p>
    <w:p w14:paraId="1D0C596E" w14:textId="77777777" w:rsidR="00817399" w:rsidRPr="002F2BC5" w:rsidRDefault="00817399" w:rsidP="00817399">
      <w:pPr>
        <w:pStyle w:val="afffffffa"/>
        <w:spacing w:line="269" w:lineRule="auto"/>
        <w:rPr>
          <w:rtl/>
        </w:rPr>
      </w:pPr>
      <w:bookmarkStart w:id="2452" w:name="_Toc200637016"/>
      <w:bookmarkStart w:id="2453" w:name="_Toc200440014"/>
      <w:bookmarkStart w:id="2454" w:name="_Toc201241119"/>
      <w:bookmarkStart w:id="2455" w:name="_Toc191987225"/>
      <w:bookmarkStart w:id="2456" w:name="_Toc192093219"/>
      <w:bookmarkStart w:id="2457" w:name="_Toc192612927"/>
      <w:bookmarkStart w:id="2458" w:name="_Toc198312382"/>
      <w:bookmarkStart w:id="2459" w:name="_Toc198312869"/>
      <w:r w:rsidRPr="002F2BC5">
        <w:rPr>
          <w:rFonts w:hint="cs"/>
          <w:rtl/>
        </w:rPr>
        <w:t>מומלץ</w:t>
      </w:r>
      <w:r w:rsidRPr="002F2BC5">
        <w:rPr>
          <w:rtl/>
        </w:rPr>
        <w:t xml:space="preserve"> </w:t>
      </w:r>
      <w:r w:rsidRPr="002F2BC5">
        <w:rPr>
          <w:rFonts w:hint="cs"/>
          <w:rtl/>
        </w:rPr>
        <w:t xml:space="preserve">למשרד הרווחה, כמי שעומד בראש המערך הלאומי להתמודדות עם תופעת האלימות במשפחה, בשיתוף </w:t>
      </w:r>
      <w:r w:rsidRPr="002F2BC5">
        <w:rPr>
          <w:rtl/>
        </w:rPr>
        <w:t>המשרד לביטחון לאומי, שירות בתי הסוהר והרשות לשיקום האסיר</w:t>
      </w:r>
      <w:r w:rsidRPr="002F2BC5">
        <w:rPr>
          <w:rFonts w:hint="cs"/>
          <w:rtl/>
        </w:rPr>
        <w:t>,</w:t>
      </w:r>
      <w:r w:rsidRPr="002F2BC5">
        <w:rPr>
          <w:rtl/>
        </w:rPr>
        <w:t xml:space="preserve"> </w:t>
      </w:r>
      <w:r w:rsidRPr="002F2BC5">
        <w:rPr>
          <w:rFonts w:hint="cs"/>
          <w:rtl/>
        </w:rPr>
        <w:t xml:space="preserve">לפתח </w:t>
      </w:r>
      <w:r w:rsidRPr="002F2BC5">
        <w:rPr>
          <w:rFonts w:hint="eastAsia"/>
          <w:rtl/>
        </w:rPr>
        <w:t>ולפעול</w:t>
      </w:r>
      <w:r w:rsidRPr="002F2BC5">
        <w:rPr>
          <w:rtl/>
        </w:rPr>
        <w:t xml:space="preserve"> </w:t>
      </w:r>
      <w:r w:rsidRPr="002F2BC5">
        <w:rPr>
          <w:rFonts w:hint="eastAsia"/>
          <w:rtl/>
        </w:rPr>
        <w:t>ליישו</w:t>
      </w:r>
      <w:r w:rsidRPr="002F2BC5">
        <w:rPr>
          <w:rFonts w:hint="cs"/>
          <w:rtl/>
        </w:rPr>
        <w:t>ם ולהרחבה</w:t>
      </w:r>
      <w:r w:rsidRPr="002F2BC5">
        <w:rPr>
          <w:rtl/>
        </w:rPr>
        <w:t xml:space="preserve"> </w:t>
      </w:r>
      <w:r w:rsidRPr="002F2BC5">
        <w:rPr>
          <w:rFonts w:hint="eastAsia"/>
          <w:rtl/>
        </w:rPr>
        <w:t>של</w:t>
      </w:r>
      <w:r w:rsidRPr="002F2BC5">
        <w:rPr>
          <w:rFonts w:hint="cs"/>
          <w:rtl/>
        </w:rPr>
        <w:t xml:space="preserve"> המענים השיקומיים העומדים בהלימה</w:t>
      </w:r>
      <w:r w:rsidRPr="002F2BC5">
        <w:rPr>
          <w:rtl/>
        </w:rPr>
        <w:t xml:space="preserve"> למסוכנותם הגבוהה של אסירים </w:t>
      </w:r>
      <w:r w:rsidRPr="002F2BC5">
        <w:rPr>
          <w:rFonts w:hint="cs"/>
          <w:rtl/>
        </w:rPr>
        <w:t xml:space="preserve">המרצים מאסר בגין עבירות אלימות במשפחה, </w:t>
      </w:r>
      <w:r w:rsidRPr="002F2BC5">
        <w:rPr>
          <w:rFonts w:hint="eastAsia"/>
          <w:rtl/>
        </w:rPr>
        <w:t>ה</w:t>
      </w:r>
      <w:r w:rsidRPr="002F2BC5">
        <w:rPr>
          <w:rtl/>
        </w:rPr>
        <w:t xml:space="preserve">משתחררים שחרור מלא או שחרור מינהלי </w:t>
      </w:r>
      <w:r w:rsidRPr="002F2BC5">
        <w:rPr>
          <w:rFonts w:hint="cs"/>
          <w:rtl/>
        </w:rPr>
        <w:t>-</w:t>
      </w:r>
      <w:r w:rsidRPr="002F2BC5">
        <w:rPr>
          <w:rtl/>
        </w:rPr>
        <w:t xml:space="preserve"> ונכון למועד סיום </w:t>
      </w:r>
      <w:r w:rsidRPr="002F2BC5">
        <w:rPr>
          <w:rFonts w:hint="cs"/>
          <w:rtl/>
        </w:rPr>
        <w:t>ביקורת המעקב</w:t>
      </w:r>
      <w:r w:rsidRPr="002F2BC5">
        <w:rPr>
          <w:rtl/>
        </w:rPr>
        <w:t xml:space="preserve"> חוזרים לקהילה בלי שהם משולבים בתוכנית שיקום </w:t>
      </w:r>
      <w:r w:rsidRPr="002F2BC5">
        <w:rPr>
          <w:rFonts w:hint="cs"/>
          <w:rtl/>
        </w:rPr>
        <w:t>בקהילה</w:t>
      </w:r>
      <w:r w:rsidRPr="002F2BC5">
        <w:rPr>
          <w:rtl/>
        </w:rPr>
        <w:t>.</w:t>
      </w:r>
      <w:r w:rsidRPr="002F2BC5">
        <w:rPr>
          <w:rFonts w:hint="cs"/>
          <w:rtl/>
        </w:rPr>
        <w:t xml:space="preserve"> בתוך כך מומלץ לבחון את התאמת ההסדרים החוקיים </w:t>
      </w:r>
      <w:r w:rsidRPr="002F2BC5">
        <w:rPr>
          <w:rFonts w:hint="eastAsia"/>
          <w:rtl/>
        </w:rPr>
        <w:t>או</w:t>
      </w:r>
      <w:r w:rsidRPr="002F2BC5">
        <w:rPr>
          <w:rtl/>
        </w:rPr>
        <w:t xml:space="preserve"> </w:t>
      </w:r>
      <w:r w:rsidRPr="002F2BC5">
        <w:rPr>
          <w:rFonts w:hint="eastAsia"/>
          <w:rtl/>
        </w:rPr>
        <w:t>הוראות</w:t>
      </w:r>
      <w:r w:rsidRPr="002F2BC5">
        <w:rPr>
          <w:rtl/>
        </w:rPr>
        <w:t xml:space="preserve"> </w:t>
      </w:r>
      <w:r w:rsidRPr="002F2BC5">
        <w:rPr>
          <w:rFonts w:hint="eastAsia"/>
          <w:rtl/>
        </w:rPr>
        <w:t>רגולטוריות</w:t>
      </w:r>
      <w:r w:rsidRPr="002F2BC5">
        <w:rPr>
          <w:rtl/>
        </w:rPr>
        <w:t xml:space="preserve"> </w:t>
      </w:r>
      <w:r w:rsidRPr="002F2BC5">
        <w:rPr>
          <w:rFonts w:hint="eastAsia"/>
          <w:rtl/>
        </w:rPr>
        <w:t>אחרות</w:t>
      </w:r>
      <w:r w:rsidRPr="002F2BC5">
        <w:rPr>
          <w:rFonts w:hint="cs"/>
          <w:rtl/>
        </w:rPr>
        <w:t xml:space="preserve"> </w:t>
      </w:r>
      <w:r w:rsidRPr="002F2BC5">
        <w:rPr>
          <w:rFonts w:hint="cs"/>
          <w:rtl/>
        </w:rPr>
        <w:lastRenderedPageBreak/>
        <w:t>באופן שיתאפשר לרתום ולעודד השתלבות בתוכניות שיקום בקהילה גם של אסירים שריצו מאסר קצר בגין עבירת אלימות במשפחה, ואשר עניינם גם אינו מובא בפני ועדת השחרורים מכוח ההסדרים הקבועים בדין. זאת לדוגמה בדרך של התניית השחרור בחישוב תקופת המעצר עד תום ההליכים במניין תקופת המעצר.</w:t>
      </w:r>
      <w:bookmarkEnd w:id="2452"/>
      <w:bookmarkEnd w:id="2453"/>
      <w:bookmarkEnd w:id="2454"/>
      <w:r w:rsidRPr="002F2BC5">
        <w:rPr>
          <w:rFonts w:hint="cs"/>
          <w:rtl/>
        </w:rPr>
        <w:t xml:space="preserve"> </w:t>
      </w:r>
      <w:bookmarkEnd w:id="2455"/>
      <w:bookmarkEnd w:id="2456"/>
      <w:bookmarkEnd w:id="2457"/>
      <w:bookmarkEnd w:id="2458"/>
      <w:bookmarkEnd w:id="2459"/>
    </w:p>
    <w:p w14:paraId="7DCF9405" w14:textId="77777777" w:rsidR="00817399" w:rsidRPr="002F2BC5" w:rsidRDefault="00817399" w:rsidP="00817399">
      <w:pPr>
        <w:spacing w:line="269" w:lineRule="auto"/>
        <w:rPr>
          <w:rtl/>
        </w:rPr>
      </w:pPr>
    </w:p>
    <w:p w14:paraId="1F6E7376" w14:textId="77777777" w:rsidR="00817399" w:rsidRPr="002F2BC5" w:rsidRDefault="00817399" w:rsidP="00817399">
      <w:pPr>
        <w:spacing w:line="269" w:lineRule="auto"/>
        <w:rPr>
          <w:rtl/>
        </w:rPr>
      </w:pPr>
      <w:r w:rsidRPr="002F2BC5">
        <w:rPr>
          <w:rFonts w:hint="cs"/>
          <w:rtl/>
        </w:rPr>
        <w:t xml:space="preserve">משטרת ישראל מסרה בתשובתה כי היא תברך על כל מענה שיקומי לאסירים משוחררים שריצו מאסר בגין עבירות אלימות במשפחה, אם יהיה בו כדי להפחית באופן מועיל את רמת מסוכנותם, אך זאת בלבד שהדבר ייעשה בשיתוף כלל גורמי המקצוע הרלוונטיים, ובהם גורמי הרווחה, הרשות לשיקום האסיר וכן הפרקליטות - שנציגיה מופיעים בפני ועדות השחרורים. </w:t>
      </w:r>
      <w:r w:rsidRPr="002F2BC5">
        <w:rPr>
          <w:rFonts w:hint="eastAsia"/>
          <w:rtl/>
        </w:rPr>
        <w:t>היא</w:t>
      </w:r>
      <w:r w:rsidRPr="002F2BC5">
        <w:rPr>
          <w:rtl/>
        </w:rPr>
        <w:t xml:space="preserve"> </w:t>
      </w:r>
      <w:r w:rsidRPr="002F2BC5">
        <w:rPr>
          <w:rFonts w:hint="eastAsia"/>
          <w:rtl/>
        </w:rPr>
        <w:t>הוסיפה</w:t>
      </w:r>
      <w:r w:rsidRPr="002F2BC5">
        <w:rPr>
          <w:rtl/>
        </w:rPr>
        <w:t xml:space="preserve"> </w:t>
      </w:r>
      <w:r w:rsidRPr="002F2BC5">
        <w:rPr>
          <w:rFonts w:hint="eastAsia"/>
          <w:rtl/>
        </w:rPr>
        <w:t>כי</w:t>
      </w:r>
      <w:r w:rsidRPr="002F2BC5">
        <w:rPr>
          <w:rtl/>
        </w:rPr>
        <w:t xml:space="preserve"> </w:t>
      </w:r>
      <w:r w:rsidRPr="002F2BC5">
        <w:rPr>
          <w:rFonts w:hint="eastAsia"/>
          <w:rtl/>
        </w:rPr>
        <w:t>שעה</w:t>
      </w:r>
      <w:r w:rsidRPr="002F2BC5">
        <w:rPr>
          <w:rtl/>
        </w:rPr>
        <w:t xml:space="preserve"> שנפגע </w:t>
      </w:r>
      <w:r w:rsidRPr="002F2BC5">
        <w:rPr>
          <w:rFonts w:hint="eastAsia"/>
          <w:rtl/>
        </w:rPr>
        <w:t>עבירת</w:t>
      </w:r>
      <w:r w:rsidRPr="002F2BC5">
        <w:rPr>
          <w:rtl/>
        </w:rPr>
        <w:t xml:space="preserve"> </w:t>
      </w:r>
      <w:r w:rsidRPr="002F2BC5">
        <w:rPr>
          <w:rFonts w:hint="eastAsia"/>
          <w:rtl/>
        </w:rPr>
        <w:t>אלימות</w:t>
      </w:r>
      <w:r w:rsidRPr="002F2BC5">
        <w:rPr>
          <w:rtl/>
        </w:rPr>
        <w:t xml:space="preserve"> </w:t>
      </w:r>
      <w:r w:rsidRPr="002F2BC5">
        <w:rPr>
          <w:rFonts w:hint="eastAsia"/>
          <w:rtl/>
        </w:rPr>
        <w:t>במשפחה</w:t>
      </w:r>
      <w:r w:rsidRPr="002F2BC5">
        <w:rPr>
          <w:rtl/>
        </w:rPr>
        <w:t xml:space="preserve"> </w:t>
      </w:r>
      <w:r w:rsidRPr="002F2BC5">
        <w:rPr>
          <w:rFonts w:hint="eastAsia"/>
          <w:rtl/>
        </w:rPr>
        <w:t>ביקש</w:t>
      </w:r>
      <w:r w:rsidRPr="002F2BC5">
        <w:rPr>
          <w:rtl/>
        </w:rPr>
        <w:t xml:space="preserve"> לקבל מידע </w:t>
      </w:r>
      <w:r w:rsidRPr="002F2BC5">
        <w:rPr>
          <w:rFonts w:hint="eastAsia"/>
          <w:rtl/>
        </w:rPr>
        <w:t>על</w:t>
      </w:r>
      <w:r w:rsidRPr="002F2BC5">
        <w:rPr>
          <w:rtl/>
        </w:rPr>
        <w:t xml:space="preserve"> </w:t>
      </w:r>
      <w:r w:rsidRPr="002F2BC5">
        <w:rPr>
          <w:rFonts w:hint="eastAsia"/>
          <w:rtl/>
        </w:rPr>
        <w:t>מהלך</w:t>
      </w:r>
      <w:r w:rsidRPr="002F2BC5">
        <w:rPr>
          <w:rtl/>
        </w:rPr>
        <w:t xml:space="preserve"> </w:t>
      </w:r>
      <w:r w:rsidRPr="002F2BC5">
        <w:rPr>
          <w:rFonts w:hint="eastAsia"/>
          <w:rtl/>
        </w:rPr>
        <w:t>מאסרו</w:t>
      </w:r>
      <w:r w:rsidRPr="002F2BC5">
        <w:rPr>
          <w:rtl/>
        </w:rPr>
        <w:t xml:space="preserve"> </w:t>
      </w:r>
      <w:r w:rsidRPr="002F2BC5">
        <w:rPr>
          <w:rFonts w:hint="eastAsia"/>
          <w:rtl/>
        </w:rPr>
        <w:t>של</w:t>
      </w:r>
      <w:r w:rsidRPr="002F2BC5">
        <w:rPr>
          <w:rtl/>
        </w:rPr>
        <w:t xml:space="preserve"> </w:t>
      </w:r>
      <w:r w:rsidRPr="002F2BC5">
        <w:rPr>
          <w:rFonts w:hint="eastAsia"/>
          <w:rtl/>
        </w:rPr>
        <w:t>האסיר</w:t>
      </w:r>
      <w:r w:rsidRPr="002F2BC5">
        <w:rPr>
          <w:rtl/>
        </w:rPr>
        <w:t xml:space="preserve"> שריצה מאסר בגין עבירה זו, </w:t>
      </w:r>
      <w:r w:rsidRPr="002F2BC5">
        <w:rPr>
          <w:rFonts w:hint="eastAsia"/>
          <w:rtl/>
        </w:rPr>
        <w:t>לרבות</w:t>
      </w:r>
      <w:r w:rsidRPr="002F2BC5">
        <w:rPr>
          <w:rtl/>
        </w:rPr>
        <w:t xml:space="preserve"> </w:t>
      </w:r>
      <w:r w:rsidRPr="002F2BC5">
        <w:rPr>
          <w:rFonts w:hint="eastAsia"/>
          <w:rtl/>
        </w:rPr>
        <w:t>על</w:t>
      </w:r>
      <w:r w:rsidRPr="002F2BC5">
        <w:rPr>
          <w:rtl/>
        </w:rPr>
        <w:t xml:space="preserve"> </w:t>
      </w:r>
      <w:r w:rsidRPr="002F2BC5">
        <w:rPr>
          <w:rFonts w:hint="eastAsia"/>
          <w:rtl/>
        </w:rPr>
        <w:t>סיום</w:t>
      </w:r>
      <w:r w:rsidRPr="002F2BC5">
        <w:rPr>
          <w:rtl/>
        </w:rPr>
        <w:t xml:space="preserve"> </w:t>
      </w:r>
      <w:r w:rsidRPr="002F2BC5">
        <w:rPr>
          <w:rFonts w:hint="eastAsia"/>
          <w:rtl/>
        </w:rPr>
        <w:t>ריצוי</w:t>
      </w:r>
      <w:r w:rsidRPr="002F2BC5">
        <w:rPr>
          <w:rtl/>
        </w:rPr>
        <w:t xml:space="preserve"> </w:t>
      </w:r>
      <w:r w:rsidRPr="002F2BC5">
        <w:rPr>
          <w:rFonts w:hint="eastAsia"/>
          <w:rtl/>
        </w:rPr>
        <w:t>תקופת</w:t>
      </w:r>
      <w:r w:rsidRPr="002F2BC5">
        <w:rPr>
          <w:rtl/>
        </w:rPr>
        <w:t xml:space="preserve"> </w:t>
      </w:r>
      <w:r w:rsidRPr="002F2BC5">
        <w:rPr>
          <w:rFonts w:hint="eastAsia"/>
          <w:rtl/>
        </w:rPr>
        <w:t>המאסר</w:t>
      </w:r>
      <w:r w:rsidRPr="002F2BC5">
        <w:rPr>
          <w:rStyle w:val="af9"/>
          <w:rtl/>
        </w:rPr>
        <w:footnoteReference w:id="494"/>
      </w:r>
      <w:r w:rsidRPr="002F2BC5">
        <w:rPr>
          <w:rtl/>
        </w:rPr>
        <w:t xml:space="preserve">, </w:t>
      </w:r>
      <w:r w:rsidRPr="002F2BC5">
        <w:rPr>
          <w:rFonts w:hint="eastAsia"/>
          <w:rtl/>
        </w:rPr>
        <w:t>לפי</w:t>
      </w:r>
      <w:r w:rsidRPr="002F2BC5">
        <w:rPr>
          <w:rtl/>
        </w:rPr>
        <w:t xml:space="preserve"> ההסדר הקבוע </w:t>
      </w:r>
      <w:r w:rsidRPr="002F2BC5">
        <w:rPr>
          <w:rFonts w:hint="eastAsia"/>
          <w:rtl/>
        </w:rPr>
        <w:t>בחוק</w:t>
      </w:r>
      <w:r w:rsidRPr="002F2BC5">
        <w:rPr>
          <w:rtl/>
        </w:rPr>
        <w:t xml:space="preserve"> זכויות נפגעי עבירה, התשס"א-2001, </w:t>
      </w:r>
      <w:r w:rsidRPr="002F2BC5">
        <w:rPr>
          <w:rFonts w:hint="eastAsia"/>
          <w:rtl/>
        </w:rPr>
        <w:t>העדכונים</w:t>
      </w:r>
      <w:r w:rsidRPr="002F2BC5">
        <w:rPr>
          <w:rtl/>
        </w:rPr>
        <w:t xml:space="preserve"> בנושא יועברו אליו </w:t>
      </w:r>
      <w:r w:rsidRPr="002F2BC5">
        <w:rPr>
          <w:rFonts w:hint="eastAsia"/>
          <w:rtl/>
        </w:rPr>
        <w:t>באמצעות</w:t>
      </w:r>
      <w:r w:rsidRPr="002F2BC5">
        <w:rPr>
          <w:rtl/>
        </w:rPr>
        <w:t xml:space="preserve"> </w:t>
      </w:r>
      <w:r w:rsidRPr="002F2BC5">
        <w:rPr>
          <w:rFonts w:hint="eastAsia"/>
          <w:rtl/>
        </w:rPr>
        <w:t>מערכת</w:t>
      </w:r>
      <w:r w:rsidRPr="002F2BC5">
        <w:rPr>
          <w:rtl/>
        </w:rPr>
        <w:t xml:space="preserve"> המידע המשטרתית (מערכת </w:t>
      </w:r>
      <w:r w:rsidRPr="002F2BC5">
        <w:rPr>
          <w:rFonts w:hint="eastAsia"/>
          <w:rtl/>
        </w:rPr>
        <w:t>מנ</w:t>
      </w:r>
      <w:r w:rsidRPr="002F2BC5">
        <w:rPr>
          <w:rtl/>
        </w:rPr>
        <w:t>"ע)</w:t>
      </w:r>
      <w:r w:rsidRPr="002F2BC5">
        <w:rPr>
          <w:rFonts w:hint="cs"/>
          <w:rtl/>
        </w:rPr>
        <w:t>,</w:t>
      </w:r>
      <w:r w:rsidRPr="002F2BC5">
        <w:rPr>
          <w:rtl/>
        </w:rPr>
        <w:t xml:space="preserve"> </w:t>
      </w:r>
      <w:r w:rsidRPr="002F2BC5">
        <w:rPr>
          <w:rFonts w:hint="eastAsia"/>
          <w:rtl/>
        </w:rPr>
        <w:t>שאליה</w:t>
      </w:r>
      <w:r w:rsidRPr="002F2BC5">
        <w:rPr>
          <w:rtl/>
        </w:rPr>
        <w:t xml:space="preserve"> התקבל </w:t>
      </w:r>
      <w:r w:rsidRPr="002F2BC5">
        <w:rPr>
          <w:rFonts w:hint="eastAsia"/>
          <w:rtl/>
        </w:rPr>
        <w:t>המידע</w:t>
      </w:r>
      <w:r w:rsidRPr="002F2BC5">
        <w:rPr>
          <w:rtl/>
        </w:rPr>
        <w:t xml:space="preserve"> </w:t>
      </w:r>
      <w:r w:rsidRPr="002F2BC5">
        <w:rPr>
          <w:rFonts w:hint="eastAsia"/>
          <w:rtl/>
        </w:rPr>
        <w:t>בנושא</w:t>
      </w:r>
      <w:r w:rsidRPr="002F2BC5">
        <w:rPr>
          <w:rtl/>
        </w:rPr>
        <w:t xml:space="preserve"> </w:t>
      </w:r>
      <w:r w:rsidRPr="002F2BC5">
        <w:rPr>
          <w:rFonts w:hint="eastAsia"/>
          <w:rtl/>
        </w:rPr>
        <w:t>משירות</w:t>
      </w:r>
      <w:r w:rsidRPr="002F2BC5">
        <w:rPr>
          <w:rtl/>
        </w:rPr>
        <w:t xml:space="preserve"> </w:t>
      </w:r>
      <w:r w:rsidRPr="002F2BC5">
        <w:rPr>
          <w:rFonts w:hint="eastAsia"/>
          <w:rtl/>
        </w:rPr>
        <w:t>בתי</w:t>
      </w:r>
      <w:r w:rsidRPr="002F2BC5">
        <w:rPr>
          <w:rtl/>
        </w:rPr>
        <w:t xml:space="preserve"> </w:t>
      </w:r>
      <w:r w:rsidRPr="002F2BC5">
        <w:rPr>
          <w:rFonts w:hint="eastAsia"/>
          <w:rtl/>
        </w:rPr>
        <w:t>הסוהר</w:t>
      </w:r>
      <w:r w:rsidRPr="002F2BC5">
        <w:rPr>
          <w:rFonts w:hint="cs"/>
          <w:rtl/>
        </w:rPr>
        <w:t>. שירות בתי הסוהר מסר בתשובתו כי הוא פועל לרתימתם לטיפול של אסירים המרצים מאסר בגין עבירות אלימות במשפחה עוד במהלך מאסרם, דבר המגביר את הסיכוי כי ישוחררו בשחרור מוקדם לפי החלטת ועדת השחרורים</w:t>
      </w:r>
      <w:r w:rsidRPr="002F2BC5">
        <w:rPr>
          <w:rtl/>
        </w:rPr>
        <w:t>.</w:t>
      </w:r>
      <w:r w:rsidRPr="002F2BC5">
        <w:rPr>
          <w:rFonts w:hint="cs"/>
          <w:rtl/>
        </w:rPr>
        <w:t xml:space="preserve"> עוד הוסיף כי הוא מסכים על ה</w:t>
      </w:r>
      <w:r w:rsidRPr="002F2BC5">
        <w:rPr>
          <w:rtl/>
        </w:rPr>
        <w:t xml:space="preserve">צורך </w:t>
      </w:r>
      <w:r w:rsidRPr="002F2BC5">
        <w:rPr>
          <w:rFonts w:hint="cs"/>
          <w:rtl/>
        </w:rPr>
        <w:t xml:space="preserve">המהותי לקיים </w:t>
      </w:r>
      <w:r w:rsidRPr="002F2BC5">
        <w:rPr>
          <w:rtl/>
        </w:rPr>
        <w:t xml:space="preserve">חשיבה </w:t>
      </w:r>
      <w:r w:rsidRPr="002F2BC5">
        <w:rPr>
          <w:rFonts w:hint="cs"/>
          <w:rtl/>
        </w:rPr>
        <w:t xml:space="preserve">משותפת של כלל הגופים בעניין אפשרויות שיקומם של אסירים אלו, משימה שהעמידה בה מחייבת תכלול ויצירתיות, ומסר כי </w:t>
      </w:r>
      <w:r w:rsidRPr="002F2BC5">
        <w:rPr>
          <w:rtl/>
        </w:rPr>
        <w:t>ישתף פעולה</w:t>
      </w:r>
      <w:r w:rsidRPr="002F2BC5">
        <w:rPr>
          <w:rFonts w:hint="cs"/>
          <w:rtl/>
        </w:rPr>
        <w:t xml:space="preserve"> אם יידרש, שכן נושאים אלו אינם באחריותו.</w:t>
      </w:r>
    </w:p>
    <w:p w14:paraId="6B504238" w14:textId="77777777" w:rsidR="00817399" w:rsidRPr="002F2BC5" w:rsidRDefault="00817399" w:rsidP="00817399">
      <w:pPr>
        <w:spacing w:line="269" w:lineRule="auto"/>
        <w:rPr>
          <w:rtl/>
        </w:rPr>
      </w:pPr>
    </w:p>
    <w:p w14:paraId="01093BB5" w14:textId="77777777" w:rsidR="00817399" w:rsidRPr="002F2BC5" w:rsidRDefault="00817399" w:rsidP="00817399">
      <w:pPr>
        <w:spacing w:line="269" w:lineRule="auto"/>
        <w:rPr>
          <w:rtl/>
        </w:rPr>
      </w:pPr>
      <w:r w:rsidRPr="002F2BC5">
        <w:rPr>
          <w:rFonts w:hint="cs"/>
          <w:rtl/>
        </w:rPr>
        <w:t>משרד המשפטים מסר בתשובתו כי מנגנון השחרור המינהלי משמש להתמודדות עם בעיית הצפיפות במתקני הכליאה, שאף הוחרפה בעקבות מלחמת חרבות ברזל. החרגתם של אסירים שהורשעו בעבירות אלימות במשפחה, עבירות מין ועבירות אלימות חמורה, לצד אסירים שהורשעו בעבירות ביטחוניות, ממתכונתו המורחבת של השחרור המינהלי, במסגרת תיקון 57 לפקודת בתי הסוהר, נועדה לייצר איזון ראוי בין בעיית הצפיפות במתקני הכליאה ובין החובה להגן על שלום הציבור וביטחונו. בהתייחס להתניית השחרור ממאסר בהליך טיפולי-שיקומי מסר, כי אם אדם סיים לשאת את מלוא תקופת המאסר שגזר עליו בית המשפט, לא ניתן עוד לעכב את שחרורו. כן ציין כי טרם הועברה להתייחסותו הצעת ה</w:t>
      </w:r>
      <w:r w:rsidRPr="002F2BC5">
        <w:rPr>
          <w:rtl/>
        </w:rPr>
        <w:t xml:space="preserve">חקיקה </w:t>
      </w:r>
      <w:r w:rsidRPr="002F2BC5">
        <w:rPr>
          <w:rFonts w:hint="cs"/>
          <w:rtl/>
        </w:rPr>
        <w:t xml:space="preserve">בנוגע </w:t>
      </w:r>
      <w:r w:rsidRPr="002F2BC5">
        <w:rPr>
          <w:rtl/>
        </w:rPr>
        <w:t>להתנ</w:t>
      </w:r>
      <w:r w:rsidRPr="002F2BC5">
        <w:rPr>
          <w:rFonts w:hint="cs"/>
          <w:rtl/>
        </w:rPr>
        <w:t>יי</w:t>
      </w:r>
      <w:r w:rsidRPr="002F2BC5">
        <w:rPr>
          <w:rtl/>
        </w:rPr>
        <w:t>ת חישוב תקופת המעצר עד תום ההליכים המשפטיים בעבירות אלימות במשפחה במניין תקופת המאסר</w:t>
      </w:r>
      <w:r w:rsidRPr="002F2BC5">
        <w:rPr>
          <w:rFonts w:hint="cs"/>
          <w:rtl/>
        </w:rPr>
        <w:t>, וכי אם זו תועבר אליו היא תיבחן כמקובל, בשיתוף כלל הגורמים הרלוונטיים.</w:t>
      </w:r>
    </w:p>
    <w:p w14:paraId="5A444ED1" w14:textId="77777777" w:rsidR="00817399" w:rsidRPr="002F2BC5" w:rsidRDefault="00817399" w:rsidP="00817399">
      <w:pPr>
        <w:spacing w:line="269" w:lineRule="auto"/>
        <w:rPr>
          <w:rtl/>
        </w:rPr>
      </w:pPr>
    </w:p>
    <w:p w14:paraId="09908D62" w14:textId="77777777" w:rsidR="00817399" w:rsidRPr="002F2BC5" w:rsidRDefault="00817399" w:rsidP="00817399">
      <w:pPr>
        <w:spacing w:line="269" w:lineRule="auto"/>
        <w:rPr>
          <w:rtl/>
        </w:rPr>
      </w:pPr>
      <w:r w:rsidRPr="002F2BC5">
        <w:rPr>
          <w:rFonts w:hint="cs"/>
          <w:rtl/>
        </w:rPr>
        <w:t>הרשות לשיקום האסיר מסרה בתשובתה כי המענים השיקומיים לאסירים משוחררים שרמת מסוכנותם גבוהה ניתנים בהוסטלים ובמרכזי היום - ואז ניתן מענה גם לאסירים משוחררים בתוכניות שיקום בפיקוח טכנולוגי - ואילו במרכזים לטיפול ומניעת אלימות במשפחה ניתן מענה לאסירים משוחררים שרמת המסוכנות מהם נמוכה. היא הוסיפה כי ניתן להרחיב את המענים השיקומיים במרכזים לטיפול ומניעת אלימות במשפחה באופן שיינתן בהם מענה גם לאסירים משוחררים הנמצאים בתוכניות שיקום בפיקוח טכנולוגי.</w:t>
      </w:r>
    </w:p>
    <w:p w14:paraId="098CA54C" w14:textId="77777777" w:rsidR="00817399" w:rsidRPr="002F2BC5" w:rsidRDefault="00817399" w:rsidP="00817399">
      <w:pPr>
        <w:spacing w:line="269" w:lineRule="auto"/>
        <w:rPr>
          <w:rtl/>
        </w:rPr>
      </w:pPr>
    </w:p>
    <w:p w14:paraId="73AE0D07" w14:textId="77777777" w:rsidR="00817399" w:rsidRPr="002F2BC5" w:rsidRDefault="00817399" w:rsidP="00817399">
      <w:pPr>
        <w:pStyle w:val="afffffff2"/>
        <w:spacing w:line="269" w:lineRule="auto"/>
        <w:rPr>
          <w:sz w:val="24"/>
          <w:rtl/>
        </w:rPr>
      </w:pPr>
      <w:r w:rsidRPr="002F2BC5">
        <w:rPr>
          <w:rFonts w:hint="cs"/>
          <w:rtl/>
        </w:rPr>
        <w:t>מידת תיקון הליקוי</w:t>
      </w:r>
    </w:p>
    <w:p w14:paraId="7736BD20" w14:textId="77777777" w:rsidR="00817399" w:rsidRPr="002F2BC5" w:rsidRDefault="00817399" w:rsidP="00817399">
      <w:pPr>
        <w:pStyle w:val="afffffff7"/>
        <w:spacing w:before="0" w:line="269" w:lineRule="auto"/>
        <w:rPr>
          <w:b/>
          <w:bCs/>
          <w:rtl/>
        </w:rPr>
      </w:pPr>
      <w:bookmarkStart w:id="2460" w:name="_Toc198312383"/>
      <w:bookmarkStart w:id="2461" w:name="_Toc198312870"/>
      <w:bookmarkStart w:id="2462" w:name="_Toc189072309"/>
      <w:r w:rsidRPr="002F2BC5">
        <w:rPr>
          <w:b/>
          <w:bCs/>
          <w:noProof/>
        </w:rPr>
        <w:drawing>
          <wp:inline distT="0" distB="0" distL="0" distR="0" wp14:anchorId="72732213" wp14:editId="45EF2D09">
            <wp:extent cx="4324350" cy="933450"/>
            <wp:effectExtent l="0" t="0" r="0" b="0"/>
            <wp:docPr id="63" name="תמונה 3" descr="תוכן התרשים מופיע בטקסט.">
              <a:extLst xmlns:a="http://schemas.openxmlformats.org/drawingml/2006/main">
                <a:ext uri="{FF2B5EF4-FFF2-40B4-BE49-F238E27FC236}">
                  <a16:creationId xmlns:a16="http://schemas.microsoft.com/office/drawing/2014/main" id="{F1D140B0-6EB8-4A50-A234-C1BEBF0A257C}"/>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1D140B0-6EB8-4A50-A234-C1BEBF0A257C}"/>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bookmarkEnd w:id="2460"/>
      <w:bookmarkEnd w:id="2461"/>
    </w:p>
    <w:p w14:paraId="0A0270EF" w14:textId="77777777" w:rsidR="00817399" w:rsidRPr="002F2BC5" w:rsidRDefault="00817399" w:rsidP="00817399">
      <w:pPr>
        <w:spacing w:line="269" w:lineRule="auto"/>
      </w:pPr>
    </w:p>
    <w:p w14:paraId="1AB3417D" w14:textId="77777777" w:rsidR="004A0C9B" w:rsidRDefault="004A0C9B">
      <w:pPr>
        <w:bidi w:val="0"/>
        <w:spacing w:after="200" w:line="276" w:lineRule="auto"/>
        <w:rPr>
          <w:rFonts w:eastAsiaTheme="majorEastAsia"/>
          <w:bCs/>
          <w:szCs w:val="32"/>
          <w:rtl/>
        </w:rPr>
      </w:pPr>
      <w:bookmarkStart w:id="2463" w:name="_Toc189072310"/>
      <w:bookmarkStart w:id="2464" w:name="_Toc191987226"/>
      <w:bookmarkStart w:id="2465" w:name="_Toc191891405"/>
      <w:bookmarkStart w:id="2466" w:name="_Toc192093220"/>
      <w:bookmarkStart w:id="2467" w:name="_Toc193110653"/>
      <w:bookmarkStart w:id="2468" w:name="_Toc192612928"/>
      <w:bookmarkStart w:id="2469" w:name="_Toc192778839"/>
      <w:bookmarkStart w:id="2470" w:name="_Toc198312384"/>
      <w:bookmarkStart w:id="2471" w:name="_Toc198312871"/>
      <w:bookmarkStart w:id="2472" w:name="_Toc200636817"/>
      <w:bookmarkStart w:id="2473" w:name="_Toc200637017"/>
      <w:bookmarkStart w:id="2474" w:name="_Toc200439816"/>
      <w:bookmarkStart w:id="2475" w:name="_Toc200440015"/>
      <w:bookmarkStart w:id="2476" w:name="_Toc201241120"/>
      <w:bookmarkStart w:id="2477" w:name="_Toc192784393"/>
      <w:bookmarkStart w:id="2478" w:name="_Toc201759379"/>
      <w:bookmarkEnd w:id="2462"/>
      <w:r>
        <w:rPr>
          <w:rtl/>
        </w:rPr>
        <w:br w:type="page"/>
      </w:r>
    </w:p>
    <w:p w14:paraId="69E428E2" w14:textId="77777777" w:rsidR="00817399" w:rsidRPr="002F2BC5" w:rsidRDefault="00817399" w:rsidP="00817399">
      <w:pPr>
        <w:pStyle w:val="20"/>
        <w:spacing w:before="0" w:line="269" w:lineRule="auto"/>
        <w:rPr>
          <w:rtl/>
        </w:rPr>
      </w:pPr>
      <w:bookmarkStart w:id="2479" w:name="_Toc203488015"/>
      <w:r w:rsidRPr="002F2BC5">
        <w:rPr>
          <w:rtl/>
        </w:rPr>
        <w:lastRenderedPageBreak/>
        <w:t>סיכום</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71014316" w14:textId="77777777" w:rsidR="00817399" w:rsidRPr="002F2BC5" w:rsidRDefault="00817399" w:rsidP="00817399">
      <w:pPr>
        <w:spacing w:line="269" w:lineRule="auto"/>
        <w:rPr>
          <w:rtl/>
        </w:rPr>
      </w:pPr>
    </w:p>
    <w:p w14:paraId="58778CCA" w14:textId="77777777" w:rsidR="00817399" w:rsidRPr="002F2BC5" w:rsidRDefault="00817399" w:rsidP="00817399">
      <w:pPr>
        <w:spacing w:line="269" w:lineRule="auto"/>
        <w:rPr>
          <w:b/>
          <w:bCs/>
          <w:rtl/>
        </w:rPr>
      </w:pPr>
      <w:r w:rsidRPr="002F2BC5">
        <w:rPr>
          <w:rFonts w:hint="cs"/>
          <w:b/>
          <w:bCs/>
          <w:rtl/>
        </w:rPr>
        <w:t xml:space="preserve">זה יותר משלושה עשורים פועלת מדינת ישראל באופן יזום להתמודדות עם תופעת האלימות במשפחה, ובתוך כך עם תופעת האלימות בתוך מערכת היחסים הזוגית. זאת מתוך הכרה באחריותה ובמחויבותה במישור הלאומי </w:t>
      </w:r>
      <w:r w:rsidRPr="002F2BC5">
        <w:rPr>
          <w:b/>
          <w:bCs/>
          <w:rtl/>
        </w:rPr>
        <w:t>ל</w:t>
      </w:r>
      <w:r w:rsidRPr="002F2BC5">
        <w:rPr>
          <w:rFonts w:hint="cs"/>
          <w:b/>
          <w:bCs/>
          <w:rtl/>
        </w:rPr>
        <w:t>הגן על נפגעי האלימות בתוך התא המשפחתי, לטפל בהם ובפוגעים ולשקמם</w:t>
      </w:r>
      <w:r w:rsidRPr="002F2BC5">
        <w:rPr>
          <w:b/>
          <w:bCs/>
          <w:rtl/>
        </w:rPr>
        <w:t>.</w:t>
      </w:r>
      <w:r w:rsidRPr="002F2BC5">
        <w:rPr>
          <w:rFonts w:hint="cs"/>
          <w:b/>
          <w:bCs/>
          <w:rtl/>
        </w:rPr>
        <w:t xml:space="preserve"> בעלי תפקידים בגופי השלטון המרכזי</w:t>
      </w:r>
      <w:r w:rsidRPr="002F2BC5">
        <w:rPr>
          <w:b/>
          <w:bCs/>
          <w:rtl/>
        </w:rPr>
        <w:t xml:space="preserve">, </w:t>
      </w:r>
      <w:r w:rsidRPr="002F2BC5">
        <w:rPr>
          <w:rFonts w:hint="eastAsia"/>
          <w:b/>
          <w:bCs/>
          <w:rtl/>
        </w:rPr>
        <w:t>בשיתוף</w:t>
      </w:r>
      <w:r w:rsidRPr="002F2BC5">
        <w:rPr>
          <w:b/>
          <w:bCs/>
          <w:rtl/>
        </w:rPr>
        <w:t xml:space="preserve"> </w:t>
      </w:r>
      <w:r w:rsidRPr="002F2BC5">
        <w:rPr>
          <w:rFonts w:hint="eastAsia"/>
          <w:b/>
          <w:bCs/>
          <w:rtl/>
        </w:rPr>
        <w:t>עמיתיהם</w:t>
      </w:r>
      <w:r w:rsidRPr="002F2BC5">
        <w:rPr>
          <w:b/>
          <w:bCs/>
          <w:rtl/>
        </w:rPr>
        <w:t xml:space="preserve"> </w:t>
      </w:r>
      <w:r w:rsidRPr="002F2BC5">
        <w:rPr>
          <w:rFonts w:hint="eastAsia"/>
          <w:b/>
          <w:bCs/>
          <w:rtl/>
        </w:rPr>
        <w:t>בשלטון</w:t>
      </w:r>
      <w:r w:rsidRPr="002F2BC5">
        <w:rPr>
          <w:b/>
          <w:bCs/>
          <w:rtl/>
        </w:rPr>
        <w:t xml:space="preserve"> </w:t>
      </w:r>
      <w:r w:rsidRPr="002F2BC5">
        <w:rPr>
          <w:rFonts w:hint="eastAsia"/>
          <w:b/>
          <w:bCs/>
          <w:rtl/>
        </w:rPr>
        <w:t>המקומי</w:t>
      </w:r>
      <w:r w:rsidRPr="002F2BC5">
        <w:rPr>
          <w:b/>
          <w:bCs/>
          <w:rtl/>
        </w:rPr>
        <w:t>,</w:t>
      </w:r>
      <w:r w:rsidRPr="002F2BC5">
        <w:rPr>
          <w:rFonts w:hint="cs"/>
          <w:b/>
          <w:bCs/>
          <w:rtl/>
        </w:rPr>
        <w:t xml:space="preserve"> שותפים למאמץ זה, וניכר כי הם עושים כן במסירות רבה, מתוך תחושת שליחות ציבורית ואישית. </w:t>
      </w:r>
      <w:r w:rsidRPr="002F2BC5">
        <w:rPr>
          <w:rFonts w:hint="eastAsia"/>
          <w:b/>
          <w:bCs/>
          <w:rtl/>
        </w:rPr>
        <w:t>בביקורת המעקב הועלה</w:t>
      </w:r>
      <w:r w:rsidRPr="002F2BC5">
        <w:rPr>
          <w:b/>
          <w:bCs/>
          <w:rtl/>
        </w:rPr>
        <w:t xml:space="preserve"> </w:t>
      </w:r>
      <w:r w:rsidRPr="002F2BC5">
        <w:rPr>
          <w:rFonts w:hint="eastAsia"/>
          <w:b/>
          <w:bCs/>
          <w:rtl/>
        </w:rPr>
        <w:t>כי</w:t>
      </w:r>
      <w:r w:rsidRPr="002F2BC5">
        <w:rPr>
          <w:b/>
          <w:bCs/>
          <w:rtl/>
        </w:rPr>
        <w:t xml:space="preserve"> </w:t>
      </w:r>
      <w:r w:rsidRPr="002F2BC5">
        <w:rPr>
          <w:rFonts w:hint="cs"/>
          <w:b/>
          <w:bCs/>
          <w:rtl/>
        </w:rPr>
        <w:t xml:space="preserve">תוקנו </w:t>
      </w:r>
      <w:r w:rsidRPr="002F2BC5">
        <w:rPr>
          <w:rFonts w:hint="eastAsia"/>
          <w:b/>
          <w:bCs/>
          <w:rtl/>
        </w:rPr>
        <w:t>ליקויים</w:t>
      </w:r>
      <w:r w:rsidRPr="002F2BC5">
        <w:rPr>
          <w:b/>
          <w:bCs/>
          <w:rtl/>
        </w:rPr>
        <w:t xml:space="preserve"> </w:t>
      </w:r>
      <w:r w:rsidRPr="002F2BC5">
        <w:rPr>
          <w:rFonts w:hint="cs"/>
          <w:b/>
          <w:bCs/>
          <w:rtl/>
        </w:rPr>
        <w:t>מסוימים</w:t>
      </w:r>
      <w:r w:rsidRPr="002F2BC5">
        <w:rPr>
          <w:b/>
          <w:bCs/>
          <w:rtl/>
        </w:rPr>
        <w:t xml:space="preserve"> </w:t>
      </w:r>
      <w:r w:rsidRPr="002F2BC5">
        <w:rPr>
          <w:rFonts w:hint="cs"/>
          <w:b/>
          <w:bCs/>
          <w:rtl/>
        </w:rPr>
        <w:t>שהועלו בביקורת הקודמת, אך עדיין נותרו פערים</w:t>
      </w:r>
      <w:r w:rsidRPr="002F2BC5">
        <w:rPr>
          <w:b/>
          <w:bCs/>
          <w:rtl/>
        </w:rPr>
        <w:t xml:space="preserve"> שנדרש לפעול בעניינם </w:t>
      </w:r>
      <w:r w:rsidRPr="002F2BC5">
        <w:rPr>
          <w:rFonts w:hint="cs"/>
          <w:b/>
          <w:bCs/>
          <w:rtl/>
        </w:rPr>
        <w:t>ו</w:t>
      </w:r>
      <w:r w:rsidRPr="002F2BC5">
        <w:rPr>
          <w:b/>
          <w:bCs/>
          <w:rtl/>
        </w:rPr>
        <w:t>להמשיך לתקנם.</w:t>
      </w:r>
    </w:p>
    <w:p w14:paraId="7D610D80" w14:textId="77777777" w:rsidR="00817399" w:rsidRPr="002F2BC5" w:rsidRDefault="00817399" w:rsidP="00817399">
      <w:pPr>
        <w:spacing w:line="269" w:lineRule="auto"/>
        <w:rPr>
          <w:rtl/>
        </w:rPr>
      </w:pPr>
    </w:p>
    <w:p w14:paraId="0F4FEBD4" w14:textId="77777777" w:rsidR="00817399" w:rsidRPr="002F2BC5" w:rsidRDefault="00817399" w:rsidP="00817399">
      <w:pPr>
        <w:spacing w:line="269" w:lineRule="auto"/>
        <w:rPr>
          <w:b/>
          <w:bCs/>
          <w:rtl/>
        </w:rPr>
      </w:pPr>
      <w:r w:rsidRPr="002F2BC5">
        <w:rPr>
          <w:b/>
          <w:bCs/>
          <w:rtl/>
        </w:rPr>
        <w:t xml:space="preserve">מאז </w:t>
      </w:r>
      <w:r w:rsidRPr="002F2BC5">
        <w:rPr>
          <w:rFonts w:hint="cs"/>
          <w:b/>
          <w:bCs/>
          <w:rtl/>
        </w:rPr>
        <w:t xml:space="preserve">הסתיימה </w:t>
      </w:r>
      <w:r w:rsidRPr="002F2BC5">
        <w:rPr>
          <w:b/>
          <w:bCs/>
          <w:rtl/>
        </w:rPr>
        <w:t>הביקורת הקודמת, בשנים 2022 - 202</w:t>
      </w:r>
      <w:r w:rsidRPr="002F2BC5">
        <w:rPr>
          <w:rFonts w:hint="cs"/>
          <w:b/>
          <w:bCs/>
          <w:rtl/>
        </w:rPr>
        <w:t>4,</w:t>
      </w:r>
      <w:r w:rsidRPr="002F2BC5">
        <w:rPr>
          <w:b/>
          <w:bCs/>
          <w:rtl/>
        </w:rPr>
        <w:t xml:space="preserve"> נרצחו</w:t>
      </w:r>
      <w:r w:rsidRPr="002F2BC5">
        <w:rPr>
          <w:rFonts w:hint="cs"/>
          <w:b/>
          <w:bCs/>
          <w:rtl/>
        </w:rPr>
        <w:t xml:space="preserve"> 32</w:t>
      </w:r>
      <w:r w:rsidRPr="002F2BC5">
        <w:rPr>
          <w:b/>
          <w:bCs/>
          <w:rtl/>
        </w:rPr>
        <w:t xml:space="preserve"> נשים בידי בן זוגן.</w:t>
      </w:r>
      <w:r w:rsidRPr="002F2BC5">
        <w:rPr>
          <w:rFonts w:hint="cs"/>
          <w:b/>
          <w:bCs/>
          <w:rtl/>
        </w:rPr>
        <w:t xml:space="preserve"> </w:t>
      </w:r>
      <w:r w:rsidRPr="002F2BC5">
        <w:rPr>
          <w:rFonts w:hint="eastAsia"/>
          <w:b/>
          <w:bCs/>
          <w:rtl/>
        </w:rPr>
        <w:t>בשנת</w:t>
      </w:r>
      <w:r w:rsidRPr="002F2BC5">
        <w:rPr>
          <w:b/>
          <w:bCs/>
          <w:rtl/>
        </w:rPr>
        <w:t xml:space="preserve"> 2023 </w:t>
      </w:r>
      <w:r w:rsidRPr="002F2BC5">
        <w:rPr>
          <w:rFonts w:hint="eastAsia"/>
          <w:b/>
          <w:bCs/>
          <w:rtl/>
        </w:rPr>
        <w:t>היו</w:t>
      </w:r>
      <w:r w:rsidRPr="002F2BC5">
        <w:rPr>
          <w:b/>
          <w:bCs/>
          <w:rtl/>
        </w:rPr>
        <w:t xml:space="preserve"> </w:t>
      </w:r>
      <w:r w:rsidRPr="002F2BC5">
        <w:rPr>
          <w:rFonts w:hint="eastAsia"/>
          <w:b/>
          <w:bCs/>
          <w:rtl/>
        </w:rPr>
        <w:t>רשומים</w:t>
      </w:r>
      <w:r w:rsidRPr="002F2BC5">
        <w:rPr>
          <w:b/>
          <w:bCs/>
          <w:rtl/>
        </w:rPr>
        <w:t xml:space="preserve"> </w:t>
      </w:r>
      <w:r w:rsidRPr="002F2BC5">
        <w:rPr>
          <w:rFonts w:hint="eastAsia"/>
          <w:b/>
          <w:bCs/>
          <w:rtl/>
        </w:rPr>
        <w:t>כ</w:t>
      </w:r>
      <w:r w:rsidRPr="002F2BC5">
        <w:rPr>
          <w:b/>
          <w:bCs/>
          <w:rtl/>
        </w:rPr>
        <w:t xml:space="preserve">-17,000 </w:t>
      </w:r>
      <w:r w:rsidRPr="002F2BC5">
        <w:rPr>
          <w:rFonts w:hint="eastAsia"/>
          <w:b/>
          <w:bCs/>
          <w:rtl/>
        </w:rPr>
        <w:t>נשים</w:t>
      </w:r>
      <w:r w:rsidRPr="002F2BC5">
        <w:rPr>
          <w:b/>
          <w:bCs/>
          <w:rtl/>
        </w:rPr>
        <w:t xml:space="preserve"> </w:t>
      </w:r>
      <w:r w:rsidRPr="002F2BC5">
        <w:rPr>
          <w:rFonts w:hint="eastAsia"/>
          <w:b/>
          <w:bCs/>
          <w:rtl/>
        </w:rPr>
        <w:t>וגברים</w:t>
      </w:r>
      <w:r w:rsidRPr="002F2BC5">
        <w:rPr>
          <w:b/>
          <w:bCs/>
          <w:rtl/>
        </w:rPr>
        <w:t xml:space="preserve"> </w:t>
      </w:r>
      <w:r w:rsidRPr="002F2BC5">
        <w:rPr>
          <w:rFonts w:hint="eastAsia"/>
          <w:b/>
          <w:bCs/>
          <w:rtl/>
        </w:rPr>
        <w:t>בגילי</w:t>
      </w:r>
      <w:r w:rsidRPr="002F2BC5">
        <w:rPr>
          <w:b/>
          <w:bCs/>
          <w:rtl/>
        </w:rPr>
        <w:t xml:space="preserve"> 15 </w:t>
      </w:r>
      <w:r w:rsidRPr="002F2BC5">
        <w:rPr>
          <w:rFonts w:hint="eastAsia"/>
          <w:b/>
          <w:bCs/>
          <w:rtl/>
        </w:rPr>
        <w:t>ומעלה</w:t>
      </w:r>
      <w:r w:rsidRPr="002F2BC5">
        <w:rPr>
          <w:b/>
          <w:bCs/>
          <w:rtl/>
        </w:rPr>
        <w:t xml:space="preserve"> </w:t>
      </w:r>
      <w:r w:rsidRPr="002F2BC5">
        <w:rPr>
          <w:rFonts w:hint="eastAsia"/>
          <w:b/>
          <w:bCs/>
          <w:rtl/>
        </w:rPr>
        <w:t>כבעלי</w:t>
      </w:r>
      <w:r w:rsidRPr="002F2BC5">
        <w:rPr>
          <w:b/>
          <w:bCs/>
          <w:rtl/>
        </w:rPr>
        <w:t xml:space="preserve"> </w:t>
      </w:r>
      <w:r w:rsidRPr="002F2BC5">
        <w:rPr>
          <w:rFonts w:hint="eastAsia"/>
          <w:b/>
          <w:bCs/>
          <w:rtl/>
        </w:rPr>
        <w:t>נזקקות</w:t>
      </w:r>
      <w:r w:rsidRPr="002F2BC5">
        <w:rPr>
          <w:b/>
          <w:bCs/>
          <w:rtl/>
        </w:rPr>
        <w:t xml:space="preserve"> </w:t>
      </w:r>
      <w:r w:rsidRPr="002F2BC5">
        <w:rPr>
          <w:rFonts w:hint="eastAsia"/>
          <w:b/>
          <w:bCs/>
          <w:rtl/>
        </w:rPr>
        <w:t>בתחום</w:t>
      </w:r>
      <w:r w:rsidRPr="002F2BC5">
        <w:rPr>
          <w:b/>
          <w:bCs/>
          <w:rtl/>
        </w:rPr>
        <w:t xml:space="preserve"> </w:t>
      </w:r>
      <w:r w:rsidRPr="002F2BC5">
        <w:rPr>
          <w:rFonts w:hint="eastAsia"/>
          <w:b/>
          <w:bCs/>
          <w:rtl/>
        </w:rPr>
        <w:t>האלימות</w:t>
      </w:r>
      <w:r w:rsidRPr="002F2BC5">
        <w:rPr>
          <w:b/>
          <w:bCs/>
          <w:rtl/>
        </w:rPr>
        <w:t xml:space="preserve"> </w:t>
      </w:r>
      <w:r w:rsidRPr="002F2BC5">
        <w:rPr>
          <w:rFonts w:hint="eastAsia"/>
          <w:b/>
          <w:bCs/>
          <w:rtl/>
        </w:rPr>
        <w:t>במשפחה</w:t>
      </w:r>
      <w:r w:rsidRPr="002F2BC5">
        <w:rPr>
          <w:b/>
          <w:bCs/>
          <w:rtl/>
        </w:rPr>
        <w:t xml:space="preserve"> </w:t>
      </w:r>
      <w:r w:rsidRPr="002F2BC5">
        <w:rPr>
          <w:rFonts w:hint="eastAsia"/>
          <w:b/>
          <w:bCs/>
          <w:rtl/>
        </w:rPr>
        <w:t>במחלקות</w:t>
      </w:r>
      <w:r w:rsidRPr="002F2BC5">
        <w:rPr>
          <w:b/>
          <w:bCs/>
          <w:rtl/>
        </w:rPr>
        <w:t xml:space="preserve"> </w:t>
      </w:r>
      <w:r w:rsidRPr="002F2BC5">
        <w:rPr>
          <w:rFonts w:hint="eastAsia"/>
          <w:b/>
          <w:bCs/>
          <w:rtl/>
        </w:rPr>
        <w:t>לשירותים</w:t>
      </w:r>
      <w:r w:rsidRPr="002F2BC5">
        <w:rPr>
          <w:b/>
          <w:bCs/>
          <w:rtl/>
        </w:rPr>
        <w:t xml:space="preserve"> </w:t>
      </w:r>
      <w:r w:rsidRPr="002F2BC5">
        <w:rPr>
          <w:rFonts w:hint="eastAsia"/>
          <w:b/>
          <w:bCs/>
          <w:rtl/>
        </w:rPr>
        <w:t>חברתיים</w:t>
      </w:r>
      <w:r w:rsidRPr="002F2BC5">
        <w:rPr>
          <w:b/>
          <w:bCs/>
          <w:rtl/>
        </w:rPr>
        <w:t xml:space="preserve"> </w:t>
      </w:r>
      <w:r w:rsidRPr="002F2BC5">
        <w:rPr>
          <w:rFonts w:hint="eastAsia"/>
          <w:b/>
          <w:bCs/>
          <w:rtl/>
        </w:rPr>
        <w:t>ברשויות</w:t>
      </w:r>
      <w:r w:rsidRPr="002F2BC5">
        <w:rPr>
          <w:b/>
          <w:bCs/>
          <w:rtl/>
        </w:rPr>
        <w:t xml:space="preserve"> </w:t>
      </w:r>
      <w:r w:rsidRPr="002F2BC5">
        <w:rPr>
          <w:rFonts w:hint="eastAsia"/>
          <w:b/>
          <w:bCs/>
          <w:rtl/>
        </w:rPr>
        <w:t>מקומיות</w:t>
      </w:r>
      <w:r w:rsidRPr="002F2BC5">
        <w:rPr>
          <w:b/>
          <w:bCs/>
          <w:rtl/>
        </w:rPr>
        <w:t xml:space="preserve"> ו</w:t>
      </w:r>
      <w:r w:rsidRPr="002F2BC5">
        <w:rPr>
          <w:rFonts w:hint="eastAsia"/>
          <w:b/>
          <w:bCs/>
          <w:rtl/>
        </w:rPr>
        <w:t>כ</w:t>
      </w:r>
      <w:r w:rsidRPr="002F2BC5">
        <w:rPr>
          <w:b/>
          <w:bCs/>
          <w:rtl/>
        </w:rPr>
        <w:t xml:space="preserve">-12,200 נשים וגברים </w:t>
      </w:r>
      <w:r w:rsidRPr="002F2BC5">
        <w:rPr>
          <w:rFonts w:hint="eastAsia"/>
          <w:b/>
          <w:bCs/>
          <w:rtl/>
        </w:rPr>
        <w:t>טופלו</w:t>
      </w:r>
      <w:r w:rsidRPr="002F2BC5">
        <w:rPr>
          <w:b/>
          <w:bCs/>
          <w:rtl/>
        </w:rPr>
        <w:t xml:space="preserve"> במרכזים לטיפול ומניעת אלימות במשפחה (כ-72% </w:t>
      </w:r>
      <w:r w:rsidRPr="002F2BC5">
        <w:rPr>
          <w:rFonts w:hint="eastAsia"/>
          <w:b/>
          <w:bCs/>
          <w:rtl/>
        </w:rPr>
        <w:t>מכלל</w:t>
      </w:r>
      <w:r w:rsidRPr="002F2BC5">
        <w:rPr>
          <w:b/>
          <w:bCs/>
          <w:rtl/>
        </w:rPr>
        <w:t xml:space="preserve"> </w:t>
      </w:r>
      <w:r w:rsidRPr="002F2BC5">
        <w:rPr>
          <w:rFonts w:hint="eastAsia"/>
          <w:b/>
          <w:bCs/>
          <w:rtl/>
        </w:rPr>
        <w:t>בעלי</w:t>
      </w:r>
      <w:r w:rsidRPr="002F2BC5">
        <w:rPr>
          <w:b/>
          <w:bCs/>
          <w:rtl/>
        </w:rPr>
        <w:t xml:space="preserve"> </w:t>
      </w:r>
      <w:r w:rsidRPr="002F2BC5">
        <w:rPr>
          <w:rFonts w:hint="eastAsia"/>
          <w:b/>
          <w:bCs/>
          <w:rtl/>
        </w:rPr>
        <w:t>הנזקקות</w:t>
      </w:r>
      <w:r w:rsidRPr="002F2BC5">
        <w:rPr>
          <w:b/>
          <w:bCs/>
          <w:rtl/>
        </w:rPr>
        <w:t>). סקר לאומי ש</w:t>
      </w:r>
      <w:r w:rsidRPr="002F2BC5">
        <w:rPr>
          <w:rFonts w:hint="cs"/>
          <w:b/>
          <w:bCs/>
          <w:rtl/>
        </w:rPr>
        <w:t>ערך</w:t>
      </w:r>
      <w:r w:rsidRPr="002F2BC5">
        <w:rPr>
          <w:b/>
          <w:bCs/>
          <w:rtl/>
        </w:rPr>
        <w:t xml:space="preserve"> משרד הרווחה לאחר הביקורת הקודמת </w:t>
      </w:r>
      <w:r w:rsidRPr="002F2BC5">
        <w:rPr>
          <w:rFonts w:hint="cs"/>
          <w:b/>
          <w:bCs/>
          <w:rtl/>
        </w:rPr>
        <w:t>מ</w:t>
      </w:r>
      <w:r w:rsidRPr="002F2BC5">
        <w:rPr>
          <w:b/>
          <w:bCs/>
          <w:rtl/>
        </w:rPr>
        <w:t xml:space="preserve">צביע </w:t>
      </w:r>
      <w:r w:rsidRPr="002F2BC5">
        <w:rPr>
          <w:rFonts w:hint="cs"/>
          <w:b/>
          <w:bCs/>
          <w:rtl/>
        </w:rPr>
        <w:t xml:space="preserve">על היקפה הנרחב של תופעת האלימות בין בני זוג - </w:t>
      </w:r>
      <w:r w:rsidRPr="002F2BC5">
        <w:rPr>
          <w:b/>
          <w:bCs/>
          <w:rtl/>
        </w:rPr>
        <w:t xml:space="preserve">אחד מכל עשרה גברים או נשים </w:t>
      </w:r>
      <w:r w:rsidRPr="002F2BC5">
        <w:rPr>
          <w:rFonts w:hint="cs"/>
          <w:b/>
          <w:bCs/>
          <w:rtl/>
        </w:rPr>
        <w:t xml:space="preserve">בגילי 18 - 65 </w:t>
      </w:r>
      <w:r w:rsidRPr="002F2BC5">
        <w:rPr>
          <w:b/>
          <w:bCs/>
          <w:rtl/>
        </w:rPr>
        <w:t xml:space="preserve">היה נתון לאלימות, גופנית </w:t>
      </w:r>
      <w:r w:rsidRPr="002F2BC5">
        <w:rPr>
          <w:rFonts w:hint="cs"/>
          <w:b/>
          <w:bCs/>
          <w:rtl/>
        </w:rPr>
        <w:t>א</w:t>
      </w:r>
      <w:r w:rsidRPr="002F2BC5">
        <w:rPr>
          <w:b/>
          <w:bCs/>
          <w:rtl/>
        </w:rPr>
        <w:t>ו</w:t>
      </w:r>
      <w:r w:rsidRPr="002F2BC5">
        <w:rPr>
          <w:rFonts w:hint="cs"/>
          <w:b/>
          <w:bCs/>
          <w:rtl/>
        </w:rPr>
        <w:t xml:space="preserve"> </w:t>
      </w:r>
      <w:r w:rsidRPr="002F2BC5">
        <w:rPr>
          <w:b/>
          <w:bCs/>
          <w:rtl/>
        </w:rPr>
        <w:t>לא גופנית, מצד בן זוגו ב-12 החודשים שקדמו לעריכת הסקר</w:t>
      </w:r>
      <w:r w:rsidRPr="002F2BC5">
        <w:rPr>
          <w:rFonts w:hint="cs"/>
          <w:b/>
          <w:bCs/>
          <w:rtl/>
        </w:rPr>
        <w:t xml:space="preserve"> - כ-576,000 נשים וגברים. ממצאי הסקר גם מצביעים</w:t>
      </w:r>
      <w:r w:rsidRPr="002F2BC5">
        <w:rPr>
          <w:b/>
          <w:bCs/>
          <w:rtl/>
        </w:rPr>
        <w:t xml:space="preserve"> </w:t>
      </w:r>
      <w:r w:rsidRPr="002F2BC5">
        <w:rPr>
          <w:rFonts w:hint="cs"/>
          <w:b/>
          <w:bCs/>
          <w:rtl/>
        </w:rPr>
        <w:t>על הסיכון המוגבר של נשים לחוות אלימות גופנית חמורה - פי שניים מאשר בקרב הגברים. לפי ממצאי הסקר</w:t>
      </w:r>
      <w:r w:rsidRPr="002F2BC5">
        <w:rPr>
          <w:b/>
          <w:bCs/>
          <w:rtl/>
        </w:rPr>
        <w:t xml:space="preserve"> היקפה של תופע</w:t>
      </w:r>
      <w:r w:rsidRPr="002F2BC5">
        <w:rPr>
          <w:rFonts w:hint="cs"/>
          <w:b/>
          <w:bCs/>
          <w:rtl/>
        </w:rPr>
        <w:t xml:space="preserve">ת האלימות בתוך מערכת היחסים הזוגית </w:t>
      </w:r>
      <w:r w:rsidRPr="002F2BC5">
        <w:rPr>
          <w:b/>
          <w:bCs/>
          <w:rtl/>
        </w:rPr>
        <w:t>גבוה בשיעור ניכר מהיקפה המדווח של התופעה</w:t>
      </w:r>
      <w:r w:rsidRPr="002F2BC5">
        <w:rPr>
          <w:rFonts w:hint="cs"/>
          <w:b/>
          <w:bCs/>
          <w:rtl/>
        </w:rPr>
        <w:t xml:space="preserve"> (כ-41% מהנשים וכ-20% מהגברים שהשיבו לסקר והיו נתונים לאלימות גופנית מצד בן זוגם פנו לסיוע)</w:t>
      </w:r>
      <w:r w:rsidRPr="002F2BC5">
        <w:rPr>
          <w:b/>
          <w:bCs/>
          <w:rtl/>
        </w:rPr>
        <w:t xml:space="preserve">. חשיבותן של פעולות איתור ויישוג של נפגעי אלימות במשפחה, הנמנעים מלפנות לקבלת סיוע, </w:t>
      </w:r>
      <w:r w:rsidRPr="002F2BC5">
        <w:rPr>
          <w:rFonts w:hint="cs"/>
          <w:b/>
          <w:bCs/>
          <w:rtl/>
        </w:rPr>
        <w:t>קיבלה</w:t>
      </w:r>
      <w:r w:rsidRPr="002F2BC5">
        <w:rPr>
          <w:b/>
          <w:bCs/>
          <w:rtl/>
        </w:rPr>
        <w:t xml:space="preserve"> משנה חשיבות </w:t>
      </w:r>
      <w:r w:rsidRPr="002F2BC5">
        <w:rPr>
          <w:rFonts w:hint="cs"/>
          <w:b/>
          <w:bCs/>
          <w:rtl/>
        </w:rPr>
        <w:t>עם פרוץ מלחמת חרבות ברזל</w:t>
      </w:r>
      <w:r w:rsidRPr="002F2BC5">
        <w:rPr>
          <w:b/>
          <w:bCs/>
          <w:rtl/>
        </w:rPr>
        <w:t xml:space="preserve"> על רקע השפעותיה האפשריות של המלחמה על מאפייניה ומידת חומרתה של תופעת האלימות במשפחה</w:t>
      </w:r>
      <w:r w:rsidRPr="002F2BC5">
        <w:rPr>
          <w:rFonts w:hint="cs"/>
          <w:b/>
          <w:bCs/>
          <w:rtl/>
        </w:rPr>
        <w:t xml:space="preserve">. ניסיון העבר מלמד כי </w:t>
      </w:r>
      <w:r w:rsidRPr="002F2BC5">
        <w:rPr>
          <w:b/>
          <w:bCs/>
          <w:rtl/>
        </w:rPr>
        <w:t>התרחשותם של אירועים מסכני חיים ברמה הלאומית</w:t>
      </w:r>
      <w:r w:rsidRPr="002F2BC5">
        <w:rPr>
          <w:rFonts w:hint="cs"/>
          <w:b/>
          <w:bCs/>
          <w:rtl/>
        </w:rPr>
        <w:t xml:space="preserve"> עלולים להביא </w:t>
      </w:r>
      <w:r w:rsidRPr="002F2BC5">
        <w:rPr>
          <w:b/>
          <w:bCs/>
          <w:rtl/>
        </w:rPr>
        <w:t>לעלייה בגורמי הסיכון ובהיקף תופעת האלימות במשפחה, ובתוך כך לעלייה בהיקף תופעת האלימות בתוך מערכת היחסים הזוגית, אף כמה שנים לאחר התרחשותם.</w:t>
      </w:r>
    </w:p>
    <w:p w14:paraId="0816CF1A" w14:textId="77777777" w:rsidR="00817399" w:rsidRPr="002F2BC5" w:rsidRDefault="00817399" w:rsidP="00817399">
      <w:pPr>
        <w:spacing w:line="269" w:lineRule="auto"/>
        <w:rPr>
          <w:rtl/>
        </w:rPr>
      </w:pPr>
    </w:p>
    <w:p w14:paraId="6E13DCED" w14:textId="77777777" w:rsidR="00817399" w:rsidRPr="002F2BC5" w:rsidRDefault="00817399" w:rsidP="00817399">
      <w:pPr>
        <w:spacing w:line="269" w:lineRule="auto"/>
        <w:rPr>
          <w:b/>
          <w:bCs/>
          <w:rtl/>
        </w:rPr>
      </w:pPr>
      <w:bookmarkStart w:id="2480" w:name="_Toc192093221"/>
      <w:bookmarkStart w:id="2481" w:name="_Toc192612929"/>
      <w:bookmarkStart w:id="2482" w:name="_Toc198312385"/>
      <w:bookmarkStart w:id="2483" w:name="_Toc198312872"/>
      <w:bookmarkStart w:id="2484" w:name="_Toc200637018"/>
      <w:bookmarkStart w:id="2485" w:name="_Toc200440016"/>
      <w:bookmarkStart w:id="2486" w:name="_Toc201241121"/>
      <w:r w:rsidRPr="002F2BC5">
        <w:rPr>
          <w:rFonts w:hint="cs"/>
          <w:b/>
          <w:bCs/>
          <w:rtl/>
        </w:rPr>
        <w:t>בביקורת המעקב הועלה כי ליקויים מערכתיים מסוימים הנוגעים להתמודדות עם תופעת האלימות בין בני זוג תוקנו במידה רבה מאז הביקורת הקודמת. כך נמצא כי תהליך הטמעתו של הכלי החדש והאחיד להערכת מסוכנות היה מצוי בעיצומו,</w:t>
      </w:r>
      <w:r w:rsidRPr="002F2BC5">
        <w:rPr>
          <w:b/>
          <w:bCs/>
          <w:rtl/>
        </w:rPr>
        <w:t xml:space="preserve"> </w:t>
      </w:r>
      <w:r w:rsidRPr="002F2BC5">
        <w:rPr>
          <w:rFonts w:hint="cs"/>
          <w:b/>
          <w:bCs/>
          <w:rtl/>
        </w:rPr>
        <w:t xml:space="preserve">אם כי </w:t>
      </w:r>
      <w:r w:rsidRPr="002F2BC5">
        <w:rPr>
          <w:b/>
          <w:bCs/>
          <w:rtl/>
        </w:rPr>
        <w:t xml:space="preserve">החסמים החוקיים בכל הקשור להעברת מידע בין גורמי הטיפול </w:t>
      </w:r>
      <w:r w:rsidRPr="002F2BC5">
        <w:rPr>
          <w:rFonts w:hint="cs"/>
          <w:b/>
          <w:bCs/>
          <w:rtl/>
        </w:rPr>
        <w:t xml:space="preserve">לגורמי </w:t>
      </w:r>
      <w:r w:rsidRPr="002F2BC5">
        <w:rPr>
          <w:b/>
          <w:bCs/>
          <w:rtl/>
        </w:rPr>
        <w:t>אכיפת החוק נותרו בעינם</w:t>
      </w:r>
      <w:r w:rsidRPr="002F2BC5">
        <w:rPr>
          <w:rFonts w:hint="cs"/>
          <w:b/>
          <w:bCs/>
          <w:rtl/>
        </w:rPr>
        <w:t xml:space="preserve">; נוסף על כך נמצא כי נערכו סקרים לאומיים לבחינת היקפה של תופעת האלימות במשפחה ומאפייניה הן בשגרה והן במהלכה של מלחמת חרבות ברזל. עם זאת, </w:t>
      </w:r>
      <w:r w:rsidRPr="002F2BC5">
        <w:rPr>
          <w:b/>
          <w:bCs/>
          <w:rtl/>
        </w:rPr>
        <w:t xml:space="preserve">טרם הוקמה מערכת ממוחשבת מרכזית לניהול </w:t>
      </w:r>
      <w:r w:rsidRPr="002F2BC5">
        <w:rPr>
          <w:rFonts w:hint="cs"/>
          <w:b/>
          <w:bCs/>
          <w:rtl/>
        </w:rPr>
        <w:t>ה</w:t>
      </w:r>
      <w:r w:rsidRPr="002F2BC5">
        <w:rPr>
          <w:b/>
          <w:bCs/>
          <w:rtl/>
        </w:rPr>
        <w:t xml:space="preserve">נתונים על </w:t>
      </w:r>
      <w:r w:rsidRPr="002F2BC5">
        <w:rPr>
          <w:rFonts w:hint="cs"/>
          <w:b/>
          <w:bCs/>
          <w:rtl/>
        </w:rPr>
        <w:t>התופעה ולאיגומם</w:t>
      </w:r>
      <w:r w:rsidRPr="002F2BC5">
        <w:rPr>
          <w:b/>
          <w:bCs/>
          <w:rtl/>
        </w:rPr>
        <w:t>, ו</w:t>
      </w:r>
      <w:r w:rsidRPr="002F2BC5">
        <w:rPr>
          <w:rFonts w:hint="cs"/>
          <w:b/>
          <w:bCs/>
          <w:rtl/>
        </w:rPr>
        <w:t xml:space="preserve">כך </w:t>
      </w:r>
      <w:r w:rsidRPr="002F2BC5">
        <w:rPr>
          <w:b/>
          <w:bCs/>
          <w:rtl/>
        </w:rPr>
        <w:t>נתונים על אוכלוסיית מקבלי השירות נוהל</w:t>
      </w:r>
      <w:r w:rsidRPr="002F2BC5">
        <w:rPr>
          <w:rFonts w:hint="cs"/>
          <w:b/>
          <w:bCs/>
          <w:rtl/>
        </w:rPr>
        <w:t>ו</w:t>
      </w:r>
      <w:r w:rsidRPr="002F2BC5">
        <w:rPr>
          <w:b/>
          <w:bCs/>
          <w:rtl/>
        </w:rPr>
        <w:t xml:space="preserve"> באופן חלקי - מקצתם באופן ידני ומקצתם במערכות מחשוב נפרדות</w:t>
      </w:r>
      <w:r w:rsidRPr="002F2BC5">
        <w:rPr>
          <w:rFonts w:hint="cs"/>
          <w:b/>
          <w:bCs/>
          <w:rtl/>
        </w:rPr>
        <w:t xml:space="preserve"> - באופן שנמנעה ממקבלי ההחלטות תשתית המידע החיונית לקבלת ההחלטות, בפרט במהלך מלחמת חרבות ברזל; עוד הועלה בביקורת המעקב כי התקציב הייעודי והקבוע שהועמד לרשות הוועדה הבין-משרדית הקבועה עוגן בבסיס תקציב משרד הרווחה, אולם הוא מנוהל באופן שאינו שמאפשר לקיים באופן מיטבי ומועיל מעקב ובקרה, פנימי וחיצוני, אחר הקצאתו וניצולו ובחלקו מנוהל באופן ידני.</w:t>
      </w:r>
      <w:bookmarkEnd w:id="2480"/>
      <w:bookmarkEnd w:id="2481"/>
      <w:bookmarkEnd w:id="2482"/>
      <w:bookmarkEnd w:id="2483"/>
      <w:bookmarkEnd w:id="2484"/>
      <w:bookmarkEnd w:id="2485"/>
      <w:bookmarkEnd w:id="2486"/>
      <w:r w:rsidRPr="002F2BC5">
        <w:rPr>
          <w:rFonts w:hint="cs"/>
          <w:b/>
          <w:bCs/>
          <w:rtl/>
        </w:rPr>
        <w:t xml:space="preserve"> </w:t>
      </w:r>
    </w:p>
    <w:p w14:paraId="0B0F710E" w14:textId="77777777" w:rsidR="00817399" w:rsidRPr="002F2BC5" w:rsidRDefault="00817399" w:rsidP="00817399">
      <w:pPr>
        <w:spacing w:line="269" w:lineRule="auto"/>
        <w:rPr>
          <w:rtl/>
        </w:rPr>
      </w:pPr>
    </w:p>
    <w:p w14:paraId="6A70CA6D" w14:textId="77777777" w:rsidR="00817399" w:rsidRPr="002F2BC5" w:rsidRDefault="00817399" w:rsidP="00817399">
      <w:pPr>
        <w:spacing w:line="269" w:lineRule="auto"/>
        <w:rPr>
          <w:b/>
          <w:bCs/>
          <w:rtl/>
        </w:rPr>
      </w:pPr>
      <w:bookmarkStart w:id="2487" w:name="_Toc192093222"/>
      <w:bookmarkStart w:id="2488" w:name="_Toc192612930"/>
      <w:bookmarkStart w:id="2489" w:name="_Toc198312386"/>
      <w:bookmarkStart w:id="2490" w:name="_Toc198312873"/>
      <w:bookmarkStart w:id="2491" w:name="_Toc200637019"/>
      <w:bookmarkStart w:id="2492" w:name="_Toc200440017"/>
      <w:bookmarkStart w:id="2493" w:name="_Toc201241122"/>
      <w:r w:rsidRPr="002F2BC5">
        <w:rPr>
          <w:rFonts w:hint="cs"/>
          <w:b/>
          <w:bCs/>
          <w:rtl/>
        </w:rPr>
        <w:t xml:space="preserve">ביקורת המעקב העלתה עוד </w:t>
      </w:r>
      <w:r w:rsidRPr="002F2BC5">
        <w:rPr>
          <w:b/>
          <w:bCs/>
          <w:rtl/>
        </w:rPr>
        <w:t>כי בשנים שחלפו למן סיומה של הביקורת הקודמת קידם משרד הרווחה כמה מהלכי</w:t>
      </w:r>
      <w:r w:rsidRPr="002F2BC5">
        <w:rPr>
          <w:rFonts w:hint="cs"/>
          <w:b/>
          <w:bCs/>
          <w:rtl/>
        </w:rPr>
        <w:t xml:space="preserve"> רוחב</w:t>
      </w:r>
      <w:r w:rsidRPr="002F2BC5">
        <w:rPr>
          <w:b/>
          <w:bCs/>
          <w:rtl/>
        </w:rPr>
        <w:t xml:space="preserve"> רבי</w:t>
      </w:r>
      <w:r w:rsidRPr="002F2BC5">
        <w:rPr>
          <w:rFonts w:hint="cs"/>
          <w:b/>
          <w:bCs/>
          <w:rtl/>
        </w:rPr>
        <w:t>-</w:t>
      </w:r>
      <w:r w:rsidRPr="002F2BC5">
        <w:rPr>
          <w:b/>
          <w:bCs/>
          <w:rtl/>
        </w:rPr>
        <w:t xml:space="preserve">משמעות - </w:t>
      </w:r>
      <w:r w:rsidRPr="002F2BC5">
        <w:rPr>
          <w:rFonts w:hint="cs"/>
          <w:b/>
          <w:bCs/>
          <w:rtl/>
        </w:rPr>
        <w:t>יישום הסכם</w:t>
      </w:r>
      <w:r w:rsidRPr="002F2BC5">
        <w:rPr>
          <w:b/>
          <w:bCs/>
          <w:rtl/>
        </w:rPr>
        <w:t xml:space="preserve"> "כתף אל כתף" ושינוי מודל מימון המרכזים לטיפול ומניעת אלימות במשפחה</w:t>
      </w:r>
      <w:r w:rsidRPr="002F2BC5">
        <w:rPr>
          <w:rFonts w:hint="cs"/>
          <w:b/>
          <w:bCs/>
          <w:rtl/>
        </w:rPr>
        <w:t>. למהלכים אלה צפויה להיות השפעה של ממש על</w:t>
      </w:r>
      <w:r w:rsidRPr="002F2BC5">
        <w:rPr>
          <w:b/>
          <w:bCs/>
          <w:rtl/>
        </w:rPr>
        <w:t xml:space="preserve"> </w:t>
      </w:r>
      <w:r w:rsidRPr="002F2BC5">
        <w:rPr>
          <w:rFonts w:hint="cs"/>
          <w:b/>
          <w:bCs/>
          <w:rtl/>
        </w:rPr>
        <w:t>טיבם של</w:t>
      </w:r>
      <w:r w:rsidRPr="002F2BC5">
        <w:rPr>
          <w:b/>
          <w:bCs/>
          <w:rtl/>
        </w:rPr>
        <w:t xml:space="preserve"> השירותים בתחום האלימות במשפחה </w:t>
      </w:r>
      <w:r w:rsidRPr="002F2BC5">
        <w:rPr>
          <w:rFonts w:hint="cs"/>
          <w:b/>
          <w:bCs/>
          <w:rtl/>
        </w:rPr>
        <w:t>ש</w:t>
      </w:r>
      <w:r w:rsidRPr="002F2BC5">
        <w:rPr>
          <w:b/>
          <w:bCs/>
          <w:rtl/>
        </w:rPr>
        <w:t>הרשויות המקומיות</w:t>
      </w:r>
      <w:r w:rsidRPr="002F2BC5">
        <w:rPr>
          <w:rFonts w:hint="cs"/>
          <w:b/>
          <w:bCs/>
          <w:rtl/>
        </w:rPr>
        <w:t xml:space="preserve"> נותנות, בכלל</w:t>
      </w:r>
      <w:r w:rsidRPr="002F2BC5">
        <w:rPr>
          <w:b/>
          <w:bCs/>
          <w:rtl/>
        </w:rPr>
        <w:t xml:space="preserve"> </w:t>
      </w:r>
      <w:r w:rsidRPr="002F2BC5">
        <w:rPr>
          <w:rFonts w:hint="cs"/>
          <w:b/>
          <w:bCs/>
          <w:rtl/>
        </w:rPr>
        <w:t>זה</w:t>
      </w:r>
      <w:r w:rsidRPr="002F2BC5">
        <w:rPr>
          <w:b/>
          <w:bCs/>
          <w:rtl/>
        </w:rPr>
        <w:t xml:space="preserve"> </w:t>
      </w:r>
      <w:r w:rsidRPr="002F2BC5">
        <w:rPr>
          <w:rFonts w:hint="cs"/>
          <w:b/>
          <w:bCs/>
          <w:rtl/>
        </w:rPr>
        <w:t xml:space="preserve">טיוב </w:t>
      </w:r>
      <w:r w:rsidRPr="002F2BC5">
        <w:rPr>
          <w:b/>
          <w:bCs/>
          <w:rtl/>
        </w:rPr>
        <w:t>יכ</w:t>
      </w:r>
      <w:r w:rsidRPr="002F2BC5">
        <w:rPr>
          <w:rFonts w:hint="cs"/>
          <w:b/>
          <w:bCs/>
          <w:rtl/>
        </w:rPr>
        <w:t>ו</w:t>
      </w:r>
      <w:r w:rsidRPr="002F2BC5">
        <w:rPr>
          <w:b/>
          <w:bCs/>
          <w:rtl/>
        </w:rPr>
        <w:t>לות המעקב, הבקרה והשליטה של משרד הרווחה</w:t>
      </w:r>
      <w:r w:rsidRPr="002F2BC5">
        <w:rPr>
          <w:rFonts w:hint="cs"/>
          <w:b/>
          <w:bCs/>
          <w:rtl/>
        </w:rPr>
        <w:t>,</w:t>
      </w:r>
      <w:r w:rsidRPr="002F2BC5">
        <w:rPr>
          <w:b/>
          <w:bCs/>
          <w:rtl/>
        </w:rPr>
        <w:t xml:space="preserve"> וחשוב מכך של הרשויות המקומיות עצמן</w:t>
      </w:r>
      <w:r w:rsidRPr="002F2BC5">
        <w:rPr>
          <w:rFonts w:hint="cs"/>
          <w:b/>
          <w:bCs/>
          <w:rtl/>
        </w:rPr>
        <w:t>,</w:t>
      </w:r>
      <w:r w:rsidRPr="002F2BC5">
        <w:rPr>
          <w:b/>
          <w:bCs/>
          <w:rtl/>
        </w:rPr>
        <w:t xml:space="preserve"> על יעילות ומועילות השירותים שהן מספקות</w:t>
      </w:r>
      <w:r w:rsidRPr="002F2BC5">
        <w:rPr>
          <w:rFonts w:hint="cs"/>
          <w:b/>
          <w:bCs/>
          <w:rtl/>
        </w:rPr>
        <w:t xml:space="preserve"> בתחום זה</w:t>
      </w:r>
      <w:r w:rsidRPr="002F2BC5">
        <w:rPr>
          <w:b/>
          <w:bCs/>
          <w:rtl/>
        </w:rPr>
        <w:t xml:space="preserve">. </w:t>
      </w:r>
      <w:r w:rsidRPr="002F2BC5">
        <w:rPr>
          <w:rFonts w:hint="cs"/>
          <w:b/>
          <w:bCs/>
          <w:rtl/>
        </w:rPr>
        <w:t>נוסף על כך הועלה כי משרד הרווחה החל לקדם מהלך להקמתו של אגף חדש וייעודי</w:t>
      </w:r>
      <w:r w:rsidRPr="002F2BC5">
        <w:rPr>
          <w:b/>
          <w:bCs/>
          <w:rtl/>
        </w:rPr>
        <w:t xml:space="preserve"> בתחום האלימות במשפחה והפגיעות המיניות</w:t>
      </w:r>
      <w:r w:rsidRPr="002F2BC5">
        <w:rPr>
          <w:rFonts w:hint="cs"/>
          <w:b/>
          <w:bCs/>
          <w:rtl/>
        </w:rPr>
        <w:t>, מהלך שיקדם התמקצעות בתחומים אלה במטה משרד הרווחה ומחוזותיו.</w:t>
      </w:r>
      <w:bookmarkEnd w:id="2487"/>
      <w:bookmarkEnd w:id="2488"/>
      <w:bookmarkEnd w:id="2489"/>
      <w:bookmarkEnd w:id="2490"/>
      <w:bookmarkEnd w:id="2491"/>
      <w:bookmarkEnd w:id="2492"/>
      <w:bookmarkEnd w:id="2493"/>
    </w:p>
    <w:p w14:paraId="0412951D" w14:textId="77777777" w:rsidR="00817399" w:rsidRPr="002F2BC5" w:rsidRDefault="00817399" w:rsidP="00817399">
      <w:pPr>
        <w:spacing w:line="269" w:lineRule="auto"/>
        <w:rPr>
          <w:rtl/>
        </w:rPr>
      </w:pPr>
    </w:p>
    <w:p w14:paraId="57EF2105" w14:textId="77777777" w:rsidR="00817399" w:rsidRPr="002F2BC5" w:rsidRDefault="00817399" w:rsidP="00817399">
      <w:pPr>
        <w:spacing w:line="269" w:lineRule="auto"/>
        <w:rPr>
          <w:b/>
          <w:bCs/>
          <w:rtl/>
        </w:rPr>
      </w:pPr>
      <w:r w:rsidRPr="002F2BC5">
        <w:rPr>
          <w:rFonts w:hint="cs"/>
          <w:b/>
          <w:bCs/>
          <w:rtl/>
        </w:rPr>
        <w:lastRenderedPageBreak/>
        <w:t xml:space="preserve">לצד זאת הועלה כי פעולות שהיו אמורים להוביל המערך הלאומי להתמודדות עם תופעת האלימות במשפחה והוועדה הבין-משרדית הקבועה הנמנית עם מערך זה, במטרה לטייב את דרכי ההתמודדות עם תופעת האלימות במשפחה, כפי שהומלץ בעניינן בביקורת הקודמת, לא ננקטו כלל, או שהליקויים בעניינם תוקנו במידה מועטה. בכלל זה הועלה בביקורת המעקב כי הגדרה אחידה של התופעה לא עוגנה בחקיקה או בהוראות רגולטוריות אחרות. כמו כן </w:t>
      </w:r>
      <w:r w:rsidRPr="002F2BC5">
        <w:rPr>
          <w:b/>
          <w:bCs/>
          <w:rtl/>
        </w:rPr>
        <w:t xml:space="preserve">טרם הושלמה </w:t>
      </w:r>
      <w:r w:rsidRPr="002F2BC5">
        <w:rPr>
          <w:rFonts w:hint="cs"/>
          <w:b/>
          <w:bCs/>
          <w:rtl/>
        </w:rPr>
        <w:t>הקמתו של מערך המדידה התוצאתית ולא נקבעו תבחינים לבחינת מועילות כלל השירותים והפעולות במימון ממשלתי, הננקטות להתמודדות עם תופעת האלימות במשפחה. נוסף על כך הועלה כי לא נקבעה מדיניות ממשלתית בתחום המניעה הראשונית והאיתור של משפחות במעגל האלימות, כך ש</w:t>
      </w:r>
      <w:r w:rsidRPr="002F2BC5">
        <w:rPr>
          <w:b/>
          <w:bCs/>
          <w:rtl/>
        </w:rPr>
        <w:t>הפעולות ש</w:t>
      </w:r>
      <w:r w:rsidRPr="002F2BC5">
        <w:rPr>
          <w:rFonts w:hint="cs"/>
          <w:b/>
          <w:bCs/>
          <w:rtl/>
        </w:rPr>
        <w:t xml:space="preserve">נוקטות הרשויות המקומיות בתחומים אלה </w:t>
      </w:r>
      <w:r w:rsidRPr="002F2BC5">
        <w:rPr>
          <w:b/>
          <w:bCs/>
          <w:rtl/>
        </w:rPr>
        <w:t xml:space="preserve">נעדרות ראייה מערכתית </w:t>
      </w:r>
      <w:r w:rsidRPr="002F2BC5">
        <w:rPr>
          <w:rFonts w:hint="cs"/>
          <w:b/>
          <w:bCs/>
          <w:rtl/>
        </w:rPr>
        <w:t xml:space="preserve">והכוונה מקצועית, </w:t>
      </w:r>
      <w:r w:rsidRPr="002F2BC5">
        <w:rPr>
          <w:b/>
          <w:bCs/>
          <w:rtl/>
        </w:rPr>
        <w:t>והן נעשות באופן שאינו אחיד ושאינו שיטתי.</w:t>
      </w:r>
      <w:r w:rsidRPr="002F2BC5">
        <w:rPr>
          <w:rFonts w:hint="cs"/>
          <w:b/>
          <w:bCs/>
          <w:rtl/>
        </w:rPr>
        <w:t xml:space="preserve"> כך גם </w:t>
      </w:r>
      <w:r w:rsidRPr="002F2BC5">
        <w:rPr>
          <w:b/>
          <w:bCs/>
          <w:rtl/>
        </w:rPr>
        <w:t>שיעורה של ההוצאה הממשלתית המוערכת על פעולות בתחום המניעה הראשונית מול ההוצאה הממשלתית המוערכת על פעולות בתחום המניעה השלישונית נותר מזערי</w:t>
      </w:r>
      <w:r w:rsidRPr="002F2BC5">
        <w:rPr>
          <w:rFonts w:hint="cs"/>
          <w:b/>
          <w:bCs/>
          <w:rtl/>
        </w:rPr>
        <w:t xml:space="preserve"> (כ-3.6%).</w:t>
      </w:r>
    </w:p>
    <w:p w14:paraId="0BD2B275" w14:textId="77777777" w:rsidR="00817399" w:rsidRPr="002F2BC5" w:rsidRDefault="00817399" w:rsidP="00817399">
      <w:pPr>
        <w:spacing w:line="269" w:lineRule="auto"/>
        <w:rPr>
          <w:rtl/>
        </w:rPr>
      </w:pPr>
    </w:p>
    <w:p w14:paraId="2D14ECBA" w14:textId="77777777" w:rsidR="00817399" w:rsidRPr="002F2BC5" w:rsidRDefault="00817399" w:rsidP="00817399">
      <w:pPr>
        <w:spacing w:line="269" w:lineRule="auto"/>
        <w:rPr>
          <w:b/>
          <w:bCs/>
          <w:rtl/>
        </w:rPr>
      </w:pPr>
      <w:r w:rsidRPr="002F2BC5">
        <w:rPr>
          <w:rFonts w:hint="cs"/>
          <w:b/>
          <w:bCs/>
          <w:rtl/>
        </w:rPr>
        <w:t xml:space="preserve">במסגרת הביקורת הנוכחית נבדקו גם מעמדה והדרג הניהולי של העומד בראשה </w:t>
      </w:r>
      <w:r w:rsidRPr="002F2BC5">
        <w:rPr>
          <w:rFonts w:hint="eastAsia"/>
          <w:b/>
          <w:bCs/>
          <w:rtl/>
        </w:rPr>
        <w:t>מטעם</w:t>
      </w:r>
      <w:r w:rsidRPr="002F2BC5">
        <w:rPr>
          <w:b/>
          <w:bCs/>
          <w:rtl/>
        </w:rPr>
        <w:t xml:space="preserve"> </w:t>
      </w:r>
      <w:r w:rsidRPr="002F2BC5">
        <w:rPr>
          <w:rFonts w:hint="eastAsia"/>
          <w:b/>
          <w:bCs/>
          <w:rtl/>
        </w:rPr>
        <w:t>משרד</w:t>
      </w:r>
      <w:r w:rsidRPr="002F2BC5">
        <w:rPr>
          <w:b/>
          <w:bCs/>
          <w:rtl/>
        </w:rPr>
        <w:t xml:space="preserve"> </w:t>
      </w:r>
      <w:r w:rsidRPr="002F2BC5">
        <w:rPr>
          <w:rFonts w:hint="eastAsia"/>
          <w:b/>
          <w:bCs/>
          <w:rtl/>
        </w:rPr>
        <w:t>הרווחה</w:t>
      </w:r>
      <w:r w:rsidRPr="002F2BC5">
        <w:rPr>
          <w:rFonts w:hint="cs"/>
          <w:b/>
          <w:bCs/>
          <w:rtl/>
        </w:rPr>
        <w:t xml:space="preserve">, סדרי עבודתה ותפקידיה של הוועדה הבין-משרדית הקבועה, </w:t>
      </w:r>
      <w:r w:rsidRPr="002F2BC5">
        <w:rPr>
          <w:b/>
          <w:bCs/>
          <w:rtl/>
        </w:rPr>
        <w:t>ש</w:t>
      </w:r>
      <w:r w:rsidRPr="002F2BC5">
        <w:rPr>
          <w:rFonts w:hint="cs"/>
          <w:b/>
          <w:bCs/>
          <w:rtl/>
        </w:rPr>
        <w:t xml:space="preserve">הייתה </w:t>
      </w:r>
      <w:r w:rsidRPr="002F2BC5">
        <w:rPr>
          <w:b/>
          <w:bCs/>
          <w:rtl/>
        </w:rPr>
        <w:t>אמור</w:t>
      </w:r>
      <w:r w:rsidRPr="002F2BC5">
        <w:rPr>
          <w:rFonts w:hint="cs"/>
          <w:b/>
          <w:bCs/>
          <w:rtl/>
        </w:rPr>
        <w:t>ה</w:t>
      </w:r>
      <w:r w:rsidRPr="002F2BC5">
        <w:rPr>
          <w:b/>
          <w:bCs/>
          <w:rtl/>
        </w:rPr>
        <w:t xml:space="preserve"> לבסס את תשתית העבודה המקצועית והניהולית </w:t>
      </w:r>
      <w:r w:rsidRPr="002F2BC5">
        <w:rPr>
          <w:rFonts w:hint="cs"/>
          <w:b/>
          <w:bCs/>
          <w:rtl/>
        </w:rPr>
        <w:t>ואת התיאום ושיתוף הפעולה המערכתי בנושא. הועלה כי הוועדה הקבועה</w:t>
      </w:r>
      <w:r w:rsidRPr="002F2BC5">
        <w:rPr>
          <w:b/>
          <w:bCs/>
          <w:rtl/>
        </w:rPr>
        <w:t xml:space="preserve"> לא מילא</w:t>
      </w:r>
      <w:r w:rsidRPr="002F2BC5">
        <w:rPr>
          <w:rFonts w:hint="cs"/>
          <w:b/>
          <w:bCs/>
          <w:rtl/>
        </w:rPr>
        <w:t>ה</w:t>
      </w:r>
      <w:r w:rsidRPr="002F2BC5">
        <w:rPr>
          <w:b/>
          <w:bCs/>
          <w:rtl/>
        </w:rPr>
        <w:t xml:space="preserve"> את משימותי</w:t>
      </w:r>
      <w:r w:rsidRPr="002F2BC5">
        <w:rPr>
          <w:rFonts w:hint="cs"/>
          <w:b/>
          <w:bCs/>
          <w:rtl/>
        </w:rPr>
        <w:t>ה</w:t>
      </w:r>
      <w:r w:rsidRPr="002F2BC5">
        <w:rPr>
          <w:b/>
          <w:bCs/>
          <w:rtl/>
        </w:rPr>
        <w:t xml:space="preserve"> בכל הקשו</w:t>
      </w:r>
      <w:r w:rsidRPr="002F2BC5">
        <w:rPr>
          <w:rFonts w:hint="cs"/>
          <w:b/>
          <w:bCs/>
          <w:rtl/>
        </w:rPr>
        <w:t>ר</w:t>
      </w:r>
      <w:r w:rsidRPr="002F2BC5">
        <w:rPr>
          <w:b/>
          <w:bCs/>
          <w:rtl/>
        </w:rPr>
        <w:t xml:space="preserve"> לגיבוש המדיניות ותוכניות ה</w:t>
      </w:r>
      <w:r w:rsidRPr="002F2BC5">
        <w:rPr>
          <w:rFonts w:hint="cs"/>
          <w:b/>
          <w:bCs/>
          <w:rtl/>
        </w:rPr>
        <w:t>פ</w:t>
      </w:r>
      <w:r w:rsidRPr="002F2BC5">
        <w:rPr>
          <w:b/>
          <w:bCs/>
          <w:rtl/>
        </w:rPr>
        <w:t>עולה והערכתן לאורך זמן</w:t>
      </w:r>
      <w:r w:rsidRPr="002F2BC5">
        <w:rPr>
          <w:rFonts w:hint="cs"/>
          <w:b/>
          <w:bCs/>
          <w:rtl/>
        </w:rPr>
        <w:t>, בפרט במהלך מלחמת חרבות ברזל</w:t>
      </w:r>
      <w:r w:rsidRPr="002F2BC5">
        <w:rPr>
          <w:b/>
          <w:bCs/>
          <w:rtl/>
        </w:rPr>
        <w:t xml:space="preserve">; </w:t>
      </w:r>
      <w:r w:rsidRPr="002F2BC5">
        <w:rPr>
          <w:rFonts w:hint="cs"/>
          <w:b/>
          <w:bCs/>
          <w:rtl/>
        </w:rPr>
        <w:t xml:space="preserve">בשנים 2023 ו-2024 התכנסה פעם אחת בלבד בכל שנה; הוועדה </w:t>
      </w:r>
      <w:r w:rsidRPr="002F2BC5">
        <w:rPr>
          <w:b/>
          <w:bCs/>
          <w:rtl/>
        </w:rPr>
        <w:t>לא הקפיד</w:t>
      </w:r>
      <w:r w:rsidRPr="002F2BC5">
        <w:rPr>
          <w:rFonts w:hint="cs"/>
          <w:b/>
          <w:bCs/>
          <w:rtl/>
        </w:rPr>
        <w:t>ה</w:t>
      </w:r>
      <w:r w:rsidRPr="002F2BC5">
        <w:rPr>
          <w:b/>
          <w:bCs/>
          <w:rtl/>
        </w:rPr>
        <w:t xml:space="preserve"> כנדרש על סדרי עבודת</w:t>
      </w:r>
      <w:r w:rsidRPr="002F2BC5">
        <w:rPr>
          <w:rFonts w:hint="cs"/>
          <w:b/>
          <w:bCs/>
          <w:rtl/>
        </w:rPr>
        <w:t>ה, על תדירות התכנסותה ועל תיעוד דיוניה;</w:t>
      </w:r>
      <w:r w:rsidRPr="002F2BC5">
        <w:rPr>
          <w:b/>
          <w:bCs/>
          <w:rtl/>
        </w:rPr>
        <w:t xml:space="preserve"> </w:t>
      </w:r>
      <w:r w:rsidRPr="002F2BC5">
        <w:rPr>
          <w:rFonts w:hint="cs"/>
          <w:b/>
          <w:bCs/>
          <w:rtl/>
        </w:rPr>
        <w:t xml:space="preserve">כמו כן </w:t>
      </w:r>
      <w:r w:rsidRPr="002F2BC5">
        <w:rPr>
          <w:b/>
          <w:bCs/>
          <w:rtl/>
        </w:rPr>
        <w:t>לא מיל</w:t>
      </w:r>
      <w:r w:rsidRPr="002F2BC5">
        <w:rPr>
          <w:rFonts w:hint="cs"/>
          <w:b/>
          <w:bCs/>
          <w:rtl/>
        </w:rPr>
        <w:t>אה</w:t>
      </w:r>
      <w:r w:rsidRPr="002F2BC5">
        <w:rPr>
          <w:b/>
          <w:bCs/>
          <w:rtl/>
        </w:rPr>
        <w:t xml:space="preserve"> את תפקיד</w:t>
      </w:r>
      <w:r w:rsidRPr="002F2BC5">
        <w:rPr>
          <w:rFonts w:hint="cs"/>
          <w:b/>
          <w:bCs/>
          <w:rtl/>
        </w:rPr>
        <w:t>ה</w:t>
      </w:r>
      <w:r w:rsidRPr="002F2BC5">
        <w:rPr>
          <w:b/>
          <w:bCs/>
          <w:rtl/>
        </w:rPr>
        <w:t xml:space="preserve"> החיוני במעקב ובקרה אחר יישום החלטותי</w:t>
      </w:r>
      <w:r w:rsidRPr="002F2BC5">
        <w:rPr>
          <w:rFonts w:hint="cs"/>
          <w:b/>
          <w:bCs/>
          <w:rtl/>
        </w:rPr>
        <w:t>ה</w:t>
      </w:r>
      <w:r w:rsidRPr="002F2BC5">
        <w:rPr>
          <w:b/>
          <w:bCs/>
          <w:rtl/>
        </w:rPr>
        <w:t xml:space="preserve"> </w:t>
      </w:r>
      <w:r w:rsidRPr="002F2BC5">
        <w:rPr>
          <w:rFonts w:hint="cs"/>
          <w:b/>
          <w:bCs/>
          <w:rtl/>
        </w:rPr>
        <w:t>ואחר ההקצאה וניצול התקציב הייעודי שהועמד לרשותה;</w:t>
      </w:r>
      <w:r w:rsidRPr="002F2BC5">
        <w:rPr>
          <w:b/>
          <w:bCs/>
          <w:rtl/>
        </w:rPr>
        <w:t xml:space="preserve"> </w:t>
      </w:r>
      <w:r w:rsidRPr="002F2BC5">
        <w:rPr>
          <w:rFonts w:hint="cs"/>
          <w:b/>
          <w:bCs/>
          <w:rtl/>
        </w:rPr>
        <w:t>יתרה מזו,</w:t>
      </w:r>
      <w:r w:rsidRPr="002F2BC5">
        <w:rPr>
          <w:b/>
          <w:bCs/>
          <w:rtl/>
        </w:rPr>
        <w:t xml:space="preserve"> לא </w:t>
      </w:r>
      <w:r w:rsidRPr="002F2BC5">
        <w:rPr>
          <w:rFonts w:hint="cs"/>
          <w:b/>
          <w:bCs/>
          <w:rtl/>
        </w:rPr>
        <w:t>התקיימה</w:t>
      </w:r>
      <w:r w:rsidRPr="002F2BC5">
        <w:rPr>
          <w:b/>
          <w:bCs/>
          <w:rtl/>
        </w:rPr>
        <w:t xml:space="preserve"> בקרה </w:t>
      </w:r>
      <w:r w:rsidRPr="002F2BC5">
        <w:rPr>
          <w:rFonts w:hint="cs"/>
          <w:b/>
          <w:bCs/>
          <w:rtl/>
        </w:rPr>
        <w:t xml:space="preserve">ממשלתית סדורה </w:t>
      </w:r>
      <w:r w:rsidRPr="002F2BC5">
        <w:rPr>
          <w:b/>
          <w:bCs/>
          <w:rtl/>
        </w:rPr>
        <w:t>על פעילות</w:t>
      </w:r>
      <w:r w:rsidRPr="002F2BC5">
        <w:rPr>
          <w:rFonts w:hint="cs"/>
          <w:b/>
          <w:bCs/>
          <w:rtl/>
        </w:rPr>
        <w:t>ה</w:t>
      </w:r>
      <w:r w:rsidRPr="002F2BC5">
        <w:rPr>
          <w:b/>
          <w:bCs/>
          <w:rtl/>
        </w:rPr>
        <w:t xml:space="preserve"> </w:t>
      </w:r>
      <w:r w:rsidRPr="002F2BC5">
        <w:rPr>
          <w:rFonts w:hint="cs"/>
          <w:b/>
          <w:bCs/>
          <w:rtl/>
        </w:rPr>
        <w:t>של הוועדה הבין-משרדית הקבועה או של המערך הלאומי בכללותו</w:t>
      </w:r>
      <w:r w:rsidRPr="002F2BC5">
        <w:rPr>
          <w:b/>
          <w:bCs/>
          <w:rtl/>
        </w:rPr>
        <w:t>.</w:t>
      </w:r>
      <w:r w:rsidRPr="002F2BC5">
        <w:rPr>
          <w:rFonts w:hint="cs"/>
          <w:b/>
          <w:bCs/>
          <w:rtl/>
        </w:rPr>
        <w:t xml:space="preserve"> </w:t>
      </w:r>
      <w:r w:rsidRPr="002F2BC5">
        <w:rPr>
          <w:b/>
          <w:bCs/>
          <w:rtl/>
        </w:rPr>
        <w:t xml:space="preserve">לצד האמור יצוין כי </w:t>
      </w:r>
      <w:r w:rsidRPr="002F2BC5">
        <w:rPr>
          <w:rFonts w:hint="cs"/>
          <w:b/>
          <w:bCs/>
          <w:rtl/>
        </w:rPr>
        <w:t xml:space="preserve">מאז הביקורת הקודמת חלו שינויים בהרכבה של הוועדה הבין-משרדית הקבועה וכי </w:t>
      </w:r>
      <w:r w:rsidRPr="002F2BC5">
        <w:rPr>
          <w:b/>
          <w:bCs/>
          <w:rtl/>
        </w:rPr>
        <w:t xml:space="preserve">בדיון שקיימה הוועדה </w:t>
      </w:r>
      <w:r w:rsidRPr="002F2BC5">
        <w:rPr>
          <w:rFonts w:hint="cs"/>
          <w:b/>
          <w:bCs/>
          <w:rtl/>
        </w:rPr>
        <w:t xml:space="preserve">הבין-משרדית </w:t>
      </w:r>
      <w:r w:rsidRPr="002F2BC5">
        <w:rPr>
          <w:b/>
          <w:bCs/>
          <w:rtl/>
        </w:rPr>
        <w:t>הקבועה עוד במהלך הביקורת</w:t>
      </w:r>
      <w:r w:rsidRPr="002F2BC5">
        <w:rPr>
          <w:rFonts w:hint="cs"/>
          <w:b/>
          <w:bCs/>
          <w:rtl/>
        </w:rPr>
        <w:t xml:space="preserve"> הנוכחית</w:t>
      </w:r>
      <w:r w:rsidRPr="002F2BC5">
        <w:rPr>
          <w:b/>
          <w:bCs/>
          <w:rtl/>
        </w:rPr>
        <w:t xml:space="preserve">, בנובמבר 2024, היא קבעה לראשונה בהרכבה החדש את </w:t>
      </w:r>
      <w:r w:rsidRPr="002F2BC5">
        <w:rPr>
          <w:rFonts w:hint="cs"/>
          <w:b/>
          <w:bCs/>
          <w:rtl/>
        </w:rPr>
        <w:t>סדרי עבודתה</w:t>
      </w:r>
      <w:r w:rsidRPr="002F2BC5">
        <w:rPr>
          <w:b/>
          <w:bCs/>
          <w:rtl/>
        </w:rPr>
        <w:t xml:space="preserve"> </w:t>
      </w:r>
      <w:r w:rsidRPr="002F2BC5">
        <w:rPr>
          <w:rFonts w:hint="cs"/>
          <w:b/>
          <w:bCs/>
          <w:rtl/>
        </w:rPr>
        <w:t>וכן</w:t>
      </w:r>
      <w:r w:rsidRPr="002F2BC5">
        <w:rPr>
          <w:b/>
          <w:bCs/>
          <w:rtl/>
        </w:rPr>
        <w:t xml:space="preserve"> את תדירות התכנסותה, אחת לחודשיים</w:t>
      </w:r>
      <w:r w:rsidRPr="002F2BC5">
        <w:rPr>
          <w:rFonts w:hint="cs"/>
          <w:b/>
          <w:bCs/>
          <w:rtl/>
        </w:rPr>
        <w:t>.</w:t>
      </w:r>
    </w:p>
    <w:p w14:paraId="16CA5438" w14:textId="77777777" w:rsidR="00817399" w:rsidRPr="002F2BC5" w:rsidRDefault="00817399" w:rsidP="00817399">
      <w:pPr>
        <w:spacing w:line="269" w:lineRule="auto"/>
        <w:rPr>
          <w:rtl/>
        </w:rPr>
      </w:pPr>
    </w:p>
    <w:p w14:paraId="6B0DA81B" w14:textId="77777777" w:rsidR="00817399" w:rsidRPr="002F2BC5" w:rsidRDefault="00817399" w:rsidP="00817399">
      <w:pPr>
        <w:spacing w:line="269" w:lineRule="auto"/>
        <w:rPr>
          <w:b/>
          <w:bCs/>
          <w:rtl/>
        </w:rPr>
      </w:pPr>
      <w:r w:rsidRPr="002F2BC5">
        <w:rPr>
          <w:rFonts w:hint="cs"/>
          <w:b/>
          <w:bCs/>
          <w:rtl/>
        </w:rPr>
        <w:t xml:space="preserve">ביקורת המעקב העלתה עוד כי מנגנוני הבקרה הפנימיים של הרשויות המקומיות על אספקת השירותים בתחום האלימות במשפחה על ידן, כמו גם מנגנוני הבקרה והפיקוח שמפעיל על שירותים אלו משרד הרווחה, עודם מופעלים בחלק מן הרשויות המקומיות באופן חלקי בלבד או שאינם מופעלים כלל (בכ-71% מהמרכזים שהיו פעילים בשנת 2023 לא התכנסה כלל ועדת ההיגוי שהייתה אמורה ללוות את פעילותם, ובכ-38% מהמרכזים לא התקיימו כלל ביקורי פיקוח מטעם מפקחיו המחוזיים של משרד הרווחה בשנה האמורה), על אף חשיבותם להבטחת הרמה ואיכות </w:t>
      </w:r>
      <w:r w:rsidRPr="002F2BC5">
        <w:rPr>
          <w:rFonts w:hint="eastAsia"/>
          <w:b/>
          <w:bCs/>
          <w:rtl/>
        </w:rPr>
        <w:t>השירותים</w:t>
      </w:r>
      <w:r w:rsidRPr="002F2BC5">
        <w:rPr>
          <w:b/>
          <w:bCs/>
          <w:rtl/>
        </w:rPr>
        <w:t xml:space="preserve"> הללו. </w:t>
      </w:r>
      <w:r w:rsidRPr="002F2BC5">
        <w:rPr>
          <w:rFonts w:hint="eastAsia"/>
          <w:b/>
          <w:bCs/>
          <w:rtl/>
        </w:rPr>
        <w:t>ביקורת</w:t>
      </w:r>
      <w:r w:rsidRPr="002F2BC5">
        <w:rPr>
          <w:b/>
          <w:bCs/>
          <w:rtl/>
        </w:rPr>
        <w:t xml:space="preserve"> המעקב </w:t>
      </w:r>
      <w:r w:rsidRPr="002F2BC5">
        <w:rPr>
          <w:rFonts w:hint="cs"/>
          <w:b/>
          <w:bCs/>
          <w:rtl/>
        </w:rPr>
        <w:t xml:space="preserve">שנעשתה </w:t>
      </w:r>
      <w:r w:rsidRPr="002F2BC5">
        <w:rPr>
          <w:rFonts w:hint="eastAsia"/>
          <w:b/>
          <w:bCs/>
          <w:rtl/>
        </w:rPr>
        <w:t>ברשויות</w:t>
      </w:r>
      <w:r w:rsidRPr="002F2BC5">
        <w:rPr>
          <w:b/>
          <w:bCs/>
          <w:rtl/>
        </w:rPr>
        <w:t xml:space="preserve"> המקומיות </w:t>
      </w:r>
      <w:r w:rsidRPr="002F2BC5">
        <w:rPr>
          <w:rFonts w:hint="eastAsia"/>
          <w:b/>
          <w:bCs/>
          <w:rtl/>
        </w:rPr>
        <w:t>העלתה</w:t>
      </w:r>
      <w:r w:rsidRPr="002F2BC5">
        <w:rPr>
          <w:b/>
          <w:bCs/>
          <w:rtl/>
        </w:rPr>
        <w:t xml:space="preserve"> </w:t>
      </w:r>
      <w:r w:rsidRPr="002F2BC5">
        <w:rPr>
          <w:rFonts w:hint="eastAsia"/>
          <w:b/>
          <w:bCs/>
          <w:rtl/>
        </w:rPr>
        <w:t>עוד</w:t>
      </w:r>
      <w:r w:rsidRPr="002F2BC5">
        <w:rPr>
          <w:b/>
          <w:bCs/>
          <w:rtl/>
        </w:rPr>
        <w:t xml:space="preserve"> </w:t>
      </w:r>
      <w:r w:rsidRPr="002F2BC5">
        <w:rPr>
          <w:rFonts w:hint="eastAsia"/>
          <w:b/>
          <w:bCs/>
          <w:rtl/>
        </w:rPr>
        <w:t>כי</w:t>
      </w:r>
      <w:r w:rsidRPr="002F2BC5">
        <w:rPr>
          <w:b/>
          <w:bCs/>
          <w:rtl/>
        </w:rPr>
        <w:t xml:space="preserve"> </w:t>
      </w:r>
      <w:r w:rsidRPr="002F2BC5">
        <w:rPr>
          <w:rFonts w:hint="cs"/>
          <w:b/>
          <w:bCs/>
          <w:rtl/>
        </w:rPr>
        <w:t xml:space="preserve">עיריית בית שמש </w:t>
      </w:r>
      <w:r w:rsidRPr="002F2BC5">
        <w:rPr>
          <w:b/>
          <w:bCs/>
          <w:rtl/>
        </w:rPr>
        <w:t>טרם השלימה באופן רשמי את הנגשתו של מבנה המרכז שבהפעלתה לאנשים עם מוגבלות כמחויב בחוק ובתקנות</w:t>
      </w:r>
      <w:r w:rsidRPr="002F2BC5" w:rsidDel="00ED3A71">
        <w:rPr>
          <w:b/>
          <w:bCs/>
          <w:rtl/>
        </w:rPr>
        <w:t xml:space="preserve"> </w:t>
      </w:r>
      <w:r w:rsidRPr="002F2BC5">
        <w:rPr>
          <w:rFonts w:hint="cs"/>
          <w:b/>
          <w:bCs/>
          <w:rtl/>
        </w:rPr>
        <w:t xml:space="preserve">וכי גם המרכז שמפעילה עיריית </w:t>
      </w:r>
      <w:r w:rsidRPr="002F2BC5">
        <w:rPr>
          <w:b/>
          <w:bCs/>
          <w:rtl/>
        </w:rPr>
        <w:t>סח'נין אינ</w:t>
      </w:r>
      <w:r w:rsidRPr="002F2BC5">
        <w:rPr>
          <w:rFonts w:hint="cs"/>
          <w:b/>
          <w:bCs/>
          <w:rtl/>
        </w:rPr>
        <w:t>ו</w:t>
      </w:r>
      <w:r w:rsidRPr="002F2BC5">
        <w:rPr>
          <w:b/>
          <w:bCs/>
          <w:rtl/>
        </w:rPr>
        <w:t xml:space="preserve"> מונגש </w:t>
      </w:r>
      <w:r w:rsidRPr="002F2BC5">
        <w:rPr>
          <w:rFonts w:hint="cs"/>
          <w:b/>
          <w:bCs/>
          <w:rtl/>
        </w:rPr>
        <w:t>כאמור. עוד נמצא כי למרכז שמפעילה עיריית רהט מתאפשרת פנייה טלפונית בלבד, וכי לא מתאפשרת פנייה למרכז זה בדרכים אחרות שלא בשעות הפעילות הרגילות</w:t>
      </w:r>
      <w:r w:rsidRPr="002F2BC5">
        <w:rPr>
          <w:b/>
          <w:bCs/>
          <w:rtl/>
        </w:rPr>
        <w:t>.</w:t>
      </w:r>
    </w:p>
    <w:p w14:paraId="05F703C1" w14:textId="77777777" w:rsidR="00817399" w:rsidRPr="002F2BC5" w:rsidRDefault="00817399" w:rsidP="00817399">
      <w:pPr>
        <w:spacing w:line="269" w:lineRule="auto"/>
        <w:rPr>
          <w:rtl/>
        </w:rPr>
      </w:pPr>
    </w:p>
    <w:p w14:paraId="7057C4F9" w14:textId="77777777" w:rsidR="00817399" w:rsidRDefault="00817399" w:rsidP="00817399">
      <w:pPr>
        <w:spacing w:line="269" w:lineRule="auto"/>
        <w:rPr>
          <w:b/>
          <w:bCs/>
          <w:rtl/>
        </w:rPr>
      </w:pPr>
      <w:r w:rsidRPr="002F2BC5">
        <w:rPr>
          <w:rFonts w:hint="cs"/>
          <w:b/>
          <w:bCs/>
          <w:rtl/>
        </w:rPr>
        <w:t>נוסף על כך הועלה כי שיעורם של עוברי החוק ששולבו בתוכניות שיקומיות ייעודיות נותר נמוך: כ-18% בלבד מעוברי החוק בתחום האלימות הזוגית שהופנו לתסקיר שירות המבחן בשנים 2022 - 2023 שולבו בתוכניות שיקום של שירות המבחן; כ-32% בלבד (</w:t>
      </w:r>
      <w:r w:rsidRPr="002F2BC5">
        <w:rPr>
          <w:b/>
          <w:bCs/>
          <w:rtl/>
        </w:rPr>
        <w:t>464 מתוך 1,445</w:t>
      </w:r>
      <w:r w:rsidRPr="002F2BC5">
        <w:rPr>
          <w:rFonts w:hint="cs"/>
          <w:b/>
          <w:bCs/>
          <w:rtl/>
        </w:rPr>
        <w:t xml:space="preserve">) מהאסירים שריצו מאסר בגין עבירות אלימות במשפחה היו משולבים בתוכניות שיקומיות ייעודיות שהפעיל שירות בתי הסוהר נכון לפברואר 2025; וכ-10% בלבד מהאסירים ששוחררו בפיקוח או שלא בפיקוח שולבו על ידי הרשות לשיקום האסיר בתוכניות שיקומיות בקהילה. כמו כן נמצא בביקורת המעקב כי לא גובשו מענים נוספים עבור אסירים משוחררים שאינם מתאימים או מסרבים לשילובם בתוכניות שיקומיות בקהילה לאחר שחרורם. אסירים אלה, שרמת המסוכנות הנשקפת מהם עלולה להיות הגבוהה ביותר, הם דווקא אלו שעניינם אינו מובא בפני ועדת השחרורים ושחרורם אינו מותנה בהשתלבות בתוכנית שיקום בפיקוח בקהילה. </w:t>
      </w:r>
      <w:bookmarkStart w:id="2494" w:name="_Hlk199234112"/>
      <w:r w:rsidRPr="002F2BC5">
        <w:rPr>
          <w:rFonts w:hint="cs"/>
          <w:b/>
          <w:bCs/>
          <w:rtl/>
        </w:rPr>
        <w:t xml:space="preserve">בנסיבות </w:t>
      </w:r>
      <w:r w:rsidRPr="002F2BC5">
        <w:rPr>
          <w:rFonts w:hint="cs"/>
          <w:b/>
          <w:bCs/>
          <w:rtl/>
        </w:rPr>
        <w:lastRenderedPageBreak/>
        <w:t>מסוימות בחינת רמת מסוכנותם וההיערכות לקראת חזרתם לקהילה עלולות להיעשות גם מבלי שהובאה עמדתם של גורמי הטיפול בקהילה ונפגעי העבירה</w:t>
      </w:r>
      <w:bookmarkEnd w:id="2494"/>
      <w:r w:rsidRPr="002F2BC5">
        <w:rPr>
          <w:rFonts w:hint="cs"/>
          <w:b/>
          <w:bCs/>
          <w:rtl/>
        </w:rPr>
        <w:t>.</w:t>
      </w:r>
    </w:p>
    <w:p w14:paraId="722C77B2" w14:textId="77777777" w:rsidR="004A0C9B" w:rsidRPr="002F2BC5" w:rsidRDefault="004A0C9B" w:rsidP="00817399">
      <w:pPr>
        <w:spacing w:line="269" w:lineRule="auto"/>
        <w:rPr>
          <w:b/>
          <w:bCs/>
          <w:rtl/>
        </w:rPr>
      </w:pPr>
    </w:p>
    <w:p w14:paraId="2EF8CF97" w14:textId="77777777" w:rsidR="00817399" w:rsidRPr="002F2BC5" w:rsidRDefault="00817399" w:rsidP="00817399">
      <w:pPr>
        <w:pStyle w:val="a9"/>
        <w:spacing w:line="269" w:lineRule="auto"/>
        <w:rPr>
          <w:rtl/>
        </w:rPr>
      </w:pPr>
      <w:bookmarkStart w:id="2495" w:name="_Toc192672920"/>
      <w:r w:rsidRPr="002F2BC5">
        <w:rPr>
          <w:rFonts w:hint="cs"/>
          <w:rtl/>
        </w:rPr>
        <w:t xml:space="preserve">: </w:t>
      </w:r>
      <w:r w:rsidRPr="002F2BC5">
        <w:rPr>
          <w:rFonts w:hint="eastAsia"/>
          <w:b w:val="0"/>
          <w:bCs/>
          <w:rtl/>
        </w:rPr>
        <w:t>מידת</w:t>
      </w:r>
      <w:r w:rsidRPr="002F2BC5">
        <w:rPr>
          <w:b w:val="0"/>
          <w:bCs/>
          <w:rtl/>
        </w:rPr>
        <w:t xml:space="preserve"> </w:t>
      </w:r>
      <w:r w:rsidRPr="002F2BC5">
        <w:rPr>
          <w:rFonts w:hint="eastAsia"/>
          <w:b w:val="0"/>
          <w:bCs/>
          <w:rtl/>
        </w:rPr>
        <w:t>תיקון</w:t>
      </w:r>
      <w:r w:rsidRPr="002F2BC5">
        <w:rPr>
          <w:b w:val="0"/>
          <w:bCs/>
          <w:rtl/>
        </w:rPr>
        <w:t xml:space="preserve"> </w:t>
      </w:r>
      <w:r w:rsidRPr="002F2BC5">
        <w:rPr>
          <w:rFonts w:hint="eastAsia"/>
          <w:b w:val="0"/>
          <w:bCs/>
          <w:rtl/>
        </w:rPr>
        <w:t>הליקויים</w:t>
      </w:r>
      <w:r w:rsidRPr="002F2BC5">
        <w:rPr>
          <w:b w:val="0"/>
          <w:bCs/>
          <w:rtl/>
        </w:rPr>
        <w:t xml:space="preserve"> </w:t>
      </w:r>
      <w:r w:rsidRPr="002F2BC5">
        <w:rPr>
          <w:rFonts w:hint="eastAsia"/>
          <w:b w:val="0"/>
          <w:bCs/>
          <w:rtl/>
        </w:rPr>
        <w:t>מהביקורת</w:t>
      </w:r>
      <w:r w:rsidRPr="002F2BC5">
        <w:rPr>
          <w:b w:val="0"/>
          <w:bCs/>
          <w:rtl/>
        </w:rPr>
        <w:t xml:space="preserve"> </w:t>
      </w:r>
      <w:r w:rsidRPr="002F2BC5">
        <w:rPr>
          <w:rFonts w:hint="eastAsia"/>
          <w:b w:val="0"/>
          <w:bCs/>
          <w:rtl/>
        </w:rPr>
        <w:t>הקודמת</w:t>
      </w:r>
      <w:bookmarkEnd w:id="2495"/>
    </w:p>
    <w:p w14:paraId="1A40AB4D" w14:textId="77777777" w:rsidR="00817399" w:rsidRPr="002F2BC5" w:rsidRDefault="00817399" w:rsidP="00817399">
      <w:pPr>
        <w:pStyle w:val="afffffff4"/>
        <w:bidi/>
        <w:spacing w:before="0" w:after="0" w:line="269" w:lineRule="auto"/>
        <w:rPr>
          <w:b/>
          <w:bCs/>
        </w:rPr>
      </w:pPr>
      <w:r w:rsidRPr="002F2BC5">
        <w:rPr>
          <w:b/>
          <w:bCs/>
          <w:noProof/>
        </w:rPr>
        <w:drawing>
          <wp:inline distT="0" distB="0" distL="0" distR="0" wp14:anchorId="3AC32591" wp14:editId="6B85049D">
            <wp:extent cx="5220000" cy="2024694"/>
            <wp:effectExtent l="0" t="0" r="0" b="0"/>
            <wp:docPr id="2052770968" name="תמונה 205277096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20000" cy="2024694"/>
                    </a:xfrm>
                    <a:prstGeom prst="rect">
                      <a:avLst/>
                    </a:prstGeom>
                    <a:noFill/>
                  </pic:spPr>
                </pic:pic>
              </a:graphicData>
            </a:graphic>
          </wp:inline>
        </w:drawing>
      </w:r>
    </w:p>
    <w:p w14:paraId="3DF85B7A" w14:textId="77777777" w:rsidR="00817399" w:rsidRPr="002F2BC5" w:rsidRDefault="00817399" w:rsidP="00817399">
      <w:pPr>
        <w:spacing w:line="269" w:lineRule="auto"/>
      </w:pPr>
      <w:r w:rsidRPr="002F2BC5">
        <w:rPr>
          <w:noProof/>
        </w:rPr>
        <w:drawing>
          <wp:inline distT="0" distB="0" distL="0" distR="0" wp14:anchorId="690EEC2D" wp14:editId="7C875EF9">
            <wp:extent cx="5220000" cy="4975602"/>
            <wp:effectExtent l="0" t="0" r="0" b="0"/>
            <wp:docPr id="2052770967" name="תמונה 205277096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20000" cy="4975602"/>
                    </a:xfrm>
                    <a:prstGeom prst="rect">
                      <a:avLst/>
                    </a:prstGeom>
                    <a:noFill/>
                  </pic:spPr>
                </pic:pic>
              </a:graphicData>
            </a:graphic>
          </wp:inline>
        </w:drawing>
      </w:r>
    </w:p>
    <w:p w14:paraId="7BDA1B21" w14:textId="77777777" w:rsidR="00817399" w:rsidRPr="002F2BC5" w:rsidRDefault="00817399" w:rsidP="00817399">
      <w:pPr>
        <w:spacing w:line="269" w:lineRule="auto"/>
        <w:rPr>
          <w:rtl/>
        </w:rPr>
      </w:pPr>
    </w:p>
    <w:p w14:paraId="794FA996" w14:textId="77777777" w:rsidR="00817399" w:rsidRPr="002F2BC5" w:rsidRDefault="00817399" w:rsidP="00817399">
      <w:pPr>
        <w:spacing w:line="269" w:lineRule="auto"/>
        <w:rPr>
          <w:b/>
          <w:bCs/>
          <w:rtl/>
        </w:rPr>
      </w:pPr>
      <w:r w:rsidRPr="002F2BC5">
        <w:rPr>
          <w:b/>
          <w:bCs/>
          <w:rtl/>
        </w:rPr>
        <w:t>מומלץ למשרד הרווחה, בשיתוף כלל הגורמים המעורבים בהתמודדות עם תופעת האלימות במשפחה, לפעול להשלמת הקמת המערך הלאומי להתמודדות עם תופעת האלימות במשפחה</w:t>
      </w:r>
      <w:r w:rsidRPr="002F2BC5">
        <w:rPr>
          <w:rFonts w:hint="cs"/>
          <w:b/>
          <w:bCs/>
          <w:rtl/>
        </w:rPr>
        <w:t xml:space="preserve"> במתכונתו המלאה</w:t>
      </w:r>
      <w:r w:rsidRPr="002F2BC5">
        <w:rPr>
          <w:b/>
          <w:bCs/>
          <w:rtl/>
        </w:rPr>
        <w:t xml:space="preserve">. זאת תוך הבהרת אחריותו ומחויבותו </w:t>
      </w:r>
      <w:r w:rsidRPr="002F2BC5">
        <w:rPr>
          <w:rFonts w:hint="cs"/>
          <w:b/>
          <w:bCs/>
          <w:rtl/>
        </w:rPr>
        <w:t>בכל הקשור</w:t>
      </w:r>
      <w:r w:rsidRPr="002F2BC5">
        <w:rPr>
          <w:b/>
          <w:bCs/>
          <w:rtl/>
        </w:rPr>
        <w:t xml:space="preserve"> לקביעת המדיניות, ההובלה </w:t>
      </w:r>
      <w:r w:rsidRPr="002F2BC5">
        <w:rPr>
          <w:b/>
          <w:bCs/>
          <w:rtl/>
        </w:rPr>
        <w:lastRenderedPageBreak/>
        <w:t>התהליכית והמקצועית והבקרה על יישום המדיניות שנקבעה, לרבות הערכתה והתאמתה בעיתות משבר וחירום; לקביעת מנגנונים ממוחשבים סדורים ושיטתיים להעברה של נתונים ומידע בין הגורמים השונים המעורבים בתהליך, תוך הבטחת שקיפות מרבית ויצירת תשתית מידע מלאה, מקיפה ומהימנה</w:t>
      </w:r>
      <w:r w:rsidRPr="002F2BC5">
        <w:rPr>
          <w:rFonts w:hint="cs"/>
          <w:b/>
          <w:bCs/>
          <w:rtl/>
        </w:rPr>
        <w:t xml:space="preserve"> שתעמוד לרשות מקבלי ההחלטות בעיתות שגרה וחירום</w:t>
      </w:r>
      <w:r w:rsidRPr="002F2BC5">
        <w:rPr>
          <w:b/>
          <w:bCs/>
          <w:rtl/>
        </w:rPr>
        <w:t xml:space="preserve">; וכן לקביעת מנגנוני בקרה והערכה, לבחינת העמידה ביעדים ובתוצאות וכן </w:t>
      </w:r>
      <w:r w:rsidRPr="002F2BC5">
        <w:rPr>
          <w:rFonts w:hint="cs"/>
          <w:b/>
          <w:bCs/>
          <w:rtl/>
        </w:rPr>
        <w:t>ל</w:t>
      </w:r>
      <w:r w:rsidRPr="002F2BC5">
        <w:rPr>
          <w:b/>
          <w:bCs/>
          <w:rtl/>
        </w:rPr>
        <w:t xml:space="preserve">בחינת ההקצאה והניצול של התקציבים הייעודיים והחסמים האפשריים העומדים בפני ניצולם המיטבי </w:t>
      </w:r>
      <w:r w:rsidRPr="002F2BC5">
        <w:rPr>
          <w:rFonts w:hint="cs"/>
          <w:b/>
          <w:bCs/>
          <w:rtl/>
        </w:rPr>
        <w:t>כדי</w:t>
      </w:r>
      <w:r w:rsidRPr="002F2BC5">
        <w:rPr>
          <w:b/>
          <w:bCs/>
          <w:rtl/>
        </w:rPr>
        <w:t xml:space="preserve"> לפעול לשיפור מתמיד באספקת השירותים.</w:t>
      </w:r>
    </w:p>
    <w:p w14:paraId="0029CF37" w14:textId="77777777" w:rsidR="00817399" w:rsidRPr="002F2BC5" w:rsidRDefault="00817399" w:rsidP="00817399">
      <w:pPr>
        <w:spacing w:line="269" w:lineRule="auto"/>
        <w:rPr>
          <w:rtl/>
        </w:rPr>
      </w:pPr>
    </w:p>
    <w:p w14:paraId="5EFF1DDC" w14:textId="77777777" w:rsidR="00817399" w:rsidRPr="002F2BC5" w:rsidRDefault="00817399" w:rsidP="00817399">
      <w:pPr>
        <w:spacing w:line="269" w:lineRule="auto"/>
        <w:rPr>
          <w:b/>
          <w:bCs/>
          <w:rtl/>
        </w:rPr>
      </w:pPr>
      <w:r w:rsidRPr="002F2BC5">
        <w:rPr>
          <w:rFonts w:hint="cs"/>
          <w:b/>
          <w:bCs/>
          <w:rtl/>
        </w:rPr>
        <w:t xml:space="preserve">עוד </w:t>
      </w:r>
      <w:r w:rsidRPr="002F2BC5">
        <w:rPr>
          <w:b/>
          <w:bCs/>
          <w:rtl/>
        </w:rPr>
        <w:t xml:space="preserve">מומלץ </w:t>
      </w:r>
      <w:r w:rsidRPr="002F2BC5">
        <w:rPr>
          <w:rFonts w:hint="cs"/>
          <w:b/>
          <w:bCs/>
          <w:rtl/>
        </w:rPr>
        <w:t>ל</w:t>
      </w:r>
      <w:r w:rsidRPr="002F2BC5">
        <w:rPr>
          <w:b/>
          <w:bCs/>
          <w:rtl/>
        </w:rPr>
        <w:t xml:space="preserve">משרד הרווחה </w:t>
      </w:r>
      <w:r w:rsidRPr="002F2BC5">
        <w:rPr>
          <w:rFonts w:hint="cs"/>
          <w:b/>
          <w:bCs/>
          <w:rtl/>
        </w:rPr>
        <w:t>ל</w:t>
      </w:r>
      <w:r w:rsidRPr="002F2BC5">
        <w:rPr>
          <w:b/>
          <w:bCs/>
          <w:rtl/>
        </w:rPr>
        <w:t>קב</w:t>
      </w:r>
      <w:r w:rsidRPr="002F2BC5">
        <w:rPr>
          <w:rFonts w:hint="cs"/>
          <w:b/>
          <w:bCs/>
          <w:rtl/>
        </w:rPr>
        <w:t>ו</w:t>
      </w:r>
      <w:r w:rsidRPr="002F2BC5">
        <w:rPr>
          <w:b/>
          <w:bCs/>
          <w:rtl/>
        </w:rPr>
        <w:t xml:space="preserve">ע תוכנית </w:t>
      </w:r>
      <w:r w:rsidRPr="002F2BC5">
        <w:rPr>
          <w:rFonts w:hint="cs"/>
          <w:b/>
          <w:bCs/>
          <w:rtl/>
        </w:rPr>
        <w:t xml:space="preserve">פעולה </w:t>
      </w:r>
      <w:r w:rsidRPr="002F2BC5">
        <w:rPr>
          <w:b/>
          <w:bCs/>
          <w:rtl/>
        </w:rPr>
        <w:t xml:space="preserve">סדורה להערכת </w:t>
      </w:r>
      <w:r w:rsidRPr="002F2BC5">
        <w:rPr>
          <w:rFonts w:hint="cs"/>
          <w:b/>
          <w:bCs/>
          <w:rtl/>
        </w:rPr>
        <w:t xml:space="preserve">תוצאות </w:t>
      </w:r>
      <w:r w:rsidRPr="002F2BC5">
        <w:rPr>
          <w:b/>
          <w:bCs/>
          <w:rtl/>
        </w:rPr>
        <w:t>המהלכים שקידם</w:t>
      </w:r>
      <w:r w:rsidRPr="002F2BC5">
        <w:rPr>
          <w:rFonts w:hint="cs"/>
          <w:b/>
          <w:bCs/>
          <w:rtl/>
        </w:rPr>
        <w:t>,</w:t>
      </w:r>
      <w:r w:rsidRPr="002F2BC5">
        <w:rPr>
          <w:b/>
          <w:bCs/>
          <w:rtl/>
        </w:rPr>
        <w:t xml:space="preserve"> או שהוא נמצא בעיצומו של המהלך להשלמתם</w:t>
      </w:r>
      <w:r w:rsidRPr="002F2BC5">
        <w:rPr>
          <w:rFonts w:hint="cs"/>
          <w:b/>
          <w:bCs/>
          <w:rtl/>
        </w:rPr>
        <w:t>. זאת</w:t>
      </w:r>
      <w:r w:rsidRPr="002F2BC5">
        <w:rPr>
          <w:b/>
          <w:bCs/>
          <w:rtl/>
        </w:rPr>
        <w:t xml:space="preserve"> </w:t>
      </w:r>
      <w:r w:rsidRPr="002F2BC5">
        <w:rPr>
          <w:rFonts w:hint="cs"/>
          <w:b/>
          <w:bCs/>
          <w:rtl/>
        </w:rPr>
        <w:t>כדי</w:t>
      </w:r>
      <w:r w:rsidRPr="002F2BC5">
        <w:rPr>
          <w:b/>
          <w:bCs/>
          <w:rtl/>
        </w:rPr>
        <w:t xml:space="preserve"> להבטיח </w:t>
      </w:r>
      <w:r w:rsidRPr="002F2BC5">
        <w:rPr>
          <w:rFonts w:hint="cs"/>
          <w:b/>
          <w:bCs/>
          <w:rtl/>
        </w:rPr>
        <w:t>ש</w:t>
      </w:r>
      <w:r w:rsidRPr="002F2BC5">
        <w:rPr>
          <w:b/>
          <w:bCs/>
          <w:rtl/>
        </w:rPr>
        <w:t xml:space="preserve">תכליותיהן </w:t>
      </w:r>
      <w:r w:rsidRPr="002F2BC5">
        <w:rPr>
          <w:rFonts w:hint="cs"/>
          <w:b/>
          <w:bCs/>
          <w:rtl/>
        </w:rPr>
        <w:t xml:space="preserve">אכן </w:t>
      </w:r>
      <w:r w:rsidRPr="002F2BC5">
        <w:rPr>
          <w:b/>
          <w:bCs/>
          <w:rtl/>
        </w:rPr>
        <w:t xml:space="preserve">מתממשות </w:t>
      </w:r>
      <w:r w:rsidRPr="002F2BC5">
        <w:rPr>
          <w:rFonts w:hint="cs"/>
          <w:b/>
          <w:bCs/>
          <w:rtl/>
        </w:rPr>
        <w:t>לכדי</w:t>
      </w:r>
      <w:r w:rsidRPr="002F2BC5">
        <w:rPr>
          <w:b/>
          <w:bCs/>
          <w:rtl/>
        </w:rPr>
        <w:t xml:space="preserve"> מתן שירות מקצועי</w:t>
      </w:r>
      <w:r w:rsidRPr="002F2BC5">
        <w:rPr>
          <w:rFonts w:hint="cs"/>
          <w:b/>
          <w:bCs/>
          <w:rtl/>
        </w:rPr>
        <w:t xml:space="preserve"> ומיטבי</w:t>
      </w:r>
      <w:r w:rsidRPr="002F2BC5">
        <w:rPr>
          <w:b/>
          <w:bCs/>
          <w:rtl/>
        </w:rPr>
        <w:t xml:space="preserve"> לכלל הזקוקים לטיפול בתחום האלימות במשפחה.</w:t>
      </w:r>
      <w:r w:rsidRPr="002F2BC5">
        <w:rPr>
          <w:rFonts w:hint="cs"/>
          <w:b/>
          <w:bCs/>
          <w:rtl/>
        </w:rPr>
        <w:t xml:space="preserve"> בתוך כך מומלץ למשרד הרווחה לקיים מעקב שיטתי וסדור אחר תפקודם של מנגנוני הבקרה הפנימיים ברשויות המקומיות וכן מומלץ שיפעל לטיוב מנגנוני הבקרה והפיקוח שהוא עצמו מפעיל על השירותים בתחום האלימות במשפחה שמספקות הרשויות המקומיות. יתרה מזו, מומלץ למשרד הרווחה, למשרד החינוך, למשרד הבריאות, למשרד לביטחון לאומי ולרשות לביטחון קהילתי </w:t>
      </w:r>
      <w:r w:rsidRPr="002F2BC5">
        <w:rPr>
          <w:b/>
          <w:bCs/>
          <w:rtl/>
        </w:rPr>
        <w:t xml:space="preserve">לקדם מדיניות מקיפה, אחידה ומתואמת </w:t>
      </w:r>
      <w:r w:rsidRPr="002F2BC5">
        <w:rPr>
          <w:rFonts w:hint="cs"/>
          <w:b/>
          <w:bCs/>
          <w:rtl/>
        </w:rPr>
        <w:t>בתחום המניעה הראשונית</w:t>
      </w:r>
      <w:r w:rsidRPr="002F2BC5">
        <w:rPr>
          <w:b/>
          <w:bCs/>
          <w:rtl/>
        </w:rPr>
        <w:t xml:space="preserve"> </w:t>
      </w:r>
      <w:r w:rsidRPr="002F2BC5">
        <w:rPr>
          <w:rFonts w:hint="cs"/>
          <w:b/>
          <w:bCs/>
          <w:rtl/>
        </w:rPr>
        <w:t xml:space="preserve">ואיתור משפחות במעגל האלימות, </w:t>
      </w:r>
      <w:r w:rsidRPr="002F2BC5">
        <w:rPr>
          <w:b/>
          <w:bCs/>
          <w:rtl/>
        </w:rPr>
        <w:t>שתלו</w:t>
      </w:r>
      <w:r w:rsidRPr="002F2BC5">
        <w:rPr>
          <w:rFonts w:hint="cs"/>
          <w:b/>
          <w:bCs/>
          <w:rtl/>
        </w:rPr>
        <w:t>ּ</w:t>
      </w:r>
      <w:r w:rsidRPr="002F2BC5">
        <w:rPr>
          <w:b/>
          <w:bCs/>
          <w:rtl/>
        </w:rPr>
        <w:t>וה ב</w:t>
      </w:r>
      <w:r w:rsidRPr="002F2BC5">
        <w:rPr>
          <w:rFonts w:hint="cs"/>
          <w:b/>
          <w:bCs/>
          <w:rtl/>
        </w:rPr>
        <w:t>מחקר הערכה וב</w:t>
      </w:r>
      <w:r w:rsidRPr="002F2BC5">
        <w:rPr>
          <w:b/>
          <w:bCs/>
          <w:rtl/>
        </w:rPr>
        <w:t>מ</w:t>
      </w:r>
      <w:r w:rsidRPr="002F2BC5">
        <w:rPr>
          <w:rFonts w:hint="cs"/>
          <w:b/>
          <w:bCs/>
          <w:rtl/>
        </w:rPr>
        <w:t>דידת תוצאות</w:t>
      </w:r>
      <w:r w:rsidRPr="002F2BC5">
        <w:rPr>
          <w:b/>
          <w:bCs/>
          <w:rtl/>
        </w:rPr>
        <w:t>.</w:t>
      </w:r>
    </w:p>
    <w:p w14:paraId="7C29798E" w14:textId="77777777" w:rsidR="00817399" w:rsidRPr="002F2BC5" w:rsidRDefault="00817399" w:rsidP="00817399">
      <w:pPr>
        <w:spacing w:line="269" w:lineRule="auto"/>
        <w:rPr>
          <w:rtl/>
        </w:rPr>
      </w:pPr>
    </w:p>
    <w:p w14:paraId="5E2935BE" w14:textId="77777777" w:rsidR="00817399" w:rsidRDefault="00817399" w:rsidP="00817399">
      <w:pPr>
        <w:spacing w:line="269" w:lineRule="auto"/>
        <w:rPr>
          <w:b/>
          <w:bCs/>
        </w:rPr>
      </w:pPr>
      <w:r w:rsidRPr="002F2BC5">
        <w:rPr>
          <w:rFonts w:hint="cs"/>
          <w:b/>
          <w:bCs/>
          <w:rtl/>
        </w:rPr>
        <w:t xml:space="preserve">מומלץ </w:t>
      </w:r>
      <w:r w:rsidRPr="002F2BC5">
        <w:rPr>
          <w:b/>
          <w:bCs/>
          <w:rtl/>
        </w:rPr>
        <w:t>ל</w:t>
      </w:r>
      <w:r w:rsidRPr="002F2BC5">
        <w:rPr>
          <w:rFonts w:hint="cs"/>
          <w:b/>
          <w:bCs/>
          <w:rtl/>
        </w:rPr>
        <w:t>משרד הרווחה, כמי שעומד בראש ה</w:t>
      </w:r>
      <w:r w:rsidRPr="002F2BC5">
        <w:rPr>
          <w:b/>
          <w:bCs/>
          <w:rtl/>
        </w:rPr>
        <w:t>מערך הלאומי</w:t>
      </w:r>
      <w:r w:rsidRPr="002F2BC5">
        <w:rPr>
          <w:rFonts w:hint="cs"/>
          <w:b/>
          <w:bCs/>
          <w:rtl/>
        </w:rPr>
        <w:t xml:space="preserve"> להתמודדות עם תופעת האלימות במשפחה,</w:t>
      </w:r>
      <w:r w:rsidRPr="002F2BC5">
        <w:rPr>
          <w:b/>
          <w:bCs/>
          <w:rtl/>
        </w:rPr>
        <w:t xml:space="preserve"> לקדם חשיבה משותפת </w:t>
      </w:r>
      <w:r w:rsidRPr="002F2BC5">
        <w:rPr>
          <w:rFonts w:hint="cs"/>
          <w:b/>
          <w:bCs/>
          <w:rtl/>
        </w:rPr>
        <w:t>עם</w:t>
      </w:r>
      <w:r w:rsidRPr="002F2BC5">
        <w:rPr>
          <w:b/>
          <w:bCs/>
          <w:rtl/>
        </w:rPr>
        <w:t xml:space="preserve"> כלל גורמי הטיפול ואכיפת החוק הנוגעים בדבר - </w:t>
      </w:r>
      <w:bookmarkStart w:id="2496" w:name="_Hlk192504654"/>
      <w:r w:rsidRPr="002F2BC5">
        <w:rPr>
          <w:b/>
          <w:bCs/>
          <w:rtl/>
        </w:rPr>
        <w:t xml:space="preserve">המשרד לביטחון לאומי, שירות בתי הסוהר והרשות לשיקום האסיר </w:t>
      </w:r>
      <w:bookmarkEnd w:id="2496"/>
      <w:r w:rsidRPr="002F2BC5">
        <w:rPr>
          <w:rFonts w:hint="cs"/>
          <w:b/>
          <w:bCs/>
          <w:rtl/>
        </w:rPr>
        <w:t>-</w:t>
      </w:r>
      <w:r w:rsidRPr="002F2BC5">
        <w:rPr>
          <w:b/>
          <w:bCs/>
          <w:rtl/>
        </w:rPr>
        <w:t xml:space="preserve"> </w:t>
      </w:r>
      <w:r w:rsidRPr="002F2BC5">
        <w:rPr>
          <w:rFonts w:hint="cs"/>
          <w:b/>
          <w:bCs/>
          <w:rtl/>
        </w:rPr>
        <w:t>בכל הנוגע</w:t>
      </w:r>
      <w:r w:rsidRPr="002F2BC5">
        <w:rPr>
          <w:b/>
          <w:bCs/>
          <w:rtl/>
        </w:rPr>
        <w:t xml:space="preserve"> לאופנים שבהם יינתן מענה הולם למסוכנותם הגבוהה של אסירים המרצים מאסר בגין עבירות אלימות במשפחה, משתחררים שחרור מלא או שחרור מינהלי </w:t>
      </w:r>
      <w:r w:rsidRPr="002F2BC5">
        <w:rPr>
          <w:rFonts w:hint="cs"/>
          <w:b/>
          <w:bCs/>
          <w:rtl/>
        </w:rPr>
        <w:t>-</w:t>
      </w:r>
      <w:r w:rsidRPr="002F2BC5">
        <w:rPr>
          <w:b/>
          <w:bCs/>
          <w:rtl/>
        </w:rPr>
        <w:t xml:space="preserve"> ונכון למועד סיום ביקורת </w:t>
      </w:r>
      <w:r w:rsidRPr="002F2BC5">
        <w:rPr>
          <w:rFonts w:hint="cs"/>
          <w:b/>
          <w:bCs/>
          <w:rtl/>
        </w:rPr>
        <w:t xml:space="preserve">המעקב </w:t>
      </w:r>
      <w:bookmarkStart w:id="2497" w:name="_Hlk199083655"/>
      <w:r w:rsidRPr="002F2BC5">
        <w:rPr>
          <w:rFonts w:hint="eastAsia"/>
          <w:b/>
          <w:bCs/>
          <w:rtl/>
        </w:rPr>
        <w:t>אין</w:t>
      </w:r>
      <w:r w:rsidRPr="002F2BC5">
        <w:rPr>
          <w:b/>
          <w:bCs/>
          <w:rtl/>
        </w:rPr>
        <w:t xml:space="preserve"> </w:t>
      </w:r>
      <w:r w:rsidRPr="002F2BC5">
        <w:rPr>
          <w:rFonts w:hint="eastAsia"/>
          <w:b/>
          <w:bCs/>
          <w:rtl/>
        </w:rPr>
        <w:t>כלים</w:t>
      </w:r>
      <w:r w:rsidRPr="002F2BC5">
        <w:rPr>
          <w:b/>
          <w:bCs/>
          <w:rtl/>
        </w:rPr>
        <w:t xml:space="preserve"> </w:t>
      </w:r>
      <w:r w:rsidRPr="002F2BC5">
        <w:rPr>
          <w:rFonts w:hint="eastAsia"/>
          <w:b/>
          <w:bCs/>
          <w:rtl/>
        </w:rPr>
        <w:t>מספקים</w:t>
      </w:r>
      <w:r w:rsidRPr="002F2BC5">
        <w:rPr>
          <w:b/>
          <w:bCs/>
          <w:rtl/>
        </w:rPr>
        <w:t xml:space="preserve">, </w:t>
      </w:r>
      <w:r w:rsidRPr="002F2BC5">
        <w:rPr>
          <w:rFonts w:hint="eastAsia"/>
          <w:b/>
          <w:bCs/>
          <w:rtl/>
        </w:rPr>
        <w:t>הכוללים</w:t>
      </w:r>
      <w:r w:rsidRPr="002F2BC5">
        <w:rPr>
          <w:b/>
          <w:bCs/>
          <w:rtl/>
        </w:rPr>
        <w:t xml:space="preserve"> </w:t>
      </w:r>
      <w:r w:rsidRPr="002F2BC5">
        <w:rPr>
          <w:rFonts w:hint="eastAsia"/>
          <w:b/>
          <w:bCs/>
          <w:rtl/>
        </w:rPr>
        <w:t>בצידם</w:t>
      </w:r>
      <w:r w:rsidRPr="002F2BC5">
        <w:rPr>
          <w:b/>
          <w:bCs/>
          <w:rtl/>
        </w:rPr>
        <w:t xml:space="preserve"> </w:t>
      </w:r>
      <w:r w:rsidRPr="002F2BC5">
        <w:rPr>
          <w:rFonts w:hint="eastAsia"/>
          <w:b/>
          <w:bCs/>
          <w:rtl/>
        </w:rPr>
        <w:t>תמריצים</w:t>
      </w:r>
      <w:r w:rsidRPr="002F2BC5">
        <w:rPr>
          <w:b/>
          <w:bCs/>
          <w:rtl/>
        </w:rPr>
        <w:t xml:space="preserve"> </w:t>
      </w:r>
      <w:r w:rsidRPr="002F2BC5">
        <w:rPr>
          <w:rFonts w:hint="eastAsia"/>
          <w:b/>
          <w:bCs/>
          <w:rtl/>
        </w:rPr>
        <w:t>משמעותיים</w:t>
      </w:r>
      <w:r w:rsidRPr="002F2BC5">
        <w:rPr>
          <w:b/>
          <w:bCs/>
          <w:rtl/>
        </w:rPr>
        <w:t xml:space="preserve">, </w:t>
      </w:r>
      <w:r w:rsidRPr="002F2BC5">
        <w:rPr>
          <w:rFonts w:hint="eastAsia"/>
          <w:b/>
          <w:bCs/>
          <w:rtl/>
        </w:rPr>
        <w:t>שיהיה</w:t>
      </w:r>
      <w:r w:rsidRPr="002F2BC5">
        <w:rPr>
          <w:b/>
          <w:bCs/>
          <w:rtl/>
        </w:rPr>
        <w:t xml:space="preserve"> </w:t>
      </w:r>
      <w:r w:rsidRPr="002F2BC5">
        <w:rPr>
          <w:rFonts w:hint="eastAsia"/>
          <w:b/>
          <w:bCs/>
          <w:rtl/>
        </w:rPr>
        <w:t>בהם</w:t>
      </w:r>
      <w:r w:rsidRPr="002F2BC5">
        <w:rPr>
          <w:b/>
          <w:bCs/>
          <w:rtl/>
        </w:rPr>
        <w:t xml:space="preserve"> </w:t>
      </w:r>
      <w:r w:rsidRPr="002F2BC5">
        <w:rPr>
          <w:rFonts w:hint="eastAsia"/>
          <w:b/>
          <w:bCs/>
          <w:rtl/>
        </w:rPr>
        <w:t>כדי</w:t>
      </w:r>
      <w:r w:rsidRPr="002F2BC5">
        <w:rPr>
          <w:b/>
          <w:bCs/>
          <w:rtl/>
        </w:rPr>
        <w:t xml:space="preserve"> </w:t>
      </w:r>
      <w:r w:rsidRPr="002F2BC5">
        <w:rPr>
          <w:rFonts w:hint="eastAsia"/>
          <w:b/>
          <w:bCs/>
          <w:rtl/>
        </w:rPr>
        <w:t>לרתום</w:t>
      </w:r>
      <w:r w:rsidRPr="002F2BC5">
        <w:rPr>
          <w:b/>
          <w:bCs/>
          <w:rtl/>
        </w:rPr>
        <w:t xml:space="preserve"> </w:t>
      </w:r>
      <w:r w:rsidRPr="002F2BC5">
        <w:rPr>
          <w:rFonts w:hint="eastAsia"/>
          <w:b/>
          <w:bCs/>
          <w:rtl/>
        </w:rPr>
        <w:t>ולעודד</w:t>
      </w:r>
      <w:r w:rsidRPr="002F2BC5">
        <w:rPr>
          <w:b/>
          <w:bCs/>
          <w:rtl/>
        </w:rPr>
        <w:t xml:space="preserve"> </w:t>
      </w:r>
      <w:r w:rsidRPr="002F2BC5">
        <w:rPr>
          <w:rFonts w:hint="eastAsia"/>
          <w:b/>
          <w:bCs/>
          <w:rtl/>
        </w:rPr>
        <w:t>את</w:t>
      </w:r>
      <w:r w:rsidRPr="002F2BC5">
        <w:rPr>
          <w:b/>
          <w:bCs/>
          <w:rtl/>
        </w:rPr>
        <w:t xml:space="preserve"> </w:t>
      </w:r>
      <w:r w:rsidRPr="002F2BC5">
        <w:rPr>
          <w:rFonts w:hint="eastAsia"/>
          <w:b/>
          <w:bCs/>
          <w:rtl/>
        </w:rPr>
        <w:t>שילובם</w:t>
      </w:r>
      <w:bookmarkEnd w:id="2497"/>
      <w:r w:rsidRPr="002F2BC5">
        <w:rPr>
          <w:rFonts w:hint="cs"/>
          <w:b/>
          <w:bCs/>
          <w:rtl/>
        </w:rPr>
        <w:t xml:space="preserve"> בתוכניות שיקומיות עם חזרתם לקהילה</w:t>
      </w:r>
      <w:r w:rsidRPr="002F2BC5">
        <w:rPr>
          <w:b/>
          <w:bCs/>
          <w:rtl/>
        </w:rPr>
        <w:t>.</w:t>
      </w:r>
      <w:bookmarkEnd w:id="8"/>
      <w:bookmarkEnd w:id="9"/>
    </w:p>
    <w:p w14:paraId="6DFFAF49" w14:textId="77777777" w:rsidR="00FA7500" w:rsidRPr="00817399" w:rsidRDefault="00FA7500" w:rsidP="009E2768">
      <w:pPr>
        <w:tabs>
          <w:tab w:val="left" w:pos="6518"/>
          <w:tab w:val="left" w:pos="7568"/>
        </w:tabs>
        <w:spacing w:line="269" w:lineRule="auto"/>
        <w:jc w:val="left"/>
        <w:rPr>
          <w:rFonts w:ascii="Calibri" w:hAnsi="Calibri" w:cstheme="minorBidi"/>
          <w:color w:val="002060"/>
          <w:sz w:val="22"/>
          <w:szCs w:val="22"/>
        </w:rPr>
      </w:pPr>
    </w:p>
    <w:p w14:paraId="04F467A1"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tl/>
        </w:rPr>
      </w:pPr>
    </w:p>
    <w:p w14:paraId="2F383261"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19F17122"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5E8DDA2D"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02F7CC5D"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767C15B"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6271BB64"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402EDB7F"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60A76DC1"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122A5E0E"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7E6709DC" w14:textId="77777777" w:rsidR="00FA7500" w:rsidRDefault="00FA7500" w:rsidP="009E2768">
      <w:pPr>
        <w:tabs>
          <w:tab w:val="left" w:pos="6518"/>
          <w:tab w:val="left" w:pos="7568"/>
        </w:tabs>
        <w:spacing w:line="269" w:lineRule="auto"/>
        <w:jc w:val="left"/>
        <w:rPr>
          <w:rFonts w:ascii="Calibri" w:hAnsi="Calibri" w:cstheme="minorBidi"/>
          <w:color w:val="002060"/>
          <w:sz w:val="22"/>
          <w:szCs w:val="22"/>
        </w:rPr>
      </w:pPr>
    </w:p>
    <w:p w14:paraId="51F247C3" w14:textId="40A42AEE" w:rsidR="001E204F" w:rsidRPr="00B4321D" w:rsidRDefault="00A222E2" w:rsidP="009E2768">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99692E">
      <w:headerReference w:type="default" r:id="rId75"/>
      <w:headerReference w:type="first" r:id="rId76"/>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69C52" w14:textId="77777777" w:rsidR="00F769CC" w:rsidRDefault="00F769CC" w:rsidP="00C23CC9">
      <w:pPr>
        <w:spacing w:line="240" w:lineRule="auto"/>
      </w:pPr>
      <w:r>
        <w:separator/>
      </w:r>
    </w:p>
  </w:endnote>
  <w:endnote w:type="continuationSeparator" w:id="0">
    <w:p w14:paraId="7E087D28" w14:textId="77777777" w:rsidR="00F769CC" w:rsidRDefault="00F769CC"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panose1 w:val="00000000000000000000"/>
    <w:charset w:val="00"/>
    <w:family w:val="roman"/>
    <w:notTrueType/>
    <w:pitch w:val="default"/>
  </w:font>
  <w:font w:name="Almoni ML v5 AAA">
    <w:panose1 w:val="00000500000000000000"/>
    <w:charset w:val="00"/>
    <w:family w:val="modern"/>
    <w:notTrueType/>
    <w:pitch w:val="variable"/>
    <w:sig w:usb0="00000A07" w:usb1="40000000" w:usb2="00000000" w:usb3="00000000" w:csb0="000000B7" w:csb1="00000000"/>
  </w:font>
  <w:font w:name="Assistant">
    <w:panose1 w:val="00000000000000000000"/>
    <w:charset w:val="00"/>
    <w:family w:val="auto"/>
    <w:pitch w:val="variable"/>
    <w:sig w:usb0="A00008FF" w:usb1="4000204B" w:usb2="00000000" w:usb3="00000000" w:csb0="00000021" w:csb1="00000000"/>
  </w:font>
  <w:font w:name="FrankRuehl">
    <w:altName w:val="Arial"/>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lmoni ML v5 AAA Light">
    <w:panose1 w:val="00000400000000000000"/>
    <w:charset w:val="00"/>
    <w:family w:val="modern"/>
    <w:notTrueType/>
    <w:pitch w:val="variable"/>
    <w:sig w:usb0="00000A07" w:usb1="40000000" w:usb2="00000000" w:usb3="00000000" w:csb0="000000B7" w:csb1="00000000"/>
  </w:font>
  <w:font w:name="Arial Bold">
    <w:altName w:val="Arial"/>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Gotham Narrow Light">
    <w:altName w:val="Tahoma"/>
    <w:panose1 w:val="00000000000000000000"/>
    <w:charset w:val="00"/>
    <w:family w:val="auto"/>
    <w:notTrueType/>
    <w:pitch w:val="variable"/>
    <w:sig w:usb0="800000AF" w:usb1="50000048" w:usb2="00000000" w:usb3="00000000" w:csb0="00000111" w:csb1="00000000"/>
  </w:font>
  <w:font w:name="Almoni Tzar ML v5 AAA">
    <w:panose1 w:val="00000506000000000000"/>
    <w:charset w:val="00"/>
    <w:family w:val="modern"/>
    <w:notTrueType/>
    <w:pitch w:val="variable"/>
    <w:sig w:usb0="00000A07" w:usb1="40000000"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4F2BC" w14:textId="77777777" w:rsidR="00F769CC" w:rsidRDefault="00F769CC">
    <w:pPr>
      <w:pStyle w:val="af3"/>
    </w:pPr>
    <w:r>
      <w:rPr>
        <w:noProof/>
      </w:rPr>
      <mc:AlternateContent>
        <mc:Choice Requires="wps">
          <w:drawing>
            <wp:anchor distT="0" distB="0" distL="114300" distR="114300" simplePos="0" relativeHeight="251671552" behindDoc="0" locked="0" layoutInCell="1" allowOverlap="1" wp14:anchorId="266795DF" wp14:editId="6EED5703">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61D09B38" w14:textId="77777777" w:rsidR="00F769CC" w:rsidRPr="00A222E2" w:rsidRDefault="00F769CC"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266795DF" id="_x0000_t202" coordsize="21600,21600" o:spt="202" path="m,l,21600r21600,l21600,xe">
              <v:stroke joinstyle="miter"/>
              <v:path gradientshapeok="t" o:connecttype="rect"/>
            </v:shapetype>
            <v:shape id="תיבת טקסט 10" o:spid="_x0000_s1041" type="#_x0000_t202" style="position:absolute;left:0;text-align:left;margin-left:0;margin-top:-87.15pt;width:233pt;height:21.5pt;z-index:2516715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14:paraId="61D09B38" w14:textId="77777777" w:rsidR="00F769CC" w:rsidRPr="00A222E2" w:rsidRDefault="00F769CC"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F8F1C" w14:textId="77777777" w:rsidR="00F769CC" w:rsidRDefault="00F769CC" w:rsidP="00C23CC9">
      <w:pPr>
        <w:spacing w:line="240" w:lineRule="auto"/>
      </w:pPr>
      <w:r>
        <w:separator/>
      </w:r>
    </w:p>
  </w:footnote>
  <w:footnote w:type="continuationSeparator" w:id="0">
    <w:p w14:paraId="486EC67C" w14:textId="77777777" w:rsidR="00F769CC" w:rsidRDefault="00F769CC" w:rsidP="00C23CC9">
      <w:pPr>
        <w:spacing w:line="240" w:lineRule="auto"/>
      </w:pPr>
      <w:r>
        <w:continuationSeparator/>
      </w:r>
    </w:p>
  </w:footnote>
  <w:footnote w:id="1">
    <w:p w14:paraId="0D62401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סעיף 2 לחוק יסוד: כבוד האדם וחירותו. </w:t>
      </w:r>
      <w:r w:rsidRPr="00956B0F">
        <w:rPr>
          <w:rFonts w:hint="eastAsia"/>
          <w:rtl/>
        </w:rPr>
        <w:t>ראו</w:t>
      </w:r>
      <w:r w:rsidRPr="00956B0F">
        <w:rPr>
          <w:rtl/>
        </w:rPr>
        <w:t xml:space="preserve">: </w:t>
      </w:r>
      <w:r w:rsidRPr="00956B0F">
        <w:rPr>
          <w:rFonts w:hint="eastAsia"/>
          <w:rtl/>
        </w:rPr>
        <w:t>דין</w:t>
      </w:r>
      <w:r w:rsidRPr="00956B0F">
        <w:rPr>
          <w:rtl/>
        </w:rPr>
        <w:t xml:space="preserve"> </w:t>
      </w:r>
      <w:r w:rsidRPr="00956B0F">
        <w:rPr>
          <w:rFonts w:hint="eastAsia"/>
          <w:rtl/>
        </w:rPr>
        <w:t>וחשבון</w:t>
      </w:r>
      <w:r w:rsidRPr="00956B0F">
        <w:rPr>
          <w:rtl/>
        </w:rPr>
        <w:t xml:space="preserve"> (מס' 1) </w:t>
      </w:r>
      <w:r w:rsidRPr="00956B0F">
        <w:rPr>
          <w:rFonts w:hint="eastAsia"/>
          <w:rtl/>
        </w:rPr>
        <w:t>של</w:t>
      </w:r>
      <w:r w:rsidRPr="00956B0F">
        <w:rPr>
          <w:rtl/>
        </w:rPr>
        <w:t xml:space="preserve"> </w:t>
      </w:r>
      <w:r w:rsidRPr="00956B0F">
        <w:rPr>
          <w:rFonts w:hint="eastAsia"/>
          <w:rtl/>
        </w:rPr>
        <w:t>הוועדה</w:t>
      </w:r>
      <w:r w:rsidRPr="00956B0F">
        <w:rPr>
          <w:rtl/>
        </w:rPr>
        <w:t xml:space="preserve"> </w:t>
      </w:r>
      <w:r w:rsidRPr="00956B0F">
        <w:rPr>
          <w:rFonts w:hint="eastAsia"/>
          <w:rtl/>
        </w:rPr>
        <w:t>הבין</w:t>
      </w:r>
      <w:r w:rsidRPr="00956B0F">
        <w:rPr>
          <w:rtl/>
        </w:rPr>
        <w:t xml:space="preserve">-משרדית </w:t>
      </w:r>
      <w:r w:rsidRPr="00956B0F">
        <w:rPr>
          <w:rFonts w:hint="eastAsia"/>
          <w:rtl/>
        </w:rPr>
        <w:t>לטיפול</w:t>
      </w:r>
      <w:r w:rsidRPr="00956B0F">
        <w:rPr>
          <w:rtl/>
        </w:rPr>
        <w:t xml:space="preserve"> </w:t>
      </w:r>
      <w:r w:rsidRPr="00956B0F">
        <w:rPr>
          <w:rFonts w:hint="eastAsia"/>
          <w:rtl/>
        </w:rPr>
        <w:t>בבעיית</w:t>
      </w:r>
      <w:r w:rsidRPr="00956B0F">
        <w:rPr>
          <w:rtl/>
        </w:rPr>
        <w:t xml:space="preserve"> "האלימות </w:t>
      </w:r>
      <w:r w:rsidRPr="00956B0F">
        <w:rPr>
          <w:rFonts w:hint="eastAsia"/>
          <w:rtl/>
        </w:rPr>
        <w:t>במשפחה</w:t>
      </w:r>
      <w:r w:rsidRPr="00956B0F">
        <w:rPr>
          <w:rtl/>
        </w:rPr>
        <w:t>" (1998) (</w:t>
      </w:r>
      <w:r w:rsidRPr="00956B0F">
        <w:rPr>
          <w:rFonts w:hint="eastAsia"/>
          <w:rtl/>
        </w:rPr>
        <w:t>להלן</w:t>
      </w:r>
      <w:r w:rsidRPr="00956B0F">
        <w:rPr>
          <w:rtl/>
        </w:rPr>
        <w:t xml:space="preserve"> - </w:t>
      </w:r>
      <w:r w:rsidRPr="00956B0F">
        <w:rPr>
          <w:rFonts w:hint="eastAsia"/>
          <w:rtl/>
        </w:rPr>
        <w:t>דין</w:t>
      </w:r>
      <w:r w:rsidRPr="00956B0F">
        <w:rPr>
          <w:rtl/>
        </w:rPr>
        <w:t xml:space="preserve"> </w:t>
      </w:r>
      <w:r w:rsidRPr="00956B0F">
        <w:rPr>
          <w:rFonts w:hint="eastAsia"/>
          <w:rtl/>
        </w:rPr>
        <w:t>וחשבון</w:t>
      </w:r>
      <w:r w:rsidRPr="00956B0F">
        <w:rPr>
          <w:rtl/>
        </w:rPr>
        <w:t xml:space="preserve"> </w:t>
      </w:r>
      <w:r w:rsidRPr="00956B0F">
        <w:rPr>
          <w:rFonts w:hint="eastAsia"/>
          <w:rtl/>
        </w:rPr>
        <w:t>ועדת</w:t>
      </w:r>
      <w:r w:rsidRPr="00956B0F">
        <w:rPr>
          <w:rtl/>
        </w:rPr>
        <w:t xml:space="preserve"> </w:t>
      </w:r>
      <w:r w:rsidRPr="00956B0F">
        <w:rPr>
          <w:rFonts w:hint="eastAsia"/>
          <w:rtl/>
        </w:rPr>
        <w:t>בן</w:t>
      </w:r>
      <w:r w:rsidRPr="00956B0F">
        <w:rPr>
          <w:rtl/>
        </w:rPr>
        <w:t>-שלום [1998])</w:t>
      </w:r>
      <w:r w:rsidRPr="00956B0F">
        <w:rPr>
          <w:rFonts w:hint="cs"/>
          <w:rtl/>
        </w:rPr>
        <w:t xml:space="preserve">, </w:t>
      </w:r>
      <w:r w:rsidRPr="00956B0F">
        <w:rPr>
          <w:rFonts w:hint="eastAsia"/>
          <w:rtl/>
        </w:rPr>
        <w:t>עמ</w:t>
      </w:r>
      <w:r w:rsidRPr="00956B0F">
        <w:rPr>
          <w:rtl/>
        </w:rPr>
        <w:t>'</w:t>
      </w:r>
      <w:r w:rsidRPr="00956B0F">
        <w:rPr>
          <w:rFonts w:hint="cs"/>
          <w:rtl/>
        </w:rPr>
        <w:t xml:space="preserve"> 6.</w:t>
      </w:r>
    </w:p>
  </w:footnote>
  <w:footnote w:id="2">
    <w:p w14:paraId="0D406A8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סעיפים 6א ו-6ב לחוק שיווי זכויות האשה, התשי"א-1951. את תופעת האלימות כלפי נשים (אלימות מבוססת מגדר) נהוג לכרוך עם תופעת האלימות כלפי נשים בתוך התא המשפחתי. ביטוי לכך אפשר למצוא בין היתר </w:t>
      </w:r>
      <w:r w:rsidRPr="00956B0F">
        <w:rPr>
          <w:rtl/>
        </w:rPr>
        <w:t>באמנת מועצת אירופה למאבק באלימות כלפי נשים ובאלימות במשפחה ולמניעתן משנת 2011</w:t>
      </w:r>
      <w:r w:rsidRPr="00956B0F">
        <w:rPr>
          <w:rFonts w:hint="cs"/>
          <w:rtl/>
        </w:rPr>
        <w:t xml:space="preserve"> </w:t>
      </w:r>
      <w:r w:rsidRPr="00956B0F">
        <w:t>The Council of Europe Convention on Preventing and Combating Violence Against Women) and Domestic Violence [CETS No. 210]</w:t>
      </w:r>
      <w:r w:rsidRPr="00956B0F">
        <w:rPr>
          <w:rFonts w:hint="cs"/>
          <w:rtl/>
        </w:rPr>
        <w:t xml:space="preserve">) (אמנת איסטנבול). </w:t>
      </w:r>
      <w:r w:rsidRPr="00956B0F">
        <w:rPr>
          <w:rFonts w:hint="eastAsia"/>
          <w:rtl/>
        </w:rPr>
        <w:t>נכון</w:t>
      </w:r>
      <w:r w:rsidRPr="00956B0F">
        <w:rPr>
          <w:rtl/>
        </w:rPr>
        <w:t xml:space="preserve"> למועד </w:t>
      </w:r>
      <w:r w:rsidRPr="00956B0F">
        <w:rPr>
          <w:rFonts w:hint="cs"/>
          <w:rtl/>
        </w:rPr>
        <w:t xml:space="preserve">סיום </w:t>
      </w:r>
      <w:r w:rsidRPr="00956B0F">
        <w:rPr>
          <w:rtl/>
        </w:rPr>
        <w:t>ביקורת</w:t>
      </w:r>
      <w:r w:rsidRPr="00956B0F">
        <w:rPr>
          <w:rFonts w:hint="cs"/>
          <w:rtl/>
        </w:rPr>
        <w:t xml:space="preserve"> המעקב, בדצמבר 2024,</w:t>
      </w:r>
      <w:r w:rsidRPr="00956B0F">
        <w:rPr>
          <w:rtl/>
        </w:rPr>
        <w:t xml:space="preserve"> </w:t>
      </w:r>
      <w:r w:rsidRPr="00956B0F">
        <w:rPr>
          <w:rFonts w:hint="cs"/>
          <w:rtl/>
        </w:rPr>
        <w:t xml:space="preserve">מדינת </w:t>
      </w:r>
      <w:r w:rsidRPr="00956B0F">
        <w:rPr>
          <w:rtl/>
        </w:rPr>
        <w:t xml:space="preserve">ישראל </w:t>
      </w:r>
      <w:r w:rsidRPr="00956B0F">
        <w:rPr>
          <w:rFonts w:hint="cs"/>
          <w:rtl/>
        </w:rPr>
        <w:t>לא</w:t>
      </w:r>
      <w:r w:rsidRPr="00956B0F">
        <w:rPr>
          <w:rtl/>
        </w:rPr>
        <w:t xml:space="preserve"> חתמה על </w:t>
      </w:r>
      <w:r w:rsidRPr="00956B0F">
        <w:rPr>
          <w:rFonts w:hint="eastAsia"/>
          <w:rtl/>
        </w:rPr>
        <w:t>האמנה</w:t>
      </w:r>
      <w:r w:rsidRPr="00956B0F">
        <w:rPr>
          <w:rtl/>
        </w:rPr>
        <w:t xml:space="preserve">. </w:t>
      </w:r>
      <w:r w:rsidRPr="00956B0F">
        <w:rPr>
          <w:rFonts w:hint="eastAsia"/>
          <w:rtl/>
        </w:rPr>
        <w:t>ראו</w:t>
      </w:r>
      <w:r w:rsidRPr="00956B0F">
        <w:rPr>
          <w:rtl/>
        </w:rPr>
        <w:t xml:space="preserve"> </w:t>
      </w:r>
      <w:r w:rsidRPr="00956B0F">
        <w:rPr>
          <w:rFonts w:hint="eastAsia"/>
          <w:rtl/>
        </w:rPr>
        <w:t>תת</w:t>
      </w:r>
      <w:r w:rsidRPr="00956B0F">
        <w:rPr>
          <w:rFonts w:hint="cs"/>
          <w:rtl/>
        </w:rPr>
        <w:t>-</w:t>
      </w:r>
      <w:r w:rsidRPr="00956B0F">
        <w:rPr>
          <w:rFonts w:hint="eastAsia"/>
          <w:rtl/>
        </w:rPr>
        <w:t>הפרק</w:t>
      </w:r>
      <w:r w:rsidRPr="00956B0F">
        <w:rPr>
          <w:rtl/>
        </w:rPr>
        <w:t xml:space="preserve"> "</w:t>
      </w:r>
      <w:r w:rsidRPr="00956B0F">
        <w:rPr>
          <w:rFonts w:hint="cs"/>
          <w:rtl/>
        </w:rPr>
        <w:t>הגדרת תופעת האלימות בין בני זוג</w:t>
      </w:r>
      <w:r w:rsidRPr="00956B0F">
        <w:rPr>
          <w:rtl/>
        </w:rPr>
        <w:t>".</w:t>
      </w:r>
    </w:p>
  </w:footnote>
  <w:footnote w:id="3">
    <w:p w14:paraId="7B435FC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לפי נתוני משטרת ישראל, בשנת 2023 כ-41% מתיקי החקירה שנפתחו בשנה זו בגין עבירות אלימות גופנית או איומים היו בגין עבירות שבוצעו בתוך התא המשפחתי או בין בני זוג (29,694 מתוך 71,571). הנתון נוגע לתיקי חקירה ש</w:t>
      </w:r>
      <w:r w:rsidRPr="00956B0F">
        <w:rPr>
          <w:rtl/>
        </w:rPr>
        <w:t>יש בהם חשוד או נילון</w:t>
      </w:r>
      <w:r w:rsidRPr="00956B0F">
        <w:rPr>
          <w:rFonts w:hint="cs"/>
          <w:rtl/>
        </w:rPr>
        <w:t xml:space="preserve"> (תיקי חקירה גלויים). ראו: </w:t>
      </w:r>
      <w:r w:rsidRPr="00956B0F">
        <w:rPr>
          <w:rFonts w:hint="eastAsia"/>
          <w:rtl/>
        </w:rPr>
        <w:t>משטרת</w:t>
      </w:r>
      <w:r w:rsidRPr="00956B0F">
        <w:rPr>
          <w:rtl/>
        </w:rPr>
        <w:t xml:space="preserve"> ישראל, </w:t>
      </w:r>
      <w:r w:rsidRPr="00956B0F">
        <w:rPr>
          <w:rFonts w:hint="eastAsia"/>
          <w:b/>
          <w:bCs/>
          <w:rtl/>
        </w:rPr>
        <w:t>השנתון</w:t>
      </w:r>
      <w:r w:rsidRPr="00956B0F">
        <w:rPr>
          <w:b/>
          <w:bCs/>
          <w:rtl/>
        </w:rPr>
        <w:t xml:space="preserve"> הסטטיסטי 2023 </w:t>
      </w:r>
      <w:r w:rsidRPr="00956B0F">
        <w:rPr>
          <w:rtl/>
        </w:rPr>
        <w:t xml:space="preserve">(2024), </w:t>
      </w:r>
      <w:r w:rsidRPr="00956B0F">
        <w:rPr>
          <w:rFonts w:hint="cs"/>
          <w:rtl/>
        </w:rPr>
        <w:t>פרק "מושגים והגדרות לפרק הפשיעה</w:t>
      </w:r>
      <w:r w:rsidRPr="00956B0F">
        <w:rPr>
          <w:rtl/>
        </w:rPr>
        <w:t xml:space="preserve"> בישראל", עמ' 15, ו</w:t>
      </w:r>
      <w:r w:rsidRPr="00956B0F">
        <w:rPr>
          <w:rFonts w:hint="eastAsia"/>
          <w:rtl/>
        </w:rPr>
        <w:t>פרק</w:t>
      </w:r>
      <w:r w:rsidRPr="00956B0F">
        <w:rPr>
          <w:rtl/>
        </w:rPr>
        <w:t xml:space="preserve"> "</w:t>
      </w:r>
      <w:r w:rsidRPr="00956B0F">
        <w:rPr>
          <w:rFonts w:hint="eastAsia"/>
          <w:rtl/>
        </w:rPr>
        <w:t>הפשיעה</w:t>
      </w:r>
      <w:r w:rsidRPr="00956B0F">
        <w:rPr>
          <w:rtl/>
        </w:rPr>
        <w:t xml:space="preserve"> </w:t>
      </w:r>
      <w:r w:rsidRPr="00956B0F">
        <w:rPr>
          <w:rFonts w:hint="eastAsia"/>
          <w:rtl/>
        </w:rPr>
        <w:t>בישראל</w:t>
      </w:r>
      <w:r w:rsidRPr="00956B0F">
        <w:rPr>
          <w:rtl/>
        </w:rPr>
        <w:t>"</w:t>
      </w:r>
      <w:r w:rsidRPr="00956B0F">
        <w:rPr>
          <w:rFonts w:hint="cs"/>
          <w:rtl/>
        </w:rPr>
        <w:t>,</w:t>
      </w:r>
      <w:r w:rsidRPr="00956B0F">
        <w:rPr>
          <w:rtl/>
        </w:rPr>
        <w:t xml:space="preserve"> עמ' 45.</w:t>
      </w:r>
    </w:p>
  </w:footnote>
  <w:footnote w:id="4">
    <w:p w14:paraId="62BF6CD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לרבות בני זוג נשואים, ידועים בציבור, פרודים וגרושים.</w:t>
      </w:r>
    </w:p>
  </w:footnote>
  <w:footnote w:id="5">
    <w:p w14:paraId="64BED8C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ראו תת-הפרק בנושא "איסוף וניהול של נתונים על התופעה ומאפייניה". מחקרים בתחום האלימות במשפחה מצביעים על כך שתופעת האלימות במערכת היחסים הזוגית, לכל הפחות בעת המודרנית, מאופיינת בהדדיות, וכי נשים וגברים הם גם תוקפים וגם נפגעים בשיעורים דומים. עם זאת, בקרב החוקרים קיימת הסכמה שבקרב נשים תוצאותיה של האלימות הגופנית קשות משל גברים, ולכן יש להתייחס לנשים כקבוצת סיכון להיפגעות גופנית יותר מגברים. ראו: אורטל טופורק בר ויואה שורק, </w:t>
      </w:r>
      <w:r w:rsidRPr="00956B0F">
        <w:rPr>
          <w:rFonts w:hint="cs"/>
          <w:b/>
          <w:bCs/>
          <w:rtl/>
        </w:rPr>
        <w:t xml:space="preserve">תהליך למידה לפיתוח מדיניות ורצף מודלים חדשניים של מקלטים לנשים נפגעות אלימות בזוגיות </w:t>
      </w:r>
      <w:r w:rsidRPr="00956B0F">
        <w:rPr>
          <w:rFonts w:hint="eastAsia"/>
          <w:b/>
          <w:bCs/>
          <w:rtl/>
        </w:rPr>
        <w:t>וילדיהן</w:t>
      </w:r>
      <w:r w:rsidRPr="00956B0F">
        <w:rPr>
          <w:rFonts w:hint="cs"/>
          <w:b/>
          <w:bCs/>
          <w:rtl/>
        </w:rPr>
        <w:t xml:space="preserve"> סקירת ספרות בין-לאומית</w:t>
      </w:r>
      <w:r w:rsidRPr="00956B0F">
        <w:rPr>
          <w:rFonts w:hint="cs"/>
          <w:rtl/>
        </w:rPr>
        <w:t xml:space="preserve"> (2023), עמ' 7 - 8 </w:t>
      </w:r>
      <w:r w:rsidRPr="00956B0F">
        <w:rPr>
          <w:rtl/>
        </w:rPr>
        <w:t>(להלן - טופורק בר ושורק)</w:t>
      </w:r>
      <w:r w:rsidRPr="00956B0F">
        <w:rPr>
          <w:rFonts w:hint="cs"/>
          <w:rtl/>
        </w:rPr>
        <w:t>.</w:t>
      </w:r>
    </w:p>
  </w:footnote>
  <w:footnote w:id="6">
    <w:p w14:paraId="088E58D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תיק הנפתח בעקבות חשד לביצוע עבירה פלילית</w:t>
      </w:r>
      <w:r w:rsidRPr="00956B0F">
        <w:rPr>
          <w:rFonts w:hint="cs"/>
          <w:rtl/>
        </w:rPr>
        <w:t>,</w:t>
      </w:r>
      <w:r w:rsidRPr="00956B0F">
        <w:rPr>
          <w:rtl/>
        </w:rPr>
        <w:t xml:space="preserve"> ובו מאוגדות ישויות מידע רבות הנוגעות לחקירת המשטרה. תיק חקירה כולל עבירה פלילית אחת או יותר</w:t>
      </w:r>
      <w:r w:rsidRPr="00956B0F">
        <w:rPr>
          <w:rFonts w:hint="cs"/>
          <w:rtl/>
        </w:rPr>
        <w:t xml:space="preserve">. ראו: משטרת ישראל, </w:t>
      </w:r>
      <w:r w:rsidRPr="00956B0F">
        <w:rPr>
          <w:rFonts w:hint="cs"/>
          <w:b/>
          <w:bCs/>
          <w:rtl/>
        </w:rPr>
        <w:t>השנתון הסטטיסטי 202</w:t>
      </w:r>
      <w:r w:rsidRPr="00956B0F">
        <w:rPr>
          <w:b/>
          <w:bCs/>
          <w:rtl/>
        </w:rPr>
        <w:t>3</w:t>
      </w:r>
      <w:r w:rsidRPr="00956B0F">
        <w:rPr>
          <w:rFonts w:hint="cs"/>
          <w:rtl/>
        </w:rPr>
        <w:t xml:space="preserve"> (2024)</w:t>
      </w:r>
      <w:r w:rsidRPr="00956B0F">
        <w:rPr>
          <w:rStyle w:val="Hyperlink"/>
          <w:rFonts w:hint="cs"/>
          <w:color w:val="auto"/>
          <w:u w:val="none"/>
          <w:rtl/>
        </w:rPr>
        <w:t>.</w:t>
      </w:r>
    </w:p>
  </w:footnote>
  <w:footnote w:id="7">
    <w:p w14:paraId="57F37CE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משטרת ישראל, </w:t>
      </w:r>
      <w:r w:rsidRPr="00956B0F">
        <w:rPr>
          <w:rFonts w:hint="cs"/>
          <w:b/>
          <w:bCs/>
          <w:rtl/>
        </w:rPr>
        <w:t>השנתון הסטטיסטי 2023</w:t>
      </w:r>
      <w:r w:rsidRPr="00956B0F">
        <w:rPr>
          <w:rFonts w:hint="cs"/>
          <w:rtl/>
        </w:rPr>
        <w:t xml:space="preserve"> (2024), עמ' 45. הנתונים על עבירות אלימות במשפחה או בין בני זוג מתייחסים, נוסף על </w:t>
      </w:r>
      <w:r w:rsidRPr="00956B0F">
        <w:rPr>
          <w:rtl/>
        </w:rPr>
        <w:t xml:space="preserve">עבירות אלימות גופנית, גם </w:t>
      </w:r>
      <w:r w:rsidRPr="00956B0F">
        <w:rPr>
          <w:rFonts w:hint="cs"/>
          <w:rtl/>
        </w:rPr>
        <w:t>ל</w:t>
      </w:r>
      <w:r w:rsidRPr="00956B0F">
        <w:rPr>
          <w:rtl/>
        </w:rPr>
        <w:t xml:space="preserve">עבירות רכוש, הסגות גבול </w:t>
      </w:r>
      <w:r w:rsidRPr="00956B0F">
        <w:rPr>
          <w:rFonts w:hint="cs"/>
          <w:rtl/>
        </w:rPr>
        <w:t>ו</w:t>
      </w:r>
      <w:r w:rsidRPr="00956B0F">
        <w:rPr>
          <w:rtl/>
        </w:rPr>
        <w:t>הפרות צווים</w:t>
      </w:r>
      <w:r w:rsidRPr="00956B0F">
        <w:rPr>
          <w:rFonts w:hint="cs"/>
          <w:rtl/>
        </w:rPr>
        <w:t xml:space="preserve"> שיפוטיים</w:t>
      </w:r>
      <w:r w:rsidRPr="00956B0F">
        <w:rPr>
          <w:rtl/>
        </w:rPr>
        <w:t>.</w:t>
      </w:r>
    </w:p>
  </w:footnote>
  <w:footnote w:id="8">
    <w:p w14:paraId="330AD43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צו</w:t>
      </w:r>
      <w:r w:rsidRPr="00956B0F">
        <w:rPr>
          <w:rtl/>
        </w:rPr>
        <w:t xml:space="preserve"> </w:t>
      </w:r>
      <w:r w:rsidRPr="00956B0F">
        <w:rPr>
          <w:rFonts w:hint="eastAsia"/>
          <w:rtl/>
        </w:rPr>
        <w:t>שיפוטי</w:t>
      </w:r>
      <w:r w:rsidRPr="00956B0F">
        <w:rPr>
          <w:rtl/>
        </w:rPr>
        <w:t xml:space="preserve"> הניתן </w:t>
      </w:r>
      <w:r w:rsidRPr="00956B0F">
        <w:rPr>
          <w:rFonts w:hint="eastAsia"/>
          <w:rtl/>
        </w:rPr>
        <w:t>לפי</w:t>
      </w:r>
      <w:r w:rsidRPr="00956B0F">
        <w:rPr>
          <w:rtl/>
        </w:rPr>
        <w:t xml:space="preserve"> סעיף 2 </w:t>
      </w:r>
      <w:r w:rsidRPr="00956B0F">
        <w:rPr>
          <w:rFonts w:hint="eastAsia"/>
          <w:rtl/>
        </w:rPr>
        <w:t>לחוק</w:t>
      </w:r>
      <w:r w:rsidRPr="00956B0F">
        <w:rPr>
          <w:rtl/>
        </w:rPr>
        <w:t xml:space="preserve"> </w:t>
      </w:r>
      <w:r w:rsidRPr="00956B0F">
        <w:rPr>
          <w:rFonts w:hint="eastAsia"/>
          <w:rtl/>
        </w:rPr>
        <w:t>למניעת</w:t>
      </w:r>
      <w:r w:rsidRPr="00956B0F">
        <w:rPr>
          <w:rtl/>
        </w:rPr>
        <w:t xml:space="preserve"> </w:t>
      </w:r>
      <w:r w:rsidRPr="00956B0F">
        <w:rPr>
          <w:rFonts w:hint="eastAsia"/>
          <w:rtl/>
        </w:rPr>
        <w:t>אלימות</w:t>
      </w:r>
      <w:r w:rsidRPr="00956B0F">
        <w:rPr>
          <w:rtl/>
        </w:rPr>
        <w:t xml:space="preserve"> </w:t>
      </w:r>
      <w:r w:rsidRPr="00956B0F">
        <w:rPr>
          <w:rFonts w:hint="eastAsia"/>
          <w:rtl/>
        </w:rPr>
        <w:t>במשפחה</w:t>
      </w:r>
      <w:r w:rsidRPr="00956B0F">
        <w:rPr>
          <w:rtl/>
        </w:rPr>
        <w:t xml:space="preserve">, </w:t>
      </w:r>
      <w:r w:rsidRPr="00956B0F">
        <w:rPr>
          <w:rFonts w:hint="eastAsia"/>
          <w:rtl/>
        </w:rPr>
        <w:t>התשנ</w:t>
      </w:r>
      <w:r w:rsidRPr="00956B0F">
        <w:rPr>
          <w:rtl/>
        </w:rPr>
        <w:t>"א-1991</w:t>
      </w:r>
      <w:r w:rsidRPr="00956B0F">
        <w:rPr>
          <w:rFonts w:hint="cs"/>
          <w:rtl/>
        </w:rPr>
        <w:t xml:space="preserve">, </w:t>
      </w:r>
      <w:r w:rsidRPr="00956B0F">
        <w:rPr>
          <w:rtl/>
        </w:rPr>
        <w:t xml:space="preserve">נגד אדם שנהג </w:t>
      </w:r>
      <w:r w:rsidRPr="00956B0F">
        <w:rPr>
          <w:rFonts w:hint="eastAsia"/>
          <w:rtl/>
        </w:rPr>
        <w:t>או</w:t>
      </w:r>
      <w:r w:rsidRPr="00956B0F">
        <w:rPr>
          <w:rtl/>
        </w:rPr>
        <w:t xml:space="preserve"> שיש חשד שינהג </w:t>
      </w:r>
      <w:r w:rsidRPr="00956B0F">
        <w:rPr>
          <w:rFonts w:hint="eastAsia"/>
          <w:rtl/>
        </w:rPr>
        <w:t>באלימות</w:t>
      </w:r>
      <w:r w:rsidRPr="00956B0F">
        <w:rPr>
          <w:rtl/>
        </w:rPr>
        <w:t xml:space="preserve"> </w:t>
      </w:r>
      <w:r w:rsidRPr="00956B0F">
        <w:rPr>
          <w:rFonts w:hint="cs"/>
          <w:rtl/>
        </w:rPr>
        <w:t>כלפי בן משפחתו</w:t>
      </w:r>
      <w:r w:rsidRPr="00956B0F">
        <w:rPr>
          <w:rtl/>
        </w:rPr>
        <w:t xml:space="preserve">. </w:t>
      </w:r>
      <w:r w:rsidRPr="00956B0F">
        <w:rPr>
          <w:rFonts w:hint="eastAsia"/>
          <w:rtl/>
        </w:rPr>
        <w:t>בצו</w:t>
      </w:r>
      <w:r w:rsidRPr="00956B0F">
        <w:rPr>
          <w:rtl/>
        </w:rPr>
        <w:t xml:space="preserve"> </w:t>
      </w:r>
      <w:r w:rsidRPr="00956B0F">
        <w:rPr>
          <w:rFonts w:hint="eastAsia"/>
          <w:rtl/>
        </w:rPr>
        <w:t>ה</w:t>
      </w:r>
      <w:r w:rsidRPr="00956B0F">
        <w:rPr>
          <w:rFonts w:hint="cs"/>
          <w:rtl/>
        </w:rPr>
        <w:t>ה</w:t>
      </w:r>
      <w:r w:rsidRPr="00956B0F">
        <w:rPr>
          <w:rFonts w:hint="eastAsia"/>
          <w:rtl/>
        </w:rPr>
        <w:t>גנה</w:t>
      </w:r>
      <w:r w:rsidRPr="00956B0F">
        <w:rPr>
          <w:rtl/>
        </w:rPr>
        <w:t xml:space="preserve"> </w:t>
      </w:r>
      <w:r w:rsidRPr="00956B0F">
        <w:rPr>
          <w:rFonts w:hint="eastAsia"/>
          <w:rtl/>
        </w:rPr>
        <w:t>נקבעים</w:t>
      </w:r>
      <w:r w:rsidRPr="00956B0F">
        <w:rPr>
          <w:rtl/>
        </w:rPr>
        <w:t xml:space="preserve"> </w:t>
      </w:r>
      <w:r w:rsidRPr="00956B0F">
        <w:rPr>
          <w:rFonts w:hint="eastAsia"/>
          <w:rtl/>
        </w:rPr>
        <w:t>תנאים</w:t>
      </w:r>
      <w:r w:rsidRPr="00956B0F">
        <w:rPr>
          <w:rtl/>
        </w:rPr>
        <w:t xml:space="preserve"> </w:t>
      </w:r>
      <w:r w:rsidRPr="00956B0F">
        <w:rPr>
          <w:rFonts w:hint="eastAsia"/>
          <w:rtl/>
        </w:rPr>
        <w:t>דוגמת</w:t>
      </w:r>
      <w:r w:rsidRPr="00956B0F">
        <w:rPr>
          <w:rtl/>
        </w:rPr>
        <w:t xml:space="preserve"> </w:t>
      </w:r>
      <w:r w:rsidRPr="00956B0F">
        <w:rPr>
          <w:rFonts w:hint="eastAsia"/>
          <w:rtl/>
        </w:rPr>
        <w:t>איסור</w:t>
      </w:r>
      <w:r w:rsidRPr="00956B0F">
        <w:rPr>
          <w:rtl/>
        </w:rPr>
        <w:t xml:space="preserve"> להיכנס לדירה שבה מתגורר בן </w:t>
      </w:r>
      <w:r w:rsidRPr="00956B0F">
        <w:rPr>
          <w:rFonts w:hint="cs"/>
          <w:rtl/>
        </w:rPr>
        <w:t>המשפחה</w:t>
      </w:r>
      <w:r w:rsidRPr="00956B0F">
        <w:rPr>
          <w:rtl/>
        </w:rPr>
        <w:t xml:space="preserve"> או להתקרב אליה</w:t>
      </w:r>
      <w:r w:rsidRPr="00956B0F">
        <w:rPr>
          <w:rFonts w:hint="cs"/>
          <w:rtl/>
        </w:rPr>
        <w:t>,</w:t>
      </w:r>
      <w:r w:rsidRPr="00956B0F">
        <w:rPr>
          <w:rtl/>
        </w:rPr>
        <w:t xml:space="preserve"> </w:t>
      </w:r>
      <w:r w:rsidRPr="00956B0F">
        <w:rPr>
          <w:rFonts w:hint="cs"/>
          <w:rtl/>
        </w:rPr>
        <w:t xml:space="preserve">איסור </w:t>
      </w:r>
      <w:r w:rsidRPr="00956B0F">
        <w:rPr>
          <w:rFonts w:hint="eastAsia"/>
          <w:rtl/>
        </w:rPr>
        <w:t>להטריד</w:t>
      </w:r>
      <w:r w:rsidRPr="00956B0F">
        <w:rPr>
          <w:rtl/>
        </w:rPr>
        <w:t xml:space="preserve"> </w:t>
      </w:r>
      <w:r w:rsidRPr="00956B0F">
        <w:rPr>
          <w:rFonts w:hint="eastAsia"/>
          <w:rtl/>
        </w:rPr>
        <w:t>את</w:t>
      </w:r>
      <w:r w:rsidRPr="00956B0F">
        <w:rPr>
          <w:rtl/>
        </w:rPr>
        <w:t xml:space="preserve"> </w:t>
      </w:r>
      <w:r w:rsidRPr="00956B0F">
        <w:rPr>
          <w:rFonts w:hint="eastAsia"/>
          <w:rtl/>
        </w:rPr>
        <w:t>בן</w:t>
      </w:r>
      <w:r w:rsidRPr="00956B0F">
        <w:rPr>
          <w:rtl/>
        </w:rPr>
        <w:t xml:space="preserve"> </w:t>
      </w:r>
      <w:r w:rsidRPr="00956B0F">
        <w:rPr>
          <w:rFonts w:hint="eastAsia"/>
          <w:rtl/>
        </w:rPr>
        <w:t>המשפחה</w:t>
      </w:r>
      <w:r w:rsidRPr="00956B0F">
        <w:rPr>
          <w:rtl/>
        </w:rPr>
        <w:t xml:space="preserve"> </w:t>
      </w:r>
      <w:r w:rsidRPr="00956B0F">
        <w:rPr>
          <w:rFonts w:hint="eastAsia"/>
          <w:rtl/>
        </w:rPr>
        <w:t>או</w:t>
      </w:r>
      <w:r w:rsidRPr="00956B0F">
        <w:rPr>
          <w:rtl/>
        </w:rPr>
        <w:t xml:space="preserve"> </w:t>
      </w:r>
      <w:r w:rsidRPr="00956B0F">
        <w:rPr>
          <w:rFonts w:hint="eastAsia"/>
          <w:rtl/>
        </w:rPr>
        <w:t>להימצא</w:t>
      </w:r>
      <w:r w:rsidRPr="00956B0F">
        <w:rPr>
          <w:rtl/>
        </w:rPr>
        <w:t xml:space="preserve"> </w:t>
      </w:r>
      <w:r w:rsidRPr="00956B0F">
        <w:rPr>
          <w:rFonts w:hint="eastAsia"/>
          <w:rtl/>
        </w:rPr>
        <w:t>בקרבתו</w:t>
      </w:r>
      <w:r w:rsidRPr="00956B0F">
        <w:rPr>
          <w:rFonts w:hint="cs"/>
          <w:rtl/>
        </w:rPr>
        <w:t xml:space="preserve"> או </w:t>
      </w:r>
      <w:r w:rsidRPr="00956B0F">
        <w:rPr>
          <w:rFonts w:hint="eastAsia"/>
          <w:rtl/>
        </w:rPr>
        <w:t>להקשות</w:t>
      </w:r>
      <w:r w:rsidRPr="00956B0F">
        <w:rPr>
          <w:rtl/>
        </w:rPr>
        <w:t xml:space="preserve"> </w:t>
      </w:r>
      <w:r w:rsidRPr="00956B0F">
        <w:rPr>
          <w:rFonts w:hint="eastAsia"/>
          <w:rtl/>
        </w:rPr>
        <w:t>על</w:t>
      </w:r>
      <w:r w:rsidRPr="00956B0F">
        <w:rPr>
          <w:rtl/>
        </w:rPr>
        <w:t xml:space="preserve"> </w:t>
      </w:r>
      <w:r w:rsidRPr="00956B0F">
        <w:rPr>
          <w:rFonts w:hint="eastAsia"/>
          <w:rtl/>
        </w:rPr>
        <w:t>שימוש</w:t>
      </w:r>
      <w:r w:rsidRPr="00956B0F">
        <w:rPr>
          <w:rtl/>
        </w:rPr>
        <w:t xml:space="preserve"> </w:t>
      </w:r>
      <w:r w:rsidRPr="00956B0F">
        <w:rPr>
          <w:rFonts w:hint="eastAsia"/>
          <w:rtl/>
        </w:rPr>
        <w:t>בנכס</w:t>
      </w:r>
      <w:r w:rsidRPr="00956B0F">
        <w:rPr>
          <w:rtl/>
        </w:rPr>
        <w:t xml:space="preserve"> </w:t>
      </w:r>
      <w:r w:rsidRPr="00956B0F">
        <w:rPr>
          <w:rFonts w:hint="eastAsia"/>
          <w:rtl/>
        </w:rPr>
        <w:t>המשמש</w:t>
      </w:r>
      <w:r w:rsidRPr="00956B0F">
        <w:rPr>
          <w:rtl/>
        </w:rPr>
        <w:t xml:space="preserve"> </w:t>
      </w:r>
      <w:r w:rsidRPr="00956B0F">
        <w:rPr>
          <w:rFonts w:hint="eastAsia"/>
          <w:rtl/>
        </w:rPr>
        <w:t>את</w:t>
      </w:r>
      <w:r w:rsidRPr="00956B0F">
        <w:rPr>
          <w:rtl/>
        </w:rPr>
        <w:t xml:space="preserve"> </w:t>
      </w:r>
      <w:r w:rsidRPr="00956B0F">
        <w:rPr>
          <w:rFonts w:hint="eastAsia"/>
          <w:rtl/>
        </w:rPr>
        <w:t>בן</w:t>
      </w:r>
      <w:r w:rsidRPr="00956B0F">
        <w:rPr>
          <w:rtl/>
        </w:rPr>
        <w:t xml:space="preserve"> </w:t>
      </w:r>
      <w:r w:rsidRPr="00956B0F">
        <w:rPr>
          <w:rFonts w:hint="eastAsia"/>
          <w:rtl/>
        </w:rPr>
        <w:t>המשפחה</w:t>
      </w:r>
      <w:r w:rsidRPr="00956B0F">
        <w:rPr>
          <w:rFonts w:hint="cs"/>
          <w:rtl/>
        </w:rPr>
        <w:t>. ראו תת-הפרק בנושא "הבסיס החוקי והמקצועי להתמודדות עם תופעת האלימות בין בני זוג".</w:t>
      </w:r>
    </w:p>
  </w:footnote>
  <w:footnote w:id="9">
    <w:p w14:paraId="417B8A2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נתונים אלה תואמים גם את שיעור שאלוני </w:t>
      </w:r>
      <w:r w:rsidRPr="00956B0F">
        <w:t>I-risk</w:t>
      </w:r>
      <w:r w:rsidRPr="00956B0F">
        <w:rPr>
          <w:rFonts w:hint="cs"/>
          <w:rtl/>
        </w:rPr>
        <w:t xml:space="preserve"> שמולאו בפילוח לפי מגדר הפוגע (בכ-87% מהשאלונים שמולאו בשנת 2024 הפוגע היה גבר). שאלון </w:t>
      </w:r>
      <w:r w:rsidRPr="00956B0F">
        <w:t>I-risk</w:t>
      </w:r>
      <w:r w:rsidRPr="00956B0F">
        <w:rPr>
          <w:rFonts w:hint="cs"/>
          <w:rtl/>
        </w:rPr>
        <w:t xml:space="preserve"> הוא שאלון מקוון של משרד הרווחה לזיהוי מצבי סיכון, שנועד לסייע בזיהוי מצבי סיכון במערכת היחסים הזוגית של ממלא השאלון או של בן משפחתו.</w:t>
      </w:r>
    </w:p>
  </w:footnote>
  <w:footnote w:id="10">
    <w:p w14:paraId="3B70145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בגיר הוא אדם שמלאו לו 18 שנים. </w:t>
      </w:r>
    </w:p>
  </w:footnote>
  <w:footnote w:id="11">
    <w:p w14:paraId="55CA534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הנתונים לשנים 2022 - 2023 לקוחים מהשנתון הסטטיסטי של משטרת ישראל לשנת 2023 (עמ' 47). הנתון המתייחס לשנת 2024 התקבל ממשטרת ישראל בנפרד במהלך ביקורת המעקב.</w:t>
      </w:r>
    </w:p>
  </w:footnote>
  <w:footnote w:id="12">
    <w:p w14:paraId="4DEACC8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מרכז המחקר והמידע של הכנסת, </w:t>
      </w:r>
      <w:r w:rsidRPr="00956B0F">
        <w:rPr>
          <w:rFonts w:hint="cs"/>
          <w:b/>
          <w:bCs/>
          <w:rtl/>
        </w:rPr>
        <w:t>נתונים על קורבנות רצח, בדגש על רצח נשים</w:t>
      </w:r>
      <w:r w:rsidRPr="00956B0F">
        <w:rPr>
          <w:rFonts w:hint="cs"/>
          <w:rtl/>
        </w:rPr>
        <w:t xml:space="preserve"> (2024), עמ' 9.</w:t>
      </w:r>
    </w:p>
  </w:footnote>
  <w:footnote w:id="13">
    <w:p w14:paraId="43B50DD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יובל שני, "ביתי אינו מבצרי: אלימות במשפחה כסוג של עינוי אסור על פי המשפט הבינלאומי", </w:t>
      </w:r>
      <w:r w:rsidRPr="00956B0F">
        <w:rPr>
          <w:rFonts w:hint="cs"/>
          <w:b/>
          <w:bCs/>
          <w:rtl/>
        </w:rPr>
        <w:t>המשפט</w:t>
      </w:r>
      <w:r w:rsidRPr="00956B0F">
        <w:rPr>
          <w:rtl/>
        </w:rPr>
        <w:t xml:space="preserve"> ז 151 (התשס"ב), עמ' 152 (הערה 4)</w:t>
      </w:r>
      <w:r w:rsidRPr="00956B0F">
        <w:rPr>
          <w:rFonts w:hint="cs"/>
          <w:rtl/>
        </w:rPr>
        <w:t>; סעיף 1.2 להוראת תע"ס 3.28, "מניעה וטיפול בתופעת האלימות במשפחה" (4.7.04</w:t>
      </w:r>
      <w:r w:rsidRPr="00956B0F">
        <w:rPr>
          <w:rStyle w:val="Hyperlink"/>
          <w:rFonts w:hint="cs"/>
          <w:color w:val="auto"/>
          <w:u w:val="none"/>
          <w:rtl/>
        </w:rPr>
        <w:t>)</w:t>
      </w:r>
      <w:r w:rsidRPr="00956B0F">
        <w:rPr>
          <w:rFonts w:hint="cs"/>
          <w:rtl/>
        </w:rPr>
        <w:t xml:space="preserve"> (להלן - הוראת תע"ס 3.28). </w:t>
      </w:r>
    </w:p>
  </w:footnote>
  <w:footnote w:id="14">
    <w:p w14:paraId="13DFDC4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הדוח נוקט לעיתים לשון זכר הן לגבי הנפגע או הקורבן והן לגבי הפוגע, אך המונחים נוגעים לשני המינים.</w:t>
      </w:r>
    </w:p>
  </w:footnote>
  <w:footnote w:id="15">
    <w:p w14:paraId="0E13337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מעשה אלימות עשוי להתבטא בדרכים שונות, שאינן בהכרח אלימות גופנית. ראו תת-הפרק "הגדרת תופעת האלימות בין בני זוג".</w:t>
      </w:r>
    </w:p>
  </w:footnote>
  <w:footnote w:id="16">
    <w:p w14:paraId="11AB211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התופעה פוגעת בתפקוד התקין של כלל חברי התא המשפחתי - התוקף, הקורבנות הישירים וחברי התא המשפחתי שעדים לאלימות במשפחה. ראו: דין וחשבון הוועדה ל</w:t>
      </w:r>
      <w:r w:rsidRPr="00956B0F">
        <w:rPr>
          <w:rFonts w:hint="eastAsia"/>
          <w:rtl/>
        </w:rPr>
        <w:t>טיפול</w:t>
      </w:r>
      <w:r w:rsidRPr="00956B0F">
        <w:rPr>
          <w:rtl/>
        </w:rPr>
        <w:t xml:space="preserve"> </w:t>
      </w:r>
      <w:r w:rsidRPr="00956B0F">
        <w:rPr>
          <w:rFonts w:hint="eastAsia"/>
          <w:rtl/>
        </w:rPr>
        <w:t>בתופעת</w:t>
      </w:r>
      <w:r w:rsidRPr="00956B0F">
        <w:rPr>
          <w:rtl/>
        </w:rPr>
        <w:t xml:space="preserve"> </w:t>
      </w:r>
      <w:r w:rsidRPr="00956B0F">
        <w:rPr>
          <w:rFonts w:hint="eastAsia"/>
          <w:rtl/>
        </w:rPr>
        <w:t>האלימות</w:t>
      </w:r>
      <w:r w:rsidRPr="00956B0F">
        <w:rPr>
          <w:rtl/>
        </w:rPr>
        <w:t xml:space="preserve"> </w:t>
      </w:r>
      <w:r w:rsidRPr="00956B0F">
        <w:rPr>
          <w:rFonts w:hint="eastAsia"/>
          <w:rtl/>
        </w:rPr>
        <w:t>במשפחה</w:t>
      </w:r>
      <w:r w:rsidRPr="00956B0F">
        <w:rPr>
          <w:rFonts w:hint="cs"/>
          <w:rtl/>
        </w:rPr>
        <w:t xml:space="preserve"> (2016), עמ' 22 (להלן - דין וחשבון ועדת רוזנבאום [2016])</w:t>
      </w:r>
      <w:r w:rsidRPr="00956B0F">
        <w:rPr>
          <w:rStyle w:val="Hyperlink"/>
          <w:rFonts w:hint="cs"/>
          <w:color w:val="auto"/>
          <w:u w:val="none"/>
          <w:rtl/>
        </w:rPr>
        <w:t>.</w:t>
      </w:r>
      <w:r w:rsidRPr="00956B0F">
        <w:rPr>
          <w:rFonts w:hint="cs"/>
          <w:rtl/>
        </w:rPr>
        <w:t xml:space="preserve"> </w:t>
      </w:r>
    </w:p>
  </w:footnote>
  <w:footnote w:id="17">
    <w:p w14:paraId="6D226C8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לדוגמה: </w:t>
      </w:r>
      <w:r w:rsidRPr="00956B0F">
        <w:rPr>
          <w:rFonts w:hint="eastAsia"/>
          <w:rtl/>
        </w:rPr>
        <w:t>נילי</w:t>
      </w:r>
      <w:r w:rsidRPr="00956B0F">
        <w:rPr>
          <w:rtl/>
        </w:rPr>
        <w:t xml:space="preserve"> </w:t>
      </w:r>
      <w:r w:rsidRPr="00956B0F">
        <w:rPr>
          <w:rFonts w:hint="eastAsia"/>
          <w:rtl/>
        </w:rPr>
        <w:t>לביא</w:t>
      </w:r>
      <w:r w:rsidRPr="00956B0F">
        <w:rPr>
          <w:rtl/>
        </w:rPr>
        <w:t xml:space="preserve"> </w:t>
      </w:r>
      <w:r w:rsidRPr="00956B0F">
        <w:rPr>
          <w:rFonts w:hint="eastAsia"/>
          <w:rtl/>
        </w:rPr>
        <w:t>ודני</w:t>
      </w:r>
      <w:r w:rsidRPr="00956B0F">
        <w:rPr>
          <w:rtl/>
        </w:rPr>
        <w:t xml:space="preserve"> </w:t>
      </w:r>
      <w:r w:rsidRPr="00956B0F">
        <w:rPr>
          <w:rFonts w:hint="eastAsia"/>
          <w:rtl/>
        </w:rPr>
        <w:t>ברום</w:t>
      </w:r>
      <w:r w:rsidRPr="00956B0F">
        <w:rPr>
          <w:rtl/>
        </w:rPr>
        <w:t>, "</w:t>
      </w:r>
      <w:r w:rsidRPr="00956B0F">
        <w:rPr>
          <w:b/>
          <w:bCs/>
          <w:rtl/>
        </w:rPr>
        <w:t xml:space="preserve">נפגעי </w:t>
      </w:r>
      <w:r w:rsidRPr="00956B0F">
        <w:rPr>
          <w:rFonts w:hint="eastAsia"/>
          <w:b/>
          <w:bCs/>
          <w:rtl/>
        </w:rPr>
        <w:t>עבירה</w:t>
      </w:r>
      <w:r w:rsidRPr="00956B0F">
        <w:rPr>
          <w:b/>
          <w:bCs/>
          <w:rtl/>
        </w:rPr>
        <w:t xml:space="preserve">: </w:t>
      </w:r>
      <w:r w:rsidRPr="00956B0F">
        <w:rPr>
          <w:rFonts w:hint="eastAsia"/>
          <w:b/>
          <w:bCs/>
          <w:rtl/>
        </w:rPr>
        <w:t>צרכים</w:t>
      </w:r>
      <w:r w:rsidRPr="00956B0F">
        <w:rPr>
          <w:b/>
          <w:bCs/>
          <w:rtl/>
        </w:rPr>
        <w:t xml:space="preserve">, </w:t>
      </w:r>
      <w:r w:rsidRPr="00956B0F">
        <w:rPr>
          <w:rFonts w:hint="eastAsia"/>
          <w:b/>
          <w:bCs/>
          <w:rtl/>
        </w:rPr>
        <w:t>מענים</w:t>
      </w:r>
      <w:r w:rsidRPr="00956B0F">
        <w:rPr>
          <w:b/>
          <w:bCs/>
          <w:rtl/>
        </w:rPr>
        <w:t xml:space="preserve"> </w:t>
      </w:r>
      <w:r w:rsidRPr="00956B0F">
        <w:rPr>
          <w:rFonts w:hint="eastAsia"/>
          <w:b/>
          <w:bCs/>
          <w:rtl/>
        </w:rPr>
        <w:t>ואפיקים</w:t>
      </w:r>
      <w:r w:rsidRPr="00956B0F">
        <w:rPr>
          <w:b/>
          <w:bCs/>
          <w:rtl/>
        </w:rPr>
        <w:t xml:space="preserve"> </w:t>
      </w:r>
      <w:r w:rsidRPr="00956B0F">
        <w:rPr>
          <w:rFonts w:hint="eastAsia"/>
          <w:b/>
          <w:bCs/>
          <w:rtl/>
        </w:rPr>
        <w:t>לפיתוח</w:t>
      </w:r>
      <w:r w:rsidRPr="00956B0F">
        <w:rPr>
          <w:rtl/>
        </w:rPr>
        <w:t xml:space="preserve">" (2018), </w:t>
      </w:r>
      <w:r w:rsidRPr="00956B0F">
        <w:rPr>
          <w:rFonts w:hint="eastAsia"/>
          <w:rtl/>
        </w:rPr>
        <w:t>עמ</w:t>
      </w:r>
      <w:r w:rsidRPr="00956B0F">
        <w:rPr>
          <w:rtl/>
        </w:rPr>
        <w:t>' 11 - 17;</w:t>
      </w:r>
      <w:r w:rsidRPr="00956B0F">
        <w:rPr>
          <w:rFonts w:hint="cs"/>
          <w:rtl/>
        </w:rPr>
        <w:t xml:space="preserve"> קרני קריגל ועינת פלד, "הנתיב המוביל מתלות לעצמאות כלכלית בקרב נשים נפגעות אלימות בן זוג: רקע תיאורטי, חסמים ועקרונות פעולה", </w:t>
      </w:r>
      <w:r w:rsidRPr="00956B0F">
        <w:rPr>
          <w:rFonts w:hint="eastAsia"/>
          <w:b/>
          <w:bCs/>
          <w:rtl/>
        </w:rPr>
        <w:t>ביטחון</w:t>
      </w:r>
      <w:r w:rsidRPr="00956B0F">
        <w:rPr>
          <w:b/>
          <w:bCs/>
          <w:rtl/>
        </w:rPr>
        <w:t xml:space="preserve"> </w:t>
      </w:r>
      <w:r w:rsidRPr="00956B0F">
        <w:rPr>
          <w:rFonts w:hint="eastAsia"/>
          <w:b/>
          <w:bCs/>
          <w:rtl/>
        </w:rPr>
        <w:t>סוציאלי</w:t>
      </w:r>
      <w:r w:rsidRPr="00956B0F">
        <w:rPr>
          <w:rtl/>
        </w:rPr>
        <w:t xml:space="preserve"> 99 (2016), עמ', 63</w:t>
      </w:r>
      <w:r w:rsidRPr="00956B0F">
        <w:rPr>
          <w:rFonts w:hint="cs"/>
          <w:rtl/>
        </w:rPr>
        <w:t xml:space="preserve">. </w:t>
      </w:r>
    </w:p>
  </w:footnote>
  <w:footnote w:id="18">
    <w:p w14:paraId="5CA9DE0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המשרד לביטחון הפנים, </w:t>
      </w:r>
      <w:r w:rsidRPr="00956B0F">
        <w:rPr>
          <w:rFonts w:hint="cs"/>
          <w:b/>
          <w:bCs/>
          <w:rtl/>
        </w:rPr>
        <w:t>הנזק הכלכלי מתופעת הפשיעה בישראל</w:t>
      </w:r>
      <w:r w:rsidRPr="00956B0F">
        <w:rPr>
          <w:rFonts w:hint="cs"/>
          <w:rtl/>
        </w:rPr>
        <w:t xml:space="preserve"> (2014). </w:t>
      </w:r>
      <w:r w:rsidRPr="00956B0F">
        <w:rPr>
          <w:rtl/>
        </w:rPr>
        <w:t xml:space="preserve">הנזק הכלכלי בשנת </w:t>
      </w:r>
      <w:r w:rsidRPr="00956B0F">
        <w:rPr>
          <w:rFonts w:hint="cs"/>
          <w:rtl/>
        </w:rPr>
        <w:t>2014</w:t>
      </w:r>
      <w:r w:rsidRPr="00956B0F">
        <w:rPr>
          <w:rtl/>
        </w:rPr>
        <w:t xml:space="preserve"> שנגרם מהפשיעה נאמד בסך </w:t>
      </w:r>
      <w:r w:rsidRPr="00956B0F">
        <w:rPr>
          <w:rFonts w:hint="cs"/>
          <w:rtl/>
        </w:rPr>
        <w:t xml:space="preserve">של כ-15.8 מיליארד ש"ח, מהם 6 מיליארד ש"ח נאמדו כנזק שנגרם מעבירות אלימות (לרבות עבירות מין ורצח), ובהן עבירות אלימות בין בני זוג. יצוין כי בסמוך לסיום ביקורת המעקב, בנובמבר 2024, פורסם </w:t>
      </w:r>
      <w:r w:rsidRPr="00956B0F">
        <w:rPr>
          <w:rtl/>
        </w:rPr>
        <w:t xml:space="preserve">מחקר </w:t>
      </w:r>
      <w:r w:rsidRPr="00956B0F">
        <w:rPr>
          <w:rFonts w:hint="cs"/>
          <w:rtl/>
        </w:rPr>
        <w:t>שבוצע מטעם</w:t>
      </w:r>
      <w:r w:rsidRPr="00956B0F">
        <w:rPr>
          <w:rtl/>
        </w:rPr>
        <w:t xml:space="preserve"> עמותת פורום מיכל סלה</w:t>
      </w:r>
      <w:r w:rsidRPr="00956B0F">
        <w:rPr>
          <w:rFonts w:hint="cs"/>
          <w:rtl/>
        </w:rPr>
        <w:t>, באמצעות</w:t>
      </w:r>
      <w:r w:rsidRPr="00956B0F">
        <w:rPr>
          <w:rtl/>
        </w:rPr>
        <w:t xml:space="preserve"> קבוצת </w:t>
      </w:r>
      <w:r w:rsidRPr="00956B0F">
        <w:t>Israel Finance Social</w:t>
      </w:r>
      <w:r w:rsidRPr="00956B0F">
        <w:rPr>
          <w:rtl/>
        </w:rPr>
        <w:t xml:space="preserve"> ובתמיכת חברת </w:t>
      </w:r>
      <w:r w:rsidRPr="00956B0F">
        <w:t>Fiverr</w:t>
      </w:r>
      <w:r w:rsidRPr="00956B0F">
        <w:rPr>
          <w:rFonts w:hint="cs"/>
          <w:rtl/>
        </w:rPr>
        <w:t xml:space="preserve">, לאמידת העלות הכלכלית של אלימות זוגית בישראל. לפי המחקר, </w:t>
      </w:r>
      <w:r w:rsidRPr="00956B0F">
        <w:rPr>
          <w:rtl/>
        </w:rPr>
        <w:t>העלות הכוללת לשורדת נעה בין כ-730</w:t>
      </w:r>
      <w:r w:rsidRPr="00956B0F">
        <w:rPr>
          <w:rFonts w:hint="cs"/>
          <w:rtl/>
        </w:rPr>
        <w:t>,000</w:t>
      </w:r>
      <w:r w:rsidRPr="00956B0F">
        <w:rPr>
          <w:rtl/>
        </w:rPr>
        <w:t xml:space="preserve"> ש"ח לכ-1.5 מיליון ש"ח, ולנרצחת </w:t>
      </w:r>
      <w:r w:rsidRPr="00956B0F">
        <w:rPr>
          <w:rFonts w:hint="cs"/>
          <w:rtl/>
        </w:rPr>
        <w:t>-</w:t>
      </w:r>
      <w:r w:rsidRPr="00956B0F">
        <w:rPr>
          <w:rtl/>
        </w:rPr>
        <w:t xml:space="preserve"> בין כ-13.7 מיליון ש"ח לכ-16.2 מיליון </w:t>
      </w:r>
      <w:r w:rsidRPr="00956B0F">
        <w:rPr>
          <w:rFonts w:hint="cs"/>
          <w:rtl/>
        </w:rPr>
        <w:t xml:space="preserve">ש"ח (בשקלול כלל העלויות המוחשיות והלא-מוחשיות) (פורום מיכל סלה, </w:t>
      </w:r>
      <w:r w:rsidRPr="00956B0F">
        <w:rPr>
          <w:rFonts w:hint="eastAsia"/>
          <w:b/>
          <w:bCs/>
          <w:rtl/>
        </w:rPr>
        <w:t>אומדן</w:t>
      </w:r>
      <w:r w:rsidRPr="00956B0F">
        <w:rPr>
          <w:b/>
          <w:bCs/>
          <w:rtl/>
        </w:rPr>
        <w:t xml:space="preserve"> </w:t>
      </w:r>
      <w:r w:rsidRPr="00956B0F">
        <w:rPr>
          <w:rFonts w:hint="eastAsia"/>
          <w:b/>
          <w:bCs/>
          <w:rtl/>
        </w:rPr>
        <w:t>העלות</w:t>
      </w:r>
      <w:r w:rsidRPr="00956B0F">
        <w:rPr>
          <w:b/>
          <w:bCs/>
          <w:rtl/>
        </w:rPr>
        <w:t xml:space="preserve"> </w:t>
      </w:r>
      <w:r w:rsidRPr="00956B0F">
        <w:rPr>
          <w:rFonts w:hint="eastAsia"/>
          <w:b/>
          <w:bCs/>
          <w:rtl/>
        </w:rPr>
        <w:t>הכלכלית</w:t>
      </w:r>
      <w:r w:rsidRPr="00956B0F">
        <w:rPr>
          <w:b/>
          <w:bCs/>
          <w:rtl/>
        </w:rPr>
        <w:t xml:space="preserve"> </w:t>
      </w:r>
      <w:r w:rsidRPr="00956B0F">
        <w:rPr>
          <w:rFonts w:hint="eastAsia"/>
          <w:b/>
          <w:bCs/>
          <w:rtl/>
        </w:rPr>
        <w:t>של</w:t>
      </w:r>
      <w:r w:rsidRPr="00956B0F">
        <w:rPr>
          <w:b/>
          <w:bCs/>
          <w:rtl/>
        </w:rPr>
        <w:t xml:space="preserve"> </w:t>
      </w:r>
      <w:r w:rsidRPr="00956B0F">
        <w:rPr>
          <w:rFonts w:hint="eastAsia"/>
          <w:b/>
          <w:bCs/>
          <w:rtl/>
        </w:rPr>
        <w:t>אלימות</w:t>
      </w:r>
      <w:r w:rsidRPr="00956B0F">
        <w:rPr>
          <w:b/>
          <w:bCs/>
          <w:rtl/>
        </w:rPr>
        <w:t xml:space="preserve"> </w:t>
      </w:r>
      <w:r w:rsidRPr="00956B0F">
        <w:rPr>
          <w:rFonts w:hint="eastAsia"/>
          <w:b/>
          <w:bCs/>
          <w:rtl/>
        </w:rPr>
        <w:t>בזוגיות</w:t>
      </w:r>
      <w:r w:rsidRPr="00956B0F">
        <w:rPr>
          <w:b/>
          <w:bCs/>
          <w:rtl/>
        </w:rPr>
        <w:t xml:space="preserve"> </w:t>
      </w:r>
      <w:r w:rsidRPr="00956B0F">
        <w:rPr>
          <w:rFonts w:hint="eastAsia"/>
          <w:b/>
          <w:bCs/>
          <w:rtl/>
        </w:rPr>
        <w:t>בישראל</w:t>
      </w:r>
      <w:r w:rsidRPr="00956B0F">
        <w:rPr>
          <w:rFonts w:hint="cs"/>
          <w:rtl/>
        </w:rPr>
        <w:t xml:space="preserve"> [2024]).</w:t>
      </w:r>
    </w:p>
  </w:footnote>
  <w:footnote w:id="19">
    <w:p w14:paraId="7BB7262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העברה בין-דורית של התופעה, המתבטאת בכך שילדים שהיו עדים לאלימות של אביהם כלפי אימם עלולים בסבירות גבוהה יותר לנהוג באלימות בחייהם הבוגרים, וילדות שהיו עדות לאלימות כזו עלולות בסבירות גבוהה יותר להיקלע לתוך מערכות זוגיות אלימות. ראו: </w:t>
      </w:r>
      <w:r w:rsidRPr="00956B0F">
        <w:t xml:space="preserve">Women's Health and Development (WHD), </w:t>
      </w:r>
      <w:r w:rsidRPr="00956B0F">
        <w:rPr>
          <w:b/>
          <w:bCs/>
        </w:rPr>
        <w:t>Violence Against Women: A Priority Health Issue</w:t>
      </w:r>
      <w:r w:rsidRPr="00956B0F">
        <w:t xml:space="preserve"> (1997)</w:t>
      </w:r>
      <w:r w:rsidRPr="00956B0F">
        <w:rPr>
          <w:rFonts w:hint="cs"/>
          <w:rtl/>
        </w:rPr>
        <w:t>;</w:t>
      </w:r>
      <w:r w:rsidRPr="00956B0F">
        <w:t xml:space="preserve"> </w:t>
      </w:r>
      <w:r w:rsidRPr="00956B0F">
        <w:rPr>
          <w:rFonts w:hint="cs"/>
          <w:rtl/>
        </w:rPr>
        <w:t>על השלכותיה של העברה בין-דורית בהקשר של גברים אלימים ראו: אוהד גילבר, רחל דקל וענת בן פורת</w:t>
      </w:r>
      <w:r w:rsidRPr="00956B0F">
        <w:rPr>
          <w:b/>
          <w:bCs/>
          <w:rtl/>
        </w:rPr>
        <w:t xml:space="preserve">, </w:t>
      </w:r>
      <w:r w:rsidRPr="00956B0F">
        <w:rPr>
          <w:rFonts w:hint="eastAsia"/>
          <w:b/>
          <w:bCs/>
          <w:rtl/>
        </w:rPr>
        <w:t>מודל</w:t>
      </w:r>
      <w:r w:rsidRPr="00956B0F">
        <w:rPr>
          <w:b/>
          <w:bCs/>
          <w:rtl/>
        </w:rPr>
        <w:t xml:space="preserve"> </w:t>
      </w:r>
      <w:r w:rsidRPr="00956B0F">
        <w:rPr>
          <w:rFonts w:hint="eastAsia"/>
          <w:b/>
          <w:bCs/>
          <w:rtl/>
        </w:rPr>
        <w:t>מורחב</w:t>
      </w:r>
      <w:r w:rsidRPr="00956B0F">
        <w:rPr>
          <w:b/>
          <w:bCs/>
          <w:rtl/>
        </w:rPr>
        <w:t xml:space="preserve"> </w:t>
      </w:r>
      <w:r w:rsidRPr="00956B0F">
        <w:rPr>
          <w:rFonts w:hint="eastAsia"/>
          <w:b/>
          <w:bCs/>
          <w:rtl/>
        </w:rPr>
        <w:t>של</w:t>
      </w:r>
      <w:r w:rsidRPr="00956B0F">
        <w:rPr>
          <w:b/>
          <w:bCs/>
          <w:rtl/>
        </w:rPr>
        <w:t xml:space="preserve"> </w:t>
      </w:r>
      <w:r w:rsidRPr="00956B0F">
        <w:rPr>
          <w:rFonts w:hint="eastAsia"/>
          <w:b/>
          <w:bCs/>
          <w:rtl/>
        </w:rPr>
        <w:t>תאוריה</w:t>
      </w:r>
      <w:r w:rsidRPr="00956B0F">
        <w:rPr>
          <w:b/>
          <w:bCs/>
          <w:rtl/>
        </w:rPr>
        <w:t xml:space="preserve"> </w:t>
      </w:r>
      <w:r w:rsidRPr="00956B0F">
        <w:rPr>
          <w:rFonts w:hint="eastAsia"/>
          <w:b/>
          <w:bCs/>
          <w:rtl/>
        </w:rPr>
        <w:t>של</w:t>
      </w:r>
      <w:r w:rsidRPr="00956B0F">
        <w:rPr>
          <w:b/>
          <w:bCs/>
          <w:rtl/>
        </w:rPr>
        <w:t xml:space="preserve"> </w:t>
      </w:r>
      <w:r w:rsidRPr="00956B0F">
        <w:rPr>
          <w:rFonts w:hint="eastAsia"/>
          <w:b/>
          <w:bCs/>
          <w:rtl/>
        </w:rPr>
        <w:t>טראומה</w:t>
      </w:r>
      <w:r w:rsidRPr="00956B0F">
        <w:rPr>
          <w:b/>
          <w:bCs/>
          <w:rtl/>
        </w:rPr>
        <w:t xml:space="preserve"> </w:t>
      </w:r>
      <w:r w:rsidRPr="00956B0F">
        <w:rPr>
          <w:rFonts w:hint="eastAsia"/>
          <w:b/>
          <w:bCs/>
          <w:rtl/>
        </w:rPr>
        <w:t>לניבוי</w:t>
      </w:r>
      <w:r w:rsidRPr="00956B0F">
        <w:rPr>
          <w:b/>
          <w:bCs/>
          <w:rtl/>
        </w:rPr>
        <w:t xml:space="preserve"> </w:t>
      </w:r>
      <w:r w:rsidRPr="00956B0F">
        <w:rPr>
          <w:rFonts w:hint="eastAsia"/>
          <w:b/>
          <w:bCs/>
          <w:rtl/>
        </w:rPr>
        <w:t>אלימות</w:t>
      </w:r>
      <w:r w:rsidRPr="00956B0F">
        <w:rPr>
          <w:b/>
          <w:bCs/>
          <w:rtl/>
        </w:rPr>
        <w:t xml:space="preserve"> </w:t>
      </w:r>
      <w:r w:rsidRPr="00956B0F">
        <w:rPr>
          <w:rFonts w:hint="eastAsia"/>
          <w:b/>
          <w:bCs/>
          <w:rtl/>
        </w:rPr>
        <w:t>זוגית</w:t>
      </w:r>
      <w:r w:rsidRPr="00956B0F">
        <w:rPr>
          <w:b/>
          <w:bCs/>
          <w:rtl/>
        </w:rPr>
        <w:t xml:space="preserve"> </w:t>
      </w:r>
      <w:r w:rsidRPr="00956B0F">
        <w:rPr>
          <w:rFonts w:hint="eastAsia"/>
          <w:b/>
          <w:bCs/>
          <w:rtl/>
        </w:rPr>
        <w:t>בקרב</w:t>
      </w:r>
      <w:r w:rsidRPr="00956B0F">
        <w:rPr>
          <w:b/>
          <w:bCs/>
          <w:rtl/>
        </w:rPr>
        <w:t xml:space="preserve"> </w:t>
      </w:r>
      <w:r w:rsidRPr="00956B0F">
        <w:rPr>
          <w:rFonts w:hint="eastAsia"/>
          <w:b/>
          <w:bCs/>
          <w:rtl/>
        </w:rPr>
        <w:t>גברים</w:t>
      </w:r>
      <w:r w:rsidRPr="00956B0F">
        <w:rPr>
          <w:b/>
          <w:bCs/>
          <w:rtl/>
        </w:rPr>
        <w:t xml:space="preserve"> </w:t>
      </w:r>
      <w:r w:rsidRPr="00956B0F">
        <w:rPr>
          <w:rFonts w:hint="eastAsia"/>
          <w:b/>
          <w:bCs/>
          <w:rtl/>
        </w:rPr>
        <w:t>המטופלים</w:t>
      </w:r>
      <w:r w:rsidRPr="00956B0F">
        <w:rPr>
          <w:b/>
          <w:bCs/>
          <w:rtl/>
        </w:rPr>
        <w:t xml:space="preserve"> </w:t>
      </w:r>
      <w:r w:rsidRPr="00956B0F">
        <w:rPr>
          <w:rFonts w:hint="eastAsia"/>
          <w:b/>
          <w:bCs/>
          <w:rtl/>
        </w:rPr>
        <w:t>במרכזים</w:t>
      </w:r>
      <w:r w:rsidRPr="00956B0F">
        <w:rPr>
          <w:b/>
          <w:bCs/>
          <w:rtl/>
        </w:rPr>
        <w:t xml:space="preserve"> </w:t>
      </w:r>
      <w:r w:rsidRPr="00956B0F">
        <w:rPr>
          <w:rFonts w:hint="eastAsia"/>
          <w:b/>
          <w:bCs/>
          <w:rtl/>
        </w:rPr>
        <w:t>לטיפול</w:t>
      </w:r>
      <w:r w:rsidRPr="00956B0F">
        <w:rPr>
          <w:b/>
          <w:bCs/>
          <w:rtl/>
        </w:rPr>
        <w:t xml:space="preserve"> </w:t>
      </w:r>
      <w:r w:rsidRPr="00956B0F">
        <w:rPr>
          <w:rFonts w:hint="eastAsia"/>
          <w:b/>
          <w:bCs/>
          <w:rtl/>
        </w:rPr>
        <w:t>ומניעת</w:t>
      </w:r>
      <w:r w:rsidRPr="00956B0F">
        <w:rPr>
          <w:b/>
          <w:bCs/>
          <w:rtl/>
        </w:rPr>
        <w:t xml:space="preserve"> </w:t>
      </w:r>
      <w:r w:rsidRPr="00956B0F">
        <w:rPr>
          <w:rFonts w:hint="eastAsia"/>
          <w:b/>
          <w:bCs/>
          <w:rtl/>
        </w:rPr>
        <w:t>אלימות</w:t>
      </w:r>
      <w:r w:rsidRPr="00956B0F">
        <w:rPr>
          <w:b/>
          <w:bCs/>
          <w:rtl/>
        </w:rPr>
        <w:t xml:space="preserve"> </w:t>
      </w:r>
      <w:r w:rsidRPr="00956B0F">
        <w:rPr>
          <w:rFonts w:hint="eastAsia"/>
          <w:b/>
          <w:bCs/>
          <w:rtl/>
        </w:rPr>
        <w:t>במשפחה</w:t>
      </w:r>
      <w:r w:rsidRPr="00956B0F">
        <w:rPr>
          <w:rtl/>
        </w:rPr>
        <w:t xml:space="preserve"> (יולי 2018)</w:t>
      </w:r>
      <w:r w:rsidRPr="00956B0F">
        <w:rPr>
          <w:rStyle w:val="Hyperlink"/>
          <w:rFonts w:hint="cs"/>
          <w:color w:val="auto"/>
          <w:u w:val="none"/>
          <w:rtl/>
        </w:rPr>
        <w:t>, עמ' 50 - 51 (להלן - גילבר, דקל ובן פורת [1]).</w:t>
      </w:r>
      <w:r w:rsidRPr="00956B0F">
        <w:rPr>
          <w:rFonts w:hint="cs"/>
          <w:rtl/>
        </w:rPr>
        <w:t xml:space="preserve"> </w:t>
      </w:r>
    </w:p>
  </w:footnote>
  <w:footnote w:id="20">
    <w:p w14:paraId="3C408DAD" w14:textId="77777777" w:rsidR="00F769CC" w:rsidRPr="00956B0F" w:rsidRDefault="00F769CC" w:rsidP="00817399">
      <w:pPr>
        <w:pStyle w:val="af7"/>
      </w:pPr>
      <w:r w:rsidRPr="00956B0F">
        <w:rPr>
          <w:rStyle w:val="af9"/>
        </w:rPr>
        <w:footnoteRef/>
      </w:r>
      <w:r w:rsidRPr="00956B0F">
        <w:rPr>
          <w:rtl/>
        </w:rPr>
        <w:t xml:space="preserve"> </w:t>
      </w:r>
      <w:r w:rsidRPr="00956B0F">
        <w:tab/>
        <w:t xml:space="preserve">Women's Health and Development (WHD), </w:t>
      </w:r>
      <w:r w:rsidRPr="00956B0F">
        <w:rPr>
          <w:b/>
          <w:bCs/>
        </w:rPr>
        <w:t>Violence Against Women: A Priority Health Issue</w:t>
      </w:r>
      <w:r w:rsidRPr="00956B0F">
        <w:t xml:space="preserve"> (1997)</w:t>
      </w:r>
      <w:r w:rsidRPr="00956B0F">
        <w:rPr>
          <w:rFonts w:hint="cs"/>
          <w:rtl/>
        </w:rPr>
        <w:t>.</w:t>
      </w:r>
    </w:p>
  </w:footnote>
  <w:footnote w:id="21">
    <w:p w14:paraId="1387ED1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כחלק מ"אג'נדה 2030 לפיתוח בר-קיימה", שאימצו בשנת 2015 כל המדינות החברות באו"ם</w:t>
      </w:r>
      <w:r w:rsidRPr="00956B0F">
        <w:rPr>
          <w:rFonts w:hint="cs"/>
          <w:rtl/>
        </w:rPr>
        <w:t xml:space="preserve"> ובהן גם </w:t>
      </w:r>
      <w:r w:rsidRPr="00956B0F">
        <w:rPr>
          <w:rFonts w:hint="eastAsia"/>
          <w:rtl/>
        </w:rPr>
        <w:t>מדינת</w:t>
      </w:r>
      <w:r w:rsidRPr="00956B0F">
        <w:rPr>
          <w:rFonts w:hint="cs"/>
          <w:rtl/>
        </w:rPr>
        <w:t xml:space="preserve"> ישראל</w:t>
      </w:r>
      <w:r w:rsidRPr="00956B0F">
        <w:rPr>
          <w:rtl/>
        </w:rPr>
        <w:t>, נקבעה תוכנית</w:t>
      </w:r>
      <w:r w:rsidRPr="00956B0F">
        <w:rPr>
          <w:rFonts w:hint="cs"/>
          <w:rtl/>
        </w:rPr>
        <w:t xml:space="preserve"> </w:t>
      </w:r>
      <w:r w:rsidRPr="00956B0F">
        <w:rPr>
          <w:rtl/>
        </w:rPr>
        <w:t>פעולה עבור כל מדינות העולם לקידום צמיחה ושגשוג לצד שמירה על כדור הארץ, ובה 17 יעדים לפיתוח</w:t>
      </w:r>
      <w:r w:rsidRPr="00956B0F">
        <w:rPr>
          <w:rFonts w:hint="cs"/>
          <w:rtl/>
        </w:rPr>
        <w:t xml:space="preserve"> </w:t>
      </w:r>
      <w:r w:rsidRPr="00956B0F">
        <w:rPr>
          <w:rtl/>
        </w:rPr>
        <w:t>בר-קיימה. התוכנית מתווה את הדרך לצמיחה כלכלית ולמיגור העוני, ובתוך כך כוללת סוגיות בתחומים</w:t>
      </w:r>
      <w:r w:rsidRPr="00956B0F">
        <w:rPr>
          <w:rFonts w:hint="cs"/>
          <w:rtl/>
        </w:rPr>
        <w:t xml:space="preserve"> </w:t>
      </w:r>
      <w:r w:rsidRPr="00956B0F">
        <w:rPr>
          <w:rtl/>
        </w:rPr>
        <w:t>של חינוך, בריאות, ביטחון סוציאלי, תעסוקה, שינוי אקלים ושמירה על הסביבה</w:t>
      </w:r>
      <w:r w:rsidRPr="00956B0F">
        <w:rPr>
          <w:rFonts w:hint="cs"/>
          <w:rtl/>
        </w:rPr>
        <w:t xml:space="preserve">. מניעת אלימות כלפי נשים היא המטרה השנייה מבין המטרות שנגזרו מיעד השוויון המגדרי (יעד 5). </w:t>
      </w:r>
    </w:p>
    <w:p w14:paraId="609FF4AE" w14:textId="77777777" w:rsidR="00F769CC" w:rsidRPr="00956B0F" w:rsidRDefault="00F769CC" w:rsidP="00817399">
      <w:pPr>
        <w:pStyle w:val="af7"/>
        <w:ind w:firstLine="0"/>
      </w:pPr>
      <w:r w:rsidRPr="00956B0F">
        <w:rPr>
          <w:rtl/>
        </w:rPr>
        <w:t xml:space="preserve">יעדי הפיתוח </w:t>
      </w:r>
      <w:r w:rsidRPr="00956B0F">
        <w:rPr>
          <w:rFonts w:hint="cs"/>
          <w:rtl/>
        </w:rPr>
        <w:t>ה</w:t>
      </w:r>
      <w:r w:rsidRPr="00956B0F">
        <w:rPr>
          <w:rtl/>
        </w:rPr>
        <w:t>בר-קיימה</w:t>
      </w:r>
      <w:r w:rsidRPr="00956B0F">
        <w:rPr>
          <w:rFonts w:hint="cs"/>
          <w:rtl/>
        </w:rPr>
        <w:t xml:space="preserve"> </w:t>
      </w:r>
      <w:r w:rsidRPr="00956B0F">
        <w:rPr>
          <w:rtl/>
        </w:rPr>
        <w:t xml:space="preserve">באתר האו"ם: </w:t>
      </w:r>
      <w:r w:rsidRPr="00956B0F">
        <w:t>www.un.org/sustainabledevelopment/sustainable-development-goals</w:t>
      </w:r>
      <w:r w:rsidRPr="00956B0F">
        <w:rPr>
          <w:rFonts w:hint="cs"/>
          <w:rtl/>
        </w:rPr>
        <w:t xml:space="preserve"> (</w:t>
      </w:r>
      <w:r w:rsidRPr="00956B0F">
        <w:rPr>
          <w:rtl/>
        </w:rPr>
        <w:t>כניסה</w:t>
      </w:r>
      <w:r w:rsidRPr="00956B0F">
        <w:rPr>
          <w:rFonts w:hint="cs"/>
          <w:rtl/>
        </w:rPr>
        <w:t xml:space="preserve"> </w:t>
      </w:r>
      <w:r w:rsidRPr="00956B0F">
        <w:rPr>
          <w:rtl/>
        </w:rPr>
        <w:t xml:space="preserve">אחרונה: </w:t>
      </w:r>
      <w:r w:rsidRPr="00956B0F">
        <w:rPr>
          <w:rFonts w:hint="cs"/>
          <w:rtl/>
        </w:rPr>
        <w:t>16.9.24).</w:t>
      </w:r>
    </w:p>
  </w:footnote>
  <w:footnote w:id="22">
    <w:p w14:paraId="737AA92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דין וחשבון הוועדה למדיניות חקירה, תביעה ומשפט בעבירות אלימות במשפחה: אלימות בין בני זוג (1989) (להלן - דין וחשבון ועדת קרפ [1989]); דין וחשבון ועדת בן-שלום (1998); דין וחשבון ועדת רוזנבאום (2016). המלצות ועדות אלו אומצו </w:t>
      </w:r>
      <w:r w:rsidRPr="00956B0F">
        <w:rPr>
          <w:rFonts w:hint="eastAsia"/>
          <w:rtl/>
        </w:rPr>
        <w:t>בהחלטת</w:t>
      </w:r>
      <w:r w:rsidRPr="00956B0F">
        <w:rPr>
          <w:rtl/>
        </w:rPr>
        <w:t xml:space="preserve"> </w:t>
      </w:r>
      <w:r w:rsidRPr="00956B0F">
        <w:rPr>
          <w:rFonts w:hint="eastAsia"/>
          <w:rtl/>
        </w:rPr>
        <w:t>הממשלה</w:t>
      </w:r>
      <w:r w:rsidRPr="00956B0F">
        <w:rPr>
          <w:rtl/>
        </w:rPr>
        <w:t xml:space="preserve"> 5006, "דו"ח </w:t>
      </w:r>
      <w:r w:rsidRPr="00956B0F">
        <w:rPr>
          <w:rFonts w:hint="eastAsia"/>
          <w:rtl/>
        </w:rPr>
        <w:t>הוועדה</w:t>
      </w:r>
      <w:r w:rsidRPr="00956B0F">
        <w:rPr>
          <w:rtl/>
        </w:rPr>
        <w:t xml:space="preserve"> </w:t>
      </w:r>
      <w:r w:rsidRPr="00956B0F">
        <w:rPr>
          <w:rFonts w:hint="eastAsia"/>
          <w:rtl/>
        </w:rPr>
        <w:t>הבין</w:t>
      </w:r>
      <w:r w:rsidRPr="00956B0F">
        <w:rPr>
          <w:rtl/>
        </w:rPr>
        <w:t xml:space="preserve">-משרדית </w:t>
      </w:r>
      <w:r w:rsidRPr="00956B0F">
        <w:rPr>
          <w:rFonts w:hint="eastAsia"/>
          <w:rtl/>
        </w:rPr>
        <w:t>לטיפול</w:t>
      </w:r>
      <w:r w:rsidRPr="00956B0F">
        <w:rPr>
          <w:rtl/>
        </w:rPr>
        <w:t xml:space="preserve"> </w:t>
      </w:r>
      <w:r w:rsidRPr="00956B0F">
        <w:rPr>
          <w:rFonts w:hint="eastAsia"/>
          <w:rtl/>
        </w:rPr>
        <w:t>בבעיית</w:t>
      </w:r>
      <w:r w:rsidRPr="00956B0F">
        <w:rPr>
          <w:rtl/>
        </w:rPr>
        <w:t xml:space="preserve"> </w:t>
      </w:r>
      <w:r w:rsidRPr="00956B0F">
        <w:rPr>
          <w:rFonts w:hint="eastAsia"/>
          <w:rtl/>
        </w:rPr>
        <w:t>האלימות</w:t>
      </w:r>
      <w:r w:rsidRPr="00956B0F">
        <w:rPr>
          <w:rtl/>
        </w:rPr>
        <w:t xml:space="preserve"> </w:t>
      </w:r>
      <w:r w:rsidRPr="00956B0F">
        <w:rPr>
          <w:rFonts w:hint="eastAsia"/>
          <w:rtl/>
        </w:rPr>
        <w:t>במשפחה</w:t>
      </w:r>
      <w:r w:rsidRPr="00956B0F">
        <w:rPr>
          <w:rtl/>
        </w:rPr>
        <w:t xml:space="preserve">" (25.4.99) (להלן - החלטת הממשלה 5006), </w:t>
      </w:r>
      <w:r w:rsidRPr="00956B0F">
        <w:rPr>
          <w:rFonts w:hint="eastAsia"/>
          <w:rtl/>
        </w:rPr>
        <w:t>בהחלטת</w:t>
      </w:r>
      <w:r w:rsidRPr="00956B0F">
        <w:rPr>
          <w:rtl/>
        </w:rPr>
        <w:t xml:space="preserve"> הממשלה 46, "יישום דו"ח הוועדה הבין-משרדית לטיפול בבעיית האלימות במשפחה (דו"ח בן-שלום)" (1.8.99)</w:t>
      </w:r>
      <w:r w:rsidRPr="00956B0F">
        <w:rPr>
          <w:rFonts w:hint="cs"/>
          <w:rtl/>
        </w:rPr>
        <w:t xml:space="preserve"> (להלן - החלטת הממשלה </w:t>
      </w:r>
      <w:r w:rsidRPr="00956B0F">
        <w:rPr>
          <w:rtl/>
        </w:rPr>
        <w:t xml:space="preserve">46) </w:t>
      </w:r>
      <w:r w:rsidRPr="00956B0F">
        <w:rPr>
          <w:rFonts w:hint="eastAsia"/>
          <w:rtl/>
        </w:rPr>
        <w:t>ובהחלטת</w:t>
      </w:r>
      <w:r w:rsidRPr="00956B0F">
        <w:rPr>
          <w:rtl/>
        </w:rPr>
        <w:t xml:space="preserve"> הממשלה 2820, "הצגת תוכנית פעולה ליישום המלצות ועדת המנכ"לים למניעה וטיפול בתופעת האלימות במשפחה אשר הוקמה בהחלטת ממשלה מס' 1249 (אלמ/5) מיום 10.3.2016" (7.7.17) (להלן</w:t>
      </w:r>
      <w:r w:rsidRPr="00956B0F">
        <w:rPr>
          <w:rFonts w:hint="cs"/>
          <w:rtl/>
        </w:rPr>
        <w:t xml:space="preserve"> - החלטת הממשלה 2820). </w:t>
      </w:r>
    </w:p>
  </w:footnote>
  <w:footnote w:id="23">
    <w:p w14:paraId="43B907C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החשש מחשיפה פומבית של האלימות עשוי לנבוע, בין השאר, מתחושת בושה ונטייה להאשמת הקורבן, קיומה של תלות כלכלית, </w:t>
      </w:r>
      <w:r w:rsidRPr="00956B0F">
        <w:rPr>
          <w:rFonts w:hint="eastAsia"/>
          <w:rtl/>
        </w:rPr>
        <w:t>חשש</w:t>
      </w:r>
      <w:r w:rsidRPr="00956B0F">
        <w:rPr>
          <w:rtl/>
        </w:rPr>
        <w:t xml:space="preserve"> </w:t>
      </w:r>
      <w:r w:rsidRPr="00956B0F">
        <w:rPr>
          <w:rFonts w:hint="eastAsia"/>
          <w:rtl/>
        </w:rPr>
        <w:t>כי</w:t>
      </w:r>
      <w:r w:rsidRPr="00956B0F">
        <w:rPr>
          <w:rtl/>
        </w:rPr>
        <w:t xml:space="preserve"> </w:t>
      </w:r>
      <w:r w:rsidRPr="00956B0F">
        <w:rPr>
          <w:rFonts w:hint="eastAsia"/>
          <w:rtl/>
        </w:rPr>
        <w:t>הדיווח</w:t>
      </w:r>
      <w:r w:rsidRPr="00956B0F">
        <w:rPr>
          <w:rtl/>
        </w:rPr>
        <w:t xml:space="preserve"> </w:t>
      </w:r>
      <w:r w:rsidRPr="00956B0F">
        <w:rPr>
          <w:rFonts w:hint="eastAsia"/>
          <w:rtl/>
        </w:rPr>
        <w:t>יחשוף</w:t>
      </w:r>
      <w:r w:rsidRPr="00956B0F">
        <w:rPr>
          <w:rtl/>
        </w:rPr>
        <w:t xml:space="preserve"> </w:t>
      </w:r>
      <w:r w:rsidRPr="00956B0F">
        <w:rPr>
          <w:rFonts w:hint="eastAsia"/>
          <w:rtl/>
        </w:rPr>
        <w:t>את</w:t>
      </w:r>
      <w:r w:rsidRPr="00956B0F">
        <w:rPr>
          <w:rtl/>
        </w:rPr>
        <w:t xml:space="preserve"> </w:t>
      </w:r>
      <w:r w:rsidRPr="00956B0F">
        <w:rPr>
          <w:rFonts w:hint="eastAsia"/>
          <w:rtl/>
        </w:rPr>
        <w:t>הנפגע</w:t>
      </w:r>
      <w:r w:rsidRPr="00956B0F">
        <w:rPr>
          <w:rtl/>
        </w:rPr>
        <w:t xml:space="preserve"> לתגובה אלימה עוד יותר</w:t>
      </w:r>
      <w:r w:rsidRPr="00956B0F">
        <w:rPr>
          <w:rFonts w:hint="cs"/>
          <w:rtl/>
        </w:rPr>
        <w:t xml:space="preserve">, או משום </w:t>
      </w:r>
      <w:r w:rsidRPr="00956B0F">
        <w:rPr>
          <w:rtl/>
        </w:rPr>
        <w:t xml:space="preserve">שהצד הנפגע תופס את </w:t>
      </w:r>
      <w:r w:rsidRPr="00956B0F">
        <w:rPr>
          <w:rFonts w:hint="eastAsia"/>
          <w:rtl/>
        </w:rPr>
        <w:t>האלימות</w:t>
      </w:r>
      <w:r w:rsidRPr="00956B0F">
        <w:rPr>
          <w:rtl/>
        </w:rPr>
        <w:t xml:space="preserve"> </w:t>
      </w:r>
      <w:r w:rsidRPr="00956B0F">
        <w:rPr>
          <w:rFonts w:hint="eastAsia"/>
          <w:rtl/>
        </w:rPr>
        <w:t>כלפיו</w:t>
      </w:r>
      <w:r w:rsidRPr="00956B0F">
        <w:rPr>
          <w:rtl/>
        </w:rPr>
        <w:t xml:space="preserve"> כמעין "גז</w:t>
      </w:r>
      <w:r w:rsidRPr="00956B0F">
        <w:rPr>
          <w:rFonts w:hint="cs"/>
          <w:rtl/>
        </w:rPr>
        <w:t>י</w:t>
      </w:r>
      <w:r w:rsidRPr="00956B0F">
        <w:rPr>
          <w:rtl/>
        </w:rPr>
        <w:t>רת גורל"</w:t>
      </w:r>
      <w:r w:rsidRPr="00956B0F">
        <w:rPr>
          <w:rFonts w:hint="cs"/>
          <w:rtl/>
        </w:rPr>
        <w:t xml:space="preserve">. ראו: ליאורה בילסקי, "נשים מוכות: מהגנה עצמית להגנת העצמיות", </w:t>
      </w:r>
      <w:r w:rsidRPr="00956B0F">
        <w:rPr>
          <w:rFonts w:hint="cs"/>
          <w:b/>
          <w:bCs/>
          <w:rtl/>
        </w:rPr>
        <w:t>פלילים</w:t>
      </w:r>
      <w:r w:rsidRPr="00956B0F">
        <w:rPr>
          <w:rFonts w:hint="cs"/>
          <w:rtl/>
        </w:rPr>
        <w:t xml:space="preserve"> ו (1997), עמ' 58; צבי איזקוביץ וגדעון פישמן, </w:t>
      </w:r>
      <w:r w:rsidRPr="00956B0F">
        <w:rPr>
          <w:rFonts w:hint="eastAsia"/>
          <w:b/>
          <w:bCs/>
          <w:rtl/>
        </w:rPr>
        <w:t>סקר</w:t>
      </w:r>
      <w:r w:rsidRPr="00956B0F">
        <w:rPr>
          <w:b/>
          <w:bCs/>
          <w:rtl/>
        </w:rPr>
        <w:t xml:space="preserve"> </w:t>
      </w:r>
      <w:r w:rsidRPr="00956B0F">
        <w:rPr>
          <w:rFonts w:hint="eastAsia"/>
          <w:b/>
          <w:bCs/>
          <w:rtl/>
        </w:rPr>
        <w:t>היקף</w:t>
      </w:r>
      <w:r w:rsidRPr="00956B0F">
        <w:rPr>
          <w:b/>
          <w:bCs/>
          <w:rtl/>
        </w:rPr>
        <w:t xml:space="preserve"> </w:t>
      </w:r>
      <w:r w:rsidRPr="00956B0F">
        <w:rPr>
          <w:rFonts w:hint="eastAsia"/>
          <w:b/>
          <w:bCs/>
          <w:rtl/>
        </w:rPr>
        <w:t>ומאפיינים</w:t>
      </w:r>
      <w:r w:rsidRPr="00956B0F">
        <w:rPr>
          <w:b/>
          <w:bCs/>
          <w:rtl/>
        </w:rPr>
        <w:t xml:space="preserve"> </w:t>
      </w:r>
      <w:r w:rsidRPr="00956B0F">
        <w:rPr>
          <w:rFonts w:hint="eastAsia"/>
          <w:b/>
          <w:bCs/>
          <w:rtl/>
        </w:rPr>
        <w:t>לתופעת</w:t>
      </w:r>
      <w:r w:rsidRPr="00956B0F">
        <w:rPr>
          <w:b/>
          <w:bCs/>
          <w:rtl/>
        </w:rPr>
        <w:t xml:space="preserve"> </w:t>
      </w:r>
      <w:r w:rsidRPr="00956B0F">
        <w:rPr>
          <w:rFonts w:hint="eastAsia"/>
          <w:b/>
          <w:bCs/>
          <w:rtl/>
        </w:rPr>
        <w:t>האלימות</w:t>
      </w:r>
      <w:r w:rsidRPr="00956B0F">
        <w:rPr>
          <w:b/>
          <w:bCs/>
          <w:rtl/>
        </w:rPr>
        <w:t xml:space="preserve"> </w:t>
      </w:r>
      <w:r w:rsidRPr="00956B0F">
        <w:rPr>
          <w:rFonts w:hint="eastAsia"/>
          <w:b/>
          <w:bCs/>
          <w:rtl/>
        </w:rPr>
        <w:t>כלפי</w:t>
      </w:r>
      <w:r w:rsidRPr="00956B0F">
        <w:rPr>
          <w:b/>
          <w:bCs/>
          <w:rtl/>
        </w:rPr>
        <w:t xml:space="preserve"> </w:t>
      </w:r>
      <w:r w:rsidRPr="00956B0F">
        <w:rPr>
          <w:rFonts w:hint="eastAsia"/>
          <w:b/>
          <w:bCs/>
          <w:rtl/>
        </w:rPr>
        <w:t>נשים</w:t>
      </w:r>
      <w:r w:rsidRPr="00956B0F">
        <w:rPr>
          <w:b/>
          <w:bCs/>
          <w:rtl/>
        </w:rPr>
        <w:t xml:space="preserve"> </w:t>
      </w:r>
      <w:r w:rsidRPr="00956B0F">
        <w:rPr>
          <w:rFonts w:hint="eastAsia"/>
          <w:b/>
          <w:bCs/>
          <w:rtl/>
        </w:rPr>
        <w:t>וילדים</w:t>
      </w:r>
      <w:r w:rsidRPr="00956B0F">
        <w:rPr>
          <w:b/>
          <w:bCs/>
          <w:rtl/>
        </w:rPr>
        <w:t xml:space="preserve"> </w:t>
      </w:r>
      <w:r w:rsidRPr="00956B0F">
        <w:rPr>
          <w:rFonts w:hint="eastAsia"/>
          <w:b/>
          <w:bCs/>
          <w:rtl/>
        </w:rPr>
        <w:t>ונוער</w:t>
      </w:r>
      <w:r w:rsidRPr="00956B0F">
        <w:rPr>
          <w:b/>
          <w:bCs/>
          <w:rtl/>
        </w:rPr>
        <w:t xml:space="preserve"> </w:t>
      </w:r>
      <w:r w:rsidRPr="00956B0F">
        <w:rPr>
          <w:rFonts w:hint="eastAsia"/>
          <w:b/>
          <w:bCs/>
          <w:rtl/>
        </w:rPr>
        <w:t>בסיכון</w:t>
      </w:r>
      <w:r w:rsidRPr="00956B0F">
        <w:rPr>
          <w:rtl/>
        </w:rPr>
        <w:t xml:space="preserve"> (2001), עמ' 12</w:t>
      </w:r>
      <w:r w:rsidRPr="00956B0F">
        <w:rPr>
          <w:rStyle w:val="Hyperlink"/>
          <w:rFonts w:hint="cs"/>
          <w:color w:val="auto"/>
          <w:u w:val="none"/>
          <w:rtl/>
        </w:rPr>
        <w:t xml:space="preserve"> (להלן - הסקר משנת 2001); </w:t>
      </w:r>
      <w:r w:rsidRPr="00956B0F">
        <w:rPr>
          <w:rFonts w:hint="cs"/>
          <w:rtl/>
        </w:rPr>
        <w:t>יובל שני, "ביתי אינו מבצרי: אלימות במשפחה כסוג של עינוי אסור על פי המש</w:t>
      </w:r>
      <w:r w:rsidRPr="00956B0F">
        <w:rPr>
          <w:rFonts w:hint="eastAsia"/>
          <w:rtl/>
        </w:rPr>
        <w:t>פט</w:t>
      </w:r>
      <w:r w:rsidRPr="00956B0F">
        <w:rPr>
          <w:rtl/>
        </w:rPr>
        <w:t xml:space="preserve"> הבינלאומי", </w:t>
      </w:r>
      <w:r w:rsidRPr="00956B0F">
        <w:rPr>
          <w:rFonts w:hint="eastAsia"/>
          <w:b/>
          <w:bCs/>
          <w:rtl/>
        </w:rPr>
        <w:t>המשפט</w:t>
      </w:r>
      <w:r w:rsidRPr="00956B0F">
        <w:rPr>
          <w:rtl/>
        </w:rPr>
        <w:t xml:space="preserve"> ז 151 (התשס"ב), עמ' 152 - 153</w:t>
      </w:r>
      <w:r w:rsidRPr="00956B0F">
        <w:rPr>
          <w:rFonts w:hint="cs"/>
          <w:rtl/>
        </w:rPr>
        <w:t xml:space="preserve">; ע"פ 6758/07 </w:t>
      </w:r>
      <w:r w:rsidRPr="00956B0F">
        <w:rPr>
          <w:rFonts w:hint="cs"/>
          <w:bCs/>
          <w:rtl/>
        </w:rPr>
        <w:t>פלוני נ' מדינת ישראל</w:t>
      </w:r>
      <w:r w:rsidRPr="00956B0F">
        <w:rPr>
          <w:rFonts w:hint="cs"/>
          <w:rtl/>
        </w:rPr>
        <w:t xml:space="preserve">, </w:t>
      </w:r>
      <w:r w:rsidRPr="00956B0F">
        <w:rPr>
          <w:rFonts w:hint="eastAsia"/>
          <w:rtl/>
        </w:rPr>
        <w:t>פס</w:t>
      </w:r>
      <w:r w:rsidRPr="00956B0F">
        <w:rPr>
          <w:rtl/>
        </w:rPr>
        <w:t>' 7 לפסק הדין (פורסם במאגר ממוחשב, 11.10.07)</w:t>
      </w:r>
      <w:r w:rsidRPr="00956B0F">
        <w:rPr>
          <w:rFonts w:hint="cs"/>
          <w:rtl/>
        </w:rPr>
        <w:t xml:space="preserve">; רחל יעקבס ויעל אידיסיס, "ייחוסי אשמה וחומרה במקרי אלימות במשפחה על ידי נשים חרדיות", </w:t>
      </w:r>
      <w:r w:rsidRPr="00956B0F">
        <w:rPr>
          <w:rFonts w:hint="eastAsia"/>
          <w:b/>
          <w:bCs/>
          <w:rtl/>
        </w:rPr>
        <w:t>קרימינולוגיה</w:t>
      </w:r>
      <w:r w:rsidRPr="00956B0F">
        <w:rPr>
          <w:b/>
          <w:bCs/>
          <w:rtl/>
        </w:rPr>
        <w:t xml:space="preserve"> </w:t>
      </w:r>
      <w:r w:rsidRPr="00956B0F">
        <w:rPr>
          <w:rFonts w:hint="eastAsia"/>
          <w:b/>
          <w:bCs/>
          <w:rtl/>
        </w:rPr>
        <w:t>ישראלית</w:t>
      </w:r>
      <w:r w:rsidRPr="00956B0F">
        <w:rPr>
          <w:rtl/>
        </w:rPr>
        <w:t xml:space="preserve"> ט (תש"ף), עמ' 106 - 107</w:t>
      </w:r>
      <w:r w:rsidRPr="00956B0F">
        <w:rPr>
          <w:rFonts w:hint="cs"/>
          <w:rtl/>
        </w:rPr>
        <w:t>.</w:t>
      </w:r>
    </w:p>
  </w:footnote>
  <w:footnote w:id="24">
    <w:p w14:paraId="2C6B39E0" w14:textId="77777777" w:rsidR="00F769CC" w:rsidRPr="00956B0F" w:rsidRDefault="00F769CC" w:rsidP="00817399">
      <w:pPr>
        <w:pStyle w:val="af7"/>
        <w:rPr>
          <w:rtl/>
        </w:rPr>
      </w:pPr>
      <w:r w:rsidRPr="00956B0F">
        <w:rPr>
          <w:rStyle w:val="af9"/>
        </w:rPr>
        <w:footnoteRef/>
      </w:r>
      <w:r w:rsidRPr="00956B0F">
        <w:t xml:space="preserve"> </w:t>
      </w:r>
      <w:r w:rsidRPr="00956B0F">
        <w:tab/>
      </w:r>
      <w:r w:rsidRPr="00956B0F">
        <w:rPr>
          <w:rFonts w:hint="eastAsia"/>
          <w:rtl/>
        </w:rPr>
        <w:t>מימי</w:t>
      </w:r>
      <w:r w:rsidRPr="00956B0F">
        <w:rPr>
          <w:rtl/>
        </w:rPr>
        <w:t xml:space="preserve"> </w:t>
      </w:r>
      <w:r w:rsidRPr="00956B0F">
        <w:rPr>
          <w:rFonts w:hint="eastAsia"/>
          <w:rtl/>
        </w:rPr>
        <w:t>אייזנשטדט</w:t>
      </w:r>
      <w:r w:rsidRPr="00956B0F">
        <w:rPr>
          <w:rtl/>
        </w:rPr>
        <w:t xml:space="preserve">, "מבט לעתיד בראייה מגדרית", בתוך: </w:t>
      </w:r>
      <w:r w:rsidRPr="00956B0F">
        <w:rPr>
          <w:rFonts w:hint="eastAsia"/>
          <w:rtl/>
        </w:rPr>
        <w:t>מיכל</w:t>
      </w:r>
      <w:r w:rsidRPr="00956B0F">
        <w:rPr>
          <w:rtl/>
        </w:rPr>
        <w:t xml:space="preserve"> אלמוג-בר, מימי </w:t>
      </w:r>
      <w:r w:rsidRPr="00956B0F">
        <w:rPr>
          <w:rFonts w:hint="eastAsia"/>
          <w:rtl/>
        </w:rPr>
        <w:t>אייזנשטדט</w:t>
      </w:r>
      <w:r w:rsidRPr="00956B0F">
        <w:rPr>
          <w:rtl/>
        </w:rPr>
        <w:t xml:space="preserve"> וג'וני גל (עורכים), </w:t>
      </w:r>
      <w:r w:rsidRPr="00956B0F">
        <w:rPr>
          <w:b/>
          <w:bCs/>
          <w:rtl/>
        </w:rPr>
        <w:t>רווחה בעקבות המלחמה</w:t>
      </w:r>
      <w:r w:rsidRPr="00956B0F">
        <w:rPr>
          <w:rtl/>
        </w:rPr>
        <w:t xml:space="preserve"> (2024), עמ' 19</w:t>
      </w:r>
      <w:r w:rsidRPr="00956B0F">
        <w:rPr>
          <w:rFonts w:hint="cs"/>
          <w:rtl/>
        </w:rPr>
        <w:t>; הדס מור ושמוליק שיינטוך, "</w:t>
      </w:r>
      <w:r w:rsidRPr="00956B0F">
        <w:rPr>
          <w:rtl/>
        </w:rPr>
        <w:t xml:space="preserve">חסרי וחסרות בית בישראל ביום שאחרי המלחמה: הצעה לכינון תוכנית אסטרטגית להתמודדות עם חסרוּת הבית בישראל ולסיומה", בתוך: מיכל אלמוג-בר, מימי אייזנשטדט וג'וני גל (עורכים), </w:t>
      </w:r>
      <w:r w:rsidRPr="00956B0F">
        <w:rPr>
          <w:rFonts w:hint="eastAsia"/>
          <w:b/>
          <w:bCs/>
          <w:rtl/>
        </w:rPr>
        <w:t>רווחה</w:t>
      </w:r>
      <w:r w:rsidRPr="00956B0F">
        <w:rPr>
          <w:b/>
          <w:bCs/>
          <w:rtl/>
        </w:rPr>
        <w:t xml:space="preserve"> </w:t>
      </w:r>
      <w:r w:rsidRPr="00956B0F">
        <w:rPr>
          <w:rFonts w:hint="eastAsia"/>
          <w:b/>
          <w:bCs/>
          <w:rtl/>
        </w:rPr>
        <w:t>בעקבות</w:t>
      </w:r>
      <w:r w:rsidRPr="00956B0F">
        <w:rPr>
          <w:b/>
          <w:bCs/>
          <w:rtl/>
        </w:rPr>
        <w:t xml:space="preserve"> </w:t>
      </w:r>
      <w:r w:rsidRPr="00956B0F">
        <w:rPr>
          <w:rFonts w:hint="eastAsia"/>
          <w:b/>
          <w:bCs/>
          <w:rtl/>
        </w:rPr>
        <w:t>המלחמה</w:t>
      </w:r>
      <w:r w:rsidRPr="00956B0F">
        <w:rPr>
          <w:rtl/>
        </w:rPr>
        <w:t xml:space="preserve"> (2024), עמ' 102</w:t>
      </w:r>
      <w:r w:rsidRPr="00956B0F">
        <w:rPr>
          <w:rFonts w:hint="cs"/>
          <w:rtl/>
        </w:rPr>
        <w:t xml:space="preserve">; </w:t>
      </w:r>
      <w:r w:rsidRPr="00956B0F">
        <w:rPr>
          <w:rStyle w:val="Hyperlink"/>
          <w:rFonts w:hint="eastAsia"/>
          <w:color w:val="auto"/>
          <w:u w:val="none"/>
          <w:rtl/>
        </w:rPr>
        <w:t>מכון</w:t>
      </w:r>
      <w:r w:rsidRPr="00956B0F">
        <w:rPr>
          <w:rStyle w:val="Hyperlink"/>
          <w:color w:val="auto"/>
          <w:u w:val="none"/>
          <w:rtl/>
        </w:rPr>
        <w:t xml:space="preserve"> מאיירס ג'וינט ברוקדייל, </w:t>
      </w:r>
      <w:r w:rsidRPr="00956B0F">
        <w:rPr>
          <w:rFonts w:hint="eastAsia"/>
          <w:b/>
          <w:bCs/>
          <w:rtl/>
        </w:rPr>
        <w:t>אלימות</w:t>
      </w:r>
      <w:r w:rsidRPr="00956B0F">
        <w:rPr>
          <w:b/>
          <w:bCs/>
          <w:rtl/>
        </w:rPr>
        <w:t xml:space="preserve"> במשפחה בזמן מלחמה: סקר </w:t>
      </w:r>
      <w:r w:rsidRPr="00956B0F">
        <w:rPr>
          <w:rFonts w:hint="cs"/>
          <w:b/>
          <w:bCs/>
          <w:rtl/>
        </w:rPr>
        <w:t>"</w:t>
      </w:r>
      <w:r w:rsidRPr="00956B0F">
        <w:rPr>
          <w:b/>
          <w:bCs/>
          <w:rtl/>
        </w:rPr>
        <w:t>בזק</w:t>
      </w:r>
      <w:r w:rsidRPr="00956B0F">
        <w:rPr>
          <w:rFonts w:hint="cs"/>
          <w:b/>
          <w:bCs/>
          <w:rtl/>
        </w:rPr>
        <w:t>"</w:t>
      </w:r>
      <w:r w:rsidRPr="00956B0F">
        <w:rPr>
          <w:b/>
          <w:bCs/>
          <w:rtl/>
        </w:rPr>
        <w:t xml:space="preserve"> </w:t>
      </w:r>
      <w:r w:rsidRPr="00956B0F">
        <w:rPr>
          <w:rFonts w:hint="eastAsia"/>
          <w:b/>
          <w:bCs/>
          <w:rtl/>
        </w:rPr>
        <w:t>מקוון</w:t>
      </w:r>
      <w:r w:rsidRPr="00956B0F">
        <w:rPr>
          <w:b/>
          <w:bCs/>
          <w:rtl/>
        </w:rPr>
        <w:t xml:space="preserve"> לבחינת היקפי אלימות במשפחה בחברה הישראלית בעת מלחמת </w:t>
      </w:r>
      <w:r w:rsidRPr="00956B0F">
        <w:rPr>
          <w:rFonts w:hint="cs"/>
          <w:b/>
          <w:bCs/>
          <w:rtl/>
        </w:rPr>
        <w:t>"</w:t>
      </w:r>
      <w:r w:rsidRPr="00956B0F">
        <w:rPr>
          <w:rFonts w:hint="eastAsia"/>
          <w:b/>
          <w:bCs/>
          <w:rtl/>
        </w:rPr>
        <w:t>חרבות</w:t>
      </w:r>
      <w:r w:rsidRPr="00956B0F">
        <w:rPr>
          <w:b/>
          <w:bCs/>
          <w:rtl/>
        </w:rPr>
        <w:t xml:space="preserve"> </w:t>
      </w:r>
      <w:r w:rsidRPr="00956B0F">
        <w:rPr>
          <w:rFonts w:hint="eastAsia"/>
          <w:b/>
          <w:bCs/>
          <w:rtl/>
        </w:rPr>
        <w:t>ברזל</w:t>
      </w:r>
      <w:r w:rsidRPr="00956B0F">
        <w:rPr>
          <w:b/>
          <w:bCs/>
          <w:rtl/>
        </w:rPr>
        <w:t>"</w:t>
      </w:r>
      <w:r w:rsidRPr="00956B0F">
        <w:rPr>
          <w:rtl/>
        </w:rPr>
        <w:t xml:space="preserve"> (2024), עמ' 2</w:t>
      </w:r>
      <w:r w:rsidRPr="00956B0F">
        <w:rPr>
          <w:rFonts w:hint="cs"/>
          <w:rtl/>
        </w:rPr>
        <w:t>.</w:t>
      </w:r>
    </w:p>
  </w:footnote>
  <w:footnote w:id="25">
    <w:p w14:paraId="28981A2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על החשיבות של הערכת מדיניות כחלק מניהול משברים לאומיים ראו: רון צור וניסים (נסי) כהן, </w:t>
      </w:r>
      <w:r w:rsidRPr="00956B0F">
        <w:rPr>
          <w:rFonts w:hint="cs"/>
          <w:b/>
          <w:bCs/>
          <w:rtl/>
        </w:rPr>
        <w:t>הערכת מדיניות בשעת משבר: מודל להפקת לקחים בעקבות משבר הקורונה</w:t>
      </w:r>
      <w:r w:rsidRPr="00956B0F">
        <w:rPr>
          <w:rtl/>
        </w:rPr>
        <w:t xml:space="preserve"> (2021), עמ' 26 - 27</w:t>
      </w:r>
      <w:r w:rsidRPr="00956B0F">
        <w:rPr>
          <w:rFonts w:hint="cs"/>
          <w:rtl/>
        </w:rPr>
        <w:t xml:space="preserve"> וכן רון צור וניסים כהן, "אי-משילות בשעת משבר: העדר הערכת מדיניות והשפעתה על התמודדותה של ישראל עם הקורונה - מאמר דעה", </w:t>
      </w:r>
      <w:r w:rsidRPr="00956B0F">
        <w:rPr>
          <w:rFonts w:hint="eastAsia"/>
          <w:b/>
          <w:bCs/>
          <w:rtl/>
        </w:rPr>
        <w:t>ביטחון</w:t>
      </w:r>
      <w:r w:rsidRPr="00956B0F">
        <w:rPr>
          <w:b/>
          <w:bCs/>
          <w:rtl/>
        </w:rPr>
        <w:t xml:space="preserve"> </w:t>
      </w:r>
      <w:r w:rsidRPr="00956B0F">
        <w:rPr>
          <w:rFonts w:hint="eastAsia"/>
          <w:b/>
          <w:bCs/>
          <w:rtl/>
        </w:rPr>
        <w:t>סוציאלי</w:t>
      </w:r>
      <w:r w:rsidRPr="00956B0F">
        <w:rPr>
          <w:b/>
          <w:bCs/>
          <w:rtl/>
        </w:rPr>
        <w:t xml:space="preserve"> </w:t>
      </w:r>
      <w:r w:rsidRPr="00956B0F">
        <w:rPr>
          <w:rtl/>
        </w:rPr>
        <w:t xml:space="preserve">115 (2021), </w:t>
      </w:r>
      <w:r w:rsidRPr="00956B0F">
        <w:rPr>
          <w:rFonts w:hint="eastAsia"/>
          <w:rtl/>
        </w:rPr>
        <w:t>עמ</w:t>
      </w:r>
      <w:r w:rsidRPr="00956B0F">
        <w:rPr>
          <w:rtl/>
        </w:rPr>
        <w:t>' 13</w:t>
      </w:r>
      <w:r w:rsidRPr="00956B0F">
        <w:rPr>
          <w:rFonts w:hint="cs"/>
          <w:rtl/>
        </w:rPr>
        <w:t>.</w:t>
      </w:r>
    </w:p>
  </w:footnote>
  <w:footnote w:id="26">
    <w:p w14:paraId="6E2FDA2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ראו בהקשר זה: דין וחשבון ועדת בן-שלום </w:t>
      </w:r>
      <w:r w:rsidRPr="00956B0F">
        <w:rPr>
          <w:rtl/>
        </w:rPr>
        <w:t>(1998)</w:t>
      </w:r>
      <w:r w:rsidRPr="00956B0F">
        <w:rPr>
          <w:rFonts w:hint="cs"/>
          <w:rtl/>
        </w:rPr>
        <w:t>, עמ' 6 - 7.</w:t>
      </w:r>
    </w:p>
  </w:footnote>
  <w:footnote w:id="27">
    <w:p w14:paraId="3CCFF1E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יצוין כי ממצאי הביקורת אינם כוללים התייחסות גם לטיפול בחסרי מעמד אזרחי בכל הקשור להתמודדות בתופעת האלימות במשפחה, סוגיה המעוררת מורכבות ייחודית שלא נדונה בביקורת הקודמת. </w:t>
      </w:r>
    </w:p>
  </w:footnote>
  <w:footnote w:id="28">
    <w:p w14:paraId="1080744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מבקר המדינה, </w:t>
      </w:r>
      <w:r w:rsidRPr="00956B0F">
        <w:rPr>
          <w:rFonts w:hint="cs"/>
          <w:b/>
          <w:bCs/>
          <w:rtl/>
        </w:rPr>
        <w:t>דוחות על הביקורת בשלטון המקומי</w:t>
      </w:r>
      <w:r w:rsidRPr="00956B0F">
        <w:rPr>
          <w:rFonts w:hint="cs"/>
          <w:rtl/>
        </w:rPr>
        <w:t xml:space="preserve"> (2021), "ההתמודדות עם תופעת האלימות בין בני זוג", עמ' 433 - 566</w:t>
      </w:r>
      <w:r w:rsidRPr="00956B0F">
        <w:rPr>
          <w:rtl/>
        </w:rPr>
        <w:t>.</w:t>
      </w:r>
      <w:r w:rsidRPr="00956B0F">
        <w:rPr>
          <w:rFonts w:hint="cs"/>
          <w:rtl/>
        </w:rPr>
        <w:t xml:space="preserve"> לאורך השנים מבקר המדינה פרסם דוחות נוספים שעסקו בנושא על היבטיו השונים. ראו: מבקר המדינה, </w:t>
      </w:r>
      <w:r w:rsidRPr="00956B0F">
        <w:rPr>
          <w:rFonts w:hint="cs"/>
          <w:b/>
          <w:bCs/>
          <w:rtl/>
        </w:rPr>
        <w:t>דוח שנתי 42</w:t>
      </w:r>
      <w:r w:rsidRPr="00956B0F">
        <w:rPr>
          <w:rFonts w:hint="cs"/>
          <w:rtl/>
        </w:rPr>
        <w:t xml:space="preserve"> (1992), "הטיפול בנשים מוכות", עמ' 542 - 555 (להלן - דוח הביקורת משנת 1992); </w:t>
      </w:r>
      <w:r w:rsidRPr="00956B0F">
        <w:rPr>
          <w:rFonts w:hint="cs"/>
          <w:b/>
          <w:bCs/>
          <w:rtl/>
        </w:rPr>
        <w:t>דוח שנתי 52ב</w:t>
      </w:r>
      <w:r w:rsidRPr="00956B0F">
        <w:rPr>
          <w:rFonts w:hint="cs"/>
          <w:rtl/>
        </w:rPr>
        <w:t xml:space="preserve"> (2002), "הטיפול בתופעת האלימות בין בני זוג", עמ' 771 - 794; </w:t>
      </w:r>
      <w:r w:rsidRPr="00956B0F">
        <w:rPr>
          <w:rFonts w:hint="cs"/>
          <w:b/>
          <w:bCs/>
          <w:rtl/>
        </w:rPr>
        <w:t>דוח שנתי 54א</w:t>
      </w:r>
      <w:r w:rsidRPr="00956B0F">
        <w:rPr>
          <w:rFonts w:hint="cs"/>
          <w:rtl/>
        </w:rPr>
        <w:t xml:space="preserve"> (2004), "הטיפול באלימות בין בני זוג - ממצאי מעקב", עמ' 715 - 724; </w:t>
      </w:r>
      <w:r w:rsidRPr="00956B0F">
        <w:rPr>
          <w:rFonts w:hint="cs"/>
          <w:b/>
          <w:bCs/>
          <w:rtl/>
        </w:rPr>
        <w:t>דוח שנתי 55ב</w:t>
      </w:r>
      <w:r w:rsidRPr="00956B0F">
        <w:rPr>
          <w:rFonts w:hint="cs"/>
          <w:rtl/>
        </w:rPr>
        <w:t xml:space="preserve"> (2005), "אכיפת צווי הגנה", עמ' 405 - 418; </w:t>
      </w:r>
      <w:r w:rsidRPr="00956B0F">
        <w:rPr>
          <w:rFonts w:hint="cs"/>
          <w:b/>
          <w:bCs/>
          <w:rtl/>
        </w:rPr>
        <w:t>דוחות על הביקורת בשלטון המקומי לשנים 2011 - 2012</w:t>
      </w:r>
      <w:r w:rsidRPr="00956B0F">
        <w:rPr>
          <w:rFonts w:hint="cs"/>
          <w:rtl/>
        </w:rPr>
        <w:t xml:space="preserve"> (2012), "</w:t>
      </w:r>
      <w:r w:rsidRPr="00956B0F">
        <w:rPr>
          <w:rtl/>
        </w:rPr>
        <w:t>פעילות רשויות מקומיות למניעת אלימות בין בני זוג ו</w:t>
      </w:r>
      <w:r w:rsidRPr="00956B0F">
        <w:rPr>
          <w:rFonts w:hint="cs"/>
          <w:rtl/>
        </w:rPr>
        <w:t>ל</w:t>
      </w:r>
      <w:r w:rsidRPr="00956B0F">
        <w:rPr>
          <w:rtl/>
        </w:rPr>
        <w:t>טיפול בנפגעיה</w:t>
      </w:r>
      <w:r w:rsidRPr="00956B0F">
        <w:rPr>
          <w:rFonts w:hint="cs"/>
          <w:rtl/>
        </w:rPr>
        <w:t xml:space="preserve">", </w:t>
      </w:r>
      <w:r w:rsidRPr="00956B0F">
        <w:rPr>
          <w:rFonts w:hint="eastAsia"/>
          <w:rtl/>
        </w:rPr>
        <w:t>עמ</w:t>
      </w:r>
      <w:r w:rsidRPr="00956B0F">
        <w:rPr>
          <w:rtl/>
        </w:rPr>
        <w:t>'</w:t>
      </w:r>
      <w:r w:rsidRPr="00956B0F">
        <w:rPr>
          <w:rFonts w:hint="cs"/>
          <w:rtl/>
        </w:rPr>
        <w:t xml:space="preserve"> 19 - 66 (להלן - דוח הביקורת משנת 2012); </w:t>
      </w:r>
      <w:r w:rsidRPr="00956B0F">
        <w:rPr>
          <w:rFonts w:hint="cs"/>
          <w:b/>
          <w:bCs/>
          <w:rtl/>
        </w:rPr>
        <w:t>דוחות על הביקורת בשלטון המקומי</w:t>
      </w:r>
      <w:r w:rsidRPr="00956B0F">
        <w:rPr>
          <w:rFonts w:hint="cs"/>
          <w:rtl/>
        </w:rPr>
        <w:t xml:space="preserve"> (2020), "עיריית רמלה - מניעת אלימות בין בני זוג וטיפול בנפגעיה", עמ' 737 - 785 (להלן - דוח הביקורת משנת 2020).</w:t>
      </w:r>
    </w:p>
  </w:footnote>
  <w:footnote w:id="29">
    <w:p w14:paraId="2AF897B7"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הרשויות המקומיות שבהן התבצעה הביקורת הקודמת נבחרו על פי </w:t>
      </w:r>
      <w:r w:rsidRPr="00956B0F">
        <w:rPr>
          <w:rFonts w:hint="eastAsia"/>
          <w:rtl/>
        </w:rPr>
        <w:t>תמהיל</w:t>
      </w:r>
      <w:r w:rsidRPr="00956B0F">
        <w:rPr>
          <w:rtl/>
        </w:rPr>
        <w:t xml:space="preserve"> </w:t>
      </w:r>
      <w:r w:rsidRPr="00956B0F">
        <w:rPr>
          <w:rFonts w:hint="eastAsia"/>
          <w:rtl/>
        </w:rPr>
        <w:t>של</w:t>
      </w:r>
      <w:r w:rsidRPr="00956B0F">
        <w:rPr>
          <w:rtl/>
        </w:rPr>
        <w:t xml:space="preserve"> </w:t>
      </w:r>
      <w:r w:rsidRPr="00956B0F">
        <w:rPr>
          <w:rFonts w:hint="cs"/>
          <w:rtl/>
        </w:rPr>
        <w:t xml:space="preserve">כמה </w:t>
      </w:r>
      <w:r w:rsidRPr="00956B0F">
        <w:rPr>
          <w:rFonts w:hint="eastAsia"/>
          <w:rtl/>
        </w:rPr>
        <w:t>מאפיינים</w:t>
      </w:r>
      <w:r w:rsidRPr="00956B0F">
        <w:rPr>
          <w:rFonts w:hint="cs"/>
          <w:rtl/>
        </w:rPr>
        <w:t>,</w:t>
      </w:r>
      <w:r w:rsidRPr="00956B0F">
        <w:rPr>
          <w:rtl/>
        </w:rPr>
        <w:t xml:space="preserve"> </w:t>
      </w:r>
      <w:r w:rsidRPr="00956B0F">
        <w:rPr>
          <w:rFonts w:hint="cs"/>
          <w:rtl/>
        </w:rPr>
        <w:t>ובהם</w:t>
      </w:r>
      <w:r w:rsidRPr="00956B0F">
        <w:rPr>
          <w:rtl/>
        </w:rPr>
        <w:t xml:space="preserve"> </w:t>
      </w:r>
      <w:r w:rsidRPr="00956B0F">
        <w:rPr>
          <w:rFonts w:hint="eastAsia"/>
          <w:rtl/>
        </w:rPr>
        <w:t>המעמד</w:t>
      </w:r>
      <w:r w:rsidRPr="00956B0F">
        <w:rPr>
          <w:rtl/>
        </w:rPr>
        <w:t xml:space="preserve"> </w:t>
      </w:r>
      <w:r w:rsidRPr="00956B0F">
        <w:rPr>
          <w:rFonts w:hint="eastAsia"/>
          <w:rtl/>
        </w:rPr>
        <w:t>המוניציפלי</w:t>
      </w:r>
      <w:r w:rsidRPr="00956B0F">
        <w:rPr>
          <w:rFonts w:hint="cs"/>
          <w:rtl/>
        </w:rPr>
        <w:t xml:space="preserve"> של</w:t>
      </w:r>
      <w:r w:rsidRPr="00956B0F">
        <w:rPr>
          <w:rtl/>
        </w:rPr>
        <w:t xml:space="preserve"> </w:t>
      </w:r>
      <w:r w:rsidRPr="00956B0F">
        <w:rPr>
          <w:rFonts w:hint="cs"/>
          <w:rtl/>
        </w:rPr>
        <w:t>ה</w:t>
      </w:r>
      <w:r w:rsidRPr="00956B0F">
        <w:rPr>
          <w:rtl/>
        </w:rPr>
        <w:t>רשות (</w:t>
      </w:r>
      <w:r w:rsidRPr="00956B0F">
        <w:rPr>
          <w:rFonts w:hint="eastAsia"/>
          <w:rtl/>
        </w:rPr>
        <w:t>עירייה</w:t>
      </w:r>
      <w:r w:rsidRPr="00956B0F">
        <w:rPr>
          <w:rFonts w:hint="cs"/>
          <w:rtl/>
        </w:rPr>
        <w:t xml:space="preserve">, </w:t>
      </w:r>
      <w:r w:rsidRPr="00956B0F">
        <w:rPr>
          <w:rtl/>
        </w:rPr>
        <w:t xml:space="preserve">מועצה </w:t>
      </w:r>
      <w:r w:rsidRPr="00956B0F">
        <w:rPr>
          <w:rFonts w:hint="eastAsia"/>
          <w:rtl/>
        </w:rPr>
        <w:t>מקומי</w:t>
      </w:r>
      <w:r w:rsidRPr="00956B0F">
        <w:rPr>
          <w:rtl/>
        </w:rPr>
        <w:t>ת</w:t>
      </w:r>
      <w:r w:rsidRPr="00956B0F">
        <w:rPr>
          <w:rFonts w:hint="cs"/>
          <w:rtl/>
        </w:rPr>
        <w:t xml:space="preserve"> או </w:t>
      </w:r>
      <w:r w:rsidRPr="00956B0F">
        <w:rPr>
          <w:rtl/>
        </w:rPr>
        <w:t xml:space="preserve">מועצה </w:t>
      </w:r>
      <w:r w:rsidRPr="00956B0F">
        <w:rPr>
          <w:rFonts w:hint="eastAsia"/>
          <w:rtl/>
        </w:rPr>
        <w:t>אזורית</w:t>
      </w:r>
      <w:r w:rsidRPr="00956B0F">
        <w:rPr>
          <w:rtl/>
        </w:rPr>
        <w:t xml:space="preserve">); האזור הגיאוגרפי </w:t>
      </w:r>
      <w:r w:rsidRPr="00956B0F">
        <w:rPr>
          <w:rFonts w:hint="cs"/>
          <w:rtl/>
        </w:rPr>
        <w:t>ש</w:t>
      </w:r>
      <w:r w:rsidRPr="00956B0F">
        <w:rPr>
          <w:rtl/>
        </w:rPr>
        <w:t xml:space="preserve">בו </w:t>
      </w:r>
      <w:r w:rsidRPr="00956B0F">
        <w:rPr>
          <w:rFonts w:hint="cs"/>
          <w:rtl/>
        </w:rPr>
        <w:t>שוכנת</w:t>
      </w:r>
      <w:r w:rsidRPr="00956B0F">
        <w:rPr>
          <w:rtl/>
        </w:rPr>
        <w:t xml:space="preserve"> הרשות (דרום</w:t>
      </w:r>
      <w:r w:rsidRPr="00956B0F">
        <w:rPr>
          <w:rFonts w:hint="cs"/>
          <w:rtl/>
        </w:rPr>
        <w:t xml:space="preserve">, </w:t>
      </w:r>
      <w:r w:rsidRPr="00956B0F">
        <w:rPr>
          <w:rtl/>
        </w:rPr>
        <w:t>מרכז</w:t>
      </w:r>
      <w:r w:rsidRPr="00956B0F">
        <w:rPr>
          <w:rFonts w:hint="cs"/>
          <w:rtl/>
        </w:rPr>
        <w:t xml:space="preserve"> או </w:t>
      </w:r>
      <w:r w:rsidRPr="00956B0F">
        <w:rPr>
          <w:rtl/>
        </w:rPr>
        <w:t>צפון)</w:t>
      </w:r>
      <w:r w:rsidRPr="00956B0F">
        <w:rPr>
          <w:rFonts w:hint="cs"/>
          <w:rtl/>
        </w:rPr>
        <w:t>;</w:t>
      </w:r>
      <w:r w:rsidRPr="00956B0F">
        <w:rPr>
          <w:rtl/>
        </w:rPr>
        <w:t xml:space="preserve"> </w:t>
      </w:r>
      <w:r w:rsidRPr="00956B0F">
        <w:rPr>
          <w:rFonts w:hint="cs"/>
          <w:rtl/>
        </w:rPr>
        <w:t>מספר תושבי הרשות והמגזר שאליו משתייכים מרבית תושבי הרשות. כמו כן ניתן משקל בבחירה גם למספר תושבי הרשות הנזקקים לטיפול באלימות בין בני זוג, אשר המחלקות לשירותים חברתיים ברשויות המקומיות הכירו בהם ככאלה.</w:t>
      </w:r>
    </w:p>
  </w:footnote>
  <w:footnote w:id="30">
    <w:p w14:paraId="1DE10081"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בדוח זה תיחשב רשות באשכול חברתי-כלכלי נמוך לרשות באשכולות 1 - 3 (76 רשויות מקומיות שבהן כ-2.9 מיליון תושבים ושיעורם כ-31% מכלל האוכלוסייה);</w:t>
      </w:r>
      <w:r w:rsidRPr="00956B0F">
        <w:rPr>
          <w:rFonts w:hint="cs"/>
          <w:rtl/>
        </w:rPr>
        <w:t xml:space="preserve"> </w:t>
      </w:r>
      <w:r w:rsidRPr="00956B0F">
        <w:rPr>
          <w:rtl/>
        </w:rPr>
        <w:t>רשות פריפריאלית תיחשב רשות באשכולות פריפריאליים 1 - 4 (124 רשויות מקומיות שבהן כ-1.9 מיליון תושבים</w:t>
      </w:r>
      <w:r w:rsidRPr="00956B0F">
        <w:rPr>
          <w:rFonts w:hint="cs"/>
          <w:rtl/>
        </w:rPr>
        <w:t>,</w:t>
      </w:r>
      <w:r w:rsidRPr="00956B0F">
        <w:rPr>
          <w:rtl/>
        </w:rPr>
        <w:t xml:space="preserve"> ושיעורם כ-20% מכלל האוכלוסייה);</w:t>
      </w:r>
      <w:r w:rsidRPr="00956B0F">
        <w:rPr>
          <w:rFonts w:hint="cs"/>
          <w:rtl/>
        </w:rPr>
        <w:t xml:space="preserve"> </w:t>
      </w:r>
      <w:r w:rsidRPr="00956B0F">
        <w:rPr>
          <w:rtl/>
        </w:rPr>
        <w:t>רשות קטנה תיחשב רשות שבתחומה פחות מ-20,000 תושבים (142 רשויות מקומיות שבהן כ-1.4 מיליון תושבים ושיעורם כ-14% מכלל האוכלוסייה);</w:t>
      </w:r>
      <w:r w:rsidRPr="00956B0F">
        <w:rPr>
          <w:rFonts w:hint="cs"/>
          <w:rtl/>
        </w:rPr>
        <w:t xml:space="preserve"> </w:t>
      </w:r>
      <w:r w:rsidRPr="00956B0F">
        <w:rPr>
          <w:rtl/>
        </w:rPr>
        <w:t>רשות שאינה איתנה או יציבה היא רשות המסווגת כנתונה בתוכנית הבראה, בהמראה, בהתייעלות או בסיווג ביניים לפי נוהל משרד הפנים לסיווג הרשויות המקומיות (יולי 2021) (129 רשויות מקומיות שבהן כ-2.9 מיליון תושבים ושיעורם כ-30% מכלל האוכלוסייה);</w:t>
      </w:r>
      <w:r w:rsidRPr="00956B0F">
        <w:rPr>
          <w:rFonts w:hint="cs"/>
          <w:rtl/>
        </w:rPr>
        <w:t xml:space="preserve"> </w:t>
      </w:r>
      <w:r w:rsidRPr="00956B0F">
        <w:rPr>
          <w:rtl/>
        </w:rPr>
        <w:t>רשות לא-יהודית היא רשות שמבין התושבים המתגוררים בתחומה רובם אינם יהודים (85 רשויות מקומיות שבהן כ-1.9 מיליון תושבים ושיעורם כ-20% מכלל האוכלוסייה);</w:t>
      </w:r>
      <w:r w:rsidRPr="00956B0F">
        <w:rPr>
          <w:rFonts w:hint="cs"/>
          <w:rtl/>
        </w:rPr>
        <w:t xml:space="preserve"> </w:t>
      </w:r>
      <w:r w:rsidRPr="00956B0F">
        <w:rPr>
          <w:rtl/>
        </w:rPr>
        <w:t xml:space="preserve">רשות חרדית היא רשות שבתחומה רוב התושבים הם חרדים (7 רשויות מקומיות שבהן כ-440,000 תושבים ושיעורם כ-5% מכלל האוכלוסייה: </w:t>
      </w:r>
      <w:r w:rsidRPr="00956B0F">
        <w:rPr>
          <w:rFonts w:hint="cs"/>
          <w:rtl/>
        </w:rPr>
        <w:t xml:space="preserve">העיריות </w:t>
      </w:r>
      <w:r w:rsidRPr="00956B0F">
        <w:rPr>
          <w:rtl/>
        </w:rPr>
        <w:t>אלעד, ביתר עילית, בני ברק</w:t>
      </w:r>
      <w:r w:rsidRPr="00956B0F">
        <w:rPr>
          <w:rFonts w:hint="cs"/>
          <w:rtl/>
        </w:rPr>
        <w:t xml:space="preserve"> ו</w:t>
      </w:r>
      <w:r w:rsidRPr="00956B0F">
        <w:rPr>
          <w:rtl/>
        </w:rPr>
        <w:t>מודיעין עילית</w:t>
      </w:r>
      <w:r w:rsidRPr="00956B0F">
        <w:rPr>
          <w:rFonts w:hint="cs"/>
          <w:rtl/>
        </w:rPr>
        <w:t xml:space="preserve"> והמועצות המקומיות</w:t>
      </w:r>
      <w:r w:rsidRPr="00956B0F">
        <w:rPr>
          <w:rtl/>
        </w:rPr>
        <w:t xml:space="preserve"> עמנואל, קריית יערים </w:t>
      </w:r>
      <w:r w:rsidRPr="00956B0F">
        <w:rPr>
          <w:rFonts w:hint="cs"/>
          <w:rtl/>
        </w:rPr>
        <w:t>ו</w:t>
      </w:r>
      <w:r w:rsidRPr="00956B0F">
        <w:rPr>
          <w:rtl/>
        </w:rPr>
        <w:t>רכסים)</w:t>
      </w:r>
      <w:r w:rsidRPr="00956B0F">
        <w:rPr>
          <w:rFonts w:hint="cs"/>
          <w:rtl/>
        </w:rPr>
        <w:t>.</w:t>
      </w:r>
    </w:p>
  </w:footnote>
  <w:footnote w:id="31">
    <w:p w14:paraId="5BDD111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יצוין</w:t>
      </w:r>
      <w:r w:rsidRPr="00956B0F">
        <w:rPr>
          <w:rtl/>
        </w:rPr>
        <w:t xml:space="preserve"> כי </w:t>
      </w:r>
      <w:r w:rsidRPr="00956B0F">
        <w:rPr>
          <w:rFonts w:hint="eastAsia"/>
          <w:rtl/>
        </w:rPr>
        <w:t>בינואר</w:t>
      </w:r>
      <w:r w:rsidRPr="00956B0F">
        <w:rPr>
          <w:rtl/>
        </w:rPr>
        <w:t xml:space="preserve"> 2023 </w:t>
      </w:r>
      <w:r w:rsidRPr="00956B0F">
        <w:rPr>
          <w:rFonts w:hint="eastAsia"/>
          <w:rtl/>
        </w:rPr>
        <w:t>התקבלה</w:t>
      </w:r>
      <w:r w:rsidRPr="00956B0F">
        <w:rPr>
          <w:rtl/>
        </w:rPr>
        <w:t xml:space="preserve"> </w:t>
      </w:r>
      <w:r w:rsidRPr="00956B0F">
        <w:rPr>
          <w:rFonts w:hint="eastAsia"/>
          <w:rtl/>
        </w:rPr>
        <w:t>החלטת</w:t>
      </w:r>
      <w:r w:rsidRPr="00956B0F">
        <w:rPr>
          <w:rtl/>
        </w:rPr>
        <w:t xml:space="preserve"> </w:t>
      </w:r>
      <w:r w:rsidRPr="00956B0F">
        <w:rPr>
          <w:rFonts w:hint="eastAsia"/>
          <w:rtl/>
        </w:rPr>
        <w:t>ממשלה</w:t>
      </w:r>
      <w:r w:rsidRPr="00956B0F">
        <w:rPr>
          <w:rtl/>
        </w:rPr>
        <w:t xml:space="preserve"> </w:t>
      </w:r>
      <w:r w:rsidRPr="00956B0F">
        <w:rPr>
          <w:rFonts w:hint="eastAsia"/>
          <w:rtl/>
        </w:rPr>
        <w:t>לפיה</w:t>
      </w:r>
      <w:r w:rsidRPr="00956B0F">
        <w:rPr>
          <w:rtl/>
        </w:rPr>
        <w:t xml:space="preserve"> </w:t>
      </w:r>
      <w:r w:rsidRPr="00956B0F">
        <w:rPr>
          <w:rFonts w:hint="eastAsia"/>
          <w:rtl/>
        </w:rPr>
        <w:t>שם</w:t>
      </w:r>
      <w:r w:rsidRPr="00956B0F">
        <w:rPr>
          <w:rtl/>
        </w:rPr>
        <w:t xml:space="preserve"> </w:t>
      </w:r>
      <w:r w:rsidRPr="00956B0F">
        <w:rPr>
          <w:rFonts w:hint="eastAsia"/>
          <w:rtl/>
        </w:rPr>
        <w:t>המשרד</w:t>
      </w:r>
      <w:r w:rsidRPr="00956B0F">
        <w:rPr>
          <w:rtl/>
        </w:rPr>
        <w:t xml:space="preserve"> </w:t>
      </w:r>
      <w:r w:rsidRPr="00956B0F">
        <w:rPr>
          <w:rFonts w:hint="eastAsia"/>
          <w:rtl/>
        </w:rPr>
        <w:t>לביטחון</w:t>
      </w:r>
      <w:r w:rsidRPr="00956B0F">
        <w:rPr>
          <w:rtl/>
        </w:rPr>
        <w:t xml:space="preserve"> </w:t>
      </w:r>
      <w:r w:rsidRPr="00956B0F">
        <w:rPr>
          <w:rFonts w:hint="eastAsia"/>
          <w:rtl/>
        </w:rPr>
        <w:t>פנים</w:t>
      </w:r>
      <w:r w:rsidRPr="00956B0F">
        <w:rPr>
          <w:rtl/>
        </w:rPr>
        <w:t xml:space="preserve"> </w:t>
      </w:r>
      <w:r w:rsidRPr="00956B0F">
        <w:rPr>
          <w:rFonts w:hint="eastAsia"/>
          <w:rtl/>
        </w:rPr>
        <w:t>ישונה</w:t>
      </w:r>
      <w:r w:rsidRPr="00956B0F">
        <w:rPr>
          <w:rtl/>
        </w:rPr>
        <w:t xml:space="preserve"> </w:t>
      </w:r>
      <w:r w:rsidRPr="00956B0F">
        <w:rPr>
          <w:rFonts w:hint="eastAsia"/>
          <w:rtl/>
        </w:rPr>
        <w:t>למשרד</w:t>
      </w:r>
      <w:r w:rsidRPr="00956B0F">
        <w:rPr>
          <w:rtl/>
        </w:rPr>
        <w:t xml:space="preserve"> </w:t>
      </w:r>
      <w:r w:rsidRPr="00956B0F">
        <w:rPr>
          <w:rFonts w:hint="eastAsia"/>
          <w:rtl/>
        </w:rPr>
        <w:t>לביטחון</w:t>
      </w:r>
      <w:r w:rsidRPr="00956B0F">
        <w:rPr>
          <w:rtl/>
        </w:rPr>
        <w:t xml:space="preserve"> </w:t>
      </w:r>
      <w:r w:rsidRPr="00956B0F">
        <w:rPr>
          <w:rFonts w:hint="eastAsia"/>
          <w:rtl/>
        </w:rPr>
        <w:t>לאומי</w:t>
      </w:r>
      <w:r w:rsidRPr="00956B0F">
        <w:rPr>
          <w:rtl/>
        </w:rPr>
        <w:t xml:space="preserve"> (</w:t>
      </w:r>
      <w:r w:rsidRPr="00956B0F">
        <w:rPr>
          <w:rFonts w:hint="eastAsia"/>
          <w:rtl/>
        </w:rPr>
        <w:t>החלטת</w:t>
      </w:r>
      <w:r w:rsidRPr="00956B0F">
        <w:rPr>
          <w:rtl/>
        </w:rPr>
        <w:t xml:space="preserve"> </w:t>
      </w:r>
      <w:r w:rsidRPr="00956B0F">
        <w:rPr>
          <w:rFonts w:hint="eastAsia"/>
          <w:rtl/>
        </w:rPr>
        <w:t>הממשלה</w:t>
      </w:r>
      <w:r w:rsidRPr="00956B0F">
        <w:rPr>
          <w:rtl/>
        </w:rPr>
        <w:t xml:space="preserve"> 22, "שינוי שם המשרד לביטחון הפנים למשרד לביטחון לאומי ושינוי בחלוקת התפקידים בממשלה" [8.1.23]). </w:t>
      </w:r>
      <w:r w:rsidRPr="00956B0F">
        <w:rPr>
          <w:rFonts w:hint="eastAsia"/>
          <w:rtl/>
        </w:rPr>
        <w:t>לשם</w:t>
      </w:r>
      <w:r w:rsidRPr="00956B0F">
        <w:rPr>
          <w:rtl/>
        </w:rPr>
        <w:t xml:space="preserve"> עקביות ואחידות נעשה שימוש לאורך הדוח בשמו החדש של המשרד גם בהתייחס לממצאיה של הביקורת הקודמת, שאז </w:t>
      </w:r>
      <w:r w:rsidRPr="00956B0F">
        <w:rPr>
          <w:rFonts w:hint="eastAsia"/>
          <w:rtl/>
        </w:rPr>
        <w:t>כאמור</w:t>
      </w:r>
      <w:r w:rsidRPr="00956B0F">
        <w:rPr>
          <w:rtl/>
        </w:rPr>
        <w:t xml:space="preserve"> </w:t>
      </w:r>
      <w:r w:rsidRPr="00956B0F">
        <w:rPr>
          <w:rFonts w:hint="eastAsia"/>
          <w:rtl/>
        </w:rPr>
        <w:t>היה</w:t>
      </w:r>
      <w:r w:rsidRPr="00956B0F">
        <w:rPr>
          <w:rtl/>
        </w:rPr>
        <w:t xml:space="preserve"> </w:t>
      </w:r>
      <w:r w:rsidRPr="00956B0F">
        <w:rPr>
          <w:rFonts w:hint="eastAsia"/>
          <w:rtl/>
        </w:rPr>
        <w:t>קרוי</w:t>
      </w:r>
      <w:r w:rsidRPr="00956B0F">
        <w:rPr>
          <w:rtl/>
        </w:rPr>
        <w:t xml:space="preserve"> </w:t>
      </w:r>
      <w:r w:rsidRPr="00956B0F">
        <w:rPr>
          <w:rFonts w:hint="eastAsia"/>
          <w:rtl/>
        </w:rPr>
        <w:t>בשם</w:t>
      </w:r>
      <w:r w:rsidRPr="00956B0F">
        <w:rPr>
          <w:rtl/>
        </w:rPr>
        <w:t xml:space="preserve"> </w:t>
      </w:r>
      <w:r w:rsidRPr="00956B0F">
        <w:rPr>
          <w:rFonts w:hint="eastAsia"/>
          <w:rtl/>
        </w:rPr>
        <w:t>אחר</w:t>
      </w:r>
      <w:r w:rsidRPr="00956B0F">
        <w:rPr>
          <w:rtl/>
        </w:rPr>
        <w:t>.</w:t>
      </w:r>
    </w:p>
  </w:footnote>
  <w:footnote w:id="32">
    <w:p w14:paraId="4AE61425"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bookmarkStart w:id="57" w:name="_Hlk181007063"/>
      <w:r w:rsidRPr="00956B0F">
        <w:rPr>
          <w:rFonts w:hint="cs"/>
          <w:rtl/>
        </w:rPr>
        <w:t xml:space="preserve">הרשות </w:t>
      </w:r>
      <w:r w:rsidRPr="00956B0F">
        <w:rPr>
          <w:rFonts w:hint="eastAsia"/>
          <w:rtl/>
        </w:rPr>
        <w:t>הלאומית</w:t>
      </w:r>
      <w:r w:rsidRPr="00956B0F">
        <w:rPr>
          <w:rFonts w:hint="cs"/>
          <w:rtl/>
        </w:rPr>
        <w:t xml:space="preserve"> לביטחון קהילתי (ובשמה הקודם "הרשות למאבק באלימות, בסמים ובאלכוהול") פועלת מכוח </w:t>
      </w:r>
      <w:r w:rsidRPr="00956B0F">
        <w:rPr>
          <w:rtl/>
        </w:rPr>
        <w:t>חוק הרשות הלאומית לביטחון קהילתי, התשע"ז-2017</w:t>
      </w:r>
      <w:r w:rsidRPr="00956B0F">
        <w:rPr>
          <w:rStyle w:val="Hyperlink"/>
          <w:color w:val="auto"/>
          <w:u w:val="none"/>
          <w:rtl/>
        </w:rPr>
        <w:t>,</w:t>
      </w:r>
      <w:r w:rsidRPr="00956B0F">
        <w:rPr>
          <w:rFonts w:hint="cs"/>
          <w:rtl/>
        </w:rPr>
        <w:t xml:space="preserve"> ותפקידה לפעול למניעה של אלימות והתנהגות אנטי-חברתית וכן למאבק בשימוש בסמים או באלכוהול. </w:t>
      </w:r>
      <w:bookmarkEnd w:id="57"/>
      <w:r w:rsidRPr="00956B0F">
        <w:rPr>
          <w:rFonts w:hint="cs"/>
          <w:rtl/>
        </w:rPr>
        <w:t>לצורך כך הוסמכה הרשות, בין השאר, להמלי</w:t>
      </w:r>
      <w:r w:rsidRPr="00956B0F">
        <w:rPr>
          <w:rFonts w:hint="eastAsia"/>
          <w:rtl/>
        </w:rPr>
        <w:t>ץ</w:t>
      </w:r>
      <w:r w:rsidRPr="00956B0F">
        <w:rPr>
          <w:rtl/>
        </w:rPr>
        <w:t xml:space="preserve"> בתחומי פעילותה על מדיניות כוללת, לפתח תוכניות מקצועיות וכן לקדם שיתופי פעולה בין גופים הפועלים בתחום. </w:t>
      </w:r>
      <w:r w:rsidRPr="00956B0F">
        <w:rPr>
          <w:rFonts w:hint="eastAsia"/>
          <w:rtl/>
        </w:rPr>
        <w:t>במועד</w:t>
      </w:r>
      <w:r w:rsidRPr="00956B0F">
        <w:rPr>
          <w:rtl/>
        </w:rPr>
        <w:t xml:space="preserve"> </w:t>
      </w:r>
      <w:r w:rsidRPr="00956B0F">
        <w:rPr>
          <w:rFonts w:hint="eastAsia"/>
          <w:rtl/>
        </w:rPr>
        <w:t>סיום</w:t>
      </w:r>
      <w:r w:rsidRPr="00956B0F">
        <w:rPr>
          <w:rtl/>
        </w:rPr>
        <w:t xml:space="preserve"> </w:t>
      </w:r>
      <w:r w:rsidRPr="00956B0F">
        <w:rPr>
          <w:rFonts w:hint="eastAsia"/>
          <w:rtl/>
        </w:rPr>
        <w:t>הביקורת</w:t>
      </w:r>
      <w:r w:rsidRPr="00956B0F">
        <w:rPr>
          <w:rtl/>
        </w:rPr>
        <w:t xml:space="preserve"> </w:t>
      </w:r>
      <w:r w:rsidRPr="00956B0F">
        <w:rPr>
          <w:rFonts w:hint="eastAsia"/>
          <w:rtl/>
        </w:rPr>
        <w:t>הקודמת</w:t>
      </w:r>
      <w:r w:rsidRPr="00956B0F">
        <w:rPr>
          <w:rtl/>
        </w:rPr>
        <w:t xml:space="preserve">, </w:t>
      </w:r>
      <w:r w:rsidRPr="00956B0F">
        <w:rPr>
          <w:rFonts w:hint="eastAsia"/>
          <w:rtl/>
        </w:rPr>
        <w:t>בנובמבר</w:t>
      </w:r>
      <w:r w:rsidRPr="00956B0F">
        <w:rPr>
          <w:rtl/>
        </w:rPr>
        <w:t xml:space="preserve"> 2021, </w:t>
      </w:r>
      <w:r w:rsidRPr="00956B0F">
        <w:rPr>
          <w:rFonts w:hint="eastAsia"/>
          <w:rtl/>
        </w:rPr>
        <w:t>הייתה</w:t>
      </w:r>
      <w:r w:rsidRPr="00956B0F">
        <w:rPr>
          <w:rtl/>
        </w:rPr>
        <w:t xml:space="preserve"> </w:t>
      </w:r>
      <w:r w:rsidRPr="00956B0F">
        <w:rPr>
          <w:rFonts w:hint="eastAsia"/>
          <w:rtl/>
        </w:rPr>
        <w:t>הרשות</w:t>
      </w:r>
      <w:r w:rsidRPr="00956B0F">
        <w:rPr>
          <w:rtl/>
        </w:rPr>
        <w:t xml:space="preserve"> </w:t>
      </w:r>
      <w:r w:rsidRPr="00956B0F">
        <w:rPr>
          <w:rFonts w:hint="eastAsia"/>
          <w:rtl/>
        </w:rPr>
        <w:t>כפופה</w:t>
      </w:r>
      <w:r w:rsidRPr="00956B0F">
        <w:rPr>
          <w:rtl/>
        </w:rPr>
        <w:t xml:space="preserve"> </w:t>
      </w:r>
      <w:r w:rsidRPr="00956B0F">
        <w:rPr>
          <w:rFonts w:hint="eastAsia"/>
          <w:rtl/>
        </w:rPr>
        <w:t>למשרד</w:t>
      </w:r>
      <w:r w:rsidRPr="00956B0F">
        <w:rPr>
          <w:rtl/>
        </w:rPr>
        <w:t xml:space="preserve"> </w:t>
      </w:r>
      <w:r w:rsidRPr="00956B0F">
        <w:rPr>
          <w:rFonts w:hint="eastAsia"/>
          <w:rtl/>
        </w:rPr>
        <w:t>לחיזוק</w:t>
      </w:r>
      <w:r w:rsidRPr="00956B0F">
        <w:rPr>
          <w:rtl/>
        </w:rPr>
        <w:t xml:space="preserve"> </w:t>
      </w:r>
      <w:r w:rsidRPr="00956B0F">
        <w:rPr>
          <w:rFonts w:hint="eastAsia"/>
          <w:rtl/>
        </w:rPr>
        <w:t>וקידום</w:t>
      </w:r>
      <w:r w:rsidRPr="00956B0F">
        <w:rPr>
          <w:rtl/>
        </w:rPr>
        <w:t xml:space="preserve"> </w:t>
      </w:r>
      <w:r w:rsidRPr="00956B0F">
        <w:rPr>
          <w:rFonts w:hint="eastAsia"/>
          <w:rtl/>
        </w:rPr>
        <w:t>קהילתי</w:t>
      </w:r>
      <w:r w:rsidRPr="00956B0F">
        <w:rPr>
          <w:rtl/>
        </w:rPr>
        <w:t xml:space="preserve">. </w:t>
      </w:r>
      <w:r w:rsidRPr="00956B0F">
        <w:rPr>
          <w:rFonts w:hint="eastAsia"/>
          <w:rtl/>
        </w:rPr>
        <w:t>במועד</w:t>
      </w:r>
      <w:r w:rsidRPr="00956B0F">
        <w:rPr>
          <w:rtl/>
        </w:rPr>
        <w:t xml:space="preserve"> </w:t>
      </w:r>
      <w:r w:rsidRPr="00956B0F">
        <w:rPr>
          <w:rFonts w:hint="eastAsia"/>
          <w:rtl/>
        </w:rPr>
        <w:t>סיום</w:t>
      </w:r>
      <w:r w:rsidRPr="00956B0F">
        <w:rPr>
          <w:rtl/>
        </w:rPr>
        <w:t xml:space="preserve"> </w:t>
      </w:r>
      <w:r w:rsidRPr="00956B0F">
        <w:rPr>
          <w:rFonts w:hint="eastAsia"/>
          <w:rtl/>
        </w:rPr>
        <w:t>ביקורת</w:t>
      </w:r>
      <w:r w:rsidRPr="00956B0F">
        <w:rPr>
          <w:rtl/>
        </w:rPr>
        <w:t xml:space="preserve"> </w:t>
      </w:r>
      <w:r w:rsidRPr="00956B0F">
        <w:rPr>
          <w:rFonts w:hint="eastAsia"/>
          <w:rtl/>
        </w:rPr>
        <w:t>המעקב</w:t>
      </w:r>
      <w:r w:rsidRPr="00956B0F">
        <w:rPr>
          <w:rtl/>
        </w:rPr>
        <w:t xml:space="preserve">, </w:t>
      </w:r>
      <w:r w:rsidRPr="00956B0F">
        <w:rPr>
          <w:rFonts w:hint="eastAsia"/>
          <w:rtl/>
        </w:rPr>
        <w:t>בדצמבר</w:t>
      </w:r>
      <w:r w:rsidRPr="00956B0F">
        <w:rPr>
          <w:rtl/>
        </w:rPr>
        <w:t xml:space="preserve"> 2024, </w:t>
      </w:r>
      <w:r w:rsidRPr="00956B0F">
        <w:rPr>
          <w:rFonts w:hint="eastAsia"/>
          <w:rtl/>
        </w:rPr>
        <w:t>הייתה</w:t>
      </w:r>
      <w:r w:rsidRPr="00956B0F">
        <w:rPr>
          <w:rtl/>
        </w:rPr>
        <w:t xml:space="preserve"> </w:t>
      </w:r>
      <w:r w:rsidRPr="00956B0F">
        <w:rPr>
          <w:rFonts w:hint="eastAsia"/>
          <w:rtl/>
        </w:rPr>
        <w:t>כפופה</w:t>
      </w:r>
      <w:r w:rsidRPr="00956B0F">
        <w:rPr>
          <w:rtl/>
        </w:rPr>
        <w:t xml:space="preserve"> </w:t>
      </w:r>
      <w:r w:rsidRPr="00956B0F">
        <w:rPr>
          <w:rFonts w:hint="eastAsia"/>
          <w:rtl/>
        </w:rPr>
        <w:t>למשרד</w:t>
      </w:r>
      <w:r w:rsidRPr="00956B0F">
        <w:rPr>
          <w:rtl/>
        </w:rPr>
        <w:t xml:space="preserve"> </w:t>
      </w:r>
      <w:r w:rsidRPr="00956B0F">
        <w:rPr>
          <w:rFonts w:hint="eastAsia"/>
          <w:rtl/>
        </w:rPr>
        <w:t>לביטחון</w:t>
      </w:r>
      <w:r w:rsidRPr="00956B0F">
        <w:rPr>
          <w:rtl/>
        </w:rPr>
        <w:t xml:space="preserve"> </w:t>
      </w:r>
      <w:r w:rsidRPr="00956B0F">
        <w:rPr>
          <w:rFonts w:hint="eastAsia"/>
          <w:rtl/>
        </w:rPr>
        <w:t>לאומי</w:t>
      </w:r>
      <w:r w:rsidRPr="00956B0F">
        <w:rPr>
          <w:rtl/>
        </w:rPr>
        <w:t>.</w:t>
      </w:r>
    </w:p>
  </w:footnote>
  <w:footnote w:id="33">
    <w:p w14:paraId="779FB963"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מערכת שירותי הרווחה האישיים כוללת מגוון של מענים שמטרתם לקדם את רווחתן של קבוצות ראויות לקידום ולסייע להן בהתמודדות עם חסמים מבניים ואישיים הפוגעים בתפקודן התקין. בקבוצות אלו כלולים, בין השאר, אנשים עם מגבלה גופנית, שכלית או נפשית, אזרחים ותיקים, אנשים הסובלים מעוני, מאלימות או מהדרה חברתית וילדים ובני נוער הנתונים במצבי סיכון</w:t>
      </w:r>
      <w:r w:rsidRPr="00956B0F">
        <w:rPr>
          <w:rFonts w:hint="cs"/>
          <w:rtl/>
        </w:rPr>
        <w:t>.</w:t>
      </w:r>
    </w:p>
  </w:footnote>
  <w:footnote w:id="34">
    <w:p w14:paraId="4598050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יוסף קטן, "ההוצאה הממשלתית לשירותי הרווחה האישיים", בתוך: </w:t>
      </w:r>
      <w:r w:rsidRPr="00956B0F">
        <w:rPr>
          <w:rFonts w:hint="eastAsia"/>
          <w:rtl/>
        </w:rPr>
        <w:t>יוסף</w:t>
      </w:r>
      <w:r w:rsidRPr="00956B0F">
        <w:rPr>
          <w:rtl/>
        </w:rPr>
        <w:t xml:space="preserve"> </w:t>
      </w:r>
      <w:r w:rsidRPr="00956B0F">
        <w:rPr>
          <w:rFonts w:hint="eastAsia"/>
          <w:rtl/>
        </w:rPr>
        <w:t>קטן</w:t>
      </w:r>
      <w:r w:rsidRPr="00956B0F">
        <w:rPr>
          <w:rtl/>
        </w:rPr>
        <w:t xml:space="preserve"> (עורך),</w:t>
      </w:r>
      <w:r w:rsidRPr="00956B0F">
        <w:rPr>
          <w:rFonts w:hint="cs"/>
          <w:b/>
          <w:bCs/>
          <w:rtl/>
        </w:rPr>
        <w:t xml:space="preserve"> שירותי רווחה אישיים - מגמות ותמורות</w:t>
      </w:r>
      <w:r w:rsidRPr="00956B0F">
        <w:rPr>
          <w:rFonts w:hint="cs"/>
          <w:rtl/>
        </w:rPr>
        <w:t xml:space="preserve"> (1996), עמ' 17; </w:t>
      </w:r>
      <w:r w:rsidRPr="00956B0F">
        <w:rPr>
          <w:rtl/>
        </w:rPr>
        <w:t xml:space="preserve">יוסף קטן, ''שירותי הרווחה האישיים בישראל: סוגיות ודילמות מרכזיות'', </w:t>
      </w:r>
      <w:r w:rsidRPr="00956B0F">
        <w:rPr>
          <w:b/>
          <w:bCs/>
          <w:rtl/>
        </w:rPr>
        <w:t>ביטחון סוציאלי</w:t>
      </w:r>
      <w:r w:rsidRPr="00956B0F">
        <w:rPr>
          <w:rtl/>
        </w:rPr>
        <w:t xml:space="preserve"> 53</w:t>
      </w:r>
      <w:r w:rsidRPr="00956B0F">
        <w:rPr>
          <w:rFonts w:hint="cs"/>
          <w:rtl/>
        </w:rPr>
        <w:t>,</w:t>
      </w:r>
      <w:r w:rsidRPr="00956B0F">
        <w:rPr>
          <w:rtl/>
        </w:rPr>
        <w:t xml:space="preserve"> 39 (1998</w:t>
      </w:r>
      <w:r w:rsidRPr="00956B0F">
        <w:rPr>
          <w:rFonts w:hint="cs"/>
          <w:rtl/>
        </w:rPr>
        <w:t>), עמ' 40 - 43</w:t>
      </w:r>
      <w:r w:rsidRPr="00956B0F">
        <w:rPr>
          <w:rStyle w:val="Hyperlink"/>
          <w:rFonts w:hint="cs"/>
          <w:color w:val="auto"/>
          <w:u w:val="none"/>
          <w:rtl/>
        </w:rPr>
        <w:t xml:space="preserve">; </w:t>
      </w:r>
      <w:r w:rsidRPr="00956B0F">
        <w:rPr>
          <w:rFonts w:hint="cs"/>
          <w:rtl/>
        </w:rPr>
        <w:t>אליה ו</w:t>
      </w:r>
      <w:r w:rsidRPr="00956B0F">
        <w:rPr>
          <w:rtl/>
        </w:rPr>
        <w:t xml:space="preserve">ורצברגר ויוסף קטן, </w:t>
      </w:r>
      <w:r w:rsidRPr="00956B0F">
        <w:rPr>
          <w:b/>
          <w:bCs/>
          <w:rtl/>
        </w:rPr>
        <w:t>השפעת ההפרטה על שירותי הרווחה האישיים ברשויות המקומיות</w:t>
      </w:r>
      <w:r w:rsidRPr="00956B0F">
        <w:rPr>
          <w:rtl/>
        </w:rPr>
        <w:t>, נייר דיון 3-05</w:t>
      </w:r>
      <w:r w:rsidRPr="00956B0F">
        <w:rPr>
          <w:rFonts w:hint="cs"/>
          <w:rtl/>
        </w:rPr>
        <w:t xml:space="preserve"> (2005),</w:t>
      </w:r>
      <w:r w:rsidRPr="00956B0F" w:rsidDel="00F66B33">
        <w:rPr>
          <w:rtl/>
        </w:rPr>
        <w:t xml:space="preserve"> </w:t>
      </w:r>
      <w:r w:rsidRPr="00956B0F">
        <w:rPr>
          <w:rtl/>
        </w:rPr>
        <w:t>עמ'</w:t>
      </w:r>
      <w:r w:rsidRPr="00956B0F">
        <w:rPr>
          <w:rFonts w:hint="cs"/>
          <w:rtl/>
        </w:rPr>
        <w:t xml:space="preserve"> 49; </w:t>
      </w:r>
      <w:r w:rsidRPr="00956B0F">
        <w:rPr>
          <w:rtl/>
        </w:rPr>
        <w:t xml:space="preserve">אמיר פז-פוקס ורונן מנדלקרן, ''לא מוסדר, ולא במקרה: כשלים מובנים באסדרת (רגולציה) שירותים ציבוריים מופרטים חלקית'', </w:t>
      </w:r>
      <w:r w:rsidRPr="00956B0F">
        <w:rPr>
          <w:b/>
          <w:bCs/>
          <w:rtl/>
        </w:rPr>
        <w:t>משפטים</w:t>
      </w:r>
      <w:r w:rsidRPr="00956B0F">
        <w:rPr>
          <w:rtl/>
        </w:rPr>
        <w:t xml:space="preserve"> מג 1195 (תשע"ג), </w:t>
      </w:r>
      <w:r w:rsidRPr="00956B0F">
        <w:rPr>
          <w:rFonts w:hint="eastAsia"/>
          <w:rtl/>
        </w:rPr>
        <w:t>עמ</w:t>
      </w:r>
      <w:r w:rsidRPr="00956B0F">
        <w:rPr>
          <w:rtl/>
        </w:rPr>
        <w:t>' 1200</w:t>
      </w:r>
      <w:r w:rsidRPr="00956B0F">
        <w:rPr>
          <w:rFonts w:hint="cs"/>
          <w:rtl/>
        </w:rPr>
        <w:t xml:space="preserve">. </w:t>
      </w:r>
    </w:p>
  </w:footnote>
  <w:footnote w:id="35">
    <w:p w14:paraId="74058CF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לפי</w:t>
      </w:r>
      <w:r w:rsidRPr="00956B0F">
        <w:rPr>
          <w:rtl/>
        </w:rPr>
        <w:t xml:space="preserve"> </w:t>
      </w:r>
      <w:r w:rsidRPr="00956B0F">
        <w:rPr>
          <w:rFonts w:hint="eastAsia"/>
          <w:rtl/>
        </w:rPr>
        <w:t>סעיף</w:t>
      </w:r>
      <w:r w:rsidRPr="00956B0F">
        <w:rPr>
          <w:rtl/>
        </w:rPr>
        <w:t xml:space="preserve"> 2(ח1) לחו</w:t>
      </w:r>
      <w:r w:rsidRPr="00956B0F">
        <w:rPr>
          <w:rFonts w:hint="cs"/>
          <w:rtl/>
        </w:rPr>
        <w:t>ק למניעת אלימות במשפחה,</w:t>
      </w:r>
      <w:r w:rsidRPr="00956B0F">
        <w:rPr>
          <w:rtl/>
        </w:rPr>
        <w:t xml:space="preserve"> בית המשפט הדן בבקשה למתן צו הגנה רשאי</w:t>
      </w:r>
      <w:r w:rsidRPr="00956B0F">
        <w:rPr>
          <w:rFonts w:hint="cs"/>
          <w:rtl/>
        </w:rPr>
        <w:t xml:space="preserve"> לתת גם צו מניעת הטרדה מאיימת לאדם, לעניין בן משפחתו, בהתאם להוראות </w:t>
      </w:r>
      <w:r w:rsidRPr="00956B0F">
        <w:rPr>
          <w:rtl/>
        </w:rPr>
        <w:t>חוק מניעת הטרדה מאיימת, התשס"ב-2001</w:t>
      </w:r>
      <w:r w:rsidRPr="00956B0F">
        <w:rPr>
          <w:rFonts w:hint="cs"/>
          <w:rtl/>
        </w:rPr>
        <w:t xml:space="preserve"> (להלן - החוק למניעת הטרדה)</w:t>
      </w:r>
      <w:r w:rsidRPr="00956B0F">
        <w:rPr>
          <w:rtl/>
        </w:rPr>
        <w:t xml:space="preserve">. צו לפי חוק מניעת הטרדה אפשר להוציא </w:t>
      </w:r>
      <w:r w:rsidRPr="00956B0F">
        <w:rPr>
          <w:rFonts w:hint="cs"/>
          <w:rtl/>
        </w:rPr>
        <w:t xml:space="preserve">גם עבור מקרים </w:t>
      </w:r>
      <w:r w:rsidRPr="00956B0F">
        <w:rPr>
          <w:rtl/>
        </w:rPr>
        <w:t xml:space="preserve">שאינם נופלים בגדרו של צו הגנה </w:t>
      </w:r>
      <w:r w:rsidRPr="00956B0F">
        <w:rPr>
          <w:rFonts w:hint="cs"/>
          <w:rtl/>
        </w:rPr>
        <w:t>ו</w:t>
      </w:r>
      <w:r w:rsidRPr="00956B0F">
        <w:rPr>
          <w:rtl/>
        </w:rPr>
        <w:t xml:space="preserve">לתקופה </w:t>
      </w:r>
      <w:r w:rsidRPr="00956B0F">
        <w:rPr>
          <w:rFonts w:hint="cs"/>
          <w:rtl/>
        </w:rPr>
        <w:t xml:space="preserve">ראשונית </w:t>
      </w:r>
      <w:r w:rsidRPr="00956B0F">
        <w:rPr>
          <w:rtl/>
        </w:rPr>
        <w:t>ממושכת יותר של עד שישה חודשים</w:t>
      </w:r>
      <w:r w:rsidRPr="00956B0F">
        <w:rPr>
          <w:rFonts w:hint="cs"/>
          <w:rtl/>
        </w:rPr>
        <w:t>. זאת בעוד תוקפו של צו הגנה שהוצא לראשונה לפי חוק למניעת אלימות במשפחה לא יעלה על שלושה חודשים (סעיף 5 לחוק למניעת אלימות במשפחה)</w:t>
      </w:r>
      <w:r w:rsidRPr="00956B0F">
        <w:rPr>
          <w:rtl/>
        </w:rPr>
        <w:t>.</w:t>
      </w:r>
      <w:r w:rsidRPr="00956B0F">
        <w:rPr>
          <w:rFonts w:hint="cs"/>
          <w:rtl/>
        </w:rPr>
        <w:t xml:space="preserve"> נוסף על הבקשה לצו הגנה לפי החוק למניעת אלימות במשפחה או החוק למניעת הטרדה מאיימת, בפני אדם הנתון לאלימות מצד בן משפחתו עומדת גם האפשרות לפנות בבקשה לצו למדור שקט ושלו, כנגזרת מחובת הבעל במזונות ובמדור במסגרת הדין האישי. ראו: נועה יניב, "מחשבים מסלול </w:t>
      </w:r>
      <w:r w:rsidRPr="00956B0F">
        <w:rPr>
          <w:rFonts w:hint="eastAsia"/>
          <w:rtl/>
        </w:rPr>
        <w:t>מחדש</w:t>
      </w:r>
      <w:r w:rsidRPr="00956B0F">
        <w:rPr>
          <w:rtl/>
        </w:rPr>
        <w:t xml:space="preserve">: על שימוש בטכנולוגיית </w:t>
      </w:r>
      <w:r w:rsidRPr="00956B0F">
        <w:t>GPS</w:t>
      </w:r>
      <w:r w:rsidRPr="00956B0F">
        <w:rPr>
          <w:rtl/>
        </w:rPr>
        <w:t xml:space="preserve"> בטיפול בתופעת האלימות המגדרית במשפחה", </w:t>
      </w:r>
      <w:r w:rsidRPr="00956B0F">
        <w:rPr>
          <w:rFonts w:hint="eastAsia"/>
          <w:b/>
          <w:bCs/>
          <w:rtl/>
        </w:rPr>
        <w:t>מעשי</w:t>
      </w:r>
      <w:r w:rsidRPr="00956B0F">
        <w:rPr>
          <w:rtl/>
        </w:rPr>
        <w:t xml:space="preserve"> </w:t>
      </w:r>
      <w:r w:rsidRPr="00956B0F">
        <w:rPr>
          <w:rFonts w:hint="eastAsia"/>
          <w:b/>
          <w:bCs/>
          <w:rtl/>
        </w:rPr>
        <w:t>משפט</w:t>
      </w:r>
      <w:r w:rsidRPr="00956B0F">
        <w:rPr>
          <w:rtl/>
        </w:rPr>
        <w:t xml:space="preserve"> יב 283 (2021), עמ' 285 - 286</w:t>
      </w:r>
      <w:r w:rsidRPr="00956B0F">
        <w:rPr>
          <w:rFonts w:hint="cs"/>
          <w:rtl/>
        </w:rPr>
        <w:t>.</w:t>
      </w:r>
    </w:p>
  </w:footnote>
  <w:footnote w:id="36">
    <w:p w14:paraId="13FE057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סעיף 11א לחוק למניעת אלימות</w:t>
      </w:r>
      <w:r w:rsidRPr="00956B0F">
        <w:rPr>
          <w:rFonts w:hint="cs"/>
          <w:rtl/>
        </w:rPr>
        <w:t xml:space="preserve"> במשפחה</w:t>
      </w:r>
      <w:r w:rsidRPr="00956B0F">
        <w:rPr>
          <w:rtl/>
        </w:rPr>
        <w:t xml:space="preserve"> וכן התקנות שהותקנו מכוחו (תקנות למניעת אלימות במשפחה (יידוע בידי אנשי מקצוע בתחום הבריאות), </w:t>
      </w:r>
      <w:r w:rsidRPr="00956B0F">
        <w:rPr>
          <w:rFonts w:hint="eastAsia"/>
          <w:rtl/>
        </w:rPr>
        <w:t>התשס</w:t>
      </w:r>
      <w:r w:rsidRPr="00956B0F">
        <w:rPr>
          <w:rtl/>
        </w:rPr>
        <w:t>"ב-2002</w:t>
      </w:r>
      <w:r w:rsidRPr="00956B0F">
        <w:rPr>
          <w:rFonts w:hint="cs"/>
          <w:rtl/>
        </w:rPr>
        <w:t xml:space="preserve">; </w:t>
      </w:r>
      <w:r w:rsidRPr="00956B0F">
        <w:rPr>
          <w:rtl/>
        </w:rPr>
        <w:t xml:space="preserve">תקנות למניעת אלימות במשפחה (יידוע בידי שוטר), </w:t>
      </w:r>
      <w:r w:rsidRPr="00956B0F">
        <w:rPr>
          <w:rFonts w:hint="eastAsia"/>
          <w:rtl/>
        </w:rPr>
        <w:t>ה</w:t>
      </w:r>
      <w:r w:rsidRPr="00956B0F">
        <w:rPr>
          <w:rtl/>
        </w:rPr>
        <w:t xml:space="preserve">תשס"ב-2002; תקנות למניעת אלימות במשפחה (יידוע בידי אנשי דת וטוענים רבניים), </w:t>
      </w:r>
      <w:r w:rsidRPr="00956B0F">
        <w:rPr>
          <w:rFonts w:hint="eastAsia"/>
          <w:rtl/>
        </w:rPr>
        <w:t>ה</w:t>
      </w:r>
      <w:r w:rsidRPr="00956B0F">
        <w:rPr>
          <w:rtl/>
        </w:rPr>
        <w:t xml:space="preserve">תש"ע-2010; תקנות למניעת אלימות במשפחה (יידוע בידי עובד סוציאלי), </w:t>
      </w:r>
      <w:r w:rsidRPr="00956B0F">
        <w:rPr>
          <w:rFonts w:hint="eastAsia"/>
          <w:rtl/>
        </w:rPr>
        <w:t>ה</w:t>
      </w:r>
      <w:r w:rsidRPr="00956B0F">
        <w:rPr>
          <w:rtl/>
        </w:rPr>
        <w:t xml:space="preserve">תשס"ג-2003; תקנות למניעת אלימות במשפחה (יידוע בידי עובדי חינוך), </w:t>
      </w:r>
      <w:r w:rsidRPr="00956B0F">
        <w:rPr>
          <w:rFonts w:hint="eastAsia"/>
          <w:rtl/>
        </w:rPr>
        <w:t>ה</w:t>
      </w:r>
      <w:r w:rsidRPr="00956B0F">
        <w:rPr>
          <w:rtl/>
        </w:rPr>
        <w:t>תשס"ב-2002</w:t>
      </w:r>
      <w:r w:rsidRPr="00956B0F">
        <w:rPr>
          <w:rFonts w:hint="cs"/>
          <w:rtl/>
        </w:rPr>
        <w:t>).</w:t>
      </w:r>
      <w:r w:rsidRPr="00956B0F">
        <w:rPr>
          <w:rtl/>
        </w:rPr>
        <w:t xml:space="preserve"> </w:t>
      </w:r>
    </w:p>
  </w:footnote>
  <w:footnote w:id="37">
    <w:p w14:paraId="1324C4B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סעיפים</w:t>
      </w:r>
      <w:r w:rsidRPr="00956B0F">
        <w:rPr>
          <w:rtl/>
        </w:rPr>
        <w:t xml:space="preserve"> 2א </w:t>
      </w:r>
      <w:r w:rsidRPr="00956B0F">
        <w:rPr>
          <w:rFonts w:hint="eastAsia"/>
          <w:rtl/>
        </w:rPr>
        <w:t>ו</w:t>
      </w:r>
      <w:r w:rsidRPr="00956B0F">
        <w:rPr>
          <w:rtl/>
        </w:rPr>
        <w:t xml:space="preserve">-6 </w:t>
      </w:r>
      <w:r w:rsidRPr="00956B0F">
        <w:rPr>
          <w:rFonts w:hint="eastAsia"/>
          <w:rtl/>
        </w:rPr>
        <w:t>לחוק</w:t>
      </w:r>
      <w:r w:rsidRPr="00956B0F">
        <w:rPr>
          <w:rtl/>
        </w:rPr>
        <w:t xml:space="preserve"> </w:t>
      </w:r>
      <w:r w:rsidRPr="00956B0F">
        <w:rPr>
          <w:rFonts w:hint="eastAsia"/>
          <w:rtl/>
        </w:rPr>
        <w:t>למניעת</w:t>
      </w:r>
      <w:r w:rsidRPr="00956B0F">
        <w:rPr>
          <w:rtl/>
        </w:rPr>
        <w:t xml:space="preserve"> </w:t>
      </w:r>
      <w:r w:rsidRPr="00956B0F">
        <w:rPr>
          <w:rFonts w:hint="eastAsia"/>
          <w:rtl/>
        </w:rPr>
        <w:t>אלימות</w:t>
      </w:r>
      <w:r w:rsidRPr="00956B0F">
        <w:rPr>
          <w:rFonts w:hint="cs"/>
          <w:rtl/>
        </w:rPr>
        <w:t xml:space="preserve"> במשפחה</w:t>
      </w:r>
      <w:r w:rsidRPr="00956B0F">
        <w:rPr>
          <w:rStyle w:val="Hyperlink"/>
          <w:rFonts w:hint="cs"/>
          <w:color w:val="auto"/>
          <w:u w:val="none"/>
          <w:rtl/>
        </w:rPr>
        <w:t>.</w:t>
      </w:r>
      <w:r w:rsidRPr="00956B0F">
        <w:rPr>
          <w:rtl/>
        </w:rPr>
        <w:t xml:space="preserve"> </w:t>
      </w:r>
      <w:r w:rsidRPr="00956B0F">
        <w:rPr>
          <w:rFonts w:hint="eastAsia"/>
          <w:rtl/>
        </w:rPr>
        <w:t>לפי</w:t>
      </w:r>
      <w:r w:rsidRPr="00956B0F">
        <w:rPr>
          <w:rtl/>
        </w:rPr>
        <w:t xml:space="preserve"> </w:t>
      </w:r>
      <w:r w:rsidRPr="00956B0F">
        <w:rPr>
          <w:rFonts w:hint="eastAsia"/>
          <w:rtl/>
        </w:rPr>
        <w:t>החוק</w:t>
      </w:r>
      <w:r w:rsidRPr="00956B0F">
        <w:rPr>
          <w:rtl/>
        </w:rPr>
        <w:t xml:space="preserve">, </w:t>
      </w:r>
      <w:r w:rsidRPr="00956B0F">
        <w:rPr>
          <w:rFonts w:hint="eastAsia"/>
          <w:rtl/>
        </w:rPr>
        <w:t>בית</w:t>
      </w:r>
      <w:r w:rsidRPr="00956B0F">
        <w:rPr>
          <w:rtl/>
        </w:rPr>
        <w:t xml:space="preserve"> </w:t>
      </w:r>
      <w:r w:rsidRPr="00956B0F">
        <w:rPr>
          <w:rFonts w:hint="eastAsia"/>
          <w:rtl/>
        </w:rPr>
        <w:t>המשפט</w:t>
      </w:r>
      <w:r w:rsidRPr="00956B0F">
        <w:rPr>
          <w:rtl/>
        </w:rPr>
        <w:t xml:space="preserve"> </w:t>
      </w:r>
      <w:r w:rsidRPr="00956B0F">
        <w:rPr>
          <w:rFonts w:hint="eastAsia"/>
          <w:rtl/>
        </w:rPr>
        <w:t>רשאי</w:t>
      </w:r>
      <w:r w:rsidRPr="00956B0F">
        <w:rPr>
          <w:rtl/>
        </w:rPr>
        <w:t xml:space="preserve"> </w:t>
      </w:r>
      <w:r w:rsidRPr="00956B0F">
        <w:rPr>
          <w:rFonts w:hint="eastAsia"/>
          <w:rtl/>
        </w:rPr>
        <w:t>להורות</w:t>
      </w:r>
      <w:r w:rsidRPr="00956B0F">
        <w:rPr>
          <w:rtl/>
        </w:rPr>
        <w:t xml:space="preserve"> </w:t>
      </w:r>
      <w:r w:rsidRPr="00956B0F">
        <w:rPr>
          <w:rFonts w:hint="eastAsia"/>
          <w:rtl/>
        </w:rPr>
        <w:t>על</w:t>
      </w:r>
      <w:r w:rsidRPr="00956B0F">
        <w:rPr>
          <w:rtl/>
        </w:rPr>
        <w:t xml:space="preserve"> </w:t>
      </w:r>
      <w:r w:rsidRPr="00956B0F">
        <w:rPr>
          <w:rFonts w:hint="eastAsia"/>
          <w:rtl/>
        </w:rPr>
        <w:t>התחייבות</w:t>
      </w:r>
      <w:r w:rsidRPr="00956B0F">
        <w:rPr>
          <w:rtl/>
        </w:rPr>
        <w:t xml:space="preserve"> </w:t>
      </w:r>
      <w:r w:rsidRPr="00956B0F">
        <w:rPr>
          <w:rFonts w:hint="eastAsia"/>
          <w:rtl/>
        </w:rPr>
        <w:t>לקבלת</w:t>
      </w:r>
      <w:r w:rsidRPr="00956B0F">
        <w:rPr>
          <w:rtl/>
        </w:rPr>
        <w:t xml:space="preserve"> </w:t>
      </w:r>
      <w:r w:rsidRPr="00956B0F">
        <w:rPr>
          <w:rFonts w:hint="eastAsia"/>
          <w:rtl/>
        </w:rPr>
        <w:t>טיפול</w:t>
      </w:r>
      <w:r w:rsidRPr="00956B0F">
        <w:rPr>
          <w:rtl/>
        </w:rPr>
        <w:t xml:space="preserve"> </w:t>
      </w:r>
      <w:r w:rsidRPr="00956B0F">
        <w:rPr>
          <w:rFonts w:hint="eastAsia"/>
          <w:rtl/>
        </w:rPr>
        <w:t>בכפוף</w:t>
      </w:r>
      <w:r w:rsidRPr="00956B0F">
        <w:rPr>
          <w:rtl/>
        </w:rPr>
        <w:t xml:space="preserve"> </w:t>
      </w:r>
      <w:r w:rsidRPr="00956B0F">
        <w:rPr>
          <w:rFonts w:hint="eastAsia"/>
          <w:rtl/>
        </w:rPr>
        <w:t>להגשת</w:t>
      </w:r>
      <w:r w:rsidRPr="00956B0F">
        <w:rPr>
          <w:rtl/>
        </w:rPr>
        <w:t xml:space="preserve"> </w:t>
      </w:r>
      <w:r w:rsidRPr="00956B0F">
        <w:rPr>
          <w:rFonts w:hint="eastAsia"/>
          <w:rtl/>
        </w:rPr>
        <w:t>תסקיר</w:t>
      </w:r>
      <w:r w:rsidRPr="00956B0F">
        <w:rPr>
          <w:rtl/>
        </w:rPr>
        <w:t xml:space="preserve"> </w:t>
      </w:r>
      <w:r w:rsidRPr="00956B0F">
        <w:rPr>
          <w:rFonts w:hint="cs"/>
          <w:rtl/>
        </w:rPr>
        <w:t>שלפיו</w:t>
      </w:r>
      <w:r w:rsidRPr="00956B0F">
        <w:rPr>
          <w:rtl/>
        </w:rPr>
        <w:t xml:space="preserve"> </w:t>
      </w:r>
      <w:r w:rsidRPr="00956B0F">
        <w:rPr>
          <w:rFonts w:hint="eastAsia"/>
          <w:rtl/>
        </w:rPr>
        <w:t>המחויב</w:t>
      </w:r>
      <w:r w:rsidRPr="00956B0F">
        <w:rPr>
          <w:rtl/>
        </w:rPr>
        <w:t xml:space="preserve"> </w:t>
      </w:r>
      <w:r w:rsidRPr="00956B0F">
        <w:rPr>
          <w:rFonts w:hint="eastAsia"/>
          <w:rtl/>
        </w:rPr>
        <w:t>על</w:t>
      </w:r>
      <w:r w:rsidRPr="00956B0F">
        <w:rPr>
          <w:rtl/>
        </w:rPr>
        <w:t xml:space="preserve"> </w:t>
      </w:r>
      <w:r w:rsidRPr="00956B0F">
        <w:rPr>
          <w:rFonts w:hint="eastAsia"/>
          <w:rtl/>
        </w:rPr>
        <w:t>פי</w:t>
      </w:r>
      <w:r w:rsidRPr="00956B0F">
        <w:rPr>
          <w:rtl/>
        </w:rPr>
        <w:t xml:space="preserve"> </w:t>
      </w:r>
      <w:r w:rsidRPr="00956B0F">
        <w:rPr>
          <w:rFonts w:hint="eastAsia"/>
          <w:rtl/>
        </w:rPr>
        <w:t>צו</w:t>
      </w:r>
      <w:r w:rsidRPr="00956B0F">
        <w:rPr>
          <w:rtl/>
        </w:rPr>
        <w:t xml:space="preserve"> </w:t>
      </w:r>
      <w:r w:rsidRPr="00956B0F">
        <w:rPr>
          <w:rFonts w:hint="eastAsia"/>
          <w:rtl/>
        </w:rPr>
        <w:t>ההגנה</w:t>
      </w:r>
      <w:r w:rsidRPr="00956B0F">
        <w:rPr>
          <w:rtl/>
        </w:rPr>
        <w:t xml:space="preserve"> </w:t>
      </w:r>
      <w:r w:rsidRPr="00956B0F">
        <w:rPr>
          <w:rFonts w:hint="eastAsia"/>
          <w:rtl/>
        </w:rPr>
        <w:t>מתאים</w:t>
      </w:r>
      <w:r w:rsidRPr="00956B0F">
        <w:rPr>
          <w:rtl/>
        </w:rPr>
        <w:t xml:space="preserve"> </w:t>
      </w:r>
      <w:r w:rsidRPr="00956B0F">
        <w:rPr>
          <w:rFonts w:hint="eastAsia"/>
          <w:rtl/>
        </w:rPr>
        <w:t>לטיפול</w:t>
      </w:r>
      <w:r w:rsidRPr="00956B0F">
        <w:rPr>
          <w:rtl/>
        </w:rPr>
        <w:t xml:space="preserve">, </w:t>
      </w:r>
      <w:r w:rsidRPr="00956B0F">
        <w:rPr>
          <w:rFonts w:hint="eastAsia"/>
          <w:rtl/>
        </w:rPr>
        <w:t>מסכ</w:t>
      </w:r>
      <w:r w:rsidRPr="00956B0F">
        <w:rPr>
          <w:rFonts w:hint="cs"/>
          <w:rtl/>
        </w:rPr>
        <w:t>י</w:t>
      </w:r>
      <w:r w:rsidRPr="00956B0F">
        <w:rPr>
          <w:rFonts w:hint="eastAsia"/>
          <w:rtl/>
        </w:rPr>
        <w:t>ם</w:t>
      </w:r>
      <w:r w:rsidRPr="00956B0F">
        <w:rPr>
          <w:rtl/>
        </w:rPr>
        <w:t xml:space="preserve"> </w:t>
      </w:r>
      <w:r w:rsidRPr="00956B0F">
        <w:rPr>
          <w:rFonts w:hint="eastAsia"/>
          <w:rtl/>
        </w:rPr>
        <w:t>ומבין</w:t>
      </w:r>
      <w:r w:rsidRPr="00956B0F">
        <w:rPr>
          <w:rtl/>
        </w:rPr>
        <w:t xml:space="preserve"> </w:t>
      </w:r>
      <w:r w:rsidRPr="00956B0F">
        <w:rPr>
          <w:rFonts w:hint="eastAsia"/>
          <w:rtl/>
        </w:rPr>
        <w:t>את</w:t>
      </w:r>
      <w:r w:rsidRPr="00956B0F">
        <w:rPr>
          <w:rtl/>
        </w:rPr>
        <w:t xml:space="preserve"> </w:t>
      </w:r>
      <w:r w:rsidRPr="00956B0F">
        <w:rPr>
          <w:rFonts w:hint="eastAsia"/>
          <w:rtl/>
        </w:rPr>
        <w:t>תנאיו</w:t>
      </w:r>
      <w:r w:rsidRPr="00956B0F">
        <w:rPr>
          <w:rtl/>
        </w:rPr>
        <w:t xml:space="preserve"> </w:t>
      </w:r>
      <w:r w:rsidRPr="00956B0F">
        <w:rPr>
          <w:rFonts w:hint="eastAsia"/>
          <w:rtl/>
        </w:rPr>
        <w:t>ואת</w:t>
      </w:r>
      <w:r w:rsidRPr="00956B0F">
        <w:rPr>
          <w:rtl/>
        </w:rPr>
        <w:t xml:space="preserve"> </w:t>
      </w:r>
      <w:r w:rsidRPr="00956B0F">
        <w:rPr>
          <w:rFonts w:hint="eastAsia"/>
          <w:rtl/>
        </w:rPr>
        <w:t>מהותו</w:t>
      </w:r>
      <w:r w:rsidRPr="00956B0F">
        <w:rPr>
          <w:rtl/>
        </w:rPr>
        <w:t xml:space="preserve"> </w:t>
      </w:r>
      <w:r w:rsidRPr="00956B0F">
        <w:rPr>
          <w:rFonts w:hint="eastAsia"/>
          <w:rtl/>
        </w:rPr>
        <w:t>של</w:t>
      </w:r>
      <w:r w:rsidRPr="00956B0F">
        <w:rPr>
          <w:rtl/>
        </w:rPr>
        <w:t xml:space="preserve"> </w:t>
      </w:r>
      <w:r w:rsidRPr="00956B0F">
        <w:rPr>
          <w:rFonts w:hint="eastAsia"/>
          <w:rtl/>
        </w:rPr>
        <w:t>הטיפול</w:t>
      </w:r>
      <w:r w:rsidRPr="00956B0F">
        <w:rPr>
          <w:rtl/>
        </w:rPr>
        <w:t xml:space="preserve"> </w:t>
      </w:r>
      <w:r w:rsidRPr="00956B0F">
        <w:rPr>
          <w:rFonts w:hint="eastAsia"/>
          <w:rtl/>
        </w:rPr>
        <w:t>וכי</w:t>
      </w:r>
      <w:r w:rsidRPr="00956B0F">
        <w:rPr>
          <w:rtl/>
        </w:rPr>
        <w:t xml:space="preserve"> </w:t>
      </w:r>
      <w:r w:rsidRPr="00956B0F">
        <w:rPr>
          <w:rFonts w:hint="eastAsia"/>
          <w:rtl/>
        </w:rPr>
        <w:t>קיימת</w:t>
      </w:r>
      <w:r w:rsidRPr="00956B0F">
        <w:rPr>
          <w:rtl/>
        </w:rPr>
        <w:t xml:space="preserve"> </w:t>
      </w:r>
      <w:r w:rsidRPr="00956B0F">
        <w:rPr>
          <w:rFonts w:hint="eastAsia"/>
          <w:rtl/>
        </w:rPr>
        <w:t>מסגרת</w:t>
      </w:r>
      <w:r w:rsidRPr="00956B0F">
        <w:rPr>
          <w:rtl/>
        </w:rPr>
        <w:t xml:space="preserve"> </w:t>
      </w:r>
      <w:r w:rsidRPr="00956B0F">
        <w:rPr>
          <w:rFonts w:hint="eastAsia"/>
          <w:rtl/>
        </w:rPr>
        <w:t>לטיפול</w:t>
      </w:r>
      <w:r w:rsidRPr="00956B0F">
        <w:rPr>
          <w:rtl/>
        </w:rPr>
        <w:t xml:space="preserve"> </w:t>
      </w:r>
      <w:r w:rsidRPr="00956B0F">
        <w:rPr>
          <w:rFonts w:hint="eastAsia"/>
          <w:rtl/>
        </w:rPr>
        <w:t>בו</w:t>
      </w:r>
      <w:r w:rsidRPr="00956B0F">
        <w:rPr>
          <w:rtl/>
        </w:rPr>
        <w:t>.</w:t>
      </w:r>
    </w:p>
  </w:footnote>
  <w:footnote w:id="38">
    <w:p w14:paraId="049B0DC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לדוגמה</w:t>
      </w:r>
      <w:r w:rsidRPr="00956B0F">
        <w:rPr>
          <w:rtl/>
        </w:rPr>
        <w:t xml:space="preserve">, לפי </w:t>
      </w:r>
      <w:r w:rsidRPr="00956B0F">
        <w:rPr>
          <w:rFonts w:hint="eastAsia"/>
          <w:rtl/>
        </w:rPr>
        <w:t>סעיפים</w:t>
      </w:r>
      <w:r w:rsidRPr="00956B0F">
        <w:rPr>
          <w:rtl/>
        </w:rPr>
        <w:t xml:space="preserve"> 7(ב) </w:t>
      </w:r>
      <w:r w:rsidRPr="00956B0F">
        <w:rPr>
          <w:rFonts w:hint="cs"/>
          <w:rtl/>
        </w:rPr>
        <w:t>ו-7</w:t>
      </w:r>
      <w:r w:rsidRPr="00956B0F">
        <w:rPr>
          <w:rtl/>
        </w:rPr>
        <w:t xml:space="preserve">(ג) </w:t>
      </w:r>
      <w:r w:rsidRPr="00956B0F">
        <w:rPr>
          <w:rFonts w:hint="eastAsia"/>
          <w:rtl/>
        </w:rPr>
        <w:t>לחוק</w:t>
      </w:r>
      <w:r w:rsidRPr="00956B0F">
        <w:rPr>
          <w:rtl/>
        </w:rPr>
        <w:t xml:space="preserve"> </w:t>
      </w:r>
      <w:r w:rsidRPr="00956B0F">
        <w:rPr>
          <w:rFonts w:hint="eastAsia"/>
          <w:rtl/>
        </w:rPr>
        <w:t>למניעת</w:t>
      </w:r>
      <w:r w:rsidRPr="00956B0F">
        <w:rPr>
          <w:rtl/>
        </w:rPr>
        <w:t xml:space="preserve"> </w:t>
      </w:r>
      <w:r w:rsidRPr="00956B0F">
        <w:rPr>
          <w:rFonts w:hint="eastAsia"/>
          <w:rtl/>
        </w:rPr>
        <w:t>אלימות</w:t>
      </w:r>
      <w:r w:rsidRPr="00956B0F">
        <w:rPr>
          <w:rFonts w:hint="cs"/>
          <w:rtl/>
        </w:rPr>
        <w:t xml:space="preserve"> במשפחה,</w:t>
      </w:r>
      <w:r w:rsidRPr="00956B0F">
        <w:rPr>
          <w:rtl/>
        </w:rPr>
        <w:t xml:space="preserve"> קמה עילה </w:t>
      </w:r>
      <w:r w:rsidRPr="00956B0F">
        <w:rPr>
          <w:rFonts w:hint="cs"/>
          <w:rtl/>
        </w:rPr>
        <w:t>מיידית</w:t>
      </w:r>
      <w:r w:rsidRPr="00956B0F">
        <w:rPr>
          <w:rtl/>
        </w:rPr>
        <w:t xml:space="preserve"> למעצרו של מפר צו האוסר על הפוגע להיכנס לדירה שבה מתגורר בן משפחתו או להתקרב אליה. </w:t>
      </w:r>
    </w:p>
  </w:footnote>
  <w:footnote w:id="39">
    <w:p w14:paraId="4B6B48D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ראו</w:t>
      </w:r>
      <w:r w:rsidRPr="00956B0F">
        <w:rPr>
          <w:rtl/>
        </w:rPr>
        <w:t xml:space="preserve"> </w:t>
      </w:r>
      <w:r w:rsidRPr="00956B0F">
        <w:rPr>
          <w:rFonts w:hint="eastAsia"/>
          <w:rtl/>
        </w:rPr>
        <w:t>דברי</w:t>
      </w:r>
      <w:r w:rsidRPr="00956B0F">
        <w:rPr>
          <w:rtl/>
        </w:rPr>
        <w:t xml:space="preserve"> ההסבר </w:t>
      </w:r>
      <w:r w:rsidRPr="00956B0F">
        <w:rPr>
          <w:rFonts w:hint="eastAsia"/>
          <w:rtl/>
        </w:rPr>
        <w:t>ל</w:t>
      </w:r>
      <w:r w:rsidRPr="00956B0F">
        <w:rPr>
          <w:rtl/>
        </w:rPr>
        <w:t>הצעת חוק שירותי רווחה (מענק הסתגלות לנשים ששהו במקלט לנשים מוכות), התשע"ב-2012</w:t>
      </w:r>
      <w:r w:rsidRPr="00956B0F">
        <w:rPr>
          <w:rStyle w:val="Hyperlink"/>
          <w:rFonts w:hint="cs"/>
          <w:color w:val="auto"/>
          <w:u w:val="none"/>
          <w:rtl/>
        </w:rPr>
        <w:t>,</w:t>
      </w:r>
      <w:r w:rsidRPr="00956B0F">
        <w:rPr>
          <w:rtl/>
        </w:rPr>
        <w:t xml:space="preserve"> </w:t>
      </w:r>
      <w:r w:rsidRPr="00956B0F">
        <w:rPr>
          <w:rFonts w:hint="cs"/>
          <w:rtl/>
        </w:rPr>
        <w:t>ודברי ההסבר ל</w:t>
      </w:r>
      <w:r w:rsidRPr="00956B0F">
        <w:rPr>
          <w:rtl/>
        </w:rPr>
        <w:t>הצעת חוק שירותי רווחה (מענק הסתגלות לנשים ששהו במקלט לנשים מוכות)(תיקון מס' 2)</w:t>
      </w:r>
      <w:r w:rsidRPr="00956B0F">
        <w:rPr>
          <w:rFonts w:hint="cs"/>
          <w:rtl/>
        </w:rPr>
        <w:t xml:space="preserve"> </w:t>
      </w:r>
      <w:r w:rsidRPr="00956B0F">
        <w:rPr>
          <w:rtl/>
        </w:rPr>
        <w:t>(זכויות נשים ששהו במקלט לנשים מוכות), התשע"ז-2017</w:t>
      </w:r>
      <w:r w:rsidRPr="00956B0F">
        <w:rPr>
          <w:rFonts w:hint="cs"/>
          <w:rtl/>
        </w:rPr>
        <w:t>.</w:t>
      </w:r>
    </w:p>
  </w:footnote>
  <w:footnote w:id="40">
    <w:p w14:paraId="6DD6C5A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לדוגמה: אפרת שהם ויאיר רגב, "עמדות שוטרים בנושא הטיפול בתלונות על אלימות בעלים כלפי נשותיהם", </w:t>
      </w:r>
      <w:r w:rsidRPr="00956B0F">
        <w:rPr>
          <w:rFonts w:hint="cs"/>
          <w:b/>
          <w:bCs/>
          <w:rtl/>
        </w:rPr>
        <w:t>משטרה</w:t>
      </w:r>
      <w:r w:rsidRPr="00956B0F">
        <w:rPr>
          <w:rFonts w:hint="cs"/>
          <w:rtl/>
        </w:rPr>
        <w:t xml:space="preserve"> </w:t>
      </w:r>
      <w:r w:rsidRPr="00956B0F">
        <w:rPr>
          <w:rFonts w:hint="cs"/>
          <w:b/>
          <w:bCs/>
          <w:rtl/>
        </w:rPr>
        <w:t>וחברה</w:t>
      </w:r>
      <w:r w:rsidRPr="00956B0F">
        <w:rPr>
          <w:rFonts w:hint="cs"/>
          <w:rtl/>
        </w:rPr>
        <w:t xml:space="preserve"> 4 (2000), עמ' 135.</w:t>
      </w:r>
    </w:p>
  </w:footnote>
  <w:footnote w:id="41">
    <w:p w14:paraId="636AB96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כך לדוגמה, נקבע רף ענישה גבוה יותר בעבירות של חבלה ופציעה לפי </w:t>
      </w:r>
      <w:r w:rsidRPr="00956B0F">
        <w:rPr>
          <w:rFonts w:hint="eastAsia"/>
          <w:rtl/>
        </w:rPr>
        <w:t>סעיפים</w:t>
      </w:r>
      <w:r w:rsidRPr="00956B0F">
        <w:rPr>
          <w:rtl/>
        </w:rPr>
        <w:t xml:space="preserve"> 333</w:t>
      </w:r>
      <w:r w:rsidRPr="00956B0F">
        <w:rPr>
          <w:rFonts w:hint="cs"/>
          <w:rtl/>
        </w:rPr>
        <w:t xml:space="preserve"> -</w:t>
      </w:r>
      <w:r w:rsidRPr="00956B0F">
        <w:rPr>
          <w:rtl/>
        </w:rPr>
        <w:t xml:space="preserve"> 334 </w:t>
      </w:r>
      <w:r w:rsidRPr="00956B0F">
        <w:rPr>
          <w:rFonts w:hint="cs"/>
          <w:rtl/>
        </w:rPr>
        <w:t>לחוק העונשין (</w:t>
      </w:r>
      <w:r w:rsidRPr="00956B0F">
        <w:rPr>
          <w:rtl/>
        </w:rPr>
        <w:t xml:space="preserve">סעיף 335 </w:t>
      </w:r>
      <w:r w:rsidRPr="00956B0F">
        <w:rPr>
          <w:rFonts w:hint="eastAsia"/>
          <w:rtl/>
        </w:rPr>
        <w:t>לחוק</w:t>
      </w:r>
      <w:r w:rsidRPr="00956B0F">
        <w:rPr>
          <w:rtl/>
        </w:rPr>
        <w:t xml:space="preserve"> </w:t>
      </w:r>
      <w:r w:rsidRPr="00956B0F">
        <w:rPr>
          <w:rFonts w:hint="eastAsia"/>
          <w:rtl/>
        </w:rPr>
        <w:t>העונשין</w:t>
      </w:r>
      <w:r w:rsidRPr="00956B0F">
        <w:rPr>
          <w:rFonts w:hint="cs"/>
          <w:rtl/>
        </w:rPr>
        <w:t>), בעבירות מין לפי סעיפים 345(א) ו-347(ב) לחוק העונשין (סעיף 351 לחוק העונשין</w:t>
      </w:r>
      <w:r w:rsidRPr="00956B0F">
        <w:rPr>
          <w:rStyle w:val="Hyperlink"/>
          <w:rFonts w:hint="cs"/>
          <w:color w:val="auto"/>
          <w:u w:val="none"/>
          <w:rtl/>
        </w:rPr>
        <w:t>)</w:t>
      </w:r>
      <w:r w:rsidRPr="00956B0F">
        <w:rPr>
          <w:rFonts w:hint="cs"/>
          <w:rtl/>
        </w:rPr>
        <w:t xml:space="preserve"> ובעבירות של תקיפה לפי סעיפים 379 - 380 לחוק העונשין (סעיף 382 לחוק העונשין</w:t>
      </w:r>
      <w:r w:rsidRPr="00956B0F">
        <w:rPr>
          <w:rStyle w:val="Hyperlink"/>
          <w:rFonts w:hint="cs"/>
          <w:color w:val="auto"/>
          <w:u w:val="none"/>
          <w:rtl/>
        </w:rPr>
        <w:t>)</w:t>
      </w:r>
      <w:r w:rsidRPr="00956B0F">
        <w:rPr>
          <w:rFonts w:hint="cs"/>
          <w:rtl/>
        </w:rPr>
        <w:t xml:space="preserve">. קביעת רף ענישה גבוה יותר בעבירות של אלימות בתוך התא המשפחתי נועדה לבטא את חומרת העבירות והסכנה היתרה הכרוכה בהן. ראו לעניין זה: </w:t>
      </w:r>
      <w:r w:rsidRPr="00956B0F">
        <w:rPr>
          <w:rFonts w:hint="eastAsia"/>
          <w:rtl/>
        </w:rPr>
        <w:t>דין</w:t>
      </w:r>
      <w:r w:rsidRPr="00956B0F">
        <w:rPr>
          <w:rtl/>
        </w:rPr>
        <w:t xml:space="preserve"> </w:t>
      </w:r>
      <w:r w:rsidRPr="00956B0F">
        <w:rPr>
          <w:rFonts w:hint="eastAsia"/>
          <w:rtl/>
        </w:rPr>
        <w:t>וחשבון</w:t>
      </w:r>
      <w:r w:rsidRPr="00956B0F">
        <w:rPr>
          <w:rtl/>
        </w:rPr>
        <w:t xml:space="preserve"> </w:t>
      </w:r>
      <w:r w:rsidRPr="00956B0F">
        <w:rPr>
          <w:rFonts w:hint="eastAsia"/>
          <w:rtl/>
        </w:rPr>
        <w:t>ועדת</w:t>
      </w:r>
      <w:r w:rsidRPr="00956B0F">
        <w:rPr>
          <w:rtl/>
        </w:rPr>
        <w:t xml:space="preserve"> </w:t>
      </w:r>
      <w:r w:rsidRPr="00956B0F">
        <w:rPr>
          <w:rFonts w:hint="eastAsia"/>
          <w:rtl/>
        </w:rPr>
        <w:t>בן</w:t>
      </w:r>
      <w:r w:rsidRPr="00956B0F">
        <w:rPr>
          <w:rtl/>
        </w:rPr>
        <w:t>-שלום (1998),</w:t>
      </w:r>
      <w:r w:rsidRPr="00956B0F">
        <w:rPr>
          <w:rFonts w:hint="cs"/>
          <w:rtl/>
        </w:rPr>
        <w:t xml:space="preserve"> עמ' 14.</w:t>
      </w:r>
    </w:p>
  </w:footnote>
  <w:footnote w:id="42">
    <w:p w14:paraId="1057240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86 לחוק העונשין.</w:t>
      </w:r>
    </w:p>
  </w:footnote>
  <w:footnote w:id="43">
    <w:p w14:paraId="7A0E975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21(א)(1)(ג)(5) ו-23(א)(5)(ה) לחוק המעצרים.</w:t>
      </w:r>
    </w:p>
  </w:footnote>
  <w:footnote w:id="44">
    <w:p w14:paraId="1CD1645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לרבות במהלך שחרור על-תנאי, לפי סעיף 13(ג) לחוק שחרור על תנאי ממאסר, התשס"א-2001.</w:t>
      </w:r>
    </w:p>
  </w:footnote>
  <w:footnote w:id="45">
    <w:p w14:paraId="28030ED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לפי</w:t>
      </w:r>
      <w:r w:rsidRPr="00956B0F">
        <w:rPr>
          <w:rtl/>
        </w:rPr>
        <w:t xml:space="preserve"> </w:t>
      </w:r>
      <w:r w:rsidRPr="00956B0F">
        <w:rPr>
          <w:rFonts w:hint="eastAsia"/>
          <w:rtl/>
        </w:rPr>
        <w:t>פקודת</w:t>
      </w:r>
      <w:r w:rsidRPr="00956B0F">
        <w:rPr>
          <w:rtl/>
        </w:rPr>
        <w:t xml:space="preserve"> </w:t>
      </w:r>
      <w:r w:rsidRPr="00956B0F">
        <w:rPr>
          <w:rFonts w:hint="eastAsia"/>
          <w:rtl/>
        </w:rPr>
        <w:t>המבחן</w:t>
      </w:r>
      <w:r w:rsidRPr="00956B0F">
        <w:rPr>
          <w:rtl/>
        </w:rPr>
        <w:t xml:space="preserve"> [נוסח </w:t>
      </w:r>
      <w:r w:rsidRPr="00956B0F">
        <w:rPr>
          <w:rFonts w:hint="eastAsia"/>
          <w:rtl/>
        </w:rPr>
        <w:t>חדש</w:t>
      </w:r>
      <w:r w:rsidRPr="00956B0F">
        <w:rPr>
          <w:rFonts w:hint="cs"/>
          <w:rtl/>
        </w:rPr>
        <w:t>], התשכ"ט-1969</w:t>
      </w:r>
      <w:r w:rsidRPr="00956B0F">
        <w:rPr>
          <w:rtl/>
        </w:rPr>
        <w:t xml:space="preserve"> </w:t>
      </w:r>
      <w:r w:rsidRPr="00956B0F">
        <w:rPr>
          <w:rFonts w:hint="cs"/>
          <w:rtl/>
        </w:rPr>
        <w:t xml:space="preserve">(להלן - פקודת המבחן) </w:t>
      </w:r>
      <w:r w:rsidRPr="00956B0F">
        <w:rPr>
          <w:rtl/>
        </w:rPr>
        <w:t>ו</w:t>
      </w:r>
      <w:r w:rsidRPr="00956B0F">
        <w:rPr>
          <w:rFonts w:hint="eastAsia"/>
          <w:rtl/>
        </w:rPr>
        <w:t>תקנות</w:t>
      </w:r>
      <w:r w:rsidRPr="00956B0F">
        <w:rPr>
          <w:rtl/>
        </w:rPr>
        <w:t xml:space="preserve"> </w:t>
      </w:r>
      <w:r w:rsidRPr="00956B0F">
        <w:rPr>
          <w:rFonts w:hint="eastAsia"/>
          <w:rtl/>
        </w:rPr>
        <w:t>המבחן</w:t>
      </w:r>
      <w:r w:rsidRPr="00956B0F">
        <w:rPr>
          <w:rtl/>
        </w:rPr>
        <w:t xml:space="preserve"> (שירותי </w:t>
      </w:r>
      <w:r w:rsidRPr="00956B0F">
        <w:rPr>
          <w:rFonts w:hint="eastAsia"/>
          <w:rtl/>
        </w:rPr>
        <w:t>המבחן</w:t>
      </w:r>
      <w:r w:rsidRPr="00956B0F">
        <w:rPr>
          <w:rtl/>
        </w:rPr>
        <w:t xml:space="preserve">), </w:t>
      </w:r>
      <w:r w:rsidRPr="00956B0F">
        <w:rPr>
          <w:rFonts w:hint="eastAsia"/>
          <w:rtl/>
        </w:rPr>
        <w:t>התשי</w:t>
      </w:r>
      <w:r w:rsidRPr="00956B0F">
        <w:rPr>
          <w:rtl/>
        </w:rPr>
        <w:t>"ט-1959.</w:t>
      </w:r>
    </w:p>
  </w:footnote>
  <w:footnote w:id="46">
    <w:p w14:paraId="185CE82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לפי סעיפים 11ד ו-76(א) לפקודת בתי הסוהר [נוסח חדש], התשל"ב-1971. </w:t>
      </w:r>
    </w:p>
  </w:footnote>
  <w:footnote w:id="47">
    <w:p w14:paraId="3F440EA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הרשות לשיקום האסיר פועלת על פי הוראות </w:t>
      </w:r>
      <w:r w:rsidRPr="00956B0F">
        <w:rPr>
          <w:rtl/>
        </w:rPr>
        <w:t xml:space="preserve">חוק הרשות לשיקום האסיר, </w:t>
      </w:r>
      <w:r w:rsidRPr="00956B0F">
        <w:rPr>
          <w:rFonts w:hint="eastAsia"/>
          <w:rtl/>
        </w:rPr>
        <w:t>ה</w:t>
      </w:r>
      <w:r w:rsidRPr="00956B0F">
        <w:rPr>
          <w:rtl/>
        </w:rPr>
        <w:t xml:space="preserve">תשמ"ג-1983 (להלן - </w:t>
      </w:r>
      <w:r w:rsidRPr="00956B0F">
        <w:rPr>
          <w:rFonts w:hint="eastAsia"/>
          <w:rtl/>
        </w:rPr>
        <w:t>חוק</w:t>
      </w:r>
      <w:r w:rsidRPr="00956B0F">
        <w:rPr>
          <w:rtl/>
        </w:rPr>
        <w:t xml:space="preserve"> </w:t>
      </w:r>
      <w:r w:rsidRPr="00956B0F">
        <w:rPr>
          <w:rFonts w:hint="eastAsia"/>
          <w:rtl/>
        </w:rPr>
        <w:t>הרשות</w:t>
      </w:r>
      <w:r w:rsidRPr="00956B0F">
        <w:rPr>
          <w:rtl/>
        </w:rPr>
        <w:t xml:space="preserve"> </w:t>
      </w:r>
      <w:r w:rsidRPr="00956B0F">
        <w:rPr>
          <w:rFonts w:hint="eastAsia"/>
          <w:rtl/>
        </w:rPr>
        <w:t>לשיקום</w:t>
      </w:r>
      <w:r w:rsidRPr="00956B0F">
        <w:rPr>
          <w:rtl/>
        </w:rPr>
        <w:t xml:space="preserve"> </w:t>
      </w:r>
      <w:r w:rsidRPr="00956B0F">
        <w:rPr>
          <w:rFonts w:hint="eastAsia"/>
          <w:rtl/>
        </w:rPr>
        <w:t>האסיר</w:t>
      </w:r>
      <w:r w:rsidRPr="00956B0F">
        <w:rPr>
          <w:rFonts w:hint="cs"/>
          <w:rtl/>
        </w:rPr>
        <w:t>)</w:t>
      </w:r>
      <w:r w:rsidRPr="00956B0F">
        <w:rPr>
          <w:rFonts w:hint="cs"/>
        </w:rPr>
        <w:t xml:space="preserve"> </w:t>
      </w:r>
      <w:r w:rsidRPr="00956B0F">
        <w:rPr>
          <w:rFonts w:hint="eastAsia"/>
          <w:rtl/>
        </w:rPr>
        <w:t>וכן</w:t>
      </w:r>
      <w:r w:rsidRPr="00956B0F">
        <w:rPr>
          <w:rtl/>
        </w:rPr>
        <w:t xml:space="preserve"> תקנות הרשות לשיקום האסיר (ועדה להכנת תכניות שיקום), </w:t>
      </w:r>
      <w:r w:rsidRPr="00956B0F">
        <w:rPr>
          <w:rFonts w:hint="eastAsia"/>
          <w:rtl/>
        </w:rPr>
        <w:t>ה</w:t>
      </w:r>
      <w:r w:rsidRPr="00956B0F">
        <w:rPr>
          <w:rtl/>
        </w:rPr>
        <w:t xml:space="preserve">תשמ"ז-1987 ותקנות הרשות לשיקום האסיר (דרכי תיאום בין רשויות), </w:t>
      </w:r>
      <w:r w:rsidRPr="00956B0F">
        <w:rPr>
          <w:rFonts w:hint="eastAsia"/>
          <w:rtl/>
        </w:rPr>
        <w:t>ה</w:t>
      </w:r>
      <w:r w:rsidRPr="00956B0F">
        <w:rPr>
          <w:rtl/>
        </w:rPr>
        <w:t xml:space="preserve">תשס"א-2001, </w:t>
      </w:r>
      <w:r w:rsidRPr="00956B0F">
        <w:rPr>
          <w:rFonts w:hint="eastAsia"/>
          <w:rtl/>
        </w:rPr>
        <w:t>שהותקנו</w:t>
      </w:r>
      <w:r w:rsidRPr="00956B0F">
        <w:rPr>
          <w:rtl/>
        </w:rPr>
        <w:t xml:space="preserve"> </w:t>
      </w:r>
      <w:r w:rsidRPr="00956B0F">
        <w:rPr>
          <w:rFonts w:hint="eastAsia"/>
          <w:rtl/>
        </w:rPr>
        <w:t>מכוחו</w:t>
      </w:r>
      <w:r w:rsidRPr="00956B0F">
        <w:rPr>
          <w:rtl/>
        </w:rPr>
        <w:t xml:space="preserve"> </w:t>
      </w:r>
      <w:r w:rsidRPr="00956B0F">
        <w:rPr>
          <w:rFonts w:hint="eastAsia"/>
          <w:rtl/>
        </w:rPr>
        <w:t>של</w:t>
      </w:r>
      <w:r w:rsidRPr="00956B0F">
        <w:rPr>
          <w:rtl/>
        </w:rPr>
        <w:t xml:space="preserve"> </w:t>
      </w:r>
      <w:r w:rsidRPr="00956B0F">
        <w:rPr>
          <w:rFonts w:hint="eastAsia"/>
          <w:rtl/>
        </w:rPr>
        <w:t>חוק</w:t>
      </w:r>
      <w:r w:rsidRPr="00956B0F">
        <w:rPr>
          <w:rtl/>
        </w:rPr>
        <w:t xml:space="preserve"> </w:t>
      </w:r>
      <w:r w:rsidRPr="00956B0F">
        <w:rPr>
          <w:rFonts w:hint="eastAsia"/>
          <w:rtl/>
        </w:rPr>
        <w:t>הרשות</w:t>
      </w:r>
      <w:r w:rsidRPr="00956B0F">
        <w:rPr>
          <w:rtl/>
        </w:rPr>
        <w:t xml:space="preserve"> </w:t>
      </w:r>
      <w:r w:rsidRPr="00956B0F">
        <w:rPr>
          <w:rFonts w:hint="eastAsia"/>
          <w:rtl/>
        </w:rPr>
        <w:t>לשיקום</w:t>
      </w:r>
      <w:r w:rsidRPr="00956B0F">
        <w:rPr>
          <w:rtl/>
        </w:rPr>
        <w:t xml:space="preserve"> </w:t>
      </w:r>
      <w:r w:rsidRPr="00956B0F">
        <w:rPr>
          <w:rFonts w:hint="eastAsia"/>
          <w:rtl/>
        </w:rPr>
        <w:t>האסיר</w:t>
      </w:r>
      <w:r w:rsidRPr="00956B0F">
        <w:rPr>
          <w:rFonts w:hint="cs"/>
          <w:rtl/>
        </w:rPr>
        <w:t xml:space="preserve">. </w:t>
      </w:r>
    </w:p>
  </w:footnote>
  <w:footnote w:id="48">
    <w:p w14:paraId="30F292E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המונח "הוראה רגולטורית" מתייחס בדוח זה להוראות דין (חוק או תקנות) (להלן גם - חקיקה) וכן להנחיות, כללים והוראות אחרות שנועדו להסדיר פעילות של משרדי ממשלה, רשויות מקומיות וגופים פרטיים.</w:t>
      </w:r>
    </w:p>
  </w:footnote>
  <w:footnote w:id="49">
    <w:p w14:paraId="64FB76C5" w14:textId="77777777" w:rsidR="00F769CC" w:rsidRPr="00956B0F" w:rsidRDefault="00F769CC" w:rsidP="00817399">
      <w:pPr>
        <w:pStyle w:val="af7"/>
        <w:rPr>
          <w:rtl/>
        </w:rPr>
      </w:pPr>
      <w:r w:rsidRPr="00956B0F">
        <w:rPr>
          <w:rStyle w:val="af9"/>
        </w:rPr>
        <w:footnoteRef/>
      </w:r>
      <w:r w:rsidRPr="00956B0F">
        <w:rPr>
          <w:rtl/>
        </w:rPr>
        <w:t xml:space="preserve"> </w:t>
      </w:r>
      <w:r w:rsidRPr="00956B0F">
        <w:tab/>
      </w:r>
      <w:r w:rsidRPr="00956B0F">
        <w:rPr>
          <w:rFonts w:hint="cs"/>
          <w:rtl/>
        </w:rPr>
        <w:t>לפי סעיף 1 לתקנות שירותי הסעד (כללי השתייכות), התשפ"ד-2023 (להלן - תקנות כללי ההשתייכות), הוראות התע"ס כוללות את ההנחיות וההוראות של המנהל הכללי של משרד הרווחה, המתעדכנות מפעם לפעם ומתפרסמות באתר האינטרנט של משרד הרווחה (תקנות כללי ההשתייכות החליפו את תקנות שירותי הסעד (טיפול בנזקקים), התשמ"ו-1986). הוראות התע"ס העיקריות המסדירות את דרכי ההתמודדות עם תופעת האלימות במשפחה הן הוראת תע"ס 3.28; הוראת תע"ס 3.8, "טיפול בנשים נפגעות אלימות וילדיהן השוהים במקלטים" (להלן - הוראת תע"ס 3.8); והוראת תע"ס 3.41, "טיפול ושיקום נשים נפגעות אלימות וילדיהן השוהים בדירת מעבר" (30.7.17</w:t>
      </w:r>
      <w:r w:rsidRPr="00956B0F">
        <w:rPr>
          <w:rStyle w:val="Hyperlink"/>
          <w:rFonts w:hint="cs"/>
          <w:color w:val="auto"/>
          <w:u w:val="none"/>
          <w:rtl/>
        </w:rPr>
        <w:t>)</w:t>
      </w:r>
      <w:r w:rsidRPr="00956B0F">
        <w:rPr>
          <w:rFonts w:hint="cs"/>
          <w:rtl/>
        </w:rPr>
        <w:t xml:space="preserve"> (להלן - הוראת תע"ס 3.41). קיימות הוראות תע"ס נוספות המסדירות היבטים כלליים של הנושא, ובכלל זה תיאורי תפקיד והכשרות מקצועיות של העובדים העוסקים בתחום האלימות במשפחה.</w:t>
      </w:r>
    </w:p>
  </w:footnote>
  <w:footnote w:id="50">
    <w:p w14:paraId="1E085A41" w14:textId="77777777" w:rsidR="00F769CC" w:rsidRPr="00956B0F" w:rsidRDefault="00F769CC" w:rsidP="00817399">
      <w:pPr>
        <w:pStyle w:val="af7"/>
      </w:pPr>
      <w:r w:rsidRPr="00956B0F">
        <w:rPr>
          <w:rStyle w:val="af9"/>
        </w:rPr>
        <w:footnoteRef/>
      </w:r>
      <w:r w:rsidRPr="00956B0F">
        <w:rPr>
          <w:rtl/>
        </w:rPr>
        <w:t xml:space="preserve"> </w:t>
      </w:r>
      <w:r w:rsidRPr="00956B0F">
        <w:rPr>
          <w:rtl/>
        </w:rPr>
        <w:tab/>
        <w:t xml:space="preserve">סעיף 2 לחוק שירותי הסעד ותקנה 2 לתקנות </w:t>
      </w:r>
      <w:r w:rsidRPr="00956B0F">
        <w:rPr>
          <w:rFonts w:hint="cs"/>
          <w:rtl/>
        </w:rPr>
        <w:t xml:space="preserve">כללי ההשתייכות. </w:t>
      </w:r>
    </w:p>
  </w:footnote>
  <w:footnote w:id="51">
    <w:p w14:paraId="417B3EA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שירותים חוץ-ביתיים ניתנים </w:t>
      </w:r>
      <w:r w:rsidRPr="00956B0F">
        <w:rPr>
          <w:rtl/>
        </w:rPr>
        <w:t>במסגרות</w:t>
      </w:r>
      <w:r w:rsidRPr="00956B0F">
        <w:rPr>
          <w:rFonts w:hint="cs"/>
          <w:rtl/>
        </w:rPr>
        <w:t xml:space="preserve"> מגורים</w:t>
      </w:r>
      <w:r w:rsidRPr="00956B0F">
        <w:rPr>
          <w:rtl/>
        </w:rPr>
        <w:t xml:space="preserve">, </w:t>
      </w:r>
      <w:r w:rsidRPr="00956B0F">
        <w:rPr>
          <w:rFonts w:hint="cs"/>
          <w:rtl/>
        </w:rPr>
        <w:t>כ</w:t>
      </w:r>
      <w:r w:rsidRPr="00956B0F">
        <w:rPr>
          <w:rtl/>
        </w:rPr>
        <w:t xml:space="preserve">דוגמת </w:t>
      </w:r>
      <w:r w:rsidRPr="00956B0F">
        <w:rPr>
          <w:rFonts w:hint="cs"/>
          <w:rtl/>
        </w:rPr>
        <w:t>מקלטים או דירות מעבר לנשים נפגעות אלימות וילדיהן</w:t>
      </w:r>
      <w:r w:rsidRPr="00956B0F">
        <w:rPr>
          <w:rtl/>
        </w:rPr>
        <w:t xml:space="preserve">, </w:t>
      </w:r>
      <w:r w:rsidRPr="00956B0F">
        <w:rPr>
          <w:rFonts w:hint="cs"/>
          <w:rtl/>
        </w:rPr>
        <w:t>והפרטים מתגוררים בהם</w:t>
      </w:r>
      <w:r w:rsidRPr="00956B0F">
        <w:rPr>
          <w:rtl/>
        </w:rPr>
        <w:t xml:space="preserve"> באורח קבוע או לפרק זמן מסוים, ללא משפחתם ובסגנון חיים שונה מזה שהורגלו לו בקהילה. שירותים חוץ-ביתיים מסופקים, על פי רוב, לכמה רשויות מקומיות</w:t>
      </w:r>
      <w:r w:rsidRPr="00956B0F">
        <w:rPr>
          <w:rFonts w:hint="cs"/>
          <w:rtl/>
        </w:rPr>
        <w:t xml:space="preserve">. לעומת זאת, </w:t>
      </w:r>
      <w:r w:rsidRPr="00956B0F">
        <w:rPr>
          <w:rFonts w:ascii="David" w:hAnsi="David"/>
          <w:sz w:val="24"/>
          <w:rtl/>
        </w:rPr>
        <w:t>במסגרות בקהילה מנהלים הפרטים את שגרת חייהם בסביבתם הטבעית, והם או בני משפחתם דואגים למרב צורכיהם בתחומי החיים השונים</w:t>
      </w:r>
      <w:r w:rsidRPr="00956B0F">
        <w:rPr>
          <w:rFonts w:hint="cs"/>
          <w:rtl/>
        </w:rPr>
        <w:t xml:space="preserve">. </w:t>
      </w:r>
      <w:r w:rsidRPr="00956B0F">
        <w:rPr>
          <w:rtl/>
        </w:rPr>
        <w:t>שירותים בקהילה, שלא כמו שירותים חוץ-ביתיים, מוגדרים כתחומי טיפול פחות מובְנים, ועל כן הם נתונים במידה רבה יותר להכוונת הרשויות המקומיות מבחינת השירותים שיסופקו, דרכי אספקתם וקביעת רמתם ואיכותם</w:t>
      </w:r>
      <w:r w:rsidRPr="00956B0F">
        <w:rPr>
          <w:rFonts w:hint="cs"/>
          <w:rtl/>
        </w:rPr>
        <w:t xml:space="preserve">. ראו: מבקר המדינה, </w:t>
      </w:r>
      <w:r w:rsidRPr="00956B0F">
        <w:rPr>
          <w:rFonts w:hint="cs"/>
          <w:b/>
          <w:bCs/>
          <w:rtl/>
        </w:rPr>
        <w:t>דוחות על הביקורת בשלטון המקומי</w:t>
      </w:r>
      <w:r w:rsidRPr="00956B0F">
        <w:rPr>
          <w:rFonts w:hint="cs"/>
          <w:rtl/>
        </w:rPr>
        <w:t xml:space="preserve"> (2021), "אסדרת אספקתם של שירותי הרווחה בקהילה על ידי הרשויות המקומיות", עמ' 959 - 960 ( להלן - </w:t>
      </w:r>
      <w:bookmarkStart w:id="104" w:name="_Hlk201827304"/>
      <w:r w:rsidRPr="00956B0F">
        <w:rPr>
          <w:rFonts w:hint="cs"/>
          <w:rtl/>
        </w:rPr>
        <w:t>דוח הביקורת בנושא אסדרת אספקתם של שירותי הרווחה בקהילה</w:t>
      </w:r>
      <w:bookmarkEnd w:id="104"/>
      <w:r w:rsidRPr="00956B0F">
        <w:rPr>
          <w:rFonts w:hint="cs"/>
          <w:rtl/>
        </w:rPr>
        <w:t>).</w:t>
      </w:r>
    </w:p>
  </w:footnote>
  <w:footnote w:id="52">
    <w:p w14:paraId="301FCB7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t xml:space="preserve">David A. Wolfe, Peter G. Jaffe, “Emerging Strategies in the Prevention of Domestic Violence”, </w:t>
      </w:r>
      <w:r w:rsidRPr="00956B0F">
        <w:rPr>
          <w:b/>
        </w:rPr>
        <w:t>F</w:t>
      </w:r>
      <w:r w:rsidRPr="00956B0F">
        <w:rPr>
          <w:b/>
          <w:bCs/>
        </w:rPr>
        <w:t>uture Child</w:t>
      </w:r>
      <w:r w:rsidRPr="00956B0F">
        <w:t xml:space="preserve">, Winter 9(3) (1999), pp. 133 - 144; Lori L. Heise, </w:t>
      </w:r>
      <w:r w:rsidRPr="00956B0F">
        <w:rPr>
          <w:b/>
          <w:bCs/>
        </w:rPr>
        <w:t>What Works to Prevent Partner Violence? An Evidence Overview</w:t>
      </w:r>
      <w:r w:rsidRPr="00956B0F">
        <w:t xml:space="preserve"> (2011)</w:t>
      </w:r>
      <w:r w:rsidRPr="00956B0F">
        <w:rPr>
          <w:rFonts w:hint="cs"/>
          <w:rtl/>
        </w:rPr>
        <w:t xml:space="preserve"> יש לציין כי </w:t>
      </w:r>
      <w:r w:rsidRPr="00956B0F">
        <w:rPr>
          <w:rtl/>
        </w:rPr>
        <w:t xml:space="preserve">ההבחנה בין מעגלי המניעה וההתמודדות עם התופעה אינה קשיחה. כך לדוגמה, פעולות הסברה והעלאת מודעות בקרב הציבור מסייעות לא רק במניעה </w:t>
      </w:r>
      <w:r w:rsidRPr="00956B0F">
        <w:rPr>
          <w:rFonts w:hint="cs"/>
          <w:rtl/>
        </w:rPr>
        <w:t xml:space="preserve">ראשונית </w:t>
      </w:r>
      <w:r w:rsidRPr="00956B0F">
        <w:rPr>
          <w:rtl/>
        </w:rPr>
        <w:t>של מקרי אלימות בטרם התרחשותם אלא גם בהעלאת מודעות ובעידוד נשים הנמצאות במעגל האלימות לפנות לקבלת טיפול וסיוע או הגנה</w:t>
      </w:r>
      <w:r w:rsidRPr="00956B0F">
        <w:rPr>
          <w:rFonts w:hint="cs"/>
          <w:rtl/>
        </w:rPr>
        <w:t>,</w:t>
      </w:r>
      <w:r w:rsidRPr="00956B0F">
        <w:rPr>
          <w:rtl/>
        </w:rPr>
        <w:t xml:space="preserve"> ובכך הן מסייעות גם בפעולות מניעה שניונית ושלישונית של תופעת האלימות בין בני זוג.</w:t>
      </w:r>
    </w:p>
  </w:footnote>
  <w:footnote w:id="53">
    <w:p w14:paraId="4ECC4CB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נוהל</w:t>
      </w:r>
      <w:r w:rsidRPr="00956B0F">
        <w:rPr>
          <w:rtl/>
        </w:rPr>
        <w:t xml:space="preserve"> </w:t>
      </w:r>
      <w:r w:rsidRPr="00956B0F">
        <w:rPr>
          <w:rFonts w:hint="eastAsia"/>
          <w:rtl/>
        </w:rPr>
        <w:t>מס</w:t>
      </w:r>
      <w:r w:rsidRPr="00956B0F">
        <w:rPr>
          <w:rtl/>
        </w:rPr>
        <w:t xml:space="preserve">' 300.13.225 </w:t>
      </w:r>
      <w:r w:rsidRPr="00956B0F">
        <w:rPr>
          <w:rFonts w:hint="eastAsia"/>
          <w:rtl/>
        </w:rPr>
        <w:t>של</w:t>
      </w:r>
      <w:r w:rsidRPr="00956B0F">
        <w:rPr>
          <w:rtl/>
        </w:rPr>
        <w:t xml:space="preserve"> </w:t>
      </w:r>
      <w:r w:rsidRPr="00956B0F">
        <w:rPr>
          <w:rFonts w:hint="eastAsia"/>
          <w:rtl/>
        </w:rPr>
        <w:t>משטרת</w:t>
      </w:r>
      <w:r w:rsidRPr="00956B0F">
        <w:rPr>
          <w:rtl/>
        </w:rPr>
        <w:t xml:space="preserve"> </w:t>
      </w:r>
      <w:r w:rsidRPr="00956B0F">
        <w:rPr>
          <w:rFonts w:hint="eastAsia"/>
          <w:rtl/>
        </w:rPr>
        <w:t>ישראל</w:t>
      </w:r>
      <w:r w:rsidRPr="00956B0F">
        <w:rPr>
          <w:rtl/>
        </w:rPr>
        <w:t xml:space="preserve">, "הטיפול </w:t>
      </w:r>
      <w:r w:rsidRPr="00956B0F">
        <w:rPr>
          <w:rFonts w:hint="eastAsia"/>
          <w:rtl/>
        </w:rPr>
        <w:t>המשטרתי</w:t>
      </w:r>
      <w:r w:rsidRPr="00956B0F">
        <w:rPr>
          <w:rtl/>
        </w:rPr>
        <w:t xml:space="preserve"> </w:t>
      </w:r>
      <w:r w:rsidRPr="00956B0F">
        <w:rPr>
          <w:rFonts w:hint="eastAsia"/>
          <w:rtl/>
        </w:rPr>
        <w:t>בהטרדה</w:t>
      </w:r>
      <w:r w:rsidRPr="00956B0F">
        <w:rPr>
          <w:rtl/>
        </w:rPr>
        <w:t xml:space="preserve"> </w:t>
      </w:r>
      <w:r w:rsidRPr="00956B0F">
        <w:rPr>
          <w:rFonts w:hint="eastAsia"/>
          <w:rtl/>
        </w:rPr>
        <w:t>מאיימת</w:t>
      </w:r>
      <w:r w:rsidRPr="00956B0F">
        <w:rPr>
          <w:rtl/>
        </w:rPr>
        <w:t xml:space="preserve"> </w:t>
      </w:r>
      <w:r w:rsidRPr="00956B0F">
        <w:rPr>
          <w:rFonts w:hint="eastAsia"/>
          <w:rtl/>
        </w:rPr>
        <w:t>ובצווי</w:t>
      </w:r>
      <w:r w:rsidRPr="00956B0F">
        <w:rPr>
          <w:rtl/>
        </w:rPr>
        <w:t xml:space="preserve"> </w:t>
      </w:r>
      <w:r w:rsidRPr="00956B0F">
        <w:rPr>
          <w:rFonts w:hint="eastAsia"/>
          <w:rtl/>
        </w:rPr>
        <w:t>הגנה</w:t>
      </w:r>
      <w:r w:rsidRPr="00956B0F">
        <w:rPr>
          <w:rtl/>
        </w:rPr>
        <w:t>" (1.2.04</w:t>
      </w:r>
      <w:r w:rsidRPr="00956B0F">
        <w:rPr>
          <w:rStyle w:val="Hyperlink"/>
          <w:color w:val="auto"/>
          <w:u w:val="none"/>
          <w:rtl/>
        </w:rPr>
        <w:t>)</w:t>
      </w:r>
      <w:r w:rsidRPr="00956B0F">
        <w:rPr>
          <w:rtl/>
        </w:rPr>
        <w:t xml:space="preserve"> (להלן - נוהל הטיפול המשטרתי בצווי הגנה) ו</w:t>
      </w:r>
      <w:r w:rsidRPr="00956B0F">
        <w:rPr>
          <w:rFonts w:hint="eastAsia"/>
          <w:rtl/>
        </w:rPr>
        <w:t>נוהל</w:t>
      </w:r>
      <w:r w:rsidRPr="00956B0F">
        <w:rPr>
          <w:rtl/>
        </w:rPr>
        <w:t xml:space="preserve"> </w:t>
      </w:r>
      <w:r w:rsidRPr="00956B0F">
        <w:rPr>
          <w:rFonts w:hint="eastAsia"/>
          <w:rtl/>
        </w:rPr>
        <w:t>מס</w:t>
      </w:r>
      <w:r w:rsidRPr="00956B0F">
        <w:rPr>
          <w:rtl/>
        </w:rPr>
        <w:t xml:space="preserve">' 300.13.226 </w:t>
      </w:r>
      <w:r w:rsidRPr="00956B0F">
        <w:rPr>
          <w:rFonts w:hint="eastAsia"/>
          <w:rtl/>
        </w:rPr>
        <w:t>של</w:t>
      </w:r>
      <w:r w:rsidRPr="00956B0F">
        <w:rPr>
          <w:rtl/>
        </w:rPr>
        <w:t xml:space="preserve"> </w:t>
      </w:r>
      <w:r w:rsidRPr="00956B0F">
        <w:rPr>
          <w:rFonts w:hint="eastAsia"/>
          <w:rtl/>
        </w:rPr>
        <w:t>משטרת</w:t>
      </w:r>
      <w:r w:rsidRPr="00956B0F">
        <w:rPr>
          <w:rtl/>
        </w:rPr>
        <w:t xml:space="preserve"> </w:t>
      </w:r>
      <w:r w:rsidRPr="00956B0F">
        <w:rPr>
          <w:rFonts w:hint="eastAsia"/>
          <w:rtl/>
        </w:rPr>
        <w:t>ישראל</w:t>
      </w:r>
      <w:r w:rsidRPr="00956B0F">
        <w:rPr>
          <w:rtl/>
        </w:rPr>
        <w:t xml:space="preserve">, "הטיפול </w:t>
      </w:r>
      <w:r w:rsidRPr="00956B0F">
        <w:rPr>
          <w:rFonts w:hint="eastAsia"/>
          <w:rtl/>
        </w:rPr>
        <w:t>המשטרתי</w:t>
      </w:r>
      <w:r w:rsidRPr="00956B0F">
        <w:rPr>
          <w:rtl/>
        </w:rPr>
        <w:t xml:space="preserve"> </w:t>
      </w:r>
      <w:r w:rsidRPr="00956B0F">
        <w:rPr>
          <w:rFonts w:hint="eastAsia"/>
          <w:rtl/>
        </w:rPr>
        <w:t>בעבירות</w:t>
      </w:r>
      <w:r w:rsidRPr="00956B0F">
        <w:rPr>
          <w:rtl/>
        </w:rPr>
        <w:t xml:space="preserve"> </w:t>
      </w:r>
      <w:r w:rsidRPr="00956B0F">
        <w:rPr>
          <w:rFonts w:hint="eastAsia"/>
          <w:rtl/>
        </w:rPr>
        <w:t>אלימות</w:t>
      </w:r>
      <w:r w:rsidRPr="00956B0F">
        <w:rPr>
          <w:rtl/>
        </w:rPr>
        <w:t xml:space="preserve"> </w:t>
      </w:r>
      <w:r w:rsidRPr="00956B0F">
        <w:rPr>
          <w:rFonts w:hint="eastAsia"/>
          <w:rtl/>
        </w:rPr>
        <w:t>במשפחה</w:t>
      </w:r>
      <w:r w:rsidRPr="00956B0F">
        <w:rPr>
          <w:rtl/>
        </w:rPr>
        <w:t>" (9.1.24</w:t>
      </w:r>
      <w:r w:rsidRPr="00956B0F">
        <w:rPr>
          <w:rStyle w:val="Hyperlink"/>
          <w:rFonts w:hint="cs"/>
          <w:color w:val="auto"/>
          <w:u w:val="none"/>
          <w:rtl/>
        </w:rPr>
        <w:t>)</w:t>
      </w:r>
      <w:r w:rsidRPr="00956B0F">
        <w:rPr>
          <w:rFonts w:hint="cs"/>
          <w:rtl/>
        </w:rPr>
        <w:t xml:space="preserve"> (להלן - נוהל הטיפול המשטרתי בעבירות אלימות במשפחה).</w:t>
      </w:r>
    </w:p>
  </w:footnote>
  <w:footnote w:id="54">
    <w:p w14:paraId="0EA72DA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חוזר מנכ"ל משרד הבריאות מס' 20/09, "טיפול בנפגעי אלימות במשפחה, ניצול מיני והזנחה של קטינים וחסרי ישע" (28.8.90</w:t>
      </w:r>
      <w:r w:rsidRPr="00956B0F">
        <w:rPr>
          <w:rStyle w:val="Hyperlink"/>
          <w:rFonts w:hint="cs"/>
          <w:color w:val="auto"/>
          <w:u w:val="none"/>
          <w:rtl/>
        </w:rPr>
        <w:t>)</w:t>
      </w:r>
      <w:r w:rsidRPr="00956B0F">
        <w:rPr>
          <w:rFonts w:hint="cs"/>
          <w:rtl/>
        </w:rPr>
        <w:t xml:space="preserve"> וחוזר מנכ"ל משרד הבריאות 23/03, "איתור וטיפול [ב]נשים נפגעות אלימות במשפחה ע"י מטפלים במסגרות בריאות - באשפוז בקהילה" (19.11.03</w:t>
      </w:r>
      <w:r w:rsidRPr="00956B0F">
        <w:rPr>
          <w:rStyle w:val="Hyperlink"/>
          <w:rFonts w:hint="cs"/>
          <w:color w:val="auto"/>
          <w:u w:val="none"/>
          <w:rtl/>
        </w:rPr>
        <w:t>)</w:t>
      </w:r>
      <w:r w:rsidRPr="00956B0F">
        <w:rPr>
          <w:rFonts w:hint="cs"/>
          <w:rtl/>
        </w:rPr>
        <w:t>.</w:t>
      </w:r>
    </w:p>
  </w:footnote>
  <w:footnote w:id="55">
    <w:p w14:paraId="3E8FCD4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פקודה מס' 04.54.03 של נציבות שירות בתי הסוהר, "אופן עבודת ועדות משרדיות ובין-משרדיות לעבירות במשפחה - אלימות וגילוי עריות" (28.7.15) (עדכון אחרון מ-5.1.17) (להלן - פקודת שירות בתי הסוהר בנושא עבודת הוועדות לעבירות אלימות במשפחה).</w:t>
      </w:r>
    </w:p>
  </w:footnote>
  <w:footnote w:id="56">
    <w:p w14:paraId="2DC282D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סעיף 4 לחוק הרשות לקידום מעמד האישה.</w:t>
      </w:r>
    </w:p>
  </w:footnote>
  <w:footnote w:id="57">
    <w:p w14:paraId="1A235E5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5(1) ו-5(2) לחוק הרשות לקידום מעמד האישה.</w:t>
      </w:r>
    </w:p>
  </w:footnote>
  <w:footnote w:id="58">
    <w:p w14:paraId="59E6BAF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3א ל</w:t>
      </w:r>
      <w:r w:rsidRPr="00956B0F">
        <w:rPr>
          <w:rtl/>
        </w:rPr>
        <w:t xml:space="preserve">חוק הרשויות המקומיות (יועצת לקידום מעמד האישה), </w:t>
      </w:r>
      <w:r w:rsidRPr="00956B0F">
        <w:rPr>
          <w:rFonts w:hint="cs"/>
          <w:rtl/>
        </w:rPr>
        <w:t>ה</w:t>
      </w:r>
      <w:r w:rsidRPr="00956B0F">
        <w:rPr>
          <w:rtl/>
        </w:rPr>
        <w:t>תש"ס-2000</w:t>
      </w:r>
      <w:r w:rsidRPr="00956B0F">
        <w:rPr>
          <w:rFonts w:hint="cs"/>
          <w:rtl/>
        </w:rPr>
        <w:t>.</w:t>
      </w:r>
    </w:p>
  </w:footnote>
  <w:footnote w:id="59">
    <w:p w14:paraId="03A0937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גם את ההגדרה של מעגלי המניעה הראשונית, השניונית והשלישונית ב</w:t>
      </w:r>
      <w:r w:rsidRPr="00956B0F">
        <w:rPr>
          <w:rFonts w:hint="cs"/>
          <w:b/>
          <w:bCs/>
          <w:rtl/>
        </w:rPr>
        <w:t xml:space="preserve">דין וחשבון הוועדה לניסוח הצעה לרפורמה בשירותי הרווחה המקומיים </w:t>
      </w:r>
      <w:r w:rsidRPr="00956B0F">
        <w:rPr>
          <w:rFonts w:hint="cs"/>
          <w:rtl/>
        </w:rPr>
        <w:t>(2010), ליד הערה 40.</w:t>
      </w:r>
    </w:p>
  </w:footnote>
  <w:footnote w:id="60">
    <w:p w14:paraId="42470DD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יצחק</w:t>
      </w:r>
      <w:r w:rsidRPr="00956B0F">
        <w:rPr>
          <w:rtl/>
        </w:rPr>
        <w:t xml:space="preserve"> זמיר, </w:t>
      </w:r>
      <w:r w:rsidRPr="00956B0F">
        <w:rPr>
          <w:rFonts w:hint="eastAsia"/>
          <w:b/>
          <w:bCs/>
          <w:rtl/>
        </w:rPr>
        <w:t>הסמכות</w:t>
      </w:r>
      <w:r w:rsidRPr="00956B0F">
        <w:rPr>
          <w:b/>
          <w:bCs/>
          <w:rtl/>
        </w:rPr>
        <w:t xml:space="preserve"> </w:t>
      </w:r>
      <w:r w:rsidRPr="00956B0F">
        <w:rPr>
          <w:rFonts w:hint="eastAsia"/>
          <w:b/>
          <w:bCs/>
          <w:rtl/>
        </w:rPr>
        <w:t>המינהלית</w:t>
      </w:r>
      <w:r w:rsidRPr="00956B0F">
        <w:rPr>
          <w:rtl/>
        </w:rPr>
        <w:t xml:space="preserve">, </w:t>
      </w:r>
      <w:r w:rsidRPr="00956B0F">
        <w:rPr>
          <w:rFonts w:hint="eastAsia"/>
          <w:rtl/>
        </w:rPr>
        <w:t>כרך</w:t>
      </w:r>
      <w:r w:rsidRPr="00956B0F">
        <w:rPr>
          <w:rtl/>
        </w:rPr>
        <w:t xml:space="preserve"> </w:t>
      </w:r>
      <w:r w:rsidRPr="00956B0F">
        <w:rPr>
          <w:rFonts w:hint="eastAsia"/>
          <w:rtl/>
        </w:rPr>
        <w:t>ה</w:t>
      </w:r>
      <w:r w:rsidRPr="00956B0F">
        <w:rPr>
          <w:rtl/>
        </w:rPr>
        <w:t xml:space="preserve"> (2020), </w:t>
      </w:r>
      <w:r w:rsidRPr="00956B0F">
        <w:rPr>
          <w:rFonts w:hint="eastAsia"/>
          <w:rtl/>
        </w:rPr>
        <w:t>עמ</w:t>
      </w:r>
      <w:r w:rsidRPr="00956B0F">
        <w:rPr>
          <w:rtl/>
        </w:rPr>
        <w:t xml:space="preserve">' 3719 - 3720; </w:t>
      </w:r>
      <w:r w:rsidRPr="00956B0F">
        <w:rPr>
          <w:rFonts w:hint="eastAsia"/>
          <w:rtl/>
        </w:rPr>
        <w:t>יואב</w:t>
      </w:r>
      <w:r w:rsidRPr="00956B0F">
        <w:rPr>
          <w:rtl/>
        </w:rPr>
        <w:t xml:space="preserve"> דותן, </w:t>
      </w:r>
      <w:r w:rsidRPr="00956B0F">
        <w:rPr>
          <w:rFonts w:hint="eastAsia"/>
          <w:b/>
          <w:bCs/>
          <w:rtl/>
        </w:rPr>
        <w:t>ביקורת</w:t>
      </w:r>
      <w:r w:rsidRPr="00956B0F">
        <w:rPr>
          <w:b/>
          <w:bCs/>
          <w:rtl/>
        </w:rPr>
        <w:t xml:space="preserve"> </w:t>
      </w:r>
      <w:r w:rsidRPr="00956B0F">
        <w:rPr>
          <w:rFonts w:hint="eastAsia"/>
          <w:b/>
          <w:bCs/>
          <w:rtl/>
        </w:rPr>
        <w:t>שיפוטית</w:t>
      </w:r>
      <w:r w:rsidRPr="00956B0F">
        <w:rPr>
          <w:b/>
          <w:bCs/>
          <w:rtl/>
        </w:rPr>
        <w:t xml:space="preserve"> </w:t>
      </w:r>
      <w:r w:rsidRPr="00956B0F">
        <w:rPr>
          <w:rFonts w:hint="eastAsia"/>
          <w:b/>
          <w:bCs/>
          <w:rtl/>
        </w:rPr>
        <w:t>על</w:t>
      </w:r>
      <w:r w:rsidRPr="00956B0F">
        <w:rPr>
          <w:b/>
          <w:bCs/>
          <w:rtl/>
        </w:rPr>
        <w:t xml:space="preserve"> </w:t>
      </w:r>
      <w:r w:rsidRPr="00956B0F">
        <w:rPr>
          <w:rFonts w:hint="eastAsia"/>
          <w:b/>
          <w:bCs/>
          <w:rtl/>
        </w:rPr>
        <w:t>שיקול</w:t>
      </w:r>
      <w:r w:rsidRPr="00956B0F">
        <w:rPr>
          <w:b/>
          <w:bCs/>
          <w:rtl/>
        </w:rPr>
        <w:t xml:space="preserve"> </w:t>
      </w:r>
      <w:r w:rsidRPr="00956B0F">
        <w:rPr>
          <w:rFonts w:hint="eastAsia"/>
          <w:b/>
          <w:bCs/>
          <w:rtl/>
        </w:rPr>
        <w:t>דעת</w:t>
      </w:r>
      <w:r w:rsidRPr="00956B0F">
        <w:rPr>
          <w:b/>
          <w:bCs/>
          <w:rtl/>
        </w:rPr>
        <w:t xml:space="preserve"> </w:t>
      </w:r>
      <w:r w:rsidRPr="00956B0F">
        <w:rPr>
          <w:rFonts w:hint="eastAsia"/>
          <w:b/>
          <w:bCs/>
          <w:rtl/>
        </w:rPr>
        <w:t>מינהלי</w:t>
      </w:r>
      <w:r w:rsidRPr="00956B0F">
        <w:rPr>
          <w:rtl/>
        </w:rPr>
        <w:t xml:space="preserve">, </w:t>
      </w:r>
      <w:r w:rsidRPr="00956B0F">
        <w:rPr>
          <w:rFonts w:hint="eastAsia"/>
          <w:rtl/>
        </w:rPr>
        <w:t>כרך</w:t>
      </w:r>
      <w:r w:rsidRPr="00956B0F">
        <w:rPr>
          <w:rtl/>
        </w:rPr>
        <w:t xml:space="preserve"> </w:t>
      </w:r>
      <w:r w:rsidRPr="00956B0F">
        <w:rPr>
          <w:rFonts w:hint="eastAsia"/>
          <w:rtl/>
        </w:rPr>
        <w:t>ב</w:t>
      </w:r>
      <w:r w:rsidRPr="00956B0F">
        <w:rPr>
          <w:rtl/>
        </w:rPr>
        <w:t xml:space="preserve"> (2023), </w:t>
      </w:r>
      <w:r w:rsidRPr="00956B0F">
        <w:rPr>
          <w:rFonts w:hint="eastAsia"/>
          <w:rtl/>
        </w:rPr>
        <w:t>עמ</w:t>
      </w:r>
      <w:r w:rsidRPr="00956B0F">
        <w:rPr>
          <w:rtl/>
        </w:rPr>
        <w:t>' 803.</w:t>
      </w:r>
    </w:p>
  </w:footnote>
  <w:footnote w:id="61">
    <w:p w14:paraId="3AEB7688" w14:textId="77777777" w:rsidR="00F769CC" w:rsidRPr="00956B0F" w:rsidRDefault="00F769CC" w:rsidP="00817399">
      <w:pPr>
        <w:pStyle w:val="af7"/>
        <w:rPr>
          <w:sz w:val="16"/>
          <w:rtl/>
        </w:rPr>
      </w:pPr>
      <w:r w:rsidRPr="00956B0F">
        <w:rPr>
          <w:rStyle w:val="af9"/>
        </w:rPr>
        <w:footnoteRef/>
      </w:r>
      <w:r w:rsidRPr="00956B0F">
        <w:rPr>
          <w:rtl/>
        </w:rPr>
        <w:t xml:space="preserve"> </w:t>
      </w:r>
      <w:r w:rsidRPr="00956B0F">
        <w:rPr>
          <w:rtl/>
        </w:rPr>
        <w:tab/>
      </w:r>
      <w:r w:rsidRPr="00956B0F">
        <w:t xml:space="preserve">World Health Organization, </w:t>
      </w:r>
      <w:r w:rsidRPr="00956B0F">
        <w:rPr>
          <w:b/>
          <w:bCs/>
        </w:rPr>
        <w:t>World Report on Violence and Health</w:t>
      </w:r>
      <w:r w:rsidRPr="00956B0F">
        <w:t xml:space="preserve"> (Edited by: Etienne G. Krug, Linda L. Dahlberg and James A. Mercy Anthony B. Zwi and Rafael Lozano; 2002), p. 5; Kelsey Hegarty and Gwenneth Roberts, "How Common is Domestic Violence Against Women? The Definition of Partner Abuse in Prevalence Studies,</w:t>
      </w:r>
      <w:r w:rsidRPr="00956B0F">
        <w:rPr>
          <w:b/>
          <w:bCs/>
        </w:rPr>
        <w:t xml:space="preserve"> Australian and New Zealand Journal of Public Health</w:t>
      </w:r>
      <w:r w:rsidRPr="00956B0F">
        <w:t xml:space="preserve"> 22(1), (1998), pp. 49 - 54</w:t>
      </w:r>
      <w:r w:rsidRPr="00956B0F">
        <w:rPr>
          <w:rFonts w:hint="cs"/>
          <w:sz w:val="16"/>
          <w:rtl/>
        </w:rPr>
        <w:t xml:space="preserve"> </w:t>
      </w:r>
    </w:p>
    <w:p w14:paraId="762F0F6D" w14:textId="77777777" w:rsidR="00F769CC" w:rsidRPr="00956B0F" w:rsidRDefault="00F769CC" w:rsidP="00817399">
      <w:pPr>
        <w:pStyle w:val="af7"/>
        <w:ind w:firstLine="0"/>
        <w:rPr>
          <w:rtl/>
        </w:rPr>
      </w:pPr>
      <w:r w:rsidRPr="00956B0F">
        <w:rPr>
          <w:rFonts w:hint="cs"/>
          <w:sz w:val="16"/>
          <w:rtl/>
        </w:rPr>
        <w:t>על החשיבות של אמידת היקף תופעת האלימות בין בני זוג ראו תת-הפרק "</w:t>
      </w:r>
      <w:r w:rsidRPr="00956B0F">
        <w:rPr>
          <w:sz w:val="16"/>
          <w:rtl/>
        </w:rPr>
        <w:t>איסוף וניהול של נתונים על התופעה ומאפייניה</w:t>
      </w:r>
      <w:r w:rsidRPr="00956B0F">
        <w:rPr>
          <w:rFonts w:hint="cs"/>
          <w:sz w:val="16"/>
          <w:rtl/>
        </w:rPr>
        <w:t>".</w:t>
      </w:r>
    </w:p>
  </w:footnote>
  <w:footnote w:id="62">
    <w:p w14:paraId="066FC88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בהקשר זה: </w:t>
      </w:r>
      <w:r w:rsidRPr="00956B0F">
        <w:rPr>
          <w:rFonts w:hint="eastAsia"/>
          <w:rtl/>
        </w:rPr>
        <w:t>יניב</w:t>
      </w:r>
      <w:r w:rsidRPr="00956B0F">
        <w:rPr>
          <w:rtl/>
        </w:rPr>
        <w:t xml:space="preserve"> רוזנאי, "כשהמחוקק אומר 'דג' - למה הוא מתכוון? על חשיבותן של ההגדרות בחקיקה" </w:t>
      </w:r>
      <w:r w:rsidRPr="00956B0F">
        <w:rPr>
          <w:rFonts w:hint="eastAsia"/>
          <w:b/>
          <w:bCs/>
          <w:rtl/>
        </w:rPr>
        <w:t>עיונים</w:t>
      </w:r>
      <w:r w:rsidRPr="00956B0F">
        <w:rPr>
          <w:b/>
          <w:bCs/>
          <w:rtl/>
        </w:rPr>
        <w:t xml:space="preserve"> </w:t>
      </w:r>
      <w:r w:rsidRPr="00956B0F">
        <w:rPr>
          <w:rFonts w:hint="eastAsia"/>
          <w:b/>
          <w:bCs/>
          <w:rtl/>
        </w:rPr>
        <w:t>בשפה</w:t>
      </w:r>
      <w:r w:rsidRPr="00956B0F">
        <w:rPr>
          <w:b/>
          <w:bCs/>
          <w:rtl/>
        </w:rPr>
        <w:t xml:space="preserve"> </w:t>
      </w:r>
      <w:r w:rsidRPr="00956B0F">
        <w:rPr>
          <w:rFonts w:hint="eastAsia"/>
          <w:b/>
          <w:bCs/>
          <w:rtl/>
        </w:rPr>
        <w:t>וחברה</w:t>
      </w:r>
      <w:r w:rsidRPr="00956B0F">
        <w:rPr>
          <w:rtl/>
        </w:rPr>
        <w:t xml:space="preserve"> (1 - 2) 5 (2012), עמ' 106.</w:t>
      </w:r>
    </w:p>
  </w:footnote>
  <w:footnote w:id="63">
    <w:p w14:paraId="096BB2B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דין</w:t>
      </w:r>
      <w:r w:rsidRPr="00956B0F">
        <w:rPr>
          <w:rtl/>
        </w:rPr>
        <w:t xml:space="preserve"> וחשבון </w:t>
      </w:r>
      <w:r w:rsidRPr="00956B0F">
        <w:rPr>
          <w:rFonts w:hint="cs"/>
          <w:rtl/>
        </w:rPr>
        <w:t>ועדת רוזנבאום</w:t>
      </w:r>
      <w:r w:rsidRPr="00956B0F">
        <w:rPr>
          <w:rtl/>
        </w:rPr>
        <w:t xml:space="preserve"> (2016), עמ' 41;</w:t>
      </w:r>
      <w:r w:rsidRPr="00956B0F">
        <w:rPr>
          <w:rFonts w:hint="cs"/>
          <w:rtl/>
        </w:rPr>
        <w:t xml:space="preserve"> אף כי</w:t>
      </w:r>
      <w:r w:rsidRPr="00956B0F">
        <w:rPr>
          <w:rtl/>
        </w:rPr>
        <w:t xml:space="preserve"> הגדרת התופעה אינה אחידה</w:t>
      </w:r>
      <w:r w:rsidRPr="00956B0F">
        <w:rPr>
          <w:rFonts w:hint="cs"/>
          <w:rtl/>
        </w:rPr>
        <w:t xml:space="preserve"> גם בין מדינות שונות</w:t>
      </w:r>
      <w:r w:rsidRPr="00956B0F">
        <w:rPr>
          <w:rtl/>
        </w:rPr>
        <w:t xml:space="preserve"> ועשויה להשתנות </w:t>
      </w:r>
      <w:r w:rsidRPr="00956B0F">
        <w:rPr>
          <w:rFonts w:hint="cs"/>
          <w:rtl/>
        </w:rPr>
        <w:t>ביניהן</w:t>
      </w:r>
      <w:r w:rsidRPr="00956B0F">
        <w:rPr>
          <w:rtl/>
        </w:rPr>
        <w:t xml:space="preserve"> על רקע עיגונה בדין או בהוראות רגולטוריות</w:t>
      </w:r>
      <w:r w:rsidRPr="00956B0F">
        <w:rPr>
          <w:rFonts w:hint="cs"/>
          <w:rtl/>
        </w:rPr>
        <w:t>. עם זאת,</w:t>
      </w:r>
      <w:r w:rsidRPr="00956B0F">
        <w:rPr>
          <w:rtl/>
        </w:rPr>
        <w:t xml:space="preserve"> נראה כי קיימת הסכמה רחבה על כך שהתופעה אינה מוגדרת במונחים של תוצאות ממשיות של האלימות</w:t>
      </w:r>
      <w:r w:rsidRPr="00956B0F">
        <w:rPr>
          <w:rFonts w:hint="cs"/>
          <w:rtl/>
        </w:rPr>
        <w:t>,</w:t>
      </w:r>
      <w:r w:rsidRPr="00956B0F">
        <w:rPr>
          <w:rtl/>
        </w:rPr>
        <w:t xml:space="preserve"> אלא במונחים של כוונה העומדת מאחורי הפעולה - בין </w:t>
      </w:r>
      <w:r w:rsidRPr="00956B0F">
        <w:rPr>
          <w:rFonts w:hint="cs"/>
          <w:rtl/>
        </w:rPr>
        <w:t>ש</w:t>
      </w:r>
      <w:r w:rsidRPr="00956B0F">
        <w:rPr>
          <w:rtl/>
        </w:rPr>
        <w:t xml:space="preserve">הסתיימה בפגיעה, בחבלה או בנזק כלשהו ובין </w:t>
      </w:r>
      <w:r w:rsidRPr="00956B0F">
        <w:rPr>
          <w:rFonts w:hint="cs"/>
          <w:rtl/>
        </w:rPr>
        <w:t>שלא. ראו: הסקר משנת 2001, עמ' 14.</w:t>
      </w:r>
    </w:p>
  </w:footnote>
  <w:footnote w:id="64">
    <w:p w14:paraId="03B4C72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w:t>
      </w:r>
      <w:r w:rsidRPr="00956B0F">
        <w:rPr>
          <w:rFonts w:hint="eastAsia"/>
          <w:rtl/>
        </w:rPr>
        <w:t>חוק</w:t>
      </w:r>
      <w:r w:rsidRPr="00956B0F">
        <w:rPr>
          <w:rtl/>
        </w:rPr>
        <w:t xml:space="preserve"> </w:t>
      </w:r>
      <w:r w:rsidRPr="00956B0F">
        <w:rPr>
          <w:rFonts w:hint="eastAsia"/>
          <w:rtl/>
        </w:rPr>
        <w:t>למניעת</w:t>
      </w:r>
      <w:r w:rsidRPr="00956B0F">
        <w:rPr>
          <w:rtl/>
        </w:rPr>
        <w:t xml:space="preserve"> </w:t>
      </w:r>
      <w:r w:rsidRPr="00956B0F">
        <w:rPr>
          <w:rFonts w:hint="eastAsia"/>
          <w:rtl/>
        </w:rPr>
        <w:t>אלימו</w:t>
      </w:r>
      <w:r w:rsidRPr="00956B0F">
        <w:rPr>
          <w:rFonts w:hint="cs"/>
          <w:rtl/>
        </w:rPr>
        <w:t>ת במשפחה; ה</w:t>
      </w:r>
      <w:r w:rsidRPr="00956B0F">
        <w:rPr>
          <w:rtl/>
        </w:rPr>
        <w:t>חוק למניעת הטרדה</w:t>
      </w:r>
      <w:r w:rsidRPr="00956B0F">
        <w:rPr>
          <w:rFonts w:hint="cs"/>
          <w:rtl/>
        </w:rPr>
        <w:t>; חוק העונשין.</w:t>
      </w:r>
    </w:p>
  </w:footnote>
  <w:footnote w:id="65">
    <w:p w14:paraId="494878A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ועדת</w:t>
      </w:r>
      <w:r w:rsidRPr="00956B0F">
        <w:rPr>
          <w:rtl/>
        </w:rPr>
        <w:t xml:space="preserve"> רוזנבאום </w:t>
      </w:r>
      <w:r w:rsidRPr="00956B0F">
        <w:rPr>
          <w:rFonts w:hint="eastAsia"/>
          <w:rtl/>
        </w:rPr>
        <w:t>אימצה</w:t>
      </w:r>
      <w:r w:rsidRPr="00956B0F">
        <w:rPr>
          <w:rtl/>
        </w:rPr>
        <w:t xml:space="preserve"> </w:t>
      </w:r>
      <w:r w:rsidRPr="00956B0F">
        <w:rPr>
          <w:rFonts w:hint="eastAsia"/>
          <w:rtl/>
        </w:rPr>
        <w:t>לעניין</w:t>
      </w:r>
      <w:r w:rsidRPr="00956B0F">
        <w:rPr>
          <w:rtl/>
        </w:rPr>
        <w:t xml:space="preserve"> </w:t>
      </w:r>
      <w:r w:rsidRPr="00956B0F">
        <w:rPr>
          <w:rFonts w:hint="eastAsia"/>
          <w:rtl/>
        </w:rPr>
        <w:t>זה</w:t>
      </w:r>
      <w:r w:rsidRPr="00956B0F">
        <w:rPr>
          <w:rtl/>
        </w:rPr>
        <w:t xml:space="preserve"> </w:t>
      </w:r>
      <w:r w:rsidRPr="00956B0F">
        <w:rPr>
          <w:rFonts w:hint="eastAsia"/>
          <w:rtl/>
        </w:rPr>
        <w:t>את</w:t>
      </w:r>
      <w:r w:rsidRPr="00956B0F">
        <w:rPr>
          <w:rtl/>
        </w:rPr>
        <w:t xml:space="preserve"> </w:t>
      </w:r>
      <w:r w:rsidRPr="00956B0F">
        <w:rPr>
          <w:rFonts w:hint="eastAsia"/>
          <w:rtl/>
        </w:rPr>
        <w:t>ההגדרה</w:t>
      </w:r>
      <w:r w:rsidRPr="00956B0F">
        <w:rPr>
          <w:rtl/>
        </w:rPr>
        <w:t xml:space="preserve"> </w:t>
      </w:r>
      <w:r w:rsidRPr="00956B0F">
        <w:rPr>
          <w:rFonts w:hint="eastAsia"/>
          <w:rtl/>
        </w:rPr>
        <w:t>של</w:t>
      </w:r>
      <w:r w:rsidRPr="00956B0F">
        <w:rPr>
          <w:rtl/>
        </w:rPr>
        <w:t xml:space="preserve"> עמותת 'רוח נשית - עצמאות כלכלית לנשים נפגעות אלימות', לפיה, אלימות כלכלית מבטאת "שליטה מוחלטת בכפייה על כל המשאבים הכלכליים של המשפחה, מניעת השגת עצמאות כלכלית של שאר בני המשפחה, הסתרת המשאבים הכלכליים ושימוש </w:t>
      </w:r>
      <w:r w:rsidRPr="00956B0F">
        <w:rPr>
          <w:rFonts w:hint="eastAsia"/>
          <w:rtl/>
        </w:rPr>
        <w:t>בהם</w:t>
      </w:r>
      <w:r w:rsidRPr="00956B0F">
        <w:rPr>
          <w:rtl/>
        </w:rPr>
        <w:t xml:space="preserve"> </w:t>
      </w:r>
      <w:r w:rsidRPr="00956B0F">
        <w:rPr>
          <w:rFonts w:hint="eastAsia"/>
          <w:rtl/>
        </w:rPr>
        <w:t>על</w:t>
      </w:r>
      <w:r w:rsidRPr="00956B0F">
        <w:rPr>
          <w:rtl/>
        </w:rPr>
        <w:t xml:space="preserve">-מנת </w:t>
      </w:r>
      <w:r w:rsidRPr="00956B0F">
        <w:rPr>
          <w:rFonts w:hint="eastAsia"/>
          <w:rtl/>
        </w:rPr>
        <w:t>לשלוט</w:t>
      </w:r>
      <w:r w:rsidRPr="00956B0F">
        <w:rPr>
          <w:rtl/>
        </w:rPr>
        <w:t xml:space="preserve"> </w:t>
      </w:r>
      <w:r w:rsidRPr="00956B0F">
        <w:rPr>
          <w:rFonts w:hint="eastAsia"/>
          <w:rtl/>
        </w:rPr>
        <w:t>בהתנהלות</w:t>
      </w:r>
      <w:r w:rsidRPr="00956B0F">
        <w:rPr>
          <w:rtl/>
        </w:rPr>
        <w:t xml:space="preserve"> </w:t>
      </w:r>
      <w:r w:rsidRPr="00956B0F">
        <w:rPr>
          <w:rFonts w:hint="eastAsia"/>
          <w:rtl/>
        </w:rPr>
        <w:t>שאר</w:t>
      </w:r>
      <w:r w:rsidRPr="00956B0F">
        <w:rPr>
          <w:rtl/>
        </w:rPr>
        <w:t xml:space="preserve"> </w:t>
      </w:r>
      <w:r w:rsidRPr="00956B0F">
        <w:rPr>
          <w:rFonts w:hint="eastAsia"/>
          <w:rtl/>
        </w:rPr>
        <w:t>בני</w:t>
      </w:r>
      <w:r w:rsidRPr="00956B0F">
        <w:rPr>
          <w:rtl/>
        </w:rPr>
        <w:t xml:space="preserve"> </w:t>
      </w:r>
      <w:r w:rsidRPr="00956B0F">
        <w:rPr>
          <w:rFonts w:hint="eastAsia"/>
          <w:rtl/>
        </w:rPr>
        <w:t>הבית</w:t>
      </w:r>
      <w:r w:rsidRPr="00956B0F">
        <w:rPr>
          <w:rtl/>
        </w:rPr>
        <w:t xml:space="preserve">, </w:t>
      </w:r>
      <w:r w:rsidRPr="00956B0F">
        <w:rPr>
          <w:rFonts w:hint="eastAsia"/>
          <w:rtl/>
        </w:rPr>
        <w:t>והכול</w:t>
      </w:r>
      <w:r w:rsidRPr="00956B0F">
        <w:rPr>
          <w:rtl/>
        </w:rPr>
        <w:t xml:space="preserve"> </w:t>
      </w:r>
      <w:r w:rsidRPr="00956B0F">
        <w:rPr>
          <w:rFonts w:hint="eastAsia"/>
          <w:rtl/>
        </w:rPr>
        <w:t>בכפייה</w:t>
      </w:r>
      <w:r w:rsidRPr="00956B0F">
        <w:rPr>
          <w:rtl/>
        </w:rPr>
        <w:t xml:space="preserve"> </w:t>
      </w:r>
      <w:r w:rsidRPr="00956B0F">
        <w:rPr>
          <w:rFonts w:hint="eastAsia"/>
          <w:rtl/>
        </w:rPr>
        <w:t>או</w:t>
      </w:r>
      <w:r w:rsidRPr="00956B0F">
        <w:rPr>
          <w:rtl/>
        </w:rPr>
        <w:t xml:space="preserve"> </w:t>
      </w:r>
      <w:r w:rsidRPr="00956B0F">
        <w:rPr>
          <w:rFonts w:hint="eastAsia"/>
          <w:rtl/>
        </w:rPr>
        <w:t>בהטלת</w:t>
      </w:r>
      <w:r w:rsidRPr="00956B0F">
        <w:rPr>
          <w:rtl/>
        </w:rPr>
        <w:t xml:space="preserve"> </w:t>
      </w:r>
      <w:r w:rsidRPr="00956B0F">
        <w:rPr>
          <w:rFonts w:hint="eastAsia"/>
          <w:rtl/>
        </w:rPr>
        <w:t>אימה</w:t>
      </w:r>
      <w:r w:rsidRPr="00956B0F">
        <w:rPr>
          <w:rtl/>
        </w:rPr>
        <w:t>" (</w:t>
      </w:r>
      <w:r w:rsidRPr="00956B0F">
        <w:rPr>
          <w:rFonts w:hint="eastAsia"/>
          <w:rtl/>
        </w:rPr>
        <w:t>ראו</w:t>
      </w:r>
      <w:r w:rsidRPr="00956B0F">
        <w:rPr>
          <w:rtl/>
        </w:rPr>
        <w:t xml:space="preserve">: </w:t>
      </w:r>
      <w:r w:rsidRPr="00956B0F">
        <w:rPr>
          <w:rFonts w:hint="eastAsia"/>
          <w:rtl/>
        </w:rPr>
        <w:t>דין</w:t>
      </w:r>
      <w:r w:rsidRPr="00956B0F">
        <w:rPr>
          <w:rtl/>
        </w:rPr>
        <w:t xml:space="preserve"> </w:t>
      </w:r>
      <w:r w:rsidRPr="00956B0F">
        <w:rPr>
          <w:rFonts w:hint="eastAsia"/>
          <w:rtl/>
        </w:rPr>
        <w:t>וחשבון</w:t>
      </w:r>
      <w:r w:rsidRPr="00956B0F">
        <w:rPr>
          <w:rtl/>
        </w:rPr>
        <w:t xml:space="preserve"> </w:t>
      </w:r>
      <w:r w:rsidRPr="00956B0F">
        <w:rPr>
          <w:rFonts w:hint="eastAsia"/>
          <w:rtl/>
        </w:rPr>
        <w:t>ועדת</w:t>
      </w:r>
      <w:r w:rsidRPr="00956B0F">
        <w:rPr>
          <w:rtl/>
        </w:rPr>
        <w:t xml:space="preserve"> </w:t>
      </w:r>
      <w:r w:rsidRPr="00956B0F">
        <w:rPr>
          <w:rFonts w:hint="eastAsia"/>
          <w:rtl/>
        </w:rPr>
        <w:t>רוזנבאום</w:t>
      </w:r>
      <w:r w:rsidRPr="00956B0F">
        <w:rPr>
          <w:rtl/>
        </w:rPr>
        <w:t xml:space="preserve"> (2016), </w:t>
      </w:r>
      <w:r w:rsidRPr="00956B0F">
        <w:rPr>
          <w:rFonts w:hint="eastAsia"/>
          <w:rtl/>
        </w:rPr>
        <w:t>עמ</w:t>
      </w:r>
      <w:r w:rsidRPr="00956B0F">
        <w:rPr>
          <w:rtl/>
        </w:rPr>
        <w:t>' 21).</w:t>
      </w:r>
      <w:r w:rsidRPr="00956B0F">
        <w:rPr>
          <w:rFonts w:hint="cs"/>
          <w:rtl/>
        </w:rPr>
        <w:t xml:space="preserve"> יש לציין כי מחקרים מצביעים על כך שברוב המוחלט של המקרים אלימות גופנית מלווה גם באלימות כלכלית. ראו בהקשר זה: </w:t>
      </w:r>
      <w:r w:rsidRPr="00956B0F">
        <w:t xml:space="preserve">Adrienne E. Adams, Cris M. Sullivan, Deborah Bybee and Megan R. Greeson, Development of the Scale of Economic Abuse, </w:t>
      </w:r>
      <w:r w:rsidRPr="00956B0F">
        <w:rPr>
          <w:b/>
          <w:bCs/>
        </w:rPr>
        <w:t>Violence against Women</w:t>
      </w:r>
      <w:r w:rsidRPr="00956B0F">
        <w:t xml:space="preserve"> 14 (2008), pp. 563 - 588</w:t>
      </w:r>
      <w:r w:rsidRPr="00956B0F">
        <w:rPr>
          <w:rFonts w:hint="cs"/>
          <w:rtl/>
        </w:rPr>
        <w:t xml:space="preserve"> וכן דלית יסעור-בורוכוביץ', אריאן רנן-ברזילי, אורלי בנימין וקרני קריגל, </w:t>
      </w:r>
      <w:r w:rsidRPr="00956B0F">
        <w:rPr>
          <w:rFonts w:hint="eastAsia"/>
          <w:b/>
          <w:bCs/>
          <w:rtl/>
        </w:rPr>
        <w:t>אלימות</w:t>
      </w:r>
      <w:r w:rsidRPr="00956B0F">
        <w:rPr>
          <w:b/>
          <w:bCs/>
          <w:rtl/>
        </w:rPr>
        <w:t xml:space="preserve"> </w:t>
      </w:r>
      <w:r w:rsidRPr="00956B0F">
        <w:rPr>
          <w:rFonts w:hint="eastAsia"/>
          <w:b/>
          <w:bCs/>
          <w:rtl/>
        </w:rPr>
        <w:t>כלכלית</w:t>
      </w:r>
      <w:r w:rsidRPr="00956B0F">
        <w:rPr>
          <w:b/>
          <w:bCs/>
          <w:rtl/>
        </w:rPr>
        <w:t xml:space="preserve">: </w:t>
      </w:r>
      <w:r w:rsidRPr="00956B0F">
        <w:rPr>
          <w:rFonts w:hint="eastAsia"/>
          <w:b/>
          <w:bCs/>
          <w:rtl/>
        </w:rPr>
        <w:t>אפיונים</w:t>
      </w:r>
      <w:r w:rsidRPr="00956B0F">
        <w:rPr>
          <w:b/>
          <w:bCs/>
          <w:rtl/>
        </w:rPr>
        <w:t xml:space="preserve"> </w:t>
      </w:r>
      <w:r w:rsidRPr="00956B0F">
        <w:rPr>
          <w:rFonts w:hint="eastAsia"/>
          <w:b/>
          <w:bCs/>
          <w:rtl/>
        </w:rPr>
        <w:t>ודרכי</w:t>
      </w:r>
      <w:r w:rsidRPr="00956B0F">
        <w:rPr>
          <w:b/>
          <w:bCs/>
          <w:rtl/>
        </w:rPr>
        <w:t xml:space="preserve"> </w:t>
      </w:r>
      <w:r w:rsidRPr="00956B0F">
        <w:rPr>
          <w:rFonts w:hint="eastAsia"/>
          <w:b/>
          <w:bCs/>
          <w:rtl/>
        </w:rPr>
        <w:t>התמודדות</w:t>
      </w:r>
      <w:r w:rsidRPr="00956B0F">
        <w:rPr>
          <w:rFonts w:hint="cs"/>
          <w:rtl/>
        </w:rPr>
        <w:t xml:space="preserve"> (2021), עמ' 3; אריאן רנן-ברזילי ושירלי יוסרי, "אלימות כלכלית במשפחה - בין דומיננטיות גברית לגבריות נכפית?", </w:t>
      </w:r>
      <w:r w:rsidRPr="00956B0F">
        <w:rPr>
          <w:rFonts w:hint="cs"/>
          <w:b/>
          <w:bCs/>
          <w:rtl/>
        </w:rPr>
        <w:t>עיוני משפט</w:t>
      </w:r>
      <w:r w:rsidRPr="00956B0F">
        <w:rPr>
          <w:rFonts w:hint="cs"/>
          <w:rtl/>
        </w:rPr>
        <w:t xml:space="preserve"> לט </w:t>
      </w:r>
      <w:r w:rsidRPr="00956B0F">
        <w:rPr>
          <w:rtl/>
        </w:rPr>
        <w:t>613</w:t>
      </w:r>
      <w:r w:rsidRPr="00956B0F">
        <w:rPr>
          <w:rFonts w:hint="cs"/>
          <w:rtl/>
        </w:rPr>
        <w:t xml:space="preserve"> (2016).</w:t>
      </w:r>
    </w:p>
  </w:footnote>
  <w:footnote w:id="66">
    <w:p w14:paraId="7C4AABC9"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בשנים האחרונות יש המדברים על סוגי אלימות נוספים - "אלימות טכנולוגית", המוגדרת כשימוש באמצעים טכנולוגיים שונים, כגון טלפונים חכמים, אפליקציות, מרשתת, פלטפורמות מדיה חברתית ודואר אלקטרוני כדי לשלול את יכולתו של אדם לקיים אורח חיים בטוח במרחב הפרטי והציבורי; ו</w:t>
      </w:r>
      <w:r w:rsidRPr="00956B0F">
        <w:rPr>
          <w:rtl/>
        </w:rPr>
        <w:t>"אלימות משפטית", המוגדרת כשימוש בזכויות החוקיות ובערכאות המשפטיות השונות לצורך התנגחות, התעללות והמשך השליטה בבן או בת הזוג (למשל, הטלת אימה ואיומים במהלך משא ומתן לגירושין, ריבוי תביעות והתדיינויות משפטיות עקרות, סרבנות גט או הסתת ילדים לסרבנות קשר)</w:t>
      </w:r>
      <w:r w:rsidRPr="00956B0F">
        <w:rPr>
          <w:rFonts w:hint="cs"/>
          <w:rtl/>
        </w:rPr>
        <w:t xml:space="preserve">. ראו: רבקה נוימן, </w:t>
      </w:r>
      <w:r w:rsidRPr="00956B0F">
        <w:rPr>
          <w:rFonts w:hint="cs"/>
          <w:b/>
          <w:bCs/>
          <w:rtl/>
        </w:rPr>
        <w:t>מסמך מדיניות - אלימות טכנולוגית כנגד נשים</w:t>
      </w:r>
      <w:r w:rsidRPr="00956B0F">
        <w:rPr>
          <w:rFonts w:hint="cs"/>
          <w:rtl/>
        </w:rPr>
        <w:t xml:space="preserve"> (לא צוין תאריך).</w:t>
      </w:r>
    </w:p>
  </w:footnote>
  <w:footnote w:id="67">
    <w:p w14:paraId="57AD328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2, 5 ו-6 להוראת תע"ס 3.28; סעיף 3 לחוזר מנכ"ל משרד הבריאות 23/03.</w:t>
      </w:r>
      <w:r w:rsidRPr="00956B0F">
        <w:rPr>
          <w:rStyle w:val="Hyperlink"/>
          <w:color w:val="auto"/>
          <w:u w:val="none"/>
          <w:rtl/>
        </w:rPr>
        <w:t xml:space="preserve"> </w:t>
      </w:r>
      <w:r w:rsidRPr="00956B0F">
        <w:rPr>
          <w:rStyle w:val="Hyperlink"/>
          <w:rFonts w:hint="eastAsia"/>
          <w:color w:val="auto"/>
          <w:u w:val="none"/>
          <w:rtl/>
        </w:rPr>
        <w:t>י</w:t>
      </w:r>
      <w:r w:rsidRPr="00956B0F">
        <w:rPr>
          <w:rFonts w:hint="eastAsia"/>
          <w:rtl/>
        </w:rPr>
        <w:t>ש</w:t>
      </w:r>
      <w:r w:rsidRPr="00956B0F">
        <w:rPr>
          <w:rtl/>
        </w:rPr>
        <w:t xml:space="preserve"> </w:t>
      </w:r>
      <w:r w:rsidRPr="00956B0F">
        <w:rPr>
          <w:rFonts w:hint="eastAsia"/>
          <w:rtl/>
        </w:rPr>
        <w:t>לציין</w:t>
      </w:r>
      <w:r w:rsidRPr="00956B0F">
        <w:rPr>
          <w:rtl/>
        </w:rPr>
        <w:t xml:space="preserve"> </w:t>
      </w:r>
      <w:r w:rsidRPr="00956B0F">
        <w:rPr>
          <w:rFonts w:hint="eastAsia"/>
          <w:rtl/>
        </w:rPr>
        <w:t>כי</w:t>
      </w:r>
      <w:r w:rsidRPr="00956B0F">
        <w:rPr>
          <w:rtl/>
        </w:rPr>
        <w:t xml:space="preserve"> </w:t>
      </w:r>
      <w:r w:rsidRPr="00956B0F">
        <w:rPr>
          <w:rFonts w:hint="eastAsia"/>
          <w:rtl/>
        </w:rPr>
        <w:t>תחת</w:t>
      </w:r>
      <w:r w:rsidRPr="00956B0F">
        <w:rPr>
          <w:rtl/>
        </w:rPr>
        <w:t xml:space="preserve"> </w:t>
      </w:r>
      <w:r w:rsidRPr="00956B0F">
        <w:rPr>
          <w:rFonts w:hint="eastAsia"/>
          <w:rtl/>
        </w:rPr>
        <w:t>ההגדרות</w:t>
      </w:r>
      <w:r w:rsidRPr="00956B0F">
        <w:rPr>
          <w:rtl/>
        </w:rPr>
        <w:t xml:space="preserve"> של "</w:t>
      </w:r>
      <w:r w:rsidRPr="00956B0F">
        <w:rPr>
          <w:rFonts w:hint="eastAsia"/>
          <w:rtl/>
        </w:rPr>
        <w:t>אלימות</w:t>
      </w:r>
      <w:r w:rsidRPr="00956B0F">
        <w:rPr>
          <w:rtl/>
        </w:rPr>
        <w:t xml:space="preserve"> </w:t>
      </w:r>
      <w:r w:rsidRPr="00956B0F">
        <w:rPr>
          <w:rFonts w:hint="eastAsia"/>
          <w:rtl/>
        </w:rPr>
        <w:t>נפשית</w:t>
      </w:r>
      <w:r w:rsidRPr="00956B0F">
        <w:rPr>
          <w:rtl/>
        </w:rPr>
        <w:t xml:space="preserve">" או "אלימות </w:t>
      </w:r>
      <w:r w:rsidRPr="00956B0F">
        <w:rPr>
          <w:rFonts w:hint="eastAsia"/>
          <w:rtl/>
        </w:rPr>
        <w:t>פסיכולוגית</w:t>
      </w:r>
      <w:r w:rsidRPr="00956B0F">
        <w:rPr>
          <w:rtl/>
        </w:rPr>
        <w:t xml:space="preserve">", </w:t>
      </w:r>
      <w:r w:rsidRPr="00956B0F">
        <w:rPr>
          <w:rFonts w:hint="eastAsia"/>
          <w:rtl/>
        </w:rPr>
        <w:t>הגדרות</w:t>
      </w:r>
      <w:r w:rsidRPr="00956B0F">
        <w:rPr>
          <w:rtl/>
        </w:rPr>
        <w:t xml:space="preserve"> </w:t>
      </w:r>
      <w:r w:rsidRPr="00956B0F">
        <w:rPr>
          <w:rFonts w:hint="eastAsia"/>
          <w:rtl/>
        </w:rPr>
        <w:t>הכלולות</w:t>
      </w:r>
      <w:r w:rsidRPr="00956B0F">
        <w:rPr>
          <w:rtl/>
        </w:rPr>
        <w:t xml:space="preserve"> בהוראות רגולטוריות מסוימות, ניתן לכלול גם "</w:t>
      </w:r>
      <w:r w:rsidRPr="00956B0F">
        <w:rPr>
          <w:rFonts w:hint="eastAsia"/>
          <w:rtl/>
        </w:rPr>
        <w:t>אלימות</w:t>
      </w:r>
      <w:r w:rsidRPr="00956B0F">
        <w:rPr>
          <w:rtl/>
        </w:rPr>
        <w:t xml:space="preserve"> </w:t>
      </w:r>
      <w:r w:rsidRPr="00956B0F">
        <w:rPr>
          <w:rFonts w:hint="eastAsia"/>
          <w:rtl/>
        </w:rPr>
        <w:t>כלכלית</w:t>
      </w:r>
      <w:r w:rsidRPr="00956B0F">
        <w:rPr>
          <w:rtl/>
        </w:rPr>
        <w:t xml:space="preserve">" או "אלימות </w:t>
      </w:r>
      <w:r w:rsidRPr="00956B0F">
        <w:rPr>
          <w:rFonts w:hint="eastAsia"/>
          <w:rtl/>
        </w:rPr>
        <w:t>מילולית</w:t>
      </w:r>
      <w:r w:rsidRPr="00956B0F">
        <w:rPr>
          <w:rtl/>
        </w:rPr>
        <w:t>" (</w:t>
      </w:r>
      <w:r w:rsidRPr="00956B0F">
        <w:rPr>
          <w:rFonts w:hint="eastAsia"/>
          <w:rtl/>
        </w:rPr>
        <w:t>לעניין</w:t>
      </w:r>
      <w:r w:rsidRPr="00956B0F">
        <w:rPr>
          <w:rtl/>
        </w:rPr>
        <w:t xml:space="preserve"> ההגדרה של אלימות כלכלית, </w:t>
      </w:r>
      <w:r w:rsidRPr="00956B0F">
        <w:rPr>
          <w:rFonts w:hint="eastAsia"/>
          <w:rtl/>
        </w:rPr>
        <w:t>ראו</w:t>
      </w:r>
      <w:r w:rsidRPr="00956B0F">
        <w:rPr>
          <w:rtl/>
        </w:rPr>
        <w:t xml:space="preserve"> לדוגמה: </w:t>
      </w:r>
      <w:r w:rsidRPr="00956B0F">
        <w:t xml:space="preserve">Amanda M. Stylianou, "Economic Abuse Within Intimate Partner Violence: A Review of the Literature", </w:t>
      </w:r>
      <w:r w:rsidRPr="00956B0F">
        <w:rPr>
          <w:b/>
          <w:bCs/>
        </w:rPr>
        <w:t>Violence and Victims</w:t>
      </w:r>
      <w:r w:rsidRPr="00956B0F">
        <w:t xml:space="preserve"> 38(1) (2018). pp. 3 - 22</w:t>
      </w:r>
      <w:r w:rsidRPr="00956B0F">
        <w:rPr>
          <w:rtl/>
        </w:rPr>
        <w:t xml:space="preserve">). </w:t>
      </w:r>
      <w:r w:rsidRPr="00956B0F">
        <w:rPr>
          <w:rFonts w:hint="eastAsia"/>
          <w:rtl/>
        </w:rPr>
        <w:t>עם</w:t>
      </w:r>
      <w:r w:rsidRPr="00956B0F">
        <w:rPr>
          <w:rtl/>
        </w:rPr>
        <w:t xml:space="preserve"> זאת, </w:t>
      </w:r>
      <w:r w:rsidRPr="00956B0F">
        <w:rPr>
          <w:rFonts w:hint="eastAsia"/>
          <w:rtl/>
        </w:rPr>
        <w:t>במחקר</w:t>
      </w:r>
      <w:r w:rsidRPr="00956B0F">
        <w:rPr>
          <w:rtl/>
        </w:rPr>
        <w:t xml:space="preserve"> </w:t>
      </w:r>
      <w:r w:rsidRPr="00956B0F">
        <w:rPr>
          <w:rFonts w:hint="eastAsia"/>
          <w:rtl/>
        </w:rPr>
        <w:t>מושם</w:t>
      </w:r>
      <w:r w:rsidRPr="00956B0F">
        <w:rPr>
          <w:rtl/>
        </w:rPr>
        <w:t xml:space="preserve"> </w:t>
      </w:r>
      <w:r w:rsidRPr="00956B0F">
        <w:rPr>
          <w:rFonts w:hint="eastAsia"/>
          <w:rtl/>
        </w:rPr>
        <w:t>דגש</w:t>
      </w:r>
      <w:r w:rsidRPr="00956B0F">
        <w:rPr>
          <w:rtl/>
        </w:rPr>
        <w:t xml:space="preserve"> על החיוניות שב</w:t>
      </w:r>
      <w:r w:rsidRPr="00956B0F">
        <w:rPr>
          <w:rFonts w:hint="cs"/>
          <w:rtl/>
        </w:rPr>
        <w:t xml:space="preserve">קביעת </w:t>
      </w:r>
      <w:r w:rsidRPr="00956B0F">
        <w:rPr>
          <w:rFonts w:hint="eastAsia"/>
          <w:rtl/>
        </w:rPr>
        <w:t>הגדרה</w:t>
      </w:r>
      <w:r w:rsidRPr="00956B0F">
        <w:rPr>
          <w:rtl/>
        </w:rPr>
        <w:t xml:space="preserve"> ברורה </w:t>
      </w:r>
      <w:r w:rsidRPr="00956B0F">
        <w:rPr>
          <w:rFonts w:hint="eastAsia"/>
          <w:rtl/>
        </w:rPr>
        <w:t>ומובחנת</w:t>
      </w:r>
      <w:r w:rsidRPr="00956B0F">
        <w:rPr>
          <w:rtl/>
        </w:rPr>
        <w:t xml:space="preserve"> </w:t>
      </w:r>
      <w:r w:rsidRPr="00956B0F">
        <w:rPr>
          <w:rFonts w:hint="eastAsia"/>
          <w:rtl/>
        </w:rPr>
        <w:t>של</w:t>
      </w:r>
      <w:r w:rsidRPr="00956B0F">
        <w:rPr>
          <w:rtl/>
        </w:rPr>
        <w:t xml:space="preserve"> ביטויה השונים של התופעה, </w:t>
      </w:r>
      <w:r w:rsidRPr="00956B0F">
        <w:rPr>
          <w:rFonts w:hint="eastAsia"/>
          <w:rtl/>
        </w:rPr>
        <w:t>בפרט</w:t>
      </w:r>
      <w:r w:rsidRPr="00956B0F">
        <w:rPr>
          <w:rtl/>
        </w:rPr>
        <w:t xml:space="preserve"> </w:t>
      </w:r>
      <w:r w:rsidRPr="00956B0F">
        <w:rPr>
          <w:rFonts w:hint="eastAsia"/>
          <w:rtl/>
        </w:rPr>
        <w:t>של</w:t>
      </w:r>
      <w:r w:rsidRPr="00956B0F">
        <w:rPr>
          <w:rtl/>
        </w:rPr>
        <w:t xml:space="preserve"> </w:t>
      </w:r>
      <w:r w:rsidRPr="00956B0F">
        <w:rPr>
          <w:rFonts w:hint="eastAsia"/>
          <w:rtl/>
        </w:rPr>
        <w:t>אלימות</w:t>
      </w:r>
      <w:r w:rsidRPr="00956B0F">
        <w:rPr>
          <w:rtl/>
        </w:rPr>
        <w:t xml:space="preserve"> </w:t>
      </w:r>
      <w:r w:rsidRPr="00956B0F">
        <w:rPr>
          <w:rFonts w:hint="eastAsia"/>
          <w:rtl/>
        </w:rPr>
        <w:t>כלכלית</w:t>
      </w:r>
      <w:r w:rsidRPr="00956B0F">
        <w:rPr>
          <w:rtl/>
        </w:rPr>
        <w:t xml:space="preserve">, </w:t>
      </w:r>
      <w:r w:rsidRPr="00956B0F">
        <w:rPr>
          <w:rFonts w:hint="eastAsia"/>
          <w:rtl/>
        </w:rPr>
        <w:t>כדי</w:t>
      </w:r>
      <w:r w:rsidRPr="00956B0F">
        <w:rPr>
          <w:rtl/>
        </w:rPr>
        <w:t xml:space="preserve"> </w:t>
      </w:r>
      <w:r w:rsidRPr="00956B0F">
        <w:rPr>
          <w:rFonts w:hint="eastAsia"/>
          <w:rtl/>
        </w:rPr>
        <w:t>להתמודד</w:t>
      </w:r>
      <w:r w:rsidRPr="00956B0F">
        <w:rPr>
          <w:rtl/>
        </w:rPr>
        <w:t xml:space="preserve"> </w:t>
      </w:r>
      <w:r w:rsidRPr="00956B0F">
        <w:rPr>
          <w:rFonts w:hint="eastAsia"/>
          <w:rtl/>
        </w:rPr>
        <w:t>עימם</w:t>
      </w:r>
      <w:r w:rsidRPr="00956B0F">
        <w:rPr>
          <w:rtl/>
        </w:rPr>
        <w:t xml:space="preserve"> </w:t>
      </w:r>
      <w:r w:rsidRPr="00956B0F">
        <w:rPr>
          <w:rFonts w:hint="eastAsia"/>
          <w:rtl/>
        </w:rPr>
        <w:t>ועם</w:t>
      </w:r>
      <w:r w:rsidRPr="00956B0F">
        <w:rPr>
          <w:rtl/>
        </w:rPr>
        <w:t xml:space="preserve"> השלכותיהם הייחודיות </w:t>
      </w:r>
      <w:r w:rsidRPr="00956B0F">
        <w:rPr>
          <w:rFonts w:hint="eastAsia"/>
          <w:rtl/>
        </w:rPr>
        <w:t>באופן</w:t>
      </w:r>
      <w:r w:rsidRPr="00956B0F">
        <w:rPr>
          <w:rtl/>
        </w:rPr>
        <w:t xml:space="preserve"> </w:t>
      </w:r>
      <w:r w:rsidRPr="00956B0F">
        <w:rPr>
          <w:rFonts w:hint="eastAsia"/>
          <w:rtl/>
        </w:rPr>
        <w:t>מותאם</w:t>
      </w:r>
      <w:r w:rsidRPr="00956B0F">
        <w:rPr>
          <w:rFonts w:hint="cs"/>
          <w:rtl/>
        </w:rPr>
        <w:t>,</w:t>
      </w:r>
      <w:r w:rsidRPr="00956B0F">
        <w:rPr>
          <w:rtl/>
        </w:rPr>
        <w:t xml:space="preserve"> </w:t>
      </w:r>
      <w:r w:rsidRPr="00956B0F">
        <w:rPr>
          <w:rFonts w:hint="eastAsia"/>
          <w:rtl/>
        </w:rPr>
        <w:t>מיטבי</w:t>
      </w:r>
      <w:r w:rsidRPr="00956B0F">
        <w:rPr>
          <w:rFonts w:hint="cs"/>
          <w:rtl/>
        </w:rPr>
        <w:t xml:space="preserve"> ומועיל</w:t>
      </w:r>
      <w:r w:rsidRPr="00956B0F">
        <w:rPr>
          <w:rtl/>
        </w:rPr>
        <w:t>.</w:t>
      </w:r>
      <w:r w:rsidRPr="00956B0F">
        <w:rPr>
          <w:rFonts w:hint="cs"/>
          <w:rtl/>
        </w:rPr>
        <w:t xml:space="preserve"> </w:t>
      </w:r>
    </w:p>
  </w:footnote>
  <w:footnote w:id="68">
    <w:p w14:paraId="2A7876A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כך לדוגמה, לפי נתונים שנאספו מתוך שאלוני </w:t>
      </w:r>
      <w:r w:rsidRPr="00956B0F">
        <w:t>I-risk</w:t>
      </w:r>
      <w:r w:rsidRPr="00956B0F">
        <w:rPr>
          <w:rFonts w:hint="cs"/>
          <w:rtl/>
        </w:rPr>
        <w:t>, בשנים 2020 - 2024 שיעורה של האלימות הכלכלית עמד על כ-36%, והוא היה גבוה מהיקפה של תופעת האלימות הגופנית שעמד על כ-27%.</w:t>
      </w:r>
    </w:p>
  </w:footnote>
  <w:footnote w:id="69">
    <w:p w14:paraId="6A6BD58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רוזנבאום (2016), עמ' 10.</w:t>
      </w:r>
    </w:p>
  </w:footnote>
  <w:footnote w:id="70">
    <w:p w14:paraId="45EC84F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סעיף 3 לאמנת איסטנבול. אימוצה של אמנה בין-לאומית הוא ככלל דו-שלבי - לאחר חתימה על האמנה נדרש אשרורה, היינו אימוץ האמנה באופן שתוטמע בחקיקה הפנימית של המדינה. ראו: יפה זילברשץ, "המשפט הבינלאומי במשפט החוקתי", </w:t>
      </w:r>
      <w:r w:rsidRPr="00956B0F">
        <w:rPr>
          <w:rFonts w:hint="cs"/>
          <w:b/>
          <w:bCs/>
          <w:rtl/>
        </w:rPr>
        <w:t>משפט</w:t>
      </w:r>
      <w:r w:rsidRPr="00956B0F">
        <w:rPr>
          <w:rFonts w:hint="cs"/>
          <w:rtl/>
        </w:rPr>
        <w:t xml:space="preserve"> </w:t>
      </w:r>
      <w:r w:rsidRPr="00956B0F">
        <w:rPr>
          <w:rFonts w:hint="cs"/>
          <w:b/>
          <w:bCs/>
          <w:rtl/>
        </w:rPr>
        <w:t>וממשל</w:t>
      </w:r>
      <w:r w:rsidRPr="00956B0F">
        <w:rPr>
          <w:rFonts w:hint="cs"/>
          <w:rtl/>
        </w:rPr>
        <w:t xml:space="preserve"> ד (התשנ"ז), עמ' 54 - 55. נכון לספטמבר 2024 חתמו על אמנת איסטנבול 45 מדינות, ומהן אשררו אותה </w:t>
      </w:r>
      <w:r w:rsidRPr="00956B0F">
        <w:rPr>
          <w:rtl/>
        </w:rPr>
        <w:t>3</w:t>
      </w:r>
      <w:r w:rsidRPr="00956B0F">
        <w:rPr>
          <w:rFonts w:hint="cs"/>
          <w:rtl/>
        </w:rPr>
        <w:t>9</w:t>
      </w:r>
      <w:r w:rsidRPr="00956B0F">
        <w:rPr>
          <w:rtl/>
        </w:rPr>
        <w:t xml:space="preserve"> מדינות</w:t>
      </w:r>
      <w:r w:rsidRPr="00956B0F">
        <w:rPr>
          <w:rFonts w:hint="cs"/>
          <w:rtl/>
        </w:rPr>
        <w:t xml:space="preserve">. ראו בקישור (כניסה אחרונה: 18.9.24): </w:t>
      </w:r>
      <w:r w:rsidRPr="00956B0F">
        <w:t>www.coe.int/en/web/conventions/full-list?module=signatures-by-treaty&amp;treatynum=210</w:t>
      </w:r>
      <w:r w:rsidRPr="00956B0F">
        <w:rPr>
          <w:rFonts w:hint="cs"/>
          <w:rtl/>
        </w:rPr>
        <w:t xml:space="preserve"> </w:t>
      </w:r>
    </w:p>
    <w:p w14:paraId="1DB61CE0" w14:textId="77777777" w:rsidR="00F769CC" w:rsidRPr="00956B0F" w:rsidRDefault="00F769CC" w:rsidP="00817399">
      <w:pPr>
        <w:pStyle w:val="af7"/>
        <w:rPr>
          <w:rtl/>
        </w:rPr>
      </w:pPr>
      <w:r w:rsidRPr="00956B0F">
        <w:rPr>
          <w:rtl/>
        </w:rPr>
        <w:tab/>
      </w:r>
      <w:r w:rsidRPr="00956B0F">
        <w:rPr>
          <w:rFonts w:hint="cs"/>
          <w:rtl/>
        </w:rPr>
        <w:t xml:space="preserve">יש לציין כי </w:t>
      </w:r>
      <w:r w:rsidRPr="00956B0F">
        <w:rPr>
          <w:rtl/>
        </w:rPr>
        <w:t xml:space="preserve">במסגרת ההסכם </w:t>
      </w:r>
      <w:r w:rsidRPr="00956B0F">
        <w:rPr>
          <w:rFonts w:hint="cs"/>
          <w:rtl/>
        </w:rPr>
        <w:t>ה</w:t>
      </w:r>
      <w:r w:rsidRPr="00956B0F">
        <w:rPr>
          <w:rtl/>
        </w:rPr>
        <w:t xml:space="preserve">קואליציוני </w:t>
      </w:r>
      <w:r w:rsidRPr="00956B0F">
        <w:rPr>
          <w:rFonts w:hint="cs"/>
          <w:rtl/>
        </w:rPr>
        <w:t xml:space="preserve">לכינון ממשלה לאומית מ-28.12.22 בין סיעת הליכוד וסיעת הציונות הדתית בכנסת ה-25 </w:t>
      </w:r>
      <w:r w:rsidRPr="00956B0F">
        <w:rPr>
          <w:rtl/>
        </w:rPr>
        <w:t xml:space="preserve">הוסכם </w:t>
      </w:r>
      <w:r w:rsidRPr="00956B0F">
        <w:rPr>
          <w:rFonts w:hint="cs"/>
          <w:rtl/>
        </w:rPr>
        <w:t>כי "הממשלה לא תאשר את הצטרפות ישראל לאמנת איסטנבול" (סעיף 106 להסכם)</w:t>
      </w:r>
      <w:r w:rsidRPr="00956B0F">
        <w:rPr>
          <w:rtl/>
        </w:rPr>
        <w:t>.</w:t>
      </w:r>
    </w:p>
  </w:footnote>
  <w:footnote w:id="71">
    <w:p w14:paraId="6E7E7DB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רוזנבאום (2016), עמ' 11.</w:t>
      </w:r>
    </w:p>
  </w:footnote>
  <w:footnote w:id="72">
    <w:p w14:paraId="05AA96A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פרוטוקול מס' 157 מישיבת הוועדה לקידום מעמד האישה בכנסת מ-14.3.2017. </w:t>
      </w:r>
    </w:p>
  </w:footnote>
  <w:footnote w:id="73">
    <w:p w14:paraId="7C613F6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נוהל מס' 08/25 של מינהל לסיוע בדיור במשרד הבינוי והשיכון, "נפגעי אלימות במשפחה" (12.3.23).</w:t>
      </w:r>
    </w:p>
  </w:footnote>
  <w:footnote w:id="74">
    <w:p w14:paraId="39C9627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t>www.gov.il/he/pages/molsa-domestic-violence-types</w:t>
      </w:r>
      <w:r w:rsidRPr="00956B0F">
        <w:rPr>
          <w:rFonts w:hint="cs"/>
          <w:rtl/>
        </w:rPr>
        <w:t xml:space="preserve"> (כניסה אחרונה: 21.7.24)</w:t>
      </w:r>
    </w:p>
  </w:footnote>
  <w:footnote w:id="75">
    <w:p w14:paraId="7DD3AE1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חוק למניעת אלימות במשפחה </w:t>
      </w:r>
      <w:r w:rsidRPr="00956B0F">
        <w:rPr>
          <w:rFonts w:hint="cs"/>
          <w:rtl/>
        </w:rPr>
        <w:t>(</w:t>
      </w:r>
      <w:r w:rsidRPr="00956B0F">
        <w:rPr>
          <w:rtl/>
        </w:rPr>
        <w:t>תיקון מס' 19</w:t>
      </w:r>
      <w:r w:rsidRPr="00956B0F">
        <w:rPr>
          <w:rFonts w:hint="cs"/>
          <w:rtl/>
        </w:rPr>
        <w:t xml:space="preserve"> -</w:t>
      </w:r>
      <w:r w:rsidRPr="00956B0F">
        <w:rPr>
          <w:rtl/>
        </w:rPr>
        <w:t xml:space="preserve"> הוראת שעה</w:t>
      </w:r>
      <w:r w:rsidRPr="00956B0F">
        <w:rPr>
          <w:rFonts w:hint="cs"/>
          <w:rtl/>
        </w:rPr>
        <w:t>)</w:t>
      </w:r>
      <w:r w:rsidRPr="00956B0F">
        <w:rPr>
          <w:rtl/>
        </w:rPr>
        <w:t>, התשפ"ג</w:t>
      </w:r>
      <w:r w:rsidRPr="00956B0F">
        <w:rPr>
          <w:rFonts w:hint="cs"/>
          <w:rtl/>
        </w:rPr>
        <w:t>-</w:t>
      </w:r>
      <w:r w:rsidRPr="00956B0F">
        <w:rPr>
          <w:rtl/>
        </w:rPr>
        <w:t>2023</w:t>
      </w:r>
      <w:r w:rsidRPr="00956B0F">
        <w:rPr>
          <w:rFonts w:hint="cs"/>
          <w:rtl/>
        </w:rPr>
        <w:t>, ס"ח 3085, י"ט באב התשפ"ג, 6.8.2023, עמ' 672. ראו תת-הפרק "אכיפת צווי הגנה באמצעים טכנולוגיים"</w:t>
      </w:r>
      <w:r w:rsidRPr="00956B0F">
        <w:rPr>
          <w:rtl/>
        </w:rPr>
        <w:t>.</w:t>
      </w:r>
    </w:p>
  </w:footnote>
  <w:footnote w:id="76">
    <w:p w14:paraId="3CC9DAE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חוק למניעת אלימות במשפחה (תיקון מס' 18 - הוראת שעה), התשפ"ד-2021, ס"ח 2939, י"א בטבת התשפ"ב, 15.12.21, עמ' 474. ראו תת-הפרק "הפניית פוגעים לטיפול במסגרת הדיון בבקשה לצו הגנה"</w:t>
      </w:r>
      <w:r w:rsidRPr="00956B0F">
        <w:rPr>
          <w:rtl/>
        </w:rPr>
        <w:t>.</w:t>
      </w:r>
    </w:p>
  </w:footnote>
  <w:footnote w:id="77">
    <w:p w14:paraId="26DECAC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הצעת חוק למניעת אלימות במשפחה (תיקון - מניעת אלימות כלכלית) (הוראת שעה), התשפ"ג-2023, </w:t>
      </w:r>
      <w:r w:rsidRPr="00956B0F">
        <w:rPr>
          <w:rFonts w:hint="eastAsia"/>
          <w:rtl/>
        </w:rPr>
        <w:t>פ</w:t>
      </w:r>
      <w:r w:rsidRPr="00956B0F">
        <w:rPr>
          <w:rtl/>
        </w:rPr>
        <w:t>/2024/25.</w:t>
      </w:r>
    </w:p>
  </w:footnote>
  <w:footnote w:id="78">
    <w:p w14:paraId="4C15CA0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במהלך הדיון המוקדם ("קריאה טרומית"), לאחר שהצעת החוק הוסרה מסדר היום. ראו: פרוטוקול הישיבה ה-96 של הכנסת ה-25 מ-19.7.23, עמ' 108 - 109. </w:t>
      </w:r>
    </w:p>
  </w:footnote>
  <w:footnote w:id="79">
    <w:p w14:paraId="7AF4159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הצעת חוק למניעת אלימות במשפחה (תיקון מס' 18 והוראת שעה) (מניעת אלימות כלכלית), התש"ף-2020, ה"ח הממשלה - 1356, כ' באב התש"ף, 10.8.20, עמ' 650. הצעת החוק אושרה עקרונית בוועדת השרים לענייני חקיקה ב-19.7.20 (</w:t>
      </w:r>
      <w:r w:rsidRPr="00956B0F">
        <w:rPr>
          <w:rtl/>
        </w:rPr>
        <w:t>החלטה מספר חק/131 של ועדת השרים לענייני חקיקה מיום 19.07.20</w:t>
      </w:r>
      <w:r w:rsidRPr="00956B0F">
        <w:rPr>
          <w:rFonts w:hint="cs"/>
          <w:rtl/>
        </w:rPr>
        <w:t>,</w:t>
      </w:r>
      <w:r w:rsidRPr="00956B0F">
        <w:rPr>
          <w:rtl/>
        </w:rPr>
        <w:t xml:space="preserve"> אשר צורפה לפרוטוקול החלטות הממשלה</w:t>
      </w:r>
      <w:r w:rsidRPr="00956B0F">
        <w:rPr>
          <w:rFonts w:hint="cs"/>
          <w:rtl/>
        </w:rPr>
        <w:t xml:space="preserve">, </w:t>
      </w:r>
      <w:r w:rsidRPr="00956B0F">
        <w:rPr>
          <w:rtl/>
        </w:rPr>
        <w:t>ק</w:t>
      </w:r>
      <w:r w:rsidRPr="00956B0F">
        <w:rPr>
          <w:rFonts w:hint="cs"/>
          <w:rtl/>
        </w:rPr>
        <w:t>י</w:t>
      </w:r>
      <w:r w:rsidRPr="00956B0F">
        <w:rPr>
          <w:rtl/>
        </w:rPr>
        <w:t>בלה תוקף של החלטת ממשלה ביום 06.08.20 ומספרה 304</w:t>
      </w:r>
      <w:r w:rsidRPr="00956B0F">
        <w:rPr>
          <w:rFonts w:hint="cs"/>
          <w:rtl/>
        </w:rPr>
        <w:t>[</w:t>
      </w:r>
      <w:r w:rsidRPr="00956B0F">
        <w:rPr>
          <w:rtl/>
        </w:rPr>
        <w:t>חק/131</w:t>
      </w:r>
      <w:r w:rsidRPr="00956B0F">
        <w:rPr>
          <w:rFonts w:hint="cs"/>
          <w:rtl/>
        </w:rPr>
        <w:t>]).</w:t>
      </w:r>
    </w:p>
  </w:footnote>
  <w:footnote w:id="80">
    <w:p w14:paraId="00ECC0F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פרוטוקול מס' 20 מישיבת הוועדה לקידום מעמד האישה בכנסת מ-23.11.21.</w:t>
      </w:r>
      <w:r w:rsidRPr="00956B0F">
        <w:rPr>
          <w:rtl/>
        </w:rPr>
        <w:t xml:space="preserve"> </w:t>
      </w:r>
    </w:p>
  </w:footnote>
  <w:footnote w:id="81">
    <w:p w14:paraId="15B349F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פרוטוקול מס' 55 מישיבת הוועדה לקידום מעמד האישה בכנסת מ-10.5.22.</w:t>
      </w:r>
      <w:r w:rsidRPr="00956B0F">
        <w:rPr>
          <w:rtl/>
        </w:rPr>
        <w:t xml:space="preserve"> </w:t>
      </w:r>
    </w:p>
  </w:footnote>
  <w:footnote w:id="82">
    <w:p w14:paraId="1A28CC0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ההגדרה מפורסמת בקישור הבא (כניסה אחרונה: 7.5.25):</w:t>
      </w:r>
    </w:p>
    <w:p w14:paraId="2A287C08" w14:textId="77777777" w:rsidR="00F769CC" w:rsidRPr="00956B0F" w:rsidRDefault="00F769CC" w:rsidP="00817399">
      <w:pPr>
        <w:pStyle w:val="af7"/>
        <w:rPr>
          <w:rtl/>
        </w:rPr>
      </w:pPr>
      <w:r w:rsidRPr="00956B0F">
        <w:rPr>
          <w:rtl/>
        </w:rPr>
        <w:tab/>
      </w:r>
      <w:r w:rsidRPr="00956B0F">
        <w:t>www.redlines.org.il/%d7%9e%d7%94-%d7%96%d7%90%d7%aa-%d7%90%d7%9c%d7%99%d7%9e%d7%95%d7%aa-%d7%91%d7%96%d7%95%d7%92%d7%99%d7%95%d7%aa-2</w:t>
      </w:r>
      <w:r w:rsidRPr="00956B0F">
        <w:rPr>
          <w:rtl/>
        </w:rPr>
        <w:t>/</w:t>
      </w:r>
    </w:p>
  </w:footnote>
  <w:footnote w:id="83">
    <w:p w14:paraId="6E2AF94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b/>
          <w:bCs/>
          <w:rtl/>
        </w:rPr>
        <w:t>פיתוח</w:t>
      </w:r>
      <w:r w:rsidRPr="00956B0F">
        <w:rPr>
          <w:b/>
          <w:bCs/>
          <w:rtl/>
        </w:rPr>
        <w:t xml:space="preserve"> </w:t>
      </w:r>
      <w:r w:rsidRPr="00956B0F">
        <w:rPr>
          <w:rFonts w:hint="eastAsia"/>
          <w:b/>
          <w:bCs/>
          <w:rtl/>
        </w:rPr>
        <w:t>כלים</w:t>
      </w:r>
      <w:r w:rsidRPr="00956B0F">
        <w:rPr>
          <w:b/>
          <w:bCs/>
          <w:rtl/>
        </w:rPr>
        <w:t xml:space="preserve"> </w:t>
      </w:r>
      <w:r w:rsidRPr="00956B0F">
        <w:rPr>
          <w:rFonts w:hint="eastAsia"/>
          <w:b/>
          <w:bCs/>
          <w:rtl/>
        </w:rPr>
        <w:t>אחידים</w:t>
      </w:r>
      <w:r w:rsidRPr="00956B0F">
        <w:rPr>
          <w:b/>
          <w:bCs/>
          <w:rtl/>
        </w:rPr>
        <w:t xml:space="preserve"> </w:t>
      </w:r>
      <w:r w:rsidRPr="00956B0F">
        <w:rPr>
          <w:rFonts w:hint="eastAsia"/>
          <w:b/>
          <w:bCs/>
          <w:rtl/>
        </w:rPr>
        <w:t>ומותאמים</w:t>
      </w:r>
      <w:r w:rsidRPr="00956B0F">
        <w:rPr>
          <w:b/>
          <w:bCs/>
          <w:rtl/>
        </w:rPr>
        <w:t xml:space="preserve"> </w:t>
      </w:r>
      <w:r w:rsidRPr="00956B0F">
        <w:rPr>
          <w:rFonts w:hint="eastAsia"/>
          <w:b/>
          <w:bCs/>
          <w:rtl/>
        </w:rPr>
        <w:t>להערכת</w:t>
      </w:r>
      <w:r w:rsidRPr="00956B0F">
        <w:rPr>
          <w:b/>
          <w:bCs/>
          <w:rtl/>
        </w:rPr>
        <w:t xml:space="preserve"> </w:t>
      </w:r>
      <w:r w:rsidRPr="00956B0F">
        <w:rPr>
          <w:rFonts w:hint="eastAsia"/>
          <w:b/>
          <w:bCs/>
          <w:rtl/>
        </w:rPr>
        <w:t>מסוכנות</w:t>
      </w:r>
      <w:r w:rsidRPr="00956B0F">
        <w:rPr>
          <w:rFonts w:hint="cs"/>
          <w:b/>
          <w:bCs/>
          <w:rtl/>
        </w:rPr>
        <w:t xml:space="preserve"> </w:t>
      </w:r>
      <w:r w:rsidRPr="00956B0F">
        <w:rPr>
          <w:rFonts w:hint="cs"/>
          <w:rtl/>
        </w:rPr>
        <w:t xml:space="preserve">(דוח ביניים) (מאי 2020), עמ' 14; רותם שער-אפודי ונתנאל דגן, "שיקולי מסוכנות ושיקום בהחלטותיהן של ועדות השחרורים בישראל: ניתוח אמפירי", </w:t>
      </w:r>
      <w:r w:rsidRPr="00956B0F">
        <w:rPr>
          <w:rFonts w:hint="cs"/>
          <w:b/>
          <w:bCs/>
          <w:rtl/>
        </w:rPr>
        <w:t>קרימינולוגיה ישראלית</w:t>
      </w:r>
      <w:r w:rsidRPr="00956B0F">
        <w:rPr>
          <w:rFonts w:hint="cs"/>
          <w:rtl/>
        </w:rPr>
        <w:t xml:space="preserve"> י </w:t>
      </w:r>
      <w:r w:rsidRPr="00956B0F">
        <w:rPr>
          <w:rtl/>
        </w:rPr>
        <w:t>119</w:t>
      </w:r>
      <w:r w:rsidRPr="00956B0F">
        <w:rPr>
          <w:rFonts w:hint="cs"/>
          <w:rtl/>
        </w:rPr>
        <w:t xml:space="preserve"> (תשפ"ב), עמ' 122 - 123 </w:t>
      </w:r>
      <w:r w:rsidRPr="00956B0F">
        <w:rPr>
          <w:rtl/>
        </w:rPr>
        <w:t xml:space="preserve">(להלן - </w:t>
      </w:r>
      <w:r w:rsidRPr="00956B0F">
        <w:rPr>
          <w:rFonts w:hint="eastAsia"/>
          <w:rtl/>
        </w:rPr>
        <w:t>שער</w:t>
      </w:r>
      <w:r w:rsidRPr="00956B0F">
        <w:rPr>
          <w:rtl/>
        </w:rPr>
        <w:t xml:space="preserve">-אפודי </w:t>
      </w:r>
      <w:r w:rsidRPr="00956B0F">
        <w:rPr>
          <w:rFonts w:hint="eastAsia"/>
          <w:rtl/>
        </w:rPr>
        <w:t>ודגן</w:t>
      </w:r>
      <w:r w:rsidRPr="00956B0F">
        <w:rPr>
          <w:rtl/>
        </w:rPr>
        <w:t>)</w:t>
      </w:r>
      <w:r w:rsidRPr="00956B0F">
        <w:rPr>
          <w:rFonts w:hint="cs"/>
          <w:rtl/>
        </w:rPr>
        <w:t>.</w:t>
      </w:r>
    </w:p>
  </w:footnote>
  <w:footnote w:id="84">
    <w:p w14:paraId="01AB4F5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הערכת מסוכנות לקביעת הצורך והדחיפות בהתערבות ובמתן הגנה מיידית משמשת את משטרת ישראל (לפי נוהל הטיפול המשטרתי בעבירות אלימות במשפחה); מערכת הבריאות (לפי חוזר מנכ"ל משרד הבריאות 23/03); המחלקות לשירותים חברתיים והמרכזים לטיפול ומניעת אלימות במשפחה (לפי </w:t>
      </w:r>
      <w:r w:rsidRPr="00956B0F">
        <w:rPr>
          <w:rFonts w:hint="eastAsia"/>
          <w:rtl/>
        </w:rPr>
        <w:t>סעיף</w:t>
      </w:r>
      <w:r w:rsidRPr="00956B0F">
        <w:rPr>
          <w:rtl/>
        </w:rPr>
        <w:t xml:space="preserve"> 14.1 </w:t>
      </w:r>
      <w:r w:rsidRPr="00956B0F">
        <w:rPr>
          <w:rFonts w:hint="eastAsia"/>
          <w:rtl/>
        </w:rPr>
        <w:t>להוראת</w:t>
      </w:r>
      <w:r w:rsidRPr="00956B0F">
        <w:rPr>
          <w:rtl/>
        </w:rPr>
        <w:t xml:space="preserve"> </w:t>
      </w:r>
      <w:r w:rsidRPr="00956B0F">
        <w:rPr>
          <w:rFonts w:hint="eastAsia"/>
          <w:rtl/>
        </w:rPr>
        <w:t>תע</w:t>
      </w:r>
      <w:r w:rsidRPr="00956B0F">
        <w:rPr>
          <w:rtl/>
        </w:rPr>
        <w:t>"ס 3.28</w:t>
      </w:r>
      <w:r w:rsidRPr="00956B0F">
        <w:rPr>
          <w:rFonts w:hint="cs"/>
          <w:rtl/>
        </w:rPr>
        <w:t xml:space="preserve">); וכן ועדות מחוזיות להערכת פוטנציאל מסוכנות (לפי הוראת תע"ס 3.39 בנושא "הנהלים להפניית לקוחות המחלקות לשירותים חברתיים לוועדה המחוזית המשותפת למשרדי הרווחה והשירותים החברתיים והבריאות בנושא הערכת פוטנציאל המסוכנות באלימות במשפחה" מ-1.4.08). </w:t>
      </w:r>
    </w:p>
  </w:footnote>
  <w:footnote w:id="85">
    <w:p w14:paraId="240E78D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הערכת המסוכנות בהליכים אזרחיים או פליליים שעניינם עבירות אלימות במשפחה משמשת את משטרת ישראל (לפי נוהל משטרת יש</w:t>
      </w:r>
      <w:r w:rsidRPr="00956B0F">
        <w:rPr>
          <w:rFonts w:hint="eastAsia"/>
          <w:rtl/>
        </w:rPr>
        <w:t>ראל</w:t>
      </w:r>
      <w:r w:rsidRPr="00956B0F">
        <w:rPr>
          <w:rFonts w:hint="cs"/>
          <w:rtl/>
        </w:rPr>
        <w:t>,</w:t>
      </w:r>
      <w:r w:rsidRPr="00956B0F">
        <w:rPr>
          <w:rtl/>
        </w:rPr>
        <w:t xml:space="preserve"> "</w:t>
      </w:r>
      <w:r w:rsidRPr="00956B0F">
        <w:rPr>
          <w:rFonts w:hint="eastAsia"/>
          <w:rtl/>
        </w:rPr>
        <w:t>ה</w:t>
      </w:r>
      <w:r w:rsidRPr="00956B0F">
        <w:rPr>
          <w:rFonts w:hint="cs"/>
          <w:rtl/>
        </w:rPr>
        <w:t>טיפול המשטרתי בעבירות אלימות במשפחה" (1.2.14) ואת שירות בתי הסוהר (לפי הוראת תע"ס 3.37, "ועדות מחוזיות לגילוי עריות ולאלימות במשפחה לענייני אסירים ומשפחותיהם" (1.5.12</w:t>
      </w:r>
      <w:r w:rsidRPr="00956B0F">
        <w:rPr>
          <w:rStyle w:val="Hyperlink"/>
          <w:rFonts w:hint="cs"/>
          <w:color w:val="auto"/>
          <w:u w:val="none"/>
          <w:rtl/>
        </w:rPr>
        <w:t>)</w:t>
      </w:r>
      <w:r w:rsidRPr="00956B0F">
        <w:rPr>
          <w:rFonts w:hint="cs"/>
          <w:rtl/>
        </w:rPr>
        <w:t xml:space="preserve"> [להלן - הוראת תע"ס 3.37]).</w:t>
      </w:r>
    </w:p>
  </w:footnote>
  <w:footnote w:id="86">
    <w:p w14:paraId="5A3DD21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בן-שלום (1998), עמ' 9.</w:t>
      </w:r>
    </w:p>
  </w:footnote>
  <w:footnote w:id="87">
    <w:p w14:paraId="10B1262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דין וחשבון ועדת רוזנבאום (2016), </w:t>
      </w:r>
      <w:r w:rsidRPr="00956B0F">
        <w:rPr>
          <w:rtl/>
        </w:rPr>
        <w:t xml:space="preserve">עמ' 67. </w:t>
      </w:r>
    </w:p>
  </w:footnote>
  <w:footnote w:id="88">
    <w:p w14:paraId="77126F2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דין וחשבון ועדת בן-שלום (1998), </w:t>
      </w:r>
      <w:r w:rsidRPr="00956B0F">
        <w:rPr>
          <w:rFonts w:hint="eastAsia"/>
          <w:rtl/>
        </w:rPr>
        <w:t>עמ</w:t>
      </w:r>
      <w:r w:rsidRPr="00956B0F">
        <w:rPr>
          <w:rtl/>
        </w:rPr>
        <w:t>' 29.</w:t>
      </w:r>
    </w:p>
  </w:footnote>
  <w:footnote w:id="89">
    <w:p w14:paraId="1940019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משרד הרווחה, </w:t>
      </w:r>
      <w:r w:rsidRPr="00956B0F">
        <w:rPr>
          <w:rFonts w:hint="cs"/>
          <w:b/>
          <w:bCs/>
          <w:rtl/>
        </w:rPr>
        <w:t>אגף בכיר משפחות ילדים ונוער בקהילה: סיכום פעילות ונתונים לשנת 2019</w:t>
      </w:r>
      <w:r w:rsidRPr="00956B0F">
        <w:rPr>
          <w:rFonts w:hint="cs"/>
          <w:rtl/>
        </w:rPr>
        <w:t xml:space="preserve"> (2020), עמ' 117 - 119. הוועדה הבין-משרדית לבדיקת מקרי רצח נשים בידי בני זוגן פועלת מתוקף החלטת הממשלה 1820, "הטיפול בתופעת האלימות בין בני זוג" (16.5.02) והחלטת הממשלה 1821, "</w:t>
      </w:r>
      <w:r w:rsidRPr="00956B0F">
        <w:rPr>
          <w:rtl/>
        </w:rPr>
        <w:t>הרחבת סמכויות הוועדה הבין-משרדית לבדיקת מקרי רצח נשים בידי בני זוגן</w:t>
      </w:r>
      <w:r w:rsidRPr="00956B0F">
        <w:rPr>
          <w:rFonts w:hint="cs"/>
          <w:rtl/>
        </w:rPr>
        <w:t>" (14.8</w:t>
      </w:r>
      <w:r w:rsidRPr="00956B0F">
        <w:rPr>
          <w:rtl/>
        </w:rPr>
        <w:t>.</w:t>
      </w:r>
      <w:r w:rsidRPr="00956B0F">
        <w:rPr>
          <w:rFonts w:hint="cs"/>
          <w:rtl/>
        </w:rPr>
        <w:t>22).</w:t>
      </w:r>
    </w:p>
  </w:footnote>
  <w:footnote w:id="90">
    <w:p w14:paraId="4789DB9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הכלים שמופו משמשים את </w:t>
      </w:r>
      <w:r w:rsidRPr="00956B0F">
        <w:rPr>
          <w:rtl/>
        </w:rPr>
        <w:t>משרד הרווחה</w:t>
      </w:r>
      <w:r w:rsidRPr="00956B0F">
        <w:rPr>
          <w:rFonts w:hint="cs"/>
          <w:rtl/>
        </w:rPr>
        <w:t xml:space="preserve"> (שישה כלים), משטרת ישראל, </w:t>
      </w:r>
      <w:r w:rsidRPr="00956B0F">
        <w:rPr>
          <w:rtl/>
        </w:rPr>
        <w:t>משרד הבריאו</w:t>
      </w:r>
      <w:r w:rsidRPr="00956B0F">
        <w:rPr>
          <w:rFonts w:hint="cs"/>
          <w:rtl/>
        </w:rPr>
        <w:t>ת, ועדות מחוזיות לעבירות אלימות במשפחה ו</w:t>
      </w:r>
      <w:r w:rsidRPr="00956B0F">
        <w:rPr>
          <w:rtl/>
        </w:rPr>
        <w:t>ועדות מחוזיות להערכת פוטנציאל מסוכנות</w:t>
      </w:r>
      <w:r w:rsidRPr="00956B0F">
        <w:rPr>
          <w:rFonts w:hint="cs"/>
          <w:rtl/>
        </w:rPr>
        <w:t xml:space="preserve">. שלושה מבין עשרת הכלים שמופו משמשים להערכת מסוכנות שנשקפת לקשישים ולילדים. ראו: </w:t>
      </w:r>
      <w:r w:rsidRPr="00956B0F">
        <w:rPr>
          <w:rFonts w:hint="eastAsia"/>
          <w:b/>
          <w:bCs/>
          <w:rtl/>
        </w:rPr>
        <w:t>פיתוח</w:t>
      </w:r>
      <w:r w:rsidRPr="00956B0F">
        <w:rPr>
          <w:b/>
          <w:bCs/>
          <w:rtl/>
        </w:rPr>
        <w:t xml:space="preserve"> </w:t>
      </w:r>
      <w:r w:rsidRPr="00956B0F">
        <w:rPr>
          <w:rFonts w:hint="eastAsia"/>
          <w:b/>
          <w:bCs/>
          <w:rtl/>
        </w:rPr>
        <w:t>כלים</w:t>
      </w:r>
      <w:r w:rsidRPr="00956B0F">
        <w:rPr>
          <w:b/>
          <w:bCs/>
          <w:rtl/>
        </w:rPr>
        <w:t xml:space="preserve"> </w:t>
      </w:r>
      <w:r w:rsidRPr="00956B0F">
        <w:rPr>
          <w:rFonts w:hint="eastAsia"/>
          <w:b/>
          <w:bCs/>
          <w:rtl/>
        </w:rPr>
        <w:t>אחידים</w:t>
      </w:r>
      <w:r w:rsidRPr="00956B0F">
        <w:rPr>
          <w:b/>
          <w:bCs/>
          <w:rtl/>
        </w:rPr>
        <w:t xml:space="preserve"> </w:t>
      </w:r>
      <w:r w:rsidRPr="00956B0F">
        <w:rPr>
          <w:rFonts w:hint="eastAsia"/>
          <w:b/>
          <w:bCs/>
          <w:rtl/>
        </w:rPr>
        <w:t>ומותאמים</w:t>
      </w:r>
      <w:r w:rsidRPr="00956B0F">
        <w:rPr>
          <w:b/>
          <w:bCs/>
          <w:rtl/>
        </w:rPr>
        <w:t xml:space="preserve"> </w:t>
      </w:r>
      <w:r w:rsidRPr="00956B0F">
        <w:rPr>
          <w:rFonts w:hint="eastAsia"/>
          <w:b/>
          <w:bCs/>
          <w:rtl/>
        </w:rPr>
        <w:t>להערכת</w:t>
      </w:r>
      <w:r w:rsidRPr="00956B0F">
        <w:rPr>
          <w:b/>
          <w:bCs/>
          <w:rtl/>
        </w:rPr>
        <w:t xml:space="preserve"> </w:t>
      </w:r>
      <w:r w:rsidRPr="00956B0F">
        <w:rPr>
          <w:rFonts w:hint="eastAsia"/>
          <w:b/>
          <w:bCs/>
          <w:rtl/>
        </w:rPr>
        <w:t>מסוכנות</w:t>
      </w:r>
      <w:r w:rsidRPr="00956B0F">
        <w:rPr>
          <w:rFonts w:hint="cs"/>
          <w:b/>
          <w:bCs/>
          <w:rtl/>
        </w:rPr>
        <w:t xml:space="preserve"> </w:t>
      </w:r>
      <w:r w:rsidRPr="00956B0F">
        <w:rPr>
          <w:rFonts w:hint="cs"/>
          <w:rtl/>
        </w:rPr>
        <w:t>(דוח ביניים) (מאי 2020), עמ' 10 - 11.</w:t>
      </w:r>
    </w:p>
  </w:footnote>
  <w:footnote w:id="91">
    <w:p w14:paraId="0EBA129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b/>
          <w:bCs/>
          <w:rtl/>
        </w:rPr>
        <w:t>פיתוח תחום הערכת מסוכנות</w:t>
      </w:r>
      <w:r w:rsidRPr="00956B0F">
        <w:rPr>
          <w:rFonts w:hint="cs"/>
          <w:rtl/>
        </w:rPr>
        <w:t xml:space="preserve"> (אוגוסט 2024), עמ' 6, 8 ו-9.</w:t>
      </w:r>
    </w:p>
  </w:footnote>
  <w:footnote w:id="92">
    <w:p w14:paraId="1368D3F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טופורק בר ושורק, עמ' 11.</w:t>
      </w:r>
    </w:p>
  </w:footnote>
  <w:footnote w:id="93">
    <w:p w14:paraId="3797CC9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דין</w:t>
      </w:r>
      <w:r w:rsidRPr="00956B0F">
        <w:rPr>
          <w:rtl/>
        </w:rPr>
        <w:t xml:space="preserve"> </w:t>
      </w:r>
      <w:r w:rsidRPr="00956B0F">
        <w:rPr>
          <w:rFonts w:hint="eastAsia"/>
          <w:rtl/>
        </w:rPr>
        <w:t>וחשבון</w:t>
      </w:r>
      <w:r w:rsidRPr="00956B0F">
        <w:rPr>
          <w:rFonts w:hint="cs"/>
          <w:rtl/>
        </w:rPr>
        <w:t xml:space="preserve"> ועדת קרפ</w:t>
      </w:r>
      <w:r w:rsidRPr="00956B0F">
        <w:rPr>
          <w:rtl/>
        </w:rPr>
        <w:t xml:space="preserve"> (1989)</w:t>
      </w:r>
      <w:r w:rsidRPr="00956B0F">
        <w:rPr>
          <w:rStyle w:val="Hyperlink"/>
          <w:color w:val="auto"/>
          <w:u w:val="none"/>
          <w:rtl/>
        </w:rPr>
        <w:t>, עמ' 15, 17 - 18</w:t>
      </w:r>
      <w:r w:rsidRPr="00956B0F">
        <w:rPr>
          <w:rFonts w:hint="cs"/>
          <w:rtl/>
        </w:rPr>
        <w:t>. גם המלצותיה של ועדת העבודה והרווחה מ-9.3.88 בנושא "1) נשים מוכות 2) אלימות במשפחה" התייחסו להיעדרם של תכנון ותיאום מספקים בין הגופים השונים המעורבים בהתמודדות עם התופעה. ראו: דוח הביקורת משנת 1992, עמ' 543.</w:t>
      </w:r>
    </w:p>
  </w:footnote>
  <w:footnote w:id="94">
    <w:p w14:paraId="5591C43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קרפ (1989)</w:t>
      </w:r>
      <w:r w:rsidRPr="00956B0F">
        <w:rPr>
          <w:rStyle w:val="Hyperlink"/>
          <w:rFonts w:hint="cs"/>
          <w:color w:val="auto"/>
          <w:u w:val="none"/>
          <w:rtl/>
        </w:rPr>
        <w:t xml:space="preserve">, עמ' 76 - 77. </w:t>
      </w:r>
      <w:r w:rsidRPr="00956B0F">
        <w:rPr>
          <w:rFonts w:hint="cs"/>
          <w:rtl/>
        </w:rPr>
        <w:t xml:space="preserve">בשנת 1992 פרסם משרד מבקר המדינה דוח ביקורת בנושא "הטיפול בנשים מוכות" שהתייחס לריבוי הגורמים המעורבים בהתמודדות עם התופעה, ובתוך כך להיעדר התיאום בין המחלקות לשירותים חברתיים ומשטרת ישראל. ראו: דוח הביקורת משנת 1992. </w:t>
      </w:r>
    </w:p>
  </w:footnote>
  <w:footnote w:id="95">
    <w:p w14:paraId="5420F3E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החלטת הממשלה 3291, "הצוות לטיפול בבעיית האלימות במשפחה - תיקון החלטה" (15.2.98). החלטה זו תיקנה את </w:t>
      </w:r>
      <w:r w:rsidRPr="00956B0F">
        <w:rPr>
          <w:rFonts w:hint="eastAsia"/>
          <w:rtl/>
        </w:rPr>
        <w:t>החלטת</w:t>
      </w:r>
      <w:r w:rsidRPr="00956B0F">
        <w:rPr>
          <w:rtl/>
        </w:rPr>
        <w:t xml:space="preserve"> הממשלה 3124 "הקמת </w:t>
      </w:r>
      <w:r w:rsidRPr="00956B0F">
        <w:rPr>
          <w:rFonts w:hint="eastAsia"/>
          <w:rtl/>
        </w:rPr>
        <w:t>צוות</w:t>
      </w:r>
      <w:r w:rsidRPr="00956B0F">
        <w:rPr>
          <w:rtl/>
        </w:rPr>
        <w:t xml:space="preserve"> </w:t>
      </w:r>
      <w:r w:rsidRPr="00956B0F">
        <w:rPr>
          <w:rFonts w:hint="eastAsia"/>
          <w:rtl/>
        </w:rPr>
        <w:t>לטיפול</w:t>
      </w:r>
      <w:r w:rsidRPr="00956B0F">
        <w:rPr>
          <w:rtl/>
        </w:rPr>
        <w:t xml:space="preserve"> </w:t>
      </w:r>
      <w:r w:rsidRPr="00956B0F">
        <w:rPr>
          <w:rFonts w:hint="eastAsia"/>
          <w:rtl/>
        </w:rPr>
        <w:t>בנשק</w:t>
      </w:r>
      <w:r w:rsidRPr="00956B0F">
        <w:rPr>
          <w:rtl/>
        </w:rPr>
        <w:t xml:space="preserve"> </w:t>
      </w:r>
      <w:r w:rsidRPr="00956B0F">
        <w:rPr>
          <w:rFonts w:hint="eastAsia"/>
          <w:rtl/>
        </w:rPr>
        <w:t>שבידי</w:t>
      </w:r>
      <w:r w:rsidRPr="00956B0F">
        <w:rPr>
          <w:rtl/>
        </w:rPr>
        <w:t xml:space="preserve"> </w:t>
      </w:r>
      <w:r w:rsidRPr="00956B0F">
        <w:rPr>
          <w:rFonts w:hint="eastAsia"/>
          <w:rtl/>
        </w:rPr>
        <w:t>בן</w:t>
      </w:r>
      <w:r w:rsidRPr="00956B0F">
        <w:rPr>
          <w:rtl/>
        </w:rPr>
        <w:t xml:space="preserve"> משפחה אלים" </w:t>
      </w:r>
      <w:r w:rsidRPr="00956B0F">
        <w:rPr>
          <w:rFonts w:hint="cs"/>
          <w:rtl/>
        </w:rPr>
        <w:t>(4.1.98) שעסקה בהיבטים מצומצמים יותר של הנושא. ראו בעניין זה: דין וחשבון ועדת קרפ (1989)</w:t>
      </w:r>
      <w:r w:rsidRPr="00956B0F">
        <w:rPr>
          <w:rStyle w:val="Hyperlink"/>
          <w:rFonts w:hint="cs"/>
          <w:color w:val="auto"/>
          <w:u w:val="none"/>
          <w:rtl/>
        </w:rPr>
        <w:t>, עמ' 3.</w:t>
      </w:r>
      <w:r w:rsidRPr="00956B0F">
        <w:rPr>
          <w:rFonts w:hint="cs"/>
          <w:rtl/>
        </w:rPr>
        <w:t xml:space="preserve"> </w:t>
      </w:r>
    </w:p>
  </w:footnote>
  <w:footnote w:id="96">
    <w:p w14:paraId="0F3AC0A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דין וחשבון ועדת בן-שלום (1998), עמ' 6 ו-17.</w:t>
      </w:r>
    </w:p>
  </w:footnote>
  <w:footnote w:id="97">
    <w:p w14:paraId="5BFDED0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החלטת</w:t>
      </w:r>
      <w:r w:rsidRPr="00956B0F">
        <w:rPr>
          <w:rtl/>
        </w:rPr>
        <w:t xml:space="preserve"> הממשלה 5006 (25.4.99) </w:t>
      </w:r>
      <w:r w:rsidRPr="00956B0F">
        <w:rPr>
          <w:rFonts w:hint="eastAsia"/>
          <w:rtl/>
        </w:rPr>
        <w:t>והחלטת</w:t>
      </w:r>
      <w:r w:rsidRPr="00956B0F">
        <w:rPr>
          <w:rtl/>
        </w:rPr>
        <w:t xml:space="preserve"> </w:t>
      </w:r>
      <w:r w:rsidRPr="00956B0F">
        <w:rPr>
          <w:rFonts w:hint="eastAsia"/>
          <w:rtl/>
        </w:rPr>
        <w:t>ה</w:t>
      </w:r>
      <w:r w:rsidRPr="00956B0F">
        <w:rPr>
          <w:rtl/>
        </w:rPr>
        <w:t xml:space="preserve">ממשלה 46 </w:t>
      </w:r>
      <w:r w:rsidRPr="00956B0F">
        <w:rPr>
          <w:rFonts w:hint="cs"/>
          <w:rtl/>
        </w:rPr>
        <w:t xml:space="preserve">(1.8.99); סעיף 15.1 להוראת תע"ס 3.28. יצוין כי </w:t>
      </w:r>
      <w:r w:rsidRPr="00956B0F">
        <w:rPr>
          <w:rtl/>
        </w:rPr>
        <w:t>על אף האמור בהחלטת הממשלה ובהוראות התע"ס, בשנת 2012 מצא משרד מבקר המדינה כי הוועדה הבין-משרדית הקבועה לא פעלה בתחומים שלשמם הוקמה</w:t>
      </w:r>
      <w:r w:rsidRPr="00956B0F">
        <w:rPr>
          <w:rFonts w:hint="cs"/>
          <w:rtl/>
        </w:rPr>
        <w:t>. ראו: דוח הביקורת משנת 2012, עמ' 30 - 31.</w:t>
      </w:r>
    </w:p>
  </w:footnote>
  <w:footnote w:id="98">
    <w:p w14:paraId="377A48D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דוח הביקורת משנת 2002, עמ' 776.</w:t>
      </w:r>
    </w:p>
  </w:footnote>
  <w:footnote w:id="99">
    <w:p w14:paraId="6949DF4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החלטת הממשלה 1820</w:t>
      </w:r>
      <w:r w:rsidRPr="00956B0F">
        <w:rPr>
          <w:rtl/>
        </w:rPr>
        <w:t xml:space="preserve"> (16.5.02)</w:t>
      </w:r>
      <w:r w:rsidRPr="00956B0F">
        <w:rPr>
          <w:rFonts w:hint="cs"/>
          <w:rtl/>
        </w:rPr>
        <w:t>.</w:t>
      </w:r>
    </w:p>
  </w:footnote>
  <w:footnote w:id="100">
    <w:p w14:paraId="5208CD2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רוזנבאום (2016), עמ' 65 - 66.</w:t>
      </w:r>
    </w:p>
  </w:footnote>
  <w:footnote w:id="101">
    <w:p w14:paraId="36B39A9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החלטת הממשלה 1249, "מניעה וטיפול באלימות במשפחה" (10.3.16).</w:t>
      </w:r>
    </w:p>
  </w:footnote>
  <w:footnote w:id="102">
    <w:p w14:paraId="233DDCD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ועדת השרים למאבק באלימות הוקמה מכוח </w:t>
      </w:r>
      <w:r w:rsidRPr="00956B0F">
        <w:rPr>
          <w:rtl/>
        </w:rPr>
        <w:t xml:space="preserve">החלטת </w:t>
      </w:r>
      <w:r w:rsidRPr="00956B0F">
        <w:rPr>
          <w:rFonts w:hint="cs"/>
          <w:rtl/>
        </w:rPr>
        <w:t>ה</w:t>
      </w:r>
      <w:r w:rsidRPr="00956B0F">
        <w:rPr>
          <w:rtl/>
        </w:rPr>
        <w:t>ממשלה 745</w:t>
      </w:r>
      <w:r w:rsidRPr="00956B0F">
        <w:rPr>
          <w:rFonts w:hint="cs"/>
          <w:rtl/>
        </w:rPr>
        <w:t>,</w:t>
      </w:r>
      <w:r w:rsidRPr="00956B0F">
        <w:rPr>
          <w:rtl/>
        </w:rPr>
        <w:t xml:space="preserve"> </w:t>
      </w:r>
      <w:r w:rsidRPr="00956B0F">
        <w:rPr>
          <w:rFonts w:hint="cs"/>
          <w:rtl/>
        </w:rPr>
        <w:t>"ועדת שרים למאבק באלימות" (</w:t>
      </w:r>
      <w:r w:rsidRPr="00956B0F">
        <w:rPr>
          <w:rtl/>
        </w:rPr>
        <w:t>22.11.15)</w:t>
      </w:r>
      <w:r w:rsidRPr="00956B0F">
        <w:rPr>
          <w:rFonts w:hint="cs"/>
          <w:rtl/>
        </w:rPr>
        <w:t xml:space="preserve">. בראש הוועדה עומד השר לביטחון לאומי וחברים בה שר האוצר, השרה לשוויון חברתי ומעמד האישה, שר הבריאות, שר החינוך, שר המשפטים, שר הפנים, שר הרווחה, שרת התחבורה והבטיחות בדרכים, שר התרבות והספורט והשר לשירותי דת. על פי החלטת הממשלה, </w:t>
      </w:r>
      <w:r w:rsidRPr="00956B0F">
        <w:rPr>
          <w:rtl/>
        </w:rPr>
        <w:t xml:space="preserve">הוועדה </w:t>
      </w:r>
      <w:r w:rsidRPr="00956B0F">
        <w:rPr>
          <w:rFonts w:hint="cs"/>
          <w:rtl/>
        </w:rPr>
        <w:t xml:space="preserve">אמונה על גיבוש </w:t>
      </w:r>
      <w:r w:rsidRPr="00956B0F">
        <w:rPr>
          <w:rtl/>
        </w:rPr>
        <w:t>ת</w:t>
      </w:r>
      <w:r w:rsidRPr="00956B0F">
        <w:rPr>
          <w:rFonts w:hint="cs"/>
          <w:rtl/>
        </w:rPr>
        <w:t>ו</w:t>
      </w:r>
      <w:r w:rsidRPr="00956B0F">
        <w:rPr>
          <w:rtl/>
        </w:rPr>
        <w:t>כניות לאומיות למאבק בתופעת האלימות בחברה הישראלית</w:t>
      </w:r>
      <w:r w:rsidRPr="00956B0F">
        <w:rPr>
          <w:rFonts w:hint="cs"/>
          <w:rtl/>
        </w:rPr>
        <w:t xml:space="preserve">. האחריות לביצוע, לתיאום ולמעקב אחר החלטות הוועדה הוטלו על </w:t>
      </w:r>
      <w:r w:rsidRPr="00956B0F">
        <w:rPr>
          <w:rtl/>
        </w:rPr>
        <w:t xml:space="preserve">המשנה למנהל הכללי של המשרד לביטחון </w:t>
      </w:r>
      <w:r w:rsidRPr="00956B0F">
        <w:rPr>
          <w:rFonts w:hint="cs"/>
          <w:rtl/>
        </w:rPr>
        <w:t>לאומי</w:t>
      </w:r>
      <w:r w:rsidRPr="00956B0F">
        <w:rPr>
          <w:rtl/>
        </w:rPr>
        <w:t>.</w:t>
      </w:r>
    </w:p>
  </w:footnote>
  <w:footnote w:id="103">
    <w:p w14:paraId="174DB2A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תכנית פעולה ליישום המלצות הוועדה הבינמשרדית למניעה וטיפול בתופעת האלימות במשפחה (2017) (להלן - תוכנית הפעולה של ועדת המנכ"לים).</w:t>
      </w:r>
    </w:p>
  </w:footnote>
  <w:footnote w:id="104">
    <w:p w14:paraId="1ACB209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החלטת הממשלה 2820 (7.7.17). </w:t>
      </w:r>
    </w:p>
  </w:footnote>
  <w:footnote w:id="105">
    <w:p w14:paraId="7DACE5C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תוכנית הפעולה של ועדת המנכ"לים, עמ' 59 - 61.</w:t>
      </w:r>
    </w:p>
  </w:footnote>
  <w:footnote w:id="106">
    <w:p w14:paraId="6CF7658B"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דוח הביקורת משנת 2020, עמ' 748.</w:t>
      </w:r>
    </w:p>
  </w:footnote>
  <w:footnote w:id="107">
    <w:p w14:paraId="69FF818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ראו</w:t>
      </w:r>
      <w:r w:rsidRPr="00956B0F">
        <w:rPr>
          <w:rFonts w:hint="cs"/>
          <w:rtl/>
        </w:rPr>
        <w:t xml:space="preserve">: </w:t>
      </w:r>
      <w:r w:rsidRPr="00956B0F">
        <w:rPr>
          <w:rFonts w:hint="eastAsia"/>
          <w:rtl/>
        </w:rPr>
        <w:t>חנה</w:t>
      </w:r>
      <w:r w:rsidRPr="00956B0F">
        <w:rPr>
          <w:rtl/>
        </w:rPr>
        <w:t xml:space="preserve"> </w:t>
      </w:r>
      <w:r w:rsidRPr="00956B0F">
        <w:rPr>
          <w:rFonts w:hint="eastAsia"/>
          <w:rtl/>
        </w:rPr>
        <w:t>כץ</w:t>
      </w:r>
      <w:r w:rsidRPr="00956B0F">
        <w:rPr>
          <w:rtl/>
        </w:rPr>
        <w:t>,</w:t>
      </w:r>
      <w:r w:rsidRPr="00956B0F">
        <w:rPr>
          <w:rFonts w:hint="cs"/>
          <w:b/>
          <w:bCs/>
          <w:rtl/>
        </w:rPr>
        <w:t xml:space="preserve"> </w:t>
      </w:r>
      <w:r w:rsidRPr="00956B0F">
        <w:rPr>
          <w:rFonts w:hint="eastAsia"/>
          <w:b/>
          <w:bCs/>
          <w:rtl/>
        </w:rPr>
        <w:t>קידום</w:t>
      </w:r>
      <w:r w:rsidRPr="00956B0F">
        <w:rPr>
          <w:b/>
          <w:bCs/>
          <w:rtl/>
        </w:rPr>
        <w:t xml:space="preserve"> </w:t>
      </w:r>
      <w:r w:rsidRPr="00956B0F">
        <w:rPr>
          <w:rFonts w:hint="eastAsia"/>
          <w:b/>
          <w:bCs/>
          <w:rtl/>
        </w:rPr>
        <w:t>חבירות</w:t>
      </w:r>
      <w:r w:rsidRPr="00956B0F">
        <w:rPr>
          <w:b/>
          <w:bCs/>
          <w:rtl/>
        </w:rPr>
        <w:t xml:space="preserve"> </w:t>
      </w:r>
      <w:r w:rsidRPr="00956B0F">
        <w:rPr>
          <w:rFonts w:hint="eastAsia"/>
          <w:b/>
          <w:bCs/>
          <w:rtl/>
        </w:rPr>
        <w:t>בין</w:t>
      </w:r>
      <w:r w:rsidRPr="00956B0F">
        <w:rPr>
          <w:b/>
          <w:bCs/>
          <w:rtl/>
        </w:rPr>
        <w:t xml:space="preserve">-ארגוניות, </w:t>
      </w:r>
      <w:r w:rsidRPr="00956B0F">
        <w:rPr>
          <w:rFonts w:hint="eastAsia"/>
          <w:b/>
          <w:bCs/>
          <w:rtl/>
        </w:rPr>
        <w:t>בינתחומיות</w:t>
      </w:r>
      <w:r w:rsidRPr="00956B0F">
        <w:rPr>
          <w:b/>
          <w:bCs/>
          <w:rtl/>
        </w:rPr>
        <w:t xml:space="preserve">, </w:t>
      </w:r>
      <w:r w:rsidRPr="00956B0F">
        <w:rPr>
          <w:rFonts w:hint="eastAsia"/>
          <w:b/>
          <w:bCs/>
          <w:rtl/>
        </w:rPr>
        <w:t>ובין</w:t>
      </w:r>
      <w:r w:rsidRPr="00956B0F">
        <w:rPr>
          <w:b/>
          <w:bCs/>
          <w:rtl/>
        </w:rPr>
        <w:t xml:space="preserve">-מגזריות </w:t>
      </w:r>
      <w:r w:rsidRPr="00956B0F">
        <w:rPr>
          <w:rFonts w:hint="eastAsia"/>
          <w:b/>
          <w:bCs/>
          <w:rtl/>
        </w:rPr>
        <w:t>בשירותי</w:t>
      </w:r>
      <w:r w:rsidRPr="00956B0F">
        <w:rPr>
          <w:b/>
          <w:bCs/>
          <w:rtl/>
        </w:rPr>
        <w:t xml:space="preserve"> </w:t>
      </w:r>
      <w:r w:rsidRPr="00956B0F">
        <w:rPr>
          <w:rFonts w:hint="eastAsia"/>
          <w:b/>
          <w:bCs/>
          <w:rtl/>
        </w:rPr>
        <w:t>רווחה</w:t>
      </w:r>
      <w:r w:rsidRPr="00956B0F">
        <w:rPr>
          <w:rFonts w:hint="cs"/>
          <w:rtl/>
        </w:rPr>
        <w:t xml:space="preserve"> (2007), עמ' </w:t>
      </w:r>
      <w:r w:rsidRPr="00956B0F">
        <w:rPr>
          <w:rtl/>
        </w:rPr>
        <w:br/>
      </w:r>
      <w:r w:rsidRPr="00956B0F">
        <w:rPr>
          <w:rFonts w:hint="cs"/>
          <w:rtl/>
        </w:rPr>
        <w:t xml:space="preserve">26 - 28; </w:t>
      </w:r>
      <w:r w:rsidRPr="00956B0F">
        <w:rPr>
          <w:rFonts w:hint="eastAsia"/>
          <w:b/>
          <w:bCs/>
          <w:rtl/>
        </w:rPr>
        <w:t>מדריך</w:t>
      </w:r>
      <w:r w:rsidRPr="00956B0F">
        <w:rPr>
          <w:b/>
          <w:bCs/>
          <w:rtl/>
        </w:rPr>
        <w:t xml:space="preserve"> </w:t>
      </w:r>
      <w:r w:rsidRPr="00956B0F">
        <w:rPr>
          <w:rFonts w:hint="eastAsia"/>
          <w:b/>
          <w:bCs/>
          <w:rtl/>
        </w:rPr>
        <w:t>השיתוף</w:t>
      </w:r>
      <w:r w:rsidRPr="00956B0F">
        <w:rPr>
          <w:b/>
          <w:bCs/>
          <w:rtl/>
        </w:rPr>
        <w:t xml:space="preserve"> </w:t>
      </w:r>
      <w:r w:rsidRPr="00956B0F">
        <w:rPr>
          <w:rFonts w:hint="eastAsia"/>
          <w:b/>
          <w:bCs/>
          <w:rtl/>
        </w:rPr>
        <w:t>הממשלתי</w:t>
      </w:r>
      <w:r w:rsidRPr="00956B0F">
        <w:rPr>
          <w:b/>
          <w:bCs/>
          <w:rtl/>
        </w:rPr>
        <w:t xml:space="preserve">: </w:t>
      </w:r>
      <w:r w:rsidRPr="00956B0F">
        <w:rPr>
          <w:rFonts w:hint="eastAsia"/>
          <w:b/>
          <w:bCs/>
          <w:rtl/>
        </w:rPr>
        <w:t>מודל</w:t>
      </w:r>
      <w:r w:rsidRPr="00956B0F">
        <w:rPr>
          <w:b/>
          <w:bCs/>
          <w:rtl/>
        </w:rPr>
        <w:t xml:space="preserve"> </w:t>
      </w:r>
      <w:r w:rsidRPr="00956B0F">
        <w:rPr>
          <w:rFonts w:hint="eastAsia"/>
          <w:b/>
          <w:bCs/>
          <w:rtl/>
        </w:rPr>
        <w:t>לשיתופי</w:t>
      </w:r>
      <w:r w:rsidRPr="00956B0F">
        <w:rPr>
          <w:b/>
          <w:bCs/>
          <w:rtl/>
        </w:rPr>
        <w:t xml:space="preserve"> </w:t>
      </w:r>
      <w:r w:rsidRPr="00956B0F">
        <w:rPr>
          <w:rFonts w:hint="eastAsia"/>
          <w:b/>
          <w:bCs/>
          <w:rtl/>
        </w:rPr>
        <w:t>פעולה</w:t>
      </w:r>
      <w:r w:rsidRPr="00956B0F">
        <w:rPr>
          <w:b/>
          <w:bCs/>
          <w:rtl/>
        </w:rPr>
        <w:t xml:space="preserve"> </w:t>
      </w:r>
      <w:r w:rsidRPr="00956B0F">
        <w:rPr>
          <w:rFonts w:hint="eastAsia"/>
          <w:b/>
          <w:bCs/>
          <w:rtl/>
        </w:rPr>
        <w:t>בין</w:t>
      </w:r>
      <w:r w:rsidRPr="00956B0F">
        <w:rPr>
          <w:b/>
          <w:bCs/>
          <w:rtl/>
        </w:rPr>
        <w:t xml:space="preserve"> </w:t>
      </w:r>
      <w:r w:rsidRPr="00956B0F">
        <w:rPr>
          <w:rFonts w:hint="eastAsia"/>
          <w:b/>
          <w:bCs/>
          <w:rtl/>
        </w:rPr>
        <w:t>משרדי</w:t>
      </w:r>
      <w:r w:rsidRPr="00956B0F">
        <w:rPr>
          <w:b/>
          <w:bCs/>
          <w:rtl/>
        </w:rPr>
        <w:t xml:space="preserve"> </w:t>
      </w:r>
      <w:r w:rsidRPr="00956B0F">
        <w:rPr>
          <w:rFonts w:hint="eastAsia"/>
          <w:b/>
          <w:bCs/>
          <w:rtl/>
        </w:rPr>
        <w:t>ממשלה</w:t>
      </w:r>
      <w:r w:rsidRPr="00956B0F">
        <w:rPr>
          <w:rFonts w:hint="cs"/>
          <w:rtl/>
        </w:rPr>
        <w:t xml:space="preserve"> (2013), עמ' 37 - 38.</w:t>
      </w:r>
    </w:p>
  </w:footnote>
  <w:footnote w:id="108">
    <w:p w14:paraId="0A17FD0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15.1.1 להוראת תע"ס 3.28; החלטת הממשלה 1820 (16.5.02); החלטת הממשלה 1249 (10.3.16).</w:t>
      </w:r>
    </w:p>
  </w:footnote>
  <w:footnote w:id="109">
    <w:p w14:paraId="5552636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"סדרי עבודתה של הוועדה הבין-משרדית הקבועה" ותת-הפרק "תחומי אחריותה ותפקידיה של הוועדה הבין-משרדית הקבועה".</w:t>
      </w:r>
    </w:p>
  </w:footnote>
  <w:footnote w:id="110">
    <w:p w14:paraId="54BC8EA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15.1.1 להוראת תע"ס 3.28.</w:t>
      </w:r>
    </w:p>
  </w:footnote>
  <w:footnote w:id="111">
    <w:p w14:paraId="60B8AE5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החלטת הממשלה 1249</w:t>
      </w:r>
      <w:r w:rsidRPr="00956B0F">
        <w:rPr>
          <w:rStyle w:val="Hyperlink"/>
          <w:color w:val="auto"/>
          <w:u w:val="none"/>
        </w:rPr>
        <w:t xml:space="preserve"> </w:t>
      </w:r>
      <w:r w:rsidRPr="00956B0F">
        <w:rPr>
          <w:rStyle w:val="Hyperlink"/>
          <w:color w:val="auto"/>
          <w:u w:val="none"/>
          <w:rtl/>
        </w:rPr>
        <w:t>(</w:t>
      </w:r>
      <w:r w:rsidRPr="00956B0F">
        <w:rPr>
          <w:rStyle w:val="Hyperlink"/>
          <w:rFonts w:hint="cs"/>
          <w:color w:val="auto"/>
          <w:u w:val="none"/>
          <w:rtl/>
        </w:rPr>
        <w:t>10.3.2016)</w:t>
      </w:r>
      <w:r w:rsidRPr="00956B0F">
        <w:rPr>
          <w:rFonts w:hint="cs"/>
          <w:rtl/>
        </w:rPr>
        <w:t xml:space="preserve"> (לוח זמנים).</w:t>
      </w:r>
    </w:p>
  </w:footnote>
  <w:footnote w:id="112">
    <w:p w14:paraId="2806645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נוהל</w:t>
      </w:r>
      <w:r w:rsidRPr="00956B0F">
        <w:rPr>
          <w:rtl/>
        </w:rPr>
        <w:t xml:space="preserve"> </w:t>
      </w:r>
      <w:r w:rsidRPr="00956B0F">
        <w:rPr>
          <w:rFonts w:hint="eastAsia"/>
          <w:rtl/>
        </w:rPr>
        <w:t>מס</w:t>
      </w:r>
      <w:r w:rsidRPr="00956B0F">
        <w:rPr>
          <w:rtl/>
        </w:rPr>
        <w:t xml:space="preserve">' 12 </w:t>
      </w:r>
      <w:r w:rsidRPr="00956B0F">
        <w:rPr>
          <w:rFonts w:hint="eastAsia"/>
          <w:rtl/>
        </w:rPr>
        <w:t>של</w:t>
      </w:r>
      <w:r w:rsidRPr="00956B0F">
        <w:rPr>
          <w:rtl/>
        </w:rPr>
        <w:t xml:space="preserve"> </w:t>
      </w:r>
      <w:r w:rsidRPr="00956B0F">
        <w:rPr>
          <w:rFonts w:hint="eastAsia"/>
          <w:rtl/>
        </w:rPr>
        <w:t>היחידה</w:t>
      </w:r>
      <w:r w:rsidRPr="00956B0F">
        <w:rPr>
          <w:rtl/>
        </w:rPr>
        <w:t xml:space="preserve"> </w:t>
      </w:r>
      <w:r w:rsidRPr="00956B0F">
        <w:rPr>
          <w:rFonts w:hint="eastAsia"/>
          <w:rtl/>
        </w:rPr>
        <w:t>הממשלתית</w:t>
      </w:r>
      <w:r w:rsidRPr="00956B0F">
        <w:rPr>
          <w:rtl/>
        </w:rPr>
        <w:t xml:space="preserve"> </w:t>
      </w:r>
      <w:r w:rsidRPr="00956B0F">
        <w:rPr>
          <w:rFonts w:hint="eastAsia"/>
          <w:rtl/>
        </w:rPr>
        <w:t>לחופש</w:t>
      </w:r>
      <w:r w:rsidRPr="00956B0F">
        <w:rPr>
          <w:rtl/>
        </w:rPr>
        <w:t xml:space="preserve"> </w:t>
      </w:r>
      <w:r w:rsidRPr="00956B0F">
        <w:rPr>
          <w:rFonts w:hint="eastAsia"/>
          <w:rtl/>
        </w:rPr>
        <w:t>המידע</w:t>
      </w:r>
      <w:r w:rsidRPr="00956B0F">
        <w:rPr>
          <w:rtl/>
        </w:rPr>
        <w:t xml:space="preserve"> </w:t>
      </w:r>
      <w:r w:rsidRPr="00956B0F">
        <w:rPr>
          <w:rFonts w:hint="eastAsia"/>
          <w:rtl/>
        </w:rPr>
        <w:t>במשרד</w:t>
      </w:r>
      <w:r w:rsidRPr="00956B0F">
        <w:rPr>
          <w:rtl/>
        </w:rPr>
        <w:t xml:space="preserve"> </w:t>
      </w:r>
      <w:r w:rsidRPr="00956B0F">
        <w:rPr>
          <w:rFonts w:hint="eastAsia"/>
          <w:rtl/>
        </w:rPr>
        <w:t>המשפטים</w:t>
      </w:r>
      <w:r w:rsidRPr="00956B0F">
        <w:rPr>
          <w:rtl/>
        </w:rPr>
        <w:t xml:space="preserve">, "קווים </w:t>
      </w:r>
      <w:r w:rsidRPr="00956B0F">
        <w:rPr>
          <w:rFonts w:hint="eastAsia"/>
          <w:rtl/>
        </w:rPr>
        <w:t>מנחים</w:t>
      </w:r>
      <w:r w:rsidRPr="00956B0F">
        <w:rPr>
          <w:rtl/>
        </w:rPr>
        <w:t xml:space="preserve">: </w:t>
      </w:r>
      <w:r w:rsidRPr="00956B0F">
        <w:rPr>
          <w:rFonts w:hint="eastAsia"/>
          <w:rtl/>
        </w:rPr>
        <w:t>פרסום</w:t>
      </w:r>
      <w:r w:rsidRPr="00956B0F">
        <w:rPr>
          <w:rtl/>
        </w:rPr>
        <w:t xml:space="preserve"> </w:t>
      </w:r>
      <w:r w:rsidRPr="00956B0F">
        <w:rPr>
          <w:rFonts w:hint="eastAsia"/>
          <w:rtl/>
        </w:rPr>
        <w:t>מידע</w:t>
      </w:r>
      <w:r w:rsidRPr="00956B0F">
        <w:rPr>
          <w:rtl/>
        </w:rPr>
        <w:t xml:space="preserve"> </w:t>
      </w:r>
      <w:r w:rsidRPr="00956B0F">
        <w:rPr>
          <w:rFonts w:hint="eastAsia"/>
          <w:rtl/>
        </w:rPr>
        <w:t>בעניין</w:t>
      </w:r>
      <w:r w:rsidRPr="00956B0F">
        <w:rPr>
          <w:rtl/>
        </w:rPr>
        <w:t xml:space="preserve"> </w:t>
      </w:r>
      <w:r w:rsidRPr="00956B0F">
        <w:rPr>
          <w:rFonts w:hint="eastAsia"/>
          <w:rtl/>
        </w:rPr>
        <w:t>ועדות</w:t>
      </w:r>
      <w:r w:rsidRPr="00956B0F">
        <w:rPr>
          <w:rtl/>
        </w:rPr>
        <w:t xml:space="preserve"> </w:t>
      </w:r>
      <w:r w:rsidRPr="00956B0F">
        <w:rPr>
          <w:rFonts w:hint="eastAsia"/>
          <w:rtl/>
        </w:rPr>
        <w:t>ציבוריות</w:t>
      </w:r>
      <w:r w:rsidRPr="00956B0F">
        <w:rPr>
          <w:rtl/>
        </w:rPr>
        <w:t xml:space="preserve">" (עדכון </w:t>
      </w:r>
      <w:r w:rsidRPr="00956B0F">
        <w:rPr>
          <w:rFonts w:hint="eastAsia"/>
          <w:rtl/>
        </w:rPr>
        <w:t>אחרון</w:t>
      </w:r>
      <w:r w:rsidRPr="00956B0F">
        <w:rPr>
          <w:rtl/>
        </w:rPr>
        <w:t xml:space="preserve">: 13.8.18). </w:t>
      </w:r>
      <w:r w:rsidRPr="00956B0F">
        <w:rPr>
          <w:rFonts w:hint="eastAsia"/>
          <w:rtl/>
        </w:rPr>
        <w:t>הנוהל</w:t>
      </w:r>
      <w:r w:rsidRPr="00956B0F">
        <w:rPr>
          <w:rtl/>
        </w:rPr>
        <w:t xml:space="preserve"> </w:t>
      </w:r>
      <w:r w:rsidRPr="00956B0F">
        <w:rPr>
          <w:rFonts w:hint="eastAsia"/>
          <w:rtl/>
        </w:rPr>
        <w:t>נכנס</w:t>
      </w:r>
      <w:r w:rsidRPr="00956B0F">
        <w:rPr>
          <w:rtl/>
        </w:rPr>
        <w:t xml:space="preserve"> </w:t>
      </w:r>
      <w:r w:rsidRPr="00956B0F">
        <w:rPr>
          <w:rFonts w:hint="eastAsia"/>
          <w:rtl/>
        </w:rPr>
        <w:t>לתוקף</w:t>
      </w:r>
      <w:r w:rsidRPr="00956B0F">
        <w:rPr>
          <w:rtl/>
        </w:rPr>
        <w:t xml:space="preserve"> </w:t>
      </w:r>
      <w:r w:rsidRPr="00956B0F">
        <w:rPr>
          <w:rFonts w:hint="eastAsia"/>
          <w:rtl/>
        </w:rPr>
        <w:t>ב</w:t>
      </w:r>
      <w:r w:rsidRPr="00956B0F">
        <w:rPr>
          <w:rtl/>
        </w:rPr>
        <w:t>-13.2.19.</w:t>
      </w:r>
    </w:p>
  </w:footnote>
  <w:footnote w:id="113">
    <w:p w14:paraId="1843C0F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סעיף</w:t>
      </w:r>
      <w:r w:rsidRPr="00956B0F">
        <w:rPr>
          <w:rtl/>
        </w:rPr>
        <w:t xml:space="preserve"> 6 </w:t>
      </w:r>
      <w:r w:rsidRPr="00956B0F">
        <w:rPr>
          <w:rFonts w:hint="eastAsia"/>
          <w:rtl/>
        </w:rPr>
        <w:t>לנוהל</w:t>
      </w:r>
      <w:r w:rsidRPr="00956B0F">
        <w:rPr>
          <w:rtl/>
        </w:rPr>
        <w:t xml:space="preserve"> </w:t>
      </w:r>
      <w:r w:rsidRPr="00956B0F">
        <w:rPr>
          <w:rFonts w:hint="eastAsia"/>
          <w:rtl/>
        </w:rPr>
        <w:t>היחידה</w:t>
      </w:r>
      <w:r w:rsidRPr="00956B0F">
        <w:rPr>
          <w:rtl/>
        </w:rPr>
        <w:t xml:space="preserve"> </w:t>
      </w:r>
      <w:r w:rsidRPr="00956B0F">
        <w:rPr>
          <w:rFonts w:hint="eastAsia"/>
          <w:rtl/>
        </w:rPr>
        <w:t>הממשלתית</w:t>
      </w:r>
      <w:r w:rsidRPr="00956B0F">
        <w:rPr>
          <w:rtl/>
        </w:rPr>
        <w:t xml:space="preserve"> </w:t>
      </w:r>
      <w:r w:rsidRPr="00956B0F">
        <w:rPr>
          <w:rFonts w:hint="eastAsia"/>
          <w:rtl/>
        </w:rPr>
        <w:t>לחופש</w:t>
      </w:r>
      <w:r w:rsidRPr="00956B0F">
        <w:rPr>
          <w:rtl/>
        </w:rPr>
        <w:t xml:space="preserve"> </w:t>
      </w:r>
      <w:r w:rsidRPr="00956B0F">
        <w:rPr>
          <w:rFonts w:hint="eastAsia"/>
          <w:rtl/>
        </w:rPr>
        <w:t>המידע</w:t>
      </w:r>
      <w:r w:rsidRPr="00956B0F">
        <w:rPr>
          <w:rtl/>
        </w:rPr>
        <w:t>.</w:t>
      </w:r>
    </w:p>
  </w:footnote>
  <w:footnote w:id="114">
    <w:p w14:paraId="7A4F4E8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9 - 12 לנוהל היחידה הממשלתית לחופש המידע.</w:t>
      </w:r>
    </w:p>
  </w:footnote>
  <w:footnote w:id="115">
    <w:p w14:paraId="4F854A3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18.1.22; 8.3.22; 13.4.22; 16.6.22; 13.7.22; 16.11.22.</w:t>
      </w:r>
    </w:p>
  </w:footnote>
  <w:footnote w:id="116">
    <w:p w14:paraId="477E104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ראו בהקשר זה: </w:t>
      </w:r>
      <w:r w:rsidRPr="00956B0F">
        <w:rPr>
          <w:rFonts w:hint="eastAsia"/>
          <w:rtl/>
        </w:rPr>
        <w:t>ריטה</w:t>
      </w:r>
      <w:r w:rsidRPr="00956B0F">
        <w:rPr>
          <w:rtl/>
        </w:rPr>
        <w:t xml:space="preserve"> </w:t>
      </w:r>
      <w:r w:rsidRPr="00956B0F">
        <w:rPr>
          <w:rFonts w:hint="eastAsia"/>
          <w:rtl/>
        </w:rPr>
        <w:t>גולשטיין</w:t>
      </w:r>
      <w:r w:rsidRPr="00956B0F">
        <w:rPr>
          <w:rtl/>
        </w:rPr>
        <w:t>-גלפרין ומעין זכר-פלג,</w:t>
      </w:r>
      <w:r w:rsidRPr="00956B0F">
        <w:rPr>
          <w:rFonts w:hint="cs"/>
          <w:b/>
          <w:bCs/>
          <w:rtl/>
        </w:rPr>
        <w:t xml:space="preserve"> </w:t>
      </w:r>
      <w:r w:rsidRPr="00956B0F">
        <w:rPr>
          <w:rFonts w:hint="eastAsia"/>
          <w:b/>
          <w:bCs/>
          <w:rtl/>
        </w:rPr>
        <w:t>מבוך</w:t>
      </w:r>
      <w:r w:rsidRPr="00956B0F">
        <w:rPr>
          <w:b/>
          <w:bCs/>
          <w:rtl/>
        </w:rPr>
        <w:t xml:space="preserve"> </w:t>
      </w:r>
      <w:r w:rsidRPr="00956B0F">
        <w:rPr>
          <w:rFonts w:hint="eastAsia"/>
          <w:b/>
          <w:bCs/>
          <w:rtl/>
        </w:rPr>
        <w:t>המשילות</w:t>
      </w:r>
      <w:r w:rsidRPr="00956B0F">
        <w:rPr>
          <w:b/>
          <w:bCs/>
          <w:rtl/>
        </w:rPr>
        <w:t xml:space="preserve">: </w:t>
      </w:r>
      <w:r w:rsidRPr="00956B0F">
        <w:rPr>
          <w:rFonts w:hint="eastAsia"/>
          <w:b/>
          <w:bCs/>
          <w:rtl/>
        </w:rPr>
        <w:t>אתגרים</w:t>
      </w:r>
      <w:r w:rsidRPr="00956B0F">
        <w:rPr>
          <w:b/>
          <w:bCs/>
          <w:rtl/>
        </w:rPr>
        <w:t xml:space="preserve"> </w:t>
      </w:r>
      <w:r w:rsidRPr="00956B0F">
        <w:rPr>
          <w:rFonts w:hint="eastAsia"/>
          <w:b/>
          <w:bCs/>
          <w:rtl/>
        </w:rPr>
        <w:t>מערכתיים</w:t>
      </w:r>
      <w:r w:rsidRPr="00956B0F">
        <w:rPr>
          <w:b/>
          <w:bCs/>
          <w:rtl/>
        </w:rPr>
        <w:t xml:space="preserve"> </w:t>
      </w:r>
      <w:r w:rsidRPr="00956B0F">
        <w:rPr>
          <w:rFonts w:hint="eastAsia"/>
          <w:b/>
          <w:bCs/>
          <w:rtl/>
        </w:rPr>
        <w:t>של</w:t>
      </w:r>
      <w:r w:rsidRPr="00956B0F">
        <w:rPr>
          <w:b/>
          <w:bCs/>
          <w:rtl/>
        </w:rPr>
        <w:t xml:space="preserve"> </w:t>
      </w:r>
      <w:r w:rsidRPr="00956B0F">
        <w:rPr>
          <w:rFonts w:hint="eastAsia"/>
          <w:b/>
          <w:bCs/>
          <w:rtl/>
        </w:rPr>
        <w:t>השירות</w:t>
      </w:r>
      <w:r w:rsidRPr="00956B0F">
        <w:rPr>
          <w:b/>
          <w:bCs/>
          <w:rtl/>
        </w:rPr>
        <w:t xml:space="preserve"> </w:t>
      </w:r>
      <w:r w:rsidRPr="00956B0F">
        <w:rPr>
          <w:rFonts w:hint="eastAsia"/>
          <w:b/>
          <w:bCs/>
          <w:rtl/>
        </w:rPr>
        <w:t>הציבורי</w:t>
      </w:r>
      <w:r w:rsidRPr="00956B0F">
        <w:rPr>
          <w:b/>
          <w:bCs/>
          <w:rtl/>
        </w:rPr>
        <w:t xml:space="preserve"> </w:t>
      </w:r>
      <w:r w:rsidRPr="00956B0F">
        <w:rPr>
          <w:rFonts w:hint="eastAsia"/>
          <w:b/>
          <w:bCs/>
          <w:rtl/>
        </w:rPr>
        <w:t>בישראל</w:t>
      </w:r>
      <w:r w:rsidRPr="00956B0F">
        <w:rPr>
          <w:rFonts w:hint="cs"/>
          <w:rtl/>
        </w:rPr>
        <w:t xml:space="preserve"> (2024), עמ' 41 - 43</w:t>
      </w:r>
      <w:r w:rsidRPr="00956B0F">
        <w:rPr>
          <w:rStyle w:val="Hyperlink"/>
          <w:rFonts w:hint="cs"/>
          <w:color w:val="auto"/>
          <w:u w:val="none"/>
          <w:rtl/>
        </w:rPr>
        <w:t>.</w:t>
      </w:r>
    </w:p>
  </w:footnote>
  <w:footnote w:id="117">
    <w:p w14:paraId="4A425E6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"התמודדות עם תופעת האלימות בין בני זוג בעיתות משבר וחירום ובמלחמת חרבות ברזל".</w:t>
      </w:r>
    </w:p>
  </w:footnote>
  <w:footnote w:id="118">
    <w:p w14:paraId="6F2BCE7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יצחק זמיר, </w:t>
      </w:r>
      <w:r w:rsidRPr="00956B0F">
        <w:rPr>
          <w:rFonts w:hint="cs"/>
          <w:b/>
          <w:bCs/>
          <w:rtl/>
        </w:rPr>
        <w:t>הסמכות המינהלית</w:t>
      </w:r>
      <w:r w:rsidRPr="00956B0F">
        <w:rPr>
          <w:rFonts w:hint="cs"/>
          <w:rtl/>
        </w:rPr>
        <w:t xml:space="preserve">, כרך ב - ההליך המינהלי (2011), עמ' 1036 - 1037; דפנה ברק-ארז, </w:t>
      </w:r>
      <w:r w:rsidRPr="00956B0F">
        <w:rPr>
          <w:rFonts w:hint="cs"/>
          <w:b/>
          <w:bCs/>
          <w:rtl/>
        </w:rPr>
        <w:t>משפט מינהלי</w:t>
      </w:r>
      <w:r w:rsidRPr="00956B0F">
        <w:rPr>
          <w:rFonts w:hint="cs"/>
          <w:rtl/>
        </w:rPr>
        <w:t xml:space="preserve">, כרך ב (2010), עמ' 613 - 614. לעניין המונח "אורגן-רבים" ראו: יצחק זמיר, </w:t>
      </w:r>
      <w:r w:rsidRPr="00956B0F">
        <w:rPr>
          <w:rFonts w:hint="cs"/>
          <w:b/>
          <w:bCs/>
          <w:rtl/>
        </w:rPr>
        <w:t>הסמכות</w:t>
      </w:r>
      <w:r w:rsidRPr="00956B0F">
        <w:rPr>
          <w:rFonts w:hint="cs"/>
          <w:rtl/>
        </w:rPr>
        <w:t xml:space="preserve"> </w:t>
      </w:r>
      <w:r w:rsidRPr="00956B0F">
        <w:rPr>
          <w:rFonts w:hint="cs"/>
          <w:b/>
          <w:bCs/>
          <w:rtl/>
        </w:rPr>
        <w:t>המינהלית</w:t>
      </w:r>
      <w:r w:rsidRPr="00956B0F">
        <w:rPr>
          <w:rFonts w:hint="cs"/>
          <w:rtl/>
        </w:rPr>
        <w:t>, כרך א - המינהל הציבורי (2010), עמ' 381 - 385. יש לציין כי חובת תיעוד דיוניהן של ועדות ציבוריות קבועה גם בסעיף 64.161 להוראות התקשי"ר (תקנון שירות המדינה).</w:t>
      </w:r>
    </w:p>
  </w:footnote>
  <w:footnote w:id="119">
    <w:p w14:paraId="7E9C5E2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תת-הפרק "</w:t>
      </w:r>
      <w:r w:rsidRPr="00956B0F">
        <w:rPr>
          <w:rtl/>
        </w:rPr>
        <w:t>מדיניות פרסום מידע אודות עבודת הוועדה</w:t>
      </w:r>
      <w:r w:rsidRPr="00956B0F">
        <w:rPr>
          <w:rFonts w:hint="cs"/>
          <w:rtl/>
        </w:rPr>
        <w:t>".</w:t>
      </w:r>
    </w:p>
  </w:footnote>
  <w:footnote w:id="120">
    <w:p w14:paraId="4FD5F855"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החלטת הממשלה 1249</w:t>
      </w:r>
      <w:r w:rsidRPr="00956B0F">
        <w:rPr>
          <w:rStyle w:val="Hyperlink"/>
          <w:color w:val="auto"/>
          <w:u w:val="none"/>
          <w:rtl/>
        </w:rPr>
        <w:t xml:space="preserve"> </w:t>
      </w:r>
      <w:r w:rsidRPr="00956B0F">
        <w:rPr>
          <w:rStyle w:val="Hyperlink"/>
          <w:rFonts w:hint="cs"/>
          <w:color w:val="auto"/>
          <w:u w:val="none"/>
          <w:rtl/>
        </w:rPr>
        <w:t>(10.3.2016)</w:t>
      </w:r>
      <w:r w:rsidRPr="00956B0F">
        <w:rPr>
          <w:rFonts w:hint="cs"/>
          <w:rtl/>
        </w:rPr>
        <w:t xml:space="preserve"> (סמכויות הוועדה ולוח זמנים).</w:t>
      </w:r>
    </w:p>
  </w:footnote>
  <w:footnote w:id="121">
    <w:p w14:paraId="5EA4A4D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להרחבה ראו תת-הפרק "היבטים תקציביים של ההתמודדות עם תופעת האלימות במשפחה".</w:t>
      </w:r>
      <w:r w:rsidRPr="00956B0F">
        <w:rPr>
          <w:rtl/>
        </w:rPr>
        <w:t xml:space="preserve"> </w:t>
      </w:r>
    </w:p>
  </w:footnote>
  <w:footnote w:id="122">
    <w:p w14:paraId="6D542B9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בדין וחשבון ועדת בן-שלום צוין כי "חוסר הנתונים מקשה על יצירת סדר עדיפויות מדויק מבחינת חלוקת המשאבים והערכות דיפרנציאלית מבחינת פיתוח שירותים" (עמ' 5 לדוח).</w:t>
      </w:r>
    </w:p>
  </w:footnote>
  <w:footnote w:id="123">
    <w:p w14:paraId="5118F9C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נתונים מינהליים הם נתונים הנאספים שלא למטרות</w:t>
      </w:r>
      <w:r w:rsidRPr="00956B0F">
        <w:rPr>
          <w:rFonts w:hint="cs"/>
          <w:rtl/>
        </w:rPr>
        <w:t xml:space="preserve"> </w:t>
      </w:r>
      <w:r w:rsidRPr="00956B0F">
        <w:rPr>
          <w:rtl/>
        </w:rPr>
        <w:t xml:space="preserve">סטטיסטיות, וזאת בשונה לדוגמה מנתונים הנאספים בסקרים למטרה מוגדרת. ראו בהקשר זה: </w:t>
      </w:r>
      <w:r w:rsidRPr="00956B0F">
        <w:t>S. Yitzhaki. “Pros and Cons for using Administrative Records in Statistical Bureaus”, United Nations Economic Commission for Europe, Conference of European Statisticians, Geneva</w:t>
      </w:r>
      <w:r w:rsidRPr="00956B0F">
        <w:rPr>
          <w:rtl/>
        </w:rPr>
        <w:t xml:space="preserve"> (2007)</w:t>
      </w:r>
    </w:p>
    <w:p w14:paraId="46330A81" w14:textId="77777777" w:rsidR="00F769CC" w:rsidRPr="00956B0F" w:rsidRDefault="00F769CC" w:rsidP="00817399">
      <w:pPr>
        <w:pStyle w:val="af7"/>
        <w:ind w:firstLine="0"/>
        <w:rPr>
          <w:rtl/>
        </w:rPr>
      </w:pPr>
      <w:r w:rsidRPr="00956B0F">
        <w:rPr>
          <w:rFonts w:hint="cs"/>
          <w:rtl/>
        </w:rPr>
        <w:t>ראו גם: יקטרינה יז'מסקי, "</w:t>
      </w:r>
      <w:r w:rsidRPr="00956B0F">
        <w:rPr>
          <w:rtl/>
        </w:rPr>
        <w:t>מגבלות השוואה בינלאומית בסטטיסטיקה הפלילית</w:t>
      </w:r>
      <w:r w:rsidRPr="00956B0F">
        <w:rPr>
          <w:rFonts w:hint="cs"/>
          <w:rtl/>
        </w:rPr>
        <w:t xml:space="preserve">", </w:t>
      </w:r>
      <w:r w:rsidRPr="00956B0F">
        <w:rPr>
          <w:rFonts w:hint="cs"/>
          <w:b/>
          <w:bCs/>
          <w:rtl/>
        </w:rPr>
        <w:t>העיקר במחקר</w:t>
      </w:r>
      <w:r w:rsidRPr="00956B0F">
        <w:rPr>
          <w:rFonts w:hint="cs"/>
          <w:rtl/>
        </w:rPr>
        <w:t xml:space="preserve"> (2018), עמ' 179 - 195.</w:t>
      </w:r>
    </w:p>
  </w:footnote>
  <w:footnote w:id="124">
    <w:p w14:paraId="2F26CE1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הסק</w:t>
      </w:r>
      <w:r w:rsidRPr="00956B0F">
        <w:rPr>
          <w:rFonts w:hint="eastAsia"/>
          <w:rtl/>
        </w:rPr>
        <w:t>ר</w:t>
      </w:r>
      <w:r w:rsidRPr="00956B0F">
        <w:rPr>
          <w:rtl/>
        </w:rPr>
        <w:t xml:space="preserve"> </w:t>
      </w:r>
      <w:r w:rsidRPr="00956B0F">
        <w:rPr>
          <w:rFonts w:hint="cs"/>
          <w:rtl/>
        </w:rPr>
        <w:t xml:space="preserve">משנת 2001, עמ' 12; דין וחשבון ועדת רוזנבאום (2016), עמ' 24. על החשיבות שבהסתמכותן של רשויות המינהל בהחלטותיהן על תשתית של עובדות ראו: יצחק זמיר, </w:t>
      </w:r>
      <w:r w:rsidRPr="00956B0F">
        <w:rPr>
          <w:rFonts w:hint="cs"/>
          <w:b/>
          <w:bCs/>
          <w:rtl/>
        </w:rPr>
        <w:t>הסמכות המינהלית</w:t>
      </w:r>
      <w:r w:rsidRPr="00956B0F">
        <w:rPr>
          <w:rFonts w:hint="cs"/>
          <w:rtl/>
        </w:rPr>
        <w:t xml:space="preserve"> (מהדורה שנייה, התשע"א-2011), כרך ב', עמ' 1119. לפי ממצאים מתוך סקר ביטחון אישי שעורכת הלמ"ס מדי שנה בשנה, בשנת 2022 כ-61% מהנשים שחוו אלימות בשנה זו לא דיווחו על כך למשטרה.</w:t>
      </w:r>
    </w:p>
  </w:footnote>
  <w:footnote w:id="125">
    <w:p w14:paraId="7EBCBF9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על תפקידה המרכזי של המחלקה לשירותים חברתיים באיתור וביישוג של אוכלוסיות בסיכון ראו גם: </w:t>
      </w:r>
      <w:r w:rsidRPr="00956B0F">
        <w:rPr>
          <w:rFonts w:hint="cs"/>
          <w:b/>
          <w:bCs/>
          <w:rtl/>
        </w:rPr>
        <w:t xml:space="preserve">דין וחשבון הוועדה לניסוח הצעה לרפורמה בשירותי הרווחה המקומיים </w:t>
      </w:r>
      <w:r w:rsidRPr="00956B0F">
        <w:rPr>
          <w:rFonts w:hint="cs"/>
          <w:rtl/>
        </w:rPr>
        <w:t>(2010), עמ' 36.</w:t>
      </w:r>
      <w:r w:rsidRPr="00956B0F">
        <w:rPr>
          <w:rtl/>
        </w:rPr>
        <w:t xml:space="preserve"> </w:t>
      </w:r>
      <w:r w:rsidRPr="00956B0F">
        <w:rPr>
          <w:rFonts w:hint="cs"/>
          <w:rtl/>
        </w:rPr>
        <w:t>ראו גם תת-הפרק "מניעה שניונית: איתור משפחות במעגל האלימות ופיתוח מענים בקהילה".</w:t>
      </w:r>
    </w:p>
  </w:footnote>
  <w:footnote w:id="126">
    <w:p w14:paraId="2A0ED40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bookmarkStart w:id="447" w:name="_Hlk200873938"/>
      <w:r w:rsidRPr="00956B0F">
        <w:rPr>
          <w:rFonts w:hint="cs"/>
          <w:rtl/>
        </w:rPr>
        <w:t xml:space="preserve">יצוין כי מדי שנה הלמ"ס אוספת ומפרסמת נתונים </w:t>
      </w:r>
      <w:r w:rsidRPr="00956B0F">
        <w:rPr>
          <w:rFonts w:hint="eastAsia"/>
          <w:rtl/>
        </w:rPr>
        <w:t>מסוימים</w:t>
      </w:r>
      <w:r w:rsidRPr="00956B0F">
        <w:rPr>
          <w:rFonts w:hint="cs"/>
          <w:rtl/>
        </w:rPr>
        <w:t xml:space="preserve"> על המרחק של מדינת ישראל מיעדי הפיתוח הבר-קיימה. בהתייחס ליעד של צמצום האלימות כלפי נשים מצד בני זוגן, מפרסמת הלמ"ס נתון כללי על אלימות כלפי נשים, ללא הפרדה לפי זהות הפוגע, בשל טעות דגימה גדולה. הנתון מתייחס ל-12 החודשים האחרונים שקדמו לאיסוף הנתונים, והוא נלקח מתוך סקר ביטחון אישי שעורכת הלמ"ס מדי שנה, ומכאן שהוא אינו נאסף כחלק מסקר ייעודי לניטור תופעת האלימות. </w:t>
      </w:r>
      <w:r w:rsidRPr="00956B0F">
        <w:rPr>
          <w:rFonts w:hint="eastAsia"/>
          <w:rtl/>
        </w:rPr>
        <w:t>יש</w:t>
      </w:r>
      <w:r w:rsidRPr="00956B0F">
        <w:rPr>
          <w:rtl/>
        </w:rPr>
        <w:t xml:space="preserve"> לציין כי מבקר המדינה בדק את </w:t>
      </w:r>
      <w:r w:rsidRPr="00956B0F">
        <w:rPr>
          <w:rFonts w:hint="cs"/>
          <w:rtl/>
        </w:rPr>
        <w:t xml:space="preserve">מוכנות הממשלה </w:t>
      </w:r>
      <w:r w:rsidRPr="00956B0F">
        <w:rPr>
          <w:rtl/>
        </w:rPr>
        <w:t xml:space="preserve">להטמעת יעדי הפיתוח הבר-קיימה בעבודתה ומצא כי </w:t>
      </w:r>
      <w:r w:rsidRPr="00956B0F">
        <w:rPr>
          <w:rFonts w:hint="eastAsia"/>
          <w:rtl/>
        </w:rPr>
        <w:t>אף</w:t>
      </w:r>
      <w:r w:rsidRPr="00956B0F">
        <w:rPr>
          <w:rtl/>
        </w:rPr>
        <w:t xml:space="preserve"> </w:t>
      </w:r>
      <w:r w:rsidRPr="00956B0F">
        <w:rPr>
          <w:rFonts w:hint="eastAsia"/>
          <w:rtl/>
        </w:rPr>
        <w:t>ש</w:t>
      </w:r>
      <w:r w:rsidRPr="00956B0F">
        <w:rPr>
          <w:rtl/>
        </w:rPr>
        <w:t>מ</w:t>
      </w:r>
      <w:r w:rsidRPr="00956B0F">
        <w:rPr>
          <w:rFonts w:hint="eastAsia"/>
          <w:rtl/>
        </w:rPr>
        <w:t>דינת</w:t>
      </w:r>
      <w:r w:rsidRPr="00956B0F">
        <w:rPr>
          <w:rtl/>
        </w:rPr>
        <w:t xml:space="preserve"> ישראל הביעה מחויבות ל</w:t>
      </w:r>
      <w:r w:rsidRPr="00956B0F">
        <w:rPr>
          <w:rFonts w:hint="eastAsia"/>
          <w:rtl/>
        </w:rPr>
        <w:t>הטמעת</w:t>
      </w:r>
      <w:r w:rsidRPr="00956B0F">
        <w:rPr>
          <w:rtl/>
        </w:rPr>
        <w:t xml:space="preserve"> יעדי הפיתוח הבר-קיימה </w:t>
      </w:r>
      <w:r w:rsidRPr="00956B0F">
        <w:rPr>
          <w:rFonts w:hint="eastAsia"/>
          <w:rtl/>
        </w:rPr>
        <w:t>בעבודת</w:t>
      </w:r>
      <w:r w:rsidRPr="00956B0F">
        <w:rPr>
          <w:rFonts w:hint="cs"/>
          <w:rtl/>
        </w:rPr>
        <w:t xml:space="preserve"> </w:t>
      </w:r>
      <w:r w:rsidRPr="00956B0F">
        <w:rPr>
          <w:rFonts w:hint="eastAsia"/>
          <w:rtl/>
        </w:rPr>
        <w:t>ה</w:t>
      </w:r>
      <w:r w:rsidRPr="00956B0F">
        <w:rPr>
          <w:rFonts w:hint="cs"/>
          <w:rtl/>
        </w:rPr>
        <w:t>ממשלה</w:t>
      </w:r>
      <w:r w:rsidRPr="00956B0F">
        <w:rPr>
          <w:rtl/>
        </w:rPr>
        <w:t xml:space="preserve"> (בקבלת החלטת הממשלה 4631, "שילוב יעדי הפיתוח של האו"ם לשיפור המשילות ותהליכי תכנון אסטרטגי בממשלה" [14.7.19]), במועד סיומה של </w:t>
      </w:r>
      <w:r w:rsidRPr="00956B0F">
        <w:rPr>
          <w:rFonts w:hint="eastAsia"/>
          <w:rtl/>
        </w:rPr>
        <w:t>ה</w:t>
      </w:r>
      <w:r w:rsidRPr="00956B0F">
        <w:rPr>
          <w:rtl/>
        </w:rPr>
        <w:t xml:space="preserve">ביקורת </w:t>
      </w:r>
      <w:r w:rsidRPr="00956B0F">
        <w:rPr>
          <w:rFonts w:hint="eastAsia"/>
          <w:rtl/>
        </w:rPr>
        <w:t>לא</w:t>
      </w:r>
      <w:r w:rsidRPr="00956B0F">
        <w:rPr>
          <w:rtl/>
        </w:rPr>
        <w:t xml:space="preserve"> </w:t>
      </w:r>
      <w:r w:rsidRPr="00956B0F">
        <w:rPr>
          <w:rFonts w:hint="eastAsia"/>
          <w:rtl/>
        </w:rPr>
        <w:t>היה</w:t>
      </w:r>
      <w:r w:rsidRPr="00956B0F">
        <w:rPr>
          <w:rtl/>
        </w:rPr>
        <w:t xml:space="preserve"> </w:t>
      </w:r>
      <w:r w:rsidRPr="00956B0F">
        <w:rPr>
          <w:rFonts w:hint="eastAsia"/>
          <w:rtl/>
        </w:rPr>
        <w:t>קיים</w:t>
      </w:r>
      <w:r w:rsidRPr="00956B0F">
        <w:rPr>
          <w:rtl/>
        </w:rPr>
        <w:t xml:space="preserve"> מנגנון </w:t>
      </w:r>
      <w:r w:rsidRPr="00956B0F">
        <w:rPr>
          <w:rFonts w:hint="cs"/>
          <w:rtl/>
        </w:rPr>
        <w:t xml:space="preserve">ישים </w:t>
      </w:r>
      <w:r w:rsidRPr="00956B0F">
        <w:rPr>
          <w:rtl/>
        </w:rPr>
        <w:t>שיש בו כדי להבטיח תהליך הטמעה מוצלח של ה</w:t>
      </w:r>
      <w:r w:rsidRPr="00956B0F">
        <w:rPr>
          <w:rFonts w:hint="eastAsia"/>
          <w:rtl/>
        </w:rPr>
        <w:t>יעדים</w:t>
      </w:r>
      <w:r w:rsidRPr="00956B0F">
        <w:rPr>
          <w:rtl/>
        </w:rPr>
        <w:t xml:space="preserve"> </w:t>
      </w:r>
      <w:r w:rsidRPr="00956B0F">
        <w:rPr>
          <w:rFonts w:hint="eastAsia"/>
          <w:rtl/>
        </w:rPr>
        <w:t>הללו</w:t>
      </w:r>
      <w:r w:rsidRPr="00956B0F">
        <w:rPr>
          <w:rtl/>
        </w:rPr>
        <w:t xml:space="preserve"> בעבודת הממשלה. ראו: </w:t>
      </w:r>
      <w:r w:rsidRPr="00956B0F">
        <w:rPr>
          <w:rFonts w:hint="eastAsia"/>
          <w:rtl/>
        </w:rPr>
        <w:t>מבקר</w:t>
      </w:r>
      <w:r w:rsidRPr="00956B0F">
        <w:rPr>
          <w:rtl/>
        </w:rPr>
        <w:t xml:space="preserve"> המדינה, </w:t>
      </w:r>
      <w:r w:rsidRPr="00956B0F">
        <w:rPr>
          <w:rFonts w:hint="eastAsia"/>
          <w:b/>
          <w:bCs/>
          <w:rtl/>
        </w:rPr>
        <w:t>דוח</w:t>
      </w:r>
      <w:r w:rsidRPr="00956B0F">
        <w:rPr>
          <w:b/>
          <w:bCs/>
          <w:rtl/>
        </w:rPr>
        <w:t xml:space="preserve"> </w:t>
      </w:r>
      <w:r w:rsidRPr="00956B0F">
        <w:rPr>
          <w:rFonts w:hint="eastAsia"/>
          <w:b/>
          <w:bCs/>
          <w:rtl/>
        </w:rPr>
        <w:t>מבקר</w:t>
      </w:r>
      <w:r w:rsidRPr="00956B0F">
        <w:rPr>
          <w:b/>
          <w:bCs/>
          <w:rtl/>
        </w:rPr>
        <w:t xml:space="preserve"> </w:t>
      </w:r>
      <w:r w:rsidRPr="00956B0F">
        <w:rPr>
          <w:rFonts w:hint="eastAsia"/>
          <w:b/>
          <w:bCs/>
          <w:rtl/>
        </w:rPr>
        <w:t>המדינה</w:t>
      </w:r>
      <w:r w:rsidRPr="00956B0F">
        <w:rPr>
          <w:b/>
          <w:bCs/>
          <w:rtl/>
        </w:rPr>
        <w:t xml:space="preserve"> - </w:t>
      </w:r>
      <w:r w:rsidRPr="00956B0F">
        <w:rPr>
          <w:rFonts w:hint="eastAsia"/>
          <w:b/>
          <w:bCs/>
          <w:rtl/>
        </w:rPr>
        <w:t>מאי</w:t>
      </w:r>
      <w:r w:rsidRPr="00956B0F">
        <w:rPr>
          <w:b/>
          <w:bCs/>
          <w:rtl/>
        </w:rPr>
        <w:t xml:space="preserve"> 2025</w:t>
      </w:r>
      <w:r w:rsidRPr="00956B0F">
        <w:rPr>
          <w:rtl/>
        </w:rPr>
        <w:t xml:space="preserve">, "מוכנות </w:t>
      </w:r>
      <w:r w:rsidRPr="00956B0F">
        <w:rPr>
          <w:rFonts w:hint="eastAsia"/>
          <w:rtl/>
        </w:rPr>
        <w:t>הממשלה</w:t>
      </w:r>
      <w:r w:rsidRPr="00956B0F">
        <w:rPr>
          <w:rtl/>
        </w:rPr>
        <w:t xml:space="preserve"> </w:t>
      </w:r>
      <w:r w:rsidRPr="00956B0F">
        <w:rPr>
          <w:rFonts w:hint="eastAsia"/>
          <w:rtl/>
        </w:rPr>
        <w:t>להטמעת</w:t>
      </w:r>
      <w:r w:rsidRPr="00956B0F">
        <w:rPr>
          <w:rtl/>
        </w:rPr>
        <w:t xml:space="preserve"> </w:t>
      </w:r>
      <w:r w:rsidRPr="00956B0F">
        <w:rPr>
          <w:rFonts w:hint="eastAsia"/>
          <w:rtl/>
        </w:rPr>
        <w:t>היעדים</w:t>
      </w:r>
      <w:r w:rsidRPr="00956B0F">
        <w:rPr>
          <w:rtl/>
        </w:rPr>
        <w:t xml:space="preserve"> </w:t>
      </w:r>
      <w:r w:rsidRPr="00956B0F">
        <w:rPr>
          <w:rFonts w:hint="eastAsia"/>
          <w:rtl/>
        </w:rPr>
        <w:t>לפיתוח</w:t>
      </w:r>
      <w:r w:rsidRPr="00956B0F">
        <w:rPr>
          <w:rtl/>
        </w:rPr>
        <w:t xml:space="preserve"> </w:t>
      </w:r>
      <w:r w:rsidRPr="00956B0F">
        <w:rPr>
          <w:rFonts w:hint="eastAsia"/>
          <w:rtl/>
        </w:rPr>
        <w:t>בר</w:t>
      </w:r>
      <w:r w:rsidRPr="00956B0F">
        <w:rPr>
          <w:rtl/>
        </w:rPr>
        <w:t>-קיימה (</w:t>
      </w:r>
      <w:r w:rsidRPr="00956B0F">
        <w:t>SDGs</w:t>
      </w:r>
      <w:r w:rsidRPr="00956B0F">
        <w:rPr>
          <w:rtl/>
        </w:rPr>
        <w:t xml:space="preserve">) </w:t>
      </w:r>
      <w:r w:rsidRPr="00956B0F">
        <w:rPr>
          <w:rFonts w:hint="eastAsia"/>
          <w:rtl/>
        </w:rPr>
        <w:t>בעבודתה</w:t>
      </w:r>
      <w:r w:rsidRPr="00956B0F">
        <w:rPr>
          <w:rtl/>
        </w:rPr>
        <w:t>".</w:t>
      </w:r>
      <w:bookmarkEnd w:id="447"/>
    </w:p>
  </w:footnote>
  <w:footnote w:id="127">
    <w:p w14:paraId="15E8F82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אמנת איסטנבול, סעיף 11 לאמנה (</w:t>
      </w:r>
      <w:r w:rsidRPr="00956B0F">
        <w:t>Data collection and research</w:t>
      </w:r>
      <w:r w:rsidRPr="00956B0F">
        <w:rPr>
          <w:rFonts w:hint="cs"/>
          <w:rtl/>
        </w:rPr>
        <w:t xml:space="preserve">); שירין בטשון, לאה גפנג'ר-לוי והדס בן אליהו, </w:t>
      </w:r>
      <w:r w:rsidRPr="00956B0F">
        <w:rPr>
          <w:rFonts w:hint="cs"/>
          <w:b/>
          <w:bCs/>
          <w:rtl/>
        </w:rPr>
        <w:t>אלימות מבוססת מגדר בישראל: איסוף ופילוח נתונים בראי יעדי האו"ם לפיתוח בר קיימא ואמנות בינלאומיות</w:t>
      </w:r>
      <w:r w:rsidRPr="00956B0F">
        <w:rPr>
          <w:rFonts w:hint="cs"/>
          <w:rtl/>
        </w:rPr>
        <w:t xml:space="preserve"> (2024).</w:t>
      </w:r>
    </w:p>
  </w:footnote>
  <w:footnote w:id="128">
    <w:p w14:paraId="25856B7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Pr>
        <w:t>WHO</w:t>
      </w:r>
      <w:r w:rsidRPr="00956B0F">
        <w:t xml:space="preserve">, </w:t>
      </w:r>
      <w:r w:rsidRPr="00956B0F">
        <w:rPr>
          <w:b/>
          <w:bCs/>
        </w:rPr>
        <w:t>Violence Against Women Prevalence Estimates 2018</w:t>
      </w:r>
      <w:r w:rsidRPr="00956B0F">
        <w:t>, on behalf of the United Nations Inter-Agency Working Group on Violence Against Women Estimation and Data (2021).</w:t>
      </w:r>
    </w:p>
  </w:footnote>
  <w:footnote w:id="129">
    <w:p w14:paraId="0A7909B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מחוון זה כלול במדד המגדר של ה-</w:t>
      </w:r>
      <w:r w:rsidRPr="00956B0F">
        <w:rPr>
          <w:rFonts w:hint="cs"/>
        </w:rPr>
        <w:t>OECD</w:t>
      </w:r>
      <w:r w:rsidRPr="00956B0F">
        <w:rPr>
          <w:rFonts w:hint="cs"/>
          <w:rtl/>
        </w:rPr>
        <w:t xml:space="preserve"> לשנת 2023 (</w:t>
      </w:r>
      <w:r w:rsidRPr="00956B0F">
        <w:t>The OECD Development Centre's Social Institutions and Gender Index (SIGI)</w:t>
      </w:r>
      <w:r w:rsidRPr="00956B0F">
        <w:rPr>
          <w:rFonts w:hint="cs"/>
          <w:rtl/>
        </w:rPr>
        <w:t>), והוא מתבסס על נתונים שמפרסם ארגון הבריאות העולמי.</w:t>
      </w:r>
    </w:p>
  </w:footnote>
  <w:footnote w:id="130">
    <w:p w14:paraId="607604D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t>World Health Organization 2025 data.who.int, Proportion of ever-partnered women and girls aged 15 - 49 years subjected to physical and/or sexual violence by a current or former intimate partner in the previous 12 months (%) [Indicator].</w:t>
      </w:r>
    </w:p>
    <w:p w14:paraId="2AA3E29A" w14:textId="77777777" w:rsidR="00F769CC" w:rsidRPr="00956B0F" w:rsidRDefault="00F769CC" w:rsidP="00817399">
      <w:pPr>
        <w:pStyle w:val="af7"/>
        <w:ind w:firstLine="0"/>
      </w:pPr>
      <w:r w:rsidRPr="00956B0F">
        <w:t>https://data.who.int/indicators/i/BEDE3DB/F8524F2https://data.who.int/indicators/i/BEDE3DB/F8524F2 (Accessed on 29 January 2025)</w:t>
      </w:r>
    </w:p>
  </w:footnote>
  <w:footnote w:id="131">
    <w:p w14:paraId="6C39008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ראו</w:t>
      </w:r>
      <w:r w:rsidRPr="00956B0F">
        <w:rPr>
          <w:rtl/>
        </w:rPr>
        <w:t xml:space="preserve"> </w:t>
      </w:r>
      <w:r w:rsidRPr="00956B0F">
        <w:rPr>
          <w:rFonts w:hint="cs"/>
          <w:rtl/>
        </w:rPr>
        <w:t xml:space="preserve">המשרד לביטחון הפנים, </w:t>
      </w:r>
      <w:r w:rsidRPr="00956B0F">
        <w:rPr>
          <w:rFonts w:hint="cs"/>
          <w:b/>
          <w:bCs/>
          <w:rtl/>
        </w:rPr>
        <w:t>הנזק הכלכלי מתופעת הפשיעה בישראל</w:t>
      </w:r>
      <w:r w:rsidRPr="00956B0F">
        <w:rPr>
          <w:rFonts w:hint="cs"/>
          <w:rtl/>
        </w:rPr>
        <w:t xml:space="preserve"> (2014); </w:t>
      </w:r>
      <w:r w:rsidRPr="00956B0F">
        <w:t xml:space="preserve">Women's Health and Development (WHD), </w:t>
      </w:r>
      <w:r w:rsidRPr="00956B0F">
        <w:rPr>
          <w:b/>
          <w:bCs/>
        </w:rPr>
        <w:t>Violence Against Women: A Priority Health Issue</w:t>
      </w:r>
      <w:r w:rsidRPr="00956B0F">
        <w:t xml:space="preserve"> (1997)</w:t>
      </w:r>
      <w:r w:rsidRPr="00956B0F">
        <w:rPr>
          <w:rFonts w:hint="cs"/>
          <w:rtl/>
        </w:rPr>
        <w:t>; גילבר, דקל ובן פורת</w:t>
      </w:r>
      <w:r w:rsidRPr="00956B0F">
        <w:rPr>
          <w:rStyle w:val="Hyperlink"/>
          <w:rFonts w:hint="cs"/>
          <w:color w:val="auto"/>
          <w:u w:val="none"/>
          <w:rtl/>
        </w:rPr>
        <w:t xml:space="preserve"> (1), עמ' 50 - 51.</w:t>
      </w:r>
    </w:p>
  </w:footnote>
  <w:footnote w:id="132">
    <w:p w14:paraId="61D5A83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בהקשר זה: </w:t>
      </w:r>
      <w:r w:rsidRPr="00956B0F">
        <w:t xml:space="preserve">The OECD, </w:t>
      </w:r>
      <w:r w:rsidRPr="00956B0F">
        <w:rPr>
          <w:b/>
          <w:bCs/>
        </w:rPr>
        <w:t>The Short and Winding Road to 2030: Measuring Distance to the SDG Targets</w:t>
      </w:r>
      <w:r w:rsidRPr="00956B0F">
        <w:t xml:space="preserve"> (2022), pp. 80 - 81.</w:t>
      </w:r>
    </w:p>
  </w:footnote>
  <w:footnote w:id="133">
    <w:p w14:paraId="5CA3EF5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תוכנית הפעולה של ועדת המנכ"לים, עמ' 110.</w:t>
      </w:r>
    </w:p>
  </w:footnote>
  <w:footnote w:id="134">
    <w:p w14:paraId="1822E6BB"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הסקר משנת 2001</w:t>
      </w:r>
      <w:r w:rsidRPr="00956B0F">
        <w:rPr>
          <w:rStyle w:val="Hyperlink"/>
          <w:rFonts w:hint="cs"/>
          <w:color w:val="auto"/>
          <w:u w:val="none"/>
          <w:rtl/>
        </w:rPr>
        <w:t>, עמ' 5.</w:t>
      </w:r>
    </w:p>
  </w:footnote>
  <w:footnote w:id="135">
    <w:p w14:paraId="0DFA57E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להרחבה בעניין זה ראו תת-הפרק "התמודדות עם תופעת האלימות בין בני זוג בעיתות משבר וחירום ובמלחמת חרבות ברזל".</w:t>
      </w:r>
      <w:r w:rsidRPr="00956B0F">
        <w:rPr>
          <w:rtl/>
        </w:rPr>
        <w:t xml:space="preserve"> </w:t>
      </w:r>
    </w:p>
  </w:footnote>
  <w:footnote w:id="136">
    <w:p w14:paraId="580ABC5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b/>
          <w:bCs/>
          <w:rtl/>
        </w:rPr>
        <w:t>אלימות מצד בן/בת זוג: ממצאי איסוף נתונים שאלון אלימות בזוגיות</w:t>
      </w:r>
      <w:r w:rsidRPr="00956B0F">
        <w:rPr>
          <w:rFonts w:hint="cs"/>
          <w:rtl/>
        </w:rPr>
        <w:t xml:space="preserve"> (2024), עמ' 17.</w:t>
      </w:r>
    </w:p>
  </w:footnote>
  <w:footnote w:id="137">
    <w:p w14:paraId="2EE9234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b/>
          <w:bCs/>
          <w:rtl/>
        </w:rPr>
        <w:t>אלימות מצד בן/בת זוג: ממצאי איסוף נתונים שאלון אלימות בזוגיות</w:t>
      </w:r>
      <w:r w:rsidRPr="00956B0F">
        <w:rPr>
          <w:rFonts w:hint="cs"/>
          <w:rtl/>
        </w:rPr>
        <w:t xml:space="preserve"> (2024), עמ' 15, 16 ו-19.</w:t>
      </w:r>
    </w:p>
  </w:footnote>
  <w:footnote w:id="138">
    <w:p w14:paraId="40FA954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כך מתן מידע לגבי תיקים סגורים בתחום האלימות במשפחה יאפשר גיבוש החלטה מושכלת גם בהתאם לעברו של החשוד בנושא זה; העברות מידע מצד גורמי הרפואה לגורמי הרווחה והאכיפה תאפשר קבלת מידע על פגיעות פיזיות ומיניות, והעברת מידע לגורמים החינוכיים המטפלים בילד </w:t>
      </w:r>
      <w:r w:rsidRPr="00956B0F">
        <w:rPr>
          <w:rFonts w:hint="cs"/>
          <w:rtl/>
        </w:rPr>
        <w:t>ו</w:t>
      </w:r>
      <w:r w:rsidRPr="00956B0F">
        <w:rPr>
          <w:rtl/>
        </w:rPr>
        <w:t>במשפחה נפגעת אלימות תסייע ביצירת מעטפת תומכת ומשקמת ובהפחתת הסיכון בהעברת התופעה לדור הבא</w:t>
      </w:r>
      <w:r w:rsidRPr="00956B0F">
        <w:rPr>
          <w:rFonts w:hint="cs"/>
          <w:rtl/>
        </w:rPr>
        <w:t xml:space="preserve">. ראו: רחל סבו-לאל וטליה חסין, </w:t>
      </w:r>
      <w:r w:rsidRPr="00956B0F">
        <w:rPr>
          <w:rFonts w:hint="eastAsia"/>
          <w:b/>
          <w:bCs/>
          <w:rtl/>
        </w:rPr>
        <w:t>מצבי</w:t>
      </w:r>
      <w:r w:rsidRPr="00956B0F">
        <w:rPr>
          <w:b/>
          <w:bCs/>
          <w:rtl/>
        </w:rPr>
        <w:t xml:space="preserve"> </w:t>
      </w:r>
      <w:r w:rsidRPr="00956B0F">
        <w:rPr>
          <w:rFonts w:hint="eastAsia"/>
          <w:b/>
          <w:bCs/>
          <w:rtl/>
        </w:rPr>
        <w:t>סיכון</w:t>
      </w:r>
      <w:r w:rsidRPr="00956B0F">
        <w:rPr>
          <w:b/>
          <w:bCs/>
          <w:rtl/>
        </w:rPr>
        <w:t xml:space="preserve"> </w:t>
      </w:r>
      <w:r w:rsidRPr="00956B0F">
        <w:rPr>
          <w:rFonts w:hint="eastAsia"/>
          <w:b/>
          <w:bCs/>
          <w:rtl/>
        </w:rPr>
        <w:t>בקרב</w:t>
      </w:r>
      <w:r w:rsidRPr="00956B0F">
        <w:rPr>
          <w:b/>
          <w:bCs/>
          <w:rtl/>
        </w:rPr>
        <w:t xml:space="preserve"> </w:t>
      </w:r>
      <w:r w:rsidRPr="00956B0F">
        <w:rPr>
          <w:rFonts w:hint="eastAsia"/>
          <w:b/>
          <w:bCs/>
          <w:rtl/>
        </w:rPr>
        <w:t>ילדים</w:t>
      </w:r>
      <w:r w:rsidRPr="00956B0F">
        <w:rPr>
          <w:b/>
          <w:bCs/>
          <w:rtl/>
        </w:rPr>
        <w:t xml:space="preserve"> </w:t>
      </w:r>
      <w:r w:rsidRPr="00956B0F">
        <w:rPr>
          <w:rFonts w:hint="eastAsia"/>
          <w:b/>
          <w:bCs/>
          <w:rtl/>
        </w:rPr>
        <w:t>ובני</w:t>
      </w:r>
      <w:r w:rsidRPr="00956B0F">
        <w:rPr>
          <w:b/>
          <w:bCs/>
          <w:rtl/>
        </w:rPr>
        <w:t xml:space="preserve"> </w:t>
      </w:r>
      <w:r w:rsidRPr="00956B0F">
        <w:rPr>
          <w:rFonts w:hint="eastAsia"/>
          <w:b/>
          <w:bCs/>
          <w:rtl/>
        </w:rPr>
        <w:t>נוער</w:t>
      </w:r>
      <w:r w:rsidRPr="00956B0F">
        <w:rPr>
          <w:b/>
          <w:bCs/>
          <w:rtl/>
        </w:rPr>
        <w:t xml:space="preserve">: </w:t>
      </w:r>
      <w:r w:rsidRPr="00956B0F">
        <w:rPr>
          <w:rFonts w:hint="eastAsia"/>
          <w:b/>
          <w:bCs/>
          <w:rtl/>
        </w:rPr>
        <w:t>איתור</w:t>
      </w:r>
      <w:r w:rsidRPr="00956B0F">
        <w:rPr>
          <w:b/>
          <w:bCs/>
          <w:rtl/>
        </w:rPr>
        <w:t xml:space="preserve"> </w:t>
      </w:r>
      <w:r w:rsidRPr="00956B0F">
        <w:rPr>
          <w:rFonts w:hint="eastAsia"/>
          <w:b/>
          <w:bCs/>
          <w:rtl/>
        </w:rPr>
        <w:t>ומיפוי</w:t>
      </w:r>
      <w:r w:rsidRPr="00956B0F">
        <w:rPr>
          <w:b/>
          <w:bCs/>
          <w:rtl/>
        </w:rPr>
        <w:t xml:space="preserve"> </w:t>
      </w:r>
      <w:r w:rsidRPr="00956B0F">
        <w:rPr>
          <w:rFonts w:hint="eastAsia"/>
          <w:b/>
          <w:bCs/>
          <w:rtl/>
        </w:rPr>
        <w:t>במסגרת</w:t>
      </w:r>
      <w:r w:rsidRPr="00956B0F">
        <w:rPr>
          <w:b/>
          <w:bCs/>
          <w:rtl/>
        </w:rPr>
        <w:t xml:space="preserve"> </w:t>
      </w:r>
      <w:r w:rsidRPr="00956B0F">
        <w:rPr>
          <w:rFonts w:hint="eastAsia"/>
          <w:b/>
          <w:bCs/>
          <w:rtl/>
        </w:rPr>
        <w:t>התכנית</w:t>
      </w:r>
      <w:r w:rsidRPr="00956B0F">
        <w:rPr>
          <w:b/>
          <w:bCs/>
          <w:rtl/>
        </w:rPr>
        <w:t xml:space="preserve"> </w:t>
      </w:r>
      <w:r w:rsidRPr="00956B0F">
        <w:rPr>
          <w:rFonts w:hint="eastAsia"/>
          <w:b/>
          <w:bCs/>
          <w:rtl/>
        </w:rPr>
        <w:t>הלאומית</w:t>
      </w:r>
      <w:r w:rsidRPr="00956B0F">
        <w:rPr>
          <w:b/>
          <w:bCs/>
          <w:rtl/>
        </w:rPr>
        <w:t xml:space="preserve"> </w:t>
      </w:r>
      <w:r w:rsidRPr="00956B0F">
        <w:rPr>
          <w:rFonts w:hint="eastAsia"/>
          <w:b/>
          <w:bCs/>
          <w:rtl/>
        </w:rPr>
        <w:t>לילדים</w:t>
      </w:r>
      <w:r w:rsidRPr="00956B0F">
        <w:rPr>
          <w:b/>
          <w:bCs/>
          <w:rtl/>
        </w:rPr>
        <w:t xml:space="preserve"> </w:t>
      </w:r>
      <w:r w:rsidRPr="00956B0F">
        <w:rPr>
          <w:rFonts w:hint="eastAsia"/>
          <w:b/>
          <w:bCs/>
          <w:rtl/>
        </w:rPr>
        <w:t>ולנוער</w:t>
      </w:r>
      <w:r w:rsidRPr="00956B0F">
        <w:rPr>
          <w:b/>
          <w:bCs/>
          <w:rtl/>
        </w:rPr>
        <w:t xml:space="preserve"> </w:t>
      </w:r>
      <w:r w:rsidRPr="00956B0F">
        <w:rPr>
          <w:rFonts w:hint="eastAsia"/>
          <w:b/>
          <w:bCs/>
          <w:rtl/>
        </w:rPr>
        <w:t>בסיכון</w:t>
      </w:r>
      <w:r w:rsidRPr="00956B0F">
        <w:rPr>
          <w:rFonts w:hint="cs"/>
          <w:rtl/>
        </w:rPr>
        <w:t xml:space="preserve"> (2011), עמ' 5. </w:t>
      </w:r>
    </w:p>
  </w:footnote>
  <w:footnote w:id="139">
    <w:p w14:paraId="683CEF99"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b/>
          <w:bCs/>
          <w:rtl/>
        </w:rPr>
        <w:t>פיתוח</w:t>
      </w:r>
      <w:r w:rsidRPr="00956B0F">
        <w:rPr>
          <w:b/>
          <w:bCs/>
          <w:rtl/>
        </w:rPr>
        <w:t xml:space="preserve"> </w:t>
      </w:r>
      <w:r w:rsidRPr="00956B0F">
        <w:rPr>
          <w:rFonts w:hint="eastAsia"/>
          <w:b/>
          <w:bCs/>
          <w:rtl/>
        </w:rPr>
        <w:t>כלים</w:t>
      </w:r>
      <w:r w:rsidRPr="00956B0F">
        <w:rPr>
          <w:b/>
          <w:bCs/>
          <w:rtl/>
        </w:rPr>
        <w:t xml:space="preserve"> </w:t>
      </w:r>
      <w:r w:rsidRPr="00956B0F">
        <w:rPr>
          <w:rFonts w:hint="eastAsia"/>
          <w:b/>
          <w:bCs/>
          <w:rtl/>
        </w:rPr>
        <w:t>אחידים</w:t>
      </w:r>
      <w:r w:rsidRPr="00956B0F">
        <w:rPr>
          <w:b/>
          <w:bCs/>
          <w:rtl/>
        </w:rPr>
        <w:t xml:space="preserve"> </w:t>
      </w:r>
      <w:r w:rsidRPr="00956B0F">
        <w:rPr>
          <w:rFonts w:hint="eastAsia"/>
          <w:b/>
          <w:bCs/>
          <w:rtl/>
        </w:rPr>
        <w:t>ומותאמים</w:t>
      </w:r>
      <w:r w:rsidRPr="00956B0F">
        <w:rPr>
          <w:b/>
          <w:bCs/>
          <w:rtl/>
        </w:rPr>
        <w:t xml:space="preserve"> </w:t>
      </w:r>
      <w:r w:rsidRPr="00956B0F">
        <w:rPr>
          <w:rFonts w:hint="eastAsia"/>
          <w:b/>
          <w:bCs/>
          <w:rtl/>
        </w:rPr>
        <w:t>להערכת</w:t>
      </w:r>
      <w:r w:rsidRPr="00956B0F">
        <w:rPr>
          <w:b/>
          <w:bCs/>
          <w:rtl/>
        </w:rPr>
        <w:t xml:space="preserve"> </w:t>
      </w:r>
      <w:r w:rsidRPr="00956B0F">
        <w:rPr>
          <w:rFonts w:hint="eastAsia"/>
          <w:b/>
          <w:bCs/>
          <w:rtl/>
        </w:rPr>
        <w:t>מסוכנות</w:t>
      </w:r>
      <w:r w:rsidRPr="00956B0F">
        <w:rPr>
          <w:rFonts w:hint="cs"/>
          <w:b/>
          <w:bCs/>
          <w:rtl/>
        </w:rPr>
        <w:t xml:space="preserve"> </w:t>
      </w:r>
      <w:r w:rsidRPr="00956B0F">
        <w:rPr>
          <w:rFonts w:hint="cs"/>
          <w:rtl/>
        </w:rPr>
        <w:t>(דוח ביניים) (מאי 2020), עמ' 25 - 26.</w:t>
      </w:r>
    </w:p>
  </w:footnote>
  <w:footnote w:id="140">
    <w:p w14:paraId="04C0ACA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ראו תת-הפרק "התמודדות עם תופעת האלימות בין בני זוג בעיתות משבר וחירום ובמלחמת חרבות ברזל". כן ראו לדוגמה: ג'וני גל, שביט בן פורת ויעל עובדיה, </w:t>
      </w:r>
      <w:r w:rsidRPr="00956B0F">
        <w:rPr>
          <w:rFonts w:hint="eastAsia"/>
          <w:b/>
          <w:bCs/>
          <w:rtl/>
        </w:rPr>
        <w:t>רווחה</w:t>
      </w:r>
      <w:r w:rsidRPr="00956B0F">
        <w:rPr>
          <w:b/>
          <w:bCs/>
          <w:rtl/>
        </w:rPr>
        <w:t xml:space="preserve"> </w:t>
      </w:r>
      <w:r w:rsidRPr="00956B0F">
        <w:rPr>
          <w:rFonts w:hint="eastAsia"/>
          <w:b/>
          <w:bCs/>
          <w:rtl/>
        </w:rPr>
        <w:t>במלחמה</w:t>
      </w:r>
      <w:r w:rsidRPr="00956B0F">
        <w:rPr>
          <w:b/>
          <w:bCs/>
          <w:rtl/>
        </w:rPr>
        <w:t xml:space="preserve"> </w:t>
      </w:r>
      <w:r w:rsidRPr="00956B0F">
        <w:rPr>
          <w:rFonts w:hint="eastAsia"/>
          <w:b/>
          <w:bCs/>
          <w:rtl/>
        </w:rPr>
        <w:t>ואחריה</w:t>
      </w:r>
      <w:r w:rsidRPr="00956B0F">
        <w:rPr>
          <w:b/>
          <w:bCs/>
          <w:rtl/>
        </w:rPr>
        <w:t xml:space="preserve">: </w:t>
      </w:r>
      <w:r w:rsidRPr="00956B0F">
        <w:rPr>
          <w:rFonts w:hint="eastAsia"/>
          <w:b/>
          <w:bCs/>
          <w:rtl/>
        </w:rPr>
        <w:t>תפקוד</w:t>
      </w:r>
      <w:r w:rsidRPr="00956B0F">
        <w:rPr>
          <w:b/>
          <w:bCs/>
          <w:rtl/>
        </w:rPr>
        <w:t xml:space="preserve"> </w:t>
      </w:r>
      <w:r w:rsidRPr="00956B0F">
        <w:rPr>
          <w:rFonts w:hint="eastAsia"/>
          <w:b/>
          <w:bCs/>
          <w:rtl/>
        </w:rPr>
        <w:t>מערכת</w:t>
      </w:r>
      <w:r w:rsidRPr="00956B0F">
        <w:rPr>
          <w:b/>
          <w:bCs/>
          <w:rtl/>
        </w:rPr>
        <w:t xml:space="preserve"> </w:t>
      </w:r>
      <w:r w:rsidRPr="00956B0F">
        <w:rPr>
          <w:rFonts w:hint="eastAsia"/>
          <w:b/>
          <w:bCs/>
          <w:rtl/>
        </w:rPr>
        <w:t>הרווחה</w:t>
      </w:r>
      <w:r w:rsidRPr="00956B0F">
        <w:rPr>
          <w:b/>
          <w:bCs/>
          <w:rtl/>
        </w:rPr>
        <w:t xml:space="preserve"> </w:t>
      </w:r>
      <w:r w:rsidRPr="00956B0F">
        <w:rPr>
          <w:rFonts w:hint="eastAsia"/>
          <w:b/>
          <w:bCs/>
          <w:rtl/>
        </w:rPr>
        <w:t>בזמן</w:t>
      </w:r>
      <w:r w:rsidRPr="00956B0F">
        <w:rPr>
          <w:b/>
          <w:bCs/>
          <w:rtl/>
        </w:rPr>
        <w:t xml:space="preserve"> </w:t>
      </w:r>
      <w:r w:rsidRPr="00956B0F">
        <w:rPr>
          <w:rFonts w:hint="eastAsia"/>
          <w:b/>
          <w:bCs/>
          <w:rtl/>
        </w:rPr>
        <w:t>מלחמת</w:t>
      </w:r>
      <w:r w:rsidRPr="00956B0F">
        <w:rPr>
          <w:b/>
          <w:bCs/>
          <w:rtl/>
        </w:rPr>
        <w:t xml:space="preserve"> 7 </w:t>
      </w:r>
      <w:r w:rsidRPr="00956B0F">
        <w:rPr>
          <w:rFonts w:hint="eastAsia"/>
          <w:b/>
          <w:bCs/>
          <w:rtl/>
        </w:rPr>
        <w:t>באוקטובר</w:t>
      </w:r>
      <w:r w:rsidRPr="00956B0F">
        <w:rPr>
          <w:b/>
          <w:bCs/>
          <w:rtl/>
        </w:rPr>
        <w:t xml:space="preserve"> </w:t>
      </w:r>
      <w:r w:rsidRPr="00956B0F">
        <w:rPr>
          <w:rFonts w:hint="eastAsia"/>
          <w:b/>
          <w:bCs/>
          <w:rtl/>
        </w:rPr>
        <w:t>והצעות</w:t>
      </w:r>
      <w:r w:rsidRPr="00956B0F">
        <w:rPr>
          <w:b/>
          <w:bCs/>
          <w:rtl/>
        </w:rPr>
        <w:t xml:space="preserve"> </w:t>
      </w:r>
      <w:r w:rsidRPr="00956B0F">
        <w:rPr>
          <w:rFonts w:hint="eastAsia"/>
          <w:b/>
          <w:bCs/>
          <w:rtl/>
        </w:rPr>
        <w:t>מדיניות</w:t>
      </w:r>
      <w:r w:rsidRPr="00956B0F">
        <w:rPr>
          <w:rFonts w:hint="cs"/>
          <w:rtl/>
        </w:rPr>
        <w:t>, נייר מדיניות מס' 09.2024 (2024), עמ' 40.</w:t>
      </w:r>
    </w:p>
  </w:footnote>
  <w:footnote w:id="141">
    <w:p w14:paraId="6EAB737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סעיף 8(א)(4) לחוק העובדים הסוציאליים, התשנ"ו-1996.</w:t>
      </w:r>
    </w:p>
  </w:footnote>
  <w:footnote w:id="142">
    <w:p w14:paraId="427A0B1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כך לדוגמה החוק מתיר למטפל או למוסד רפואי למסור מידע רפואי לאחר, בין השאר אם חלה על המטפל או על המוסד הרפואי חובה על פי דין למסור את המידע הרפואי, אם המידע נמסר למטפל אחר לצורך טיפול במטופל,</w:t>
      </w:r>
      <w:r w:rsidRPr="00956B0F">
        <w:rPr>
          <w:rtl/>
        </w:rPr>
        <w:t xml:space="preserve"> </w:t>
      </w:r>
      <w:r w:rsidRPr="00956B0F">
        <w:rPr>
          <w:rFonts w:hint="cs"/>
          <w:rtl/>
        </w:rPr>
        <w:t>או אם המידע נמסר לשם עיבודו, תיוקו או דיווח עליו על פי הדין</w:t>
      </w:r>
      <w:r w:rsidRPr="00956B0F">
        <w:rPr>
          <w:rtl/>
        </w:rPr>
        <w:t xml:space="preserve"> </w:t>
      </w:r>
      <w:r w:rsidRPr="00956B0F">
        <w:rPr>
          <w:rFonts w:hint="cs"/>
          <w:rtl/>
        </w:rPr>
        <w:t>(סעיפים 20(2), 20(3) ו-20(6)</w:t>
      </w:r>
      <w:r w:rsidRPr="00956B0F">
        <w:rPr>
          <w:rFonts w:hint="cs"/>
        </w:rPr>
        <w:t xml:space="preserve"> </w:t>
      </w:r>
      <w:r w:rsidRPr="00956B0F">
        <w:rPr>
          <w:rFonts w:hint="cs"/>
          <w:rtl/>
        </w:rPr>
        <w:t xml:space="preserve">לחוק זכויות החולה). </w:t>
      </w:r>
      <w:r w:rsidRPr="00956B0F">
        <w:rPr>
          <w:rtl/>
        </w:rPr>
        <w:t xml:space="preserve">כאשר יש חשש סביר שאדם פצוע, חסר הכרה או מת, שהגיע בית החולים היה מעורב במעשה אלימות, על האחראי על קבלת החולים לדווח על כך מיידית למשטרה, ואם הדיווח לא נעשה בעת קבלת החולה, על הרופא המטפל או האחות לדווח על כך למנהל בית החולים - שידווח על כך למשטרה לפי </w:t>
      </w:r>
      <w:r w:rsidRPr="00956B0F">
        <w:rPr>
          <w:rFonts w:hint="eastAsia"/>
          <w:rtl/>
        </w:rPr>
        <w:t>תקנה</w:t>
      </w:r>
      <w:r w:rsidRPr="00956B0F">
        <w:rPr>
          <w:rtl/>
        </w:rPr>
        <w:t xml:space="preserve"> 2 </w:t>
      </w:r>
      <w:r w:rsidRPr="00956B0F">
        <w:rPr>
          <w:rFonts w:hint="eastAsia"/>
          <w:rtl/>
        </w:rPr>
        <w:t>לתקנות</w:t>
      </w:r>
      <w:r w:rsidRPr="00956B0F">
        <w:rPr>
          <w:rtl/>
        </w:rPr>
        <w:t xml:space="preserve"> </w:t>
      </w:r>
      <w:r w:rsidRPr="00956B0F">
        <w:rPr>
          <w:rFonts w:hint="eastAsia"/>
          <w:rtl/>
        </w:rPr>
        <w:t>בריאות</w:t>
      </w:r>
      <w:r w:rsidRPr="00956B0F">
        <w:rPr>
          <w:rtl/>
        </w:rPr>
        <w:t xml:space="preserve"> </w:t>
      </w:r>
      <w:r w:rsidRPr="00956B0F">
        <w:rPr>
          <w:rFonts w:hint="eastAsia"/>
          <w:rtl/>
        </w:rPr>
        <w:t>העם</w:t>
      </w:r>
      <w:r w:rsidRPr="00956B0F">
        <w:rPr>
          <w:rtl/>
        </w:rPr>
        <w:t xml:space="preserve"> (הודעה </w:t>
      </w:r>
      <w:r w:rsidRPr="00956B0F">
        <w:rPr>
          <w:rFonts w:hint="eastAsia"/>
          <w:rtl/>
        </w:rPr>
        <w:t>על</w:t>
      </w:r>
      <w:r w:rsidRPr="00956B0F">
        <w:rPr>
          <w:rtl/>
        </w:rPr>
        <w:t xml:space="preserve"> </w:t>
      </w:r>
      <w:r w:rsidRPr="00956B0F">
        <w:rPr>
          <w:rFonts w:hint="eastAsia"/>
          <w:rtl/>
        </w:rPr>
        <w:t>חשש</w:t>
      </w:r>
      <w:r w:rsidRPr="00956B0F">
        <w:rPr>
          <w:rtl/>
        </w:rPr>
        <w:t xml:space="preserve"> </w:t>
      </w:r>
      <w:r w:rsidRPr="00956B0F">
        <w:rPr>
          <w:rFonts w:hint="eastAsia"/>
          <w:rtl/>
        </w:rPr>
        <w:t>אלימות</w:t>
      </w:r>
      <w:r w:rsidRPr="00956B0F">
        <w:rPr>
          <w:rtl/>
        </w:rPr>
        <w:t xml:space="preserve">), </w:t>
      </w:r>
      <w:r w:rsidRPr="00956B0F">
        <w:rPr>
          <w:rFonts w:hint="eastAsia"/>
          <w:rtl/>
        </w:rPr>
        <w:t>התשל</w:t>
      </w:r>
      <w:r w:rsidRPr="00956B0F">
        <w:rPr>
          <w:rtl/>
        </w:rPr>
        <w:t>"ו-1975.</w:t>
      </w:r>
    </w:p>
  </w:footnote>
  <w:footnote w:id="143">
    <w:p w14:paraId="5F08C0F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לדוגמה, סעיף 11 לחוק</w:t>
      </w:r>
      <w:r w:rsidRPr="00956B0F">
        <w:rPr>
          <w:rtl/>
        </w:rPr>
        <w:t xml:space="preserve"> המידע הפלילי</w:t>
      </w:r>
      <w:r w:rsidRPr="00956B0F">
        <w:rPr>
          <w:rFonts w:hint="cs"/>
          <w:rtl/>
        </w:rPr>
        <w:t xml:space="preserve"> ותקנת השבים, התשע"ט-2019.</w:t>
      </w:r>
    </w:p>
  </w:footnote>
  <w:footnote w:id="144">
    <w:p w14:paraId="6DE0438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לפי סעיף 23ב(</w:t>
      </w:r>
      <w:r w:rsidRPr="00956B0F">
        <w:rPr>
          <w:rFonts w:hint="eastAsia"/>
          <w:rtl/>
        </w:rPr>
        <w:t>א</w:t>
      </w:r>
      <w:r w:rsidRPr="00956B0F">
        <w:rPr>
          <w:rtl/>
        </w:rPr>
        <w:t>)</w:t>
      </w:r>
      <w:r w:rsidRPr="00956B0F">
        <w:rPr>
          <w:rFonts w:hint="cs"/>
          <w:rtl/>
        </w:rPr>
        <w:t xml:space="preserve"> לחוק הגנת הפרטיות, התשמ"א-1981, </w:t>
      </w:r>
      <w:r w:rsidRPr="00956B0F">
        <w:rPr>
          <w:rtl/>
        </w:rPr>
        <w:t xml:space="preserve">מסירת מידע מאת גוף ציבורי אסורה, </w:t>
      </w:r>
      <w:r w:rsidRPr="00956B0F">
        <w:rPr>
          <w:rFonts w:hint="cs"/>
          <w:rtl/>
        </w:rPr>
        <w:t xml:space="preserve">אלא אם המידע פורסם או הועמד לעיון הציבורי לפי דין, </w:t>
      </w:r>
      <w:r w:rsidRPr="00956B0F">
        <w:rPr>
          <w:rtl/>
        </w:rPr>
        <w:t>או שהאדם אשר המידע מתייחס אליו נתן הסכמתו למסירה</w:t>
      </w:r>
      <w:r w:rsidRPr="00956B0F">
        <w:rPr>
          <w:rFonts w:hint="cs"/>
          <w:rtl/>
        </w:rPr>
        <w:t xml:space="preserve">. </w:t>
      </w:r>
      <w:r w:rsidRPr="00956B0F">
        <w:rPr>
          <w:rFonts w:hint="eastAsia"/>
          <w:rtl/>
        </w:rPr>
        <w:t>על</w:t>
      </w:r>
      <w:r w:rsidRPr="00956B0F">
        <w:rPr>
          <w:rtl/>
        </w:rPr>
        <w:t xml:space="preserve"> </w:t>
      </w:r>
      <w:r w:rsidRPr="00956B0F">
        <w:rPr>
          <w:rFonts w:hint="eastAsia"/>
          <w:rtl/>
        </w:rPr>
        <w:t>אף</w:t>
      </w:r>
      <w:r w:rsidRPr="00956B0F">
        <w:rPr>
          <w:rtl/>
        </w:rPr>
        <w:t xml:space="preserve"> </w:t>
      </w:r>
      <w:r w:rsidRPr="00956B0F">
        <w:rPr>
          <w:rFonts w:hint="eastAsia"/>
          <w:rtl/>
        </w:rPr>
        <w:t>האמור</w:t>
      </w:r>
      <w:r w:rsidRPr="00956B0F">
        <w:rPr>
          <w:rtl/>
        </w:rPr>
        <w:t xml:space="preserve">, </w:t>
      </w:r>
      <w:r w:rsidRPr="00956B0F">
        <w:rPr>
          <w:rFonts w:hint="eastAsia"/>
          <w:rtl/>
        </w:rPr>
        <w:t>מסירת</w:t>
      </w:r>
      <w:r w:rsidRPr="00956B0F">
        <w:rPr>
          <w:rtl/>
        </w:rPr>
        <w:t xml:space="preserve"> מידע </w:t>
      </w:r>
      <w:r w:rsidRPr="00956B0F">
        <w:rPr>
          <w:rFonts w:hint="eastAsia"/>
          <w:rtl/>
        </w:rPr>
        <w:t>בין</w:t>
      </w:r>
      <w:r w:rsidRPr="00956B0F">
        <w:rPr>
          <w:rtl/>
        </w:rPr>
        <w:t xml:space="preserve"> גופים ציבוריים </w:t>
      </w:r>
      <w:r w:rsidRPr="00956B0F">
        <w:rPr>
          <w:rFonts w:hint="eastAsia"/>
          <w:rtl/>
        </w:rPr>
        <w:t>מותרת</w:t>
      </w:r>
      <w:r w:rsidRPr="00956B0F">
        <w:rPr>
          <w:rtl/>
        </w:rPr>
        <w:t xml:space="preserve"> אם לא נאסרה בחיקוק, אם מסירת המידע היא במסגרת הסמכויות או התפקידים של מוסר המידע, והיא דרושה למטרת ביצוע חיקוק או למטרה במסגרת הסמכויות או התפקידים של מוסר המידע או מקבלו, </w:t>
      </w:r>
      <w:r w:rsidRPr="00956B0F">
        <w:rPr>
          <w:rFonts w:hint="eastAsia"/>
          <w:rtl/>
        </w:rPr>
        <w:t>או</w:t>
      </w:r>
      <w:r w:rsidRPr="00956B0F">
        <w:rPr>
          <w:rtl/>
        </w:rPr>
        <w:t xml:space="preserve"> -</w:t>
      </w:r>
      <w:r w:rsidRPr="00956B0F">
        <w:rPr>
          <w:rFonts w:hint="cs"/>
          <w:rtl/>
        </w:rPr>
        <w:t xml:space="preserve"> אם </w:t>
      </w:r>
      <w:r w:rsidRPr="00956B0F">
        <w:rPr>
          <w:rtl/>
        </w:rPr>
        <w:t>מסירת המידע היא לגוף ציבורי הרשאי לדרוש אותו מידע על פי דין מכל מקור אחר</w:t>
      </w:r>
      <w:r w:rsidRPr="00956B0F">
        <w:rPr>
          <w:rFonts w:hint="cs"/>
          <w:rtl/>
        </w:rPr>
        <w:t>. העברת מידע בין גופים ציבוריים, בינם לבין משרדי ממשלה או בין משרדי ממשלה בינם ובין עצמם תיעשה לפי הוראות תקנות הגנת הפרטיות (תנאי החזקת מידע ושמירתו וסדרי העברת מידע בין גופים ציבוריים), התשמ"ו-1986.</w:t>
      </w:r>
    </w:p>
  </w:footnote>
  <w:footnote w:id="145">
    <w:p w14:paraId="4F8BBD4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דין וחשבון ועדת בן-שלום</w:t>
      </w:r>
      <w:r w:rsidRPr="00956B0F">
        <w:rPr>
          <w:rStyle w:val="Hyperlink"/>
          <w:color w:val="auto"/>
          <w:u w:val="none"/>
        </w:rPr>
        <w:t xml:space="preserve"> </w:t>
      </w:r>
      <w:r w:rsidRPr="00956B0F">
        <w:rPr>
          <w:rStyle w:val="Hyperlink"/>
          <w:rFonts w:hint="cs"/>
          <w:color w:val="auto"/>
          <w:u w:val="none"/>
          <w:rtl/>
        </w:rPr>
        <w:t>(</w:t>
      </w:r>
      <w:r w:rsidRPr="00956B0F">
        <w:rPr>
          <w:rStyle w:val="Hyperlink"/>
          <w:color w:val="auto"/>
          <w:u w:val="none"/>
          <w:rtl/>
        </w:rPr>
        <w:t>1998</w:t>
      </w:r>
      <w:r w:rsidRPr="00956B0F">
        <w:rPr>
          <w:rStyle w:val="Hyperlink"/>
          <w:rFonts w:hint="cs"/>
          <w:color w:val="auto"/>
          <w:u w:val="none"/>
          <w:rtl/>
        </w:rPr>
        <w:t>)</w:t>
      </w:r>
      <w:r w:rsidRPr="00956B0F">
        <w:rPr>
          <w:rFonts w:hint="cs"/>
          <w:rtl/>
        </w:rPr>
        <w:t xml:space="preserve">, עמ' 38; </w:t>
      </w:r>
      <w:r w:rsidRPr="00956B0F">
        <w:rPr>
          <w:rFonts w:hint="eastAsia"/>
          <w:rtl/>
        </w:rPr>
        <w:t>דין</w:t>
      </w:r>
      <w:r w:rsidRPr="00956B0F">
        <w:rPr>
          <w:rtl/>
        </w:rPr>
        <w:t xml:space="preserve"> </w:t>
      </w:r>
      <w:r w:rsidRPr="00956B0F">
        <w:rPr>
          <w:rFonts w:hint="eastAsia"/>
          <w:rtl/>
        </w:rPr>
        <w:t>וחשבון</w:t>
      </w:r>
      <w:r w:rsidRPr="00956B0F">
        <w:rPr>
          <w:rtl/>
        </w:rPr>
        <w:t xml:space="preserve"> </w:t>
      </w:r>
      <w:r w:rsidRPr="00956B0F">
        <w:rPr>
          <w:rFonts w:hint="eastAsia"/>
          <w:rtl/>
        </w:rPr>
        <w:t>וע</w:t>
      </w:r>
      <w:r w:rsidRPr="00956B0F">
        <w:rPr>
          <w:rtl/>
        </w:rPr>
        <w:t>דת רוזנבאום (2016),</w:t>
      </w:r>
      <w:r w:rsidRPr="00956B0F">
        <w:rPr>
          <w:rFonts w:hint="cs"/>
          <w:rtl/>
        </w:rPr>
        <w:t xml:space="preserve"> עמ' 64 - 65</w:t>
      </w:r>
      <w:r w:rsidRPr="00956B0F">
        <w:rPr>
          <w:rStyle w:val="Hyperlink"/>
          <w:rFonts w:hint="cs"/>
          <w:color w:val="auto"/>
          <w:u w:val="none"/>
          <w:rtl/>
        </w:rPr>
        <w:t>.</w:t>
      </w:r>
    </w:p>
  </w:footnote>
  <w:footnote w:id="146">
    <w:p w14:paraId="3EE84267"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דוח הביקורת משנת 1992</w:t>
      </w:r>
      <w:r w:rsidRPr="00956B0F">
        <w:rPr>
          <w:rFonts w:hint="cs"/>
          <w:rtl/>
        </w:rPr>
        <w:t>, עמ' 542.</w:t>
      </w:r>
    </w:p>
  </w:footnote>
  <w:footnote w:id="147">
    <w:p w14:paraId="6F48307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נכלל נושא זה בתת-הפרק "</w:t>
      </w:r>
      <w:r w:rsidRPr="00956B0F">
        <w:rPr>
          <w:rtl/>
        </w:rPr>
        <w:t>איתור משפחות במעגל האלימות</w:t>
      </w:r>
      <w:r w:rsidRPr="00956B0F">
        <w:rPr>
          <w:rFonts w:hint="cs"/>
          <w:rtl/>
        </w:rPr>
        <w:t>", עמ' 472.</w:t>
      </w:r>
    </w:p>
  </w:footnote>
  <w:footnote w:id="148">
    <w:p w14:paraId="3F778D1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תזכיר חוק זכויות החולה (תיקון - מסירת מידע לצורך מניעת פגיעה). </w:t>
      </w:r>
      <w:r w:rsidRPr="00956B0F">
        <w:rPr>
          <w:rtl/>
        </w:rPr>
        <w:t>ב</w:t>
      </w:r>
      <w:r w:rsidRPr="00956B0F">
        <w:rPr>
          <w:rFonts w:hint="cs"/>
          <w:rtl/>
        </w:rPr>
        <w:t xml:space="preserve">מסגרת </w:t>
      </w:r>
      <w:r w:rsidRPr="00956B0F">
        <w:rPr>
          <w:rtl/>
        </w:rPr>
        <w:t>תזכיר החוק מוצע ל</w:t>
      </w:r>
      <w:r w:rsidRPr="00956B0F">
        <w:rPr>
          <w:rFonts w:hint="cs"/>
          <w:rtl/>
        </w:rPr>
        <w:t xml:space="preserve">התיר העברת מידע רפואי </w:t>
      </w:r>
      <w:r w:rsidRPr="00956B0F">
        <w:rPr>
          <w:rtl/>
        </w:rPr>
        <w:t xml:space="preserve">לצורך מניעת פגיעה אפשרית במטופל עצמו </w:t>
      </w:r>
      <w:r w:rsidRPr="00956B0F">
        <w:rPr>
          <w:rFonts w:hint="cs"/>
          <w:rtl/>
        </w:rPr>
        <w:t xml:space="preserve">וכן לגורמי טיפול ואכיפה </w:t>
      </w:r>
      <w:r w:rsidRPr="00956B0F">
        <w:rPr>
          <w:rtl/>
        </w:rPr>
        <w:t xml:space="preserve">לצורך מניעת </w:t>
      </w:r>
      <w:r w:rsidRPr="00956B0F">
        <w:rPr>
          <w:rFonts w:hint="cs"/>
          <w:rtl/>
        </w:rPr>
        <w:t xml:space="preserve">פגיעה במצבים </w:t>
      </w:r>
      <w:r w:rsidRPr="00956B0F">
        <w:rPr>
          <w:rtl/>
        </w:rPr>
        <w:t>דומים בעתיד.</w:t>
      </w:r>
    </w:p>
  </w:footnote>
  <w:footnote w:id="149">
    <w:p w14:paraId="686D433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"הקמת מאגר ממוחשב לאיסוף נתונים", עמ' 456 - 457.</w:t>
      </w:r>
    </w:p>
  </w:footnote>
  <w:footnote w:id="150">
    <w:p w14:paraId="42B858D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דין</w:t>
      </w:r>
      <w:r w:rsidRPr="00956B0F">
        <w:rPr>
          <w:rtl/>
        </w:rPr>
        <w:t xml:space="preserve"> </w:t>
      </w:r>
      <w:r w:rsidRPr="00956B0F">
        <w:rPr>
          <w:rFonts w:hint="eastAsia"/>
          <w:rtl/>
        </w:rPr>
        <w:t>וחשבון</w:t>
      </w:r>
      <w:r w:rsidRPr="00956B0F">
        <w:rPr>
          <w:rtl/>
        </w:rPr>
        <w:t xml:space="preserve"> </w:t>
      </w:r>
      <w:r w:rsidRPr="00956B0F">
        <w:rPr>
          <w:rFonts w:hint="eastAsia"/>
          <w:rtl/>
        </w:rPr>
        <w:t>ועדת</w:t>
      </w:r>
      <w:r w:rsidRPr="00956B0F">
        <w:rPr>
          <w:rtl/>
        </w:rPr>
        <w:t xml:space="preserve"> </w:t>
      </w:r>
      <w:r w:rsidRPr="00956B0F">
        <w:rPr>
          <w:rFonts w:hint="eastAsia"/>
          <w:rtl/>
        </w:rPr>
        <w:t>רוזנבאום</w:t>
      </w:r>
      <w:r w:rsidRPr="00956B0F">
        <w:rPr>
          <w:rtl/>
        </w:rPr>
        <w:t xml:space="preserve"> (2016)</w:t>
      </w:r>
      <w:r w:rsidRPr="00956B0F">
        <w:rPr>
          <w:rFonts w:hint="cs"/>
          <w:rtl/>
        </w:rPr>
        <w:t>, עמ' 76 - 77.</w:t>
      </w:r>
    </w:p>
  </w:footnote>
  <w:footnote w:id="151">
    <w:p w14:paraId="353605DB"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תוכנית הפעולה של ועדת המנכ"לים, עמ' 103 - 106.</w:t>
      </w:r>
    </w:p>
  </w:footnote>
  <w:footnote w:id="152">
    <w:p w14:paraId="748B67C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על הציפייה כי מידע יתועד באופן מסודר ומאורגן, בין השאר על רקע ההתפתחויות הטכנולוגיות הקיימות, ראו: עע"מ 6616/21 </w:t>
      </w:r>
      <w:r w:rsidRPr="00956B0F">
        <w:rPr>
          <w:rFonts w:hint="eastAsia"/>
          <w:b/>
          <w:bCs/>
          <w:rtl/>
        </w:rPr>
        <w:t>רם</w:t>
      </w:r>
      <w:r w:rsidRPr="00956B0F">
        <w:rPr>
          <w:b/>
          <w:bCs/>
          <w:rtl/>
        </w:rPr>
        <w:t xml:space="preserve"> </w:t>
      </w:r>
      <w:r w:rsidRPr="00956B0F">
        <w:rPr>
          <w:rFonts w:hint="eastAsia"/>
          <w:b/>
          <w:bCs/>
          <w:rtl/>
        </w:rPr>
        <w:t>כהן</w:t>
      </w:r>
      <w:r w:rsidRPr="00956B0F">
        <w:rPr>
          <w:b/>
          <w:bCs/>
          <w:rtl/>
        </w:rPr>
        <w:t xml:space="preserve"> </w:t>
      </w:r>
      <w:r w:rsidRPr="00956B0F">
        <w:rPr>
          <w:rFonts w:hint="eastAsia"/>
          <w:b/>
          <w:bCs/>
          <w:rtl/>
        </w:rPr>
        <w:t>נ</w:t>
      </w:r>
      <w:r w:rsidRPr="00956B0F">
        <w:rPr>
          <w:b/>
          <w:bCs/>
          <w:rtl/>
        </w:rPr>
        <w:t xml:space="preserve">' </w:t>
      </w:r>
      <w:r w:rsidRPr="00956B0F">
        <w:rPr>
          <w:rFonts w:hint="eastAsia"/>
          <w:b/>
          <w:bCs/>
          <w:rtl/>
        </w:rPr>
        <w:t>הממונה</w:t>
      </w:r>
      <w:r w:rsidRPr="00956B0F">
        <w:rPr>
          <w:b/>
          <w:bCs/>
          <w:rtl/>
        </w:rPr>
        <w:t xml:space="preserve"> </w:t>
      </w:r>
      <w:r w:rsidRPr="00956B0F">
        <w:rPr>
          <w:rFonts w:hint="eastAsia"/>
          <w:b/>
          <w:bCs/>
          <w:rtl/>
        </w:rPr>
        <w:t>על</w:t>
      </w:r>
      <w:r w:rsidRPr="00956B0F">
        <w:rPr>
          <w:b/>
          <w:bCs/>
          <w:rtl/>
        </w:rPr>
        <w:t xml:space="preserve"> </w:t>
      </w:r>
      <w:r w:rsidRPr="00956B0F">
        <w:rPr>
          <w:rFonts w:hint="eastAsia"/>
          <w:b/>
          <w:bCs/>
          <w:rtl/>
        </w:rPr>
        <w:t>יישום</w:t>
      </w:r>
      <w:r w:rsidRPr="00956B0F">
        <w:rPr>
          <w:b/>
          <w:bCs/>
          <w:rtl/>
        </w:rPr>
        <w:t xml:space="preserve"> </w:t>
      </w:r>
      <w:r w:rsidRPr="00956B0F">
        <w:rPr>
          <w:rFonts w:hint="eastAsia"/>
          <w:b/>
          <w:bCs/>
          <w:rtl/>
        </w:rPr>
        <w:t>חוק</w:t>
      </w:r>
      <w:r w:rsidRPr="00956B0F">
        <w:rPr>
          <w:b/>
          <w:bCs/>
          <w:rtl/>
        </w:rPr>
        <w:t xml:space="preserve"> </w:t>
      </w:r>
      <w:r w:rsidRPr="00956B0F">
        <w:rPr>
          <w:rFonts w:hint="eastAsia"/>
          <w:b/>
          <w:bCs/>
          <w:rtl/>
        </w:rPr>
        <w:t>חופש</w:t>
      </w:r>
      <w:r w:rsidRPr="00956B0F">
        <w:rPr>
          <w:b/>
          <w:bCs/>
          <w:rtl/>
        </w:rPr>
        <w:t xml:space="preserve"> </w:t>
      </w:r>
      <w:r w:rsidRPr="00956B0F">
        <w:rPr>
          <w:rFonts w:hint="eastAsia"/>
          <w:b/>
          <w:bCs/>
          <w:rtl/>
        </w:rPr>
        <w:t>המידע</w:t>
      </w:r>
      <w:r w:rsidRPr="00956B0F">
        <w:rPr>
          <w:b/>
          <w:bCs/>
          <w:rtl/>
        </w:rPr>
        <w:t xml:space="preserve"> </w:t>
      </w:r>
      <w:r w:rsidRPr="00956B0F">
        <w:rPr>
          <w:rFonts w:hint="eastAsia"/>
          <w:b/>
          <w:bCs/>
          <w:rtl/>
        </w:rPr>
        <w:t>במשרד</w:t>
      </w:r>
      <w:r w:rsidRPr="00956B0F">
        <w:rPr>
          <w:b/>
          <w:bCs/>
          <w:rtl/>
        </w:rPr>
        <w:t xml:space="preserve"> </w:t>
      </w:r>
      <w:r w:rsidRPr="00956B0F">
        <w:rPr>
          <w:rFonts w:hint="eastAsia"/>
          <w:b/>
          <w:bCs/>
          <w:rtl/>
        </w:rPr>
        <w:t>האוצר</w:t>
      </w:r>
      <w:r w:rsidRPr="00956B0F">
        <w:rPr>
          <w:rtl/>
        </w:rPr>
        <w:t xml:space="preserve">, פס' 17 לפסק </w:t>
      </w:r>
      <w:r w:rsidRPr="00956B0F">
        <w:rPr>
          <w:rFonts w:hint="eastAsia"/>
          <w:rtl/>
        </w:rPr>
        <w:t>דינה</w:t>
      </w:r>
      <w:r w:rsidRPr="00956B0F">
        <w:rPr>
          <w:rtl/>
        </w:rPr>
        <w:t xml:space="preserve"> </w:t>
      </w:r>
      <w:r w:rsidRPr="00956B0F">
        <w:rPr>
          <w:rFonts w:hint="eastAsia"/>
          <w:rtl/>
        </w:rPr>
        <w:t>של</w:t>
      </w:r>
      <w:r w:rsidRPr="00956B0F">
        <w:rPr>
          <w:rtl/>
        </w:rPr>
        <w:t xml:space="preserve"> </w:t>
      </w:r>
      <w:r w:rsidRPr="00956B0F">
        <w:rPr>
          <w:rFonts w:hint="eastAsia"/>
          <w:rtl/>
        </w:rPr>
        <w:t>השופטת</w:t>
      </w:r>
      <w:r w:rsidRPr="00956B0F">
        <w:rPr>
          <w:rtl/>
        </w:rPr>
        <w:t xml:space="preserve"> </w:t>
      </w:r>
      <w:r w:rsidRPr="00956B0F">
        <w:rPr>
          <w:rFonts w:hint="eastAsia"/>
          <w:rtl/>
        </w:rPr>
        <w:t>ברק</w:t>
      </w:r>
      <w:r w:rsidRPr="00956B0F">
        <w:rPr>
          <w:rtl/>
        </w:rPr>
        <w:t xml:space="preserve">-ארז (פורסם </w:t>
      </w:r>
      <w:r w:rsidRPr="00956B0F">
        <w:rPr>
          <w:rFonts w:hint="eastAsia"/>
          <w:rtl/>
        </w:rPr>
        <w:t>במאגר</w:t>
      </w:r>
      <w:r w:rsidRPr="00956B0F">
        <w:rPr>
          <w:rtl/>
        </w:rPr>
        <w:t xml:space="preserve"> </w:t>
      </w:r>
      <w:r w:rsidRPr="00956B0F">
        <w:rPr>
          <w:rFonts w:hint="eastAsia"/>
          <w:rtl/>
        </w:rPr>
        <w:t>ממוחשב</w:t>
      </w:r>
      <w:r w:rsidRPr="00956B0F">
        <w:rPr>
          <w:rtl/>
        </w:rPr>
        <w:t>, 13.7.23).</w:t>
      </w:r>
    </w:p>
  </w:footnote>
  <w:footnote w:id="153">
    <w:p w14:paraId="2319AA4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בן-שלום (</w:t>
      </w:r>
      <w:r w:rsidRPr="00956B0F">
        <w:rPr>
          <w:rtl/>
        </w:rPr>
        <w:t>1998</w:t>
      </w:r>
      <w:r w:rsidRPr="00956B0F">
        <w:rPr>
          <w:rFonts w:hint="cs"/>
          <w:rtl/>
        </w:rPr>
        <w:t>), עמ' 23.</w:t>
      </w:r>
    </w:p>
  </w:footnote>
  <w:footnote w:id="154">
    <w:p w14:paraId="2AA6C71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דוח הביקורת משנת 2012, עמ' 33.</w:t>
      </w:r>
    </w:p>
  </w:footnote>
  <w:footnote w:id="155">
    <w:p w14:paraId="5B3111B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כך לדוגמה, נתונים על אוכלוסיית מקבלי השירות במרכזים לטיפול ומניעת אלימות במשפחה מנוהלים באופן ידני, וליחידות מקצועיות אחרות במשרד, ובהן שירות המבחן, אין גישה ישירה לנתונים.</w:t>
      </w:r>
    </w:p>
  </w:footnote>
  <w:footnote w:id="156">
    <w:p w14:paraId="0480F76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הערכת מדיניות משמעה בהקשר זה הפעלת </w:t>
      </w:r>
      <w:r w:rsidRPr="00956B0F">
        <w:rPr>
          <w:rtl/>
        </w:rPr>
        <w:t>מנגנון שיטתי לניטור</w:t>
      </w:r>
      <w:r w:rsidRPr="00956B0F">
        <w:rPr>
          <w:rFonts w:hint="cs"/>
          <w:rtl/>
        </w:rPr>
        <w:t xml:space="preserve"> </w:t>
      </w:r>
      <w:r w:rsidRPr="00956B0F">
        <w:rPr>
          <w:rtl/>
        </w:rPr>
        <w:t xml:space="preserve">ולדירוג </w:t>
      </w:r>
      <w:r w:rsidRPr="00956B0F">
        <w:rPr>
          <w:rFonts w:hint="cs"/>
          <w:rtl/>
        </w:rPr>
        <w:t>של</w:t>
      </w:r>
      <w:r w:rsidRPr="00956B0F">
        <w:rPr>
          <w:rtl/>
        </w:rPr>
        <w:t xml:space="preserve"> התערבויות ממשלתיות מתמשכות או נקודתיות</w:t>
      </w:r>
      <w:r w:rsidRPr="00956B0F">
        <w:rPr>
          <w:rFonts w:hint="cs"/>
          <w:rtl/>
        </w:rPr>
        <w:t>,</w:t>
      </w:r>
      <w:r w:rsidRPr="00956B0F">
        <w:rPr>
          <w:rtl/>
        </w:rPr>
        <w:t xml:space="preserve"> כך </w:t>
      </w:r>
      <w:r w:rsidRPr="00956B0F">
        <w:rPr>
          <w:rFonts w:hint="cs"/>
          <w:rtl/>
        </w:rPr>
        <w:t>ש</w:t>
      </w:r>
      <w:r w:rsidRPr="00956B0F">
        <w:rPr>
          <w:rtl/>
        </w:rPr>
        <w:t xml:space="preserve">הדרג המקצועי </w:t>
      </w:r>
      <w:r w:rsidRPr="00956B0F">
        <w:rPr>
          <w:rFonts w:hint="cs"/>
          <w:rtl/>
        </w:rPr>
        <w:t xml:space="preserve">והפוליטי, וגם גופים חוץ-ממשלתיים, </w:t>
      </w:r>
      <w:r w:rsidRPr="00956B0F">
        <w:rPr>
          <w:rtl/>
        </w:rPr>
        <w:t>יוכלו לוודא כי הפעילות הציבורית אכן מצליחה</w:t>
      </w:r>
      <w:r w:rsidRPr="00956B0F">
        <w:rPr>
          <w:rFonts w:hint="cs"/>
          <w:rtl/>
        </w:rPr>
        <w:t xml:space="preserve"> </w:t>
      </w:r>
      <w:r w:rsidRPr="00956B0F">
        <w:rPr>
          <w:rtl/>
        </w:rPr>
        <w:t>להשפיע בצורה הטובה ביותר ולהגדיל את הרווחה החברתית</w:t>
      </w:r>
      <w:r w:rsidRPr="00956B0F">
        <w:rPr>
          <w:rFonts w:hint="cs"/>
          <w:rtl/>
        </w:rPr>
        <w:t>, וזאת במטרה</w:t>
      </w:r>
      <w:r w:rsidRPr="00956B0F">
        <w:rPr>
          <w:rtl/>
        </w:rPr>
        <w:t xml:space="preserve"> לשפר התנהלות קיימת או עתידית</w:t>
      </w:r>
      <w:r w:rsidRPr="00956B0F">
        <w:rPr>
          <w:rFonts w:hint="cs"/>
          <w:rtl/>
        </w:rPr>
        <w:t>. את הערכת המדיניות אפשר לבצע</w:t>
      </w:r>
      <w:r w:rsidRPr="00956B0F">
        <w:rPr>
          <w:rtl/>
        </w:rPr>
        <w:t xml:space="preserve"> כשלב מקדים, עוד בטרם עיצוב המדיניות הציבורית, כדי לבחור בצורה מושכלת ושקופה בין חלופות</w:t>
      </w:r>
      <w:r w:rsidRPr="00956B0F">
        <w:rPr>
          <w:rFonts w:hint="cs"/>
          <w:rtl/>
        </w:rPr>
        <w:t>;</w:t>
      </w:r>
      <w:r w:rsidRPr="00956B0F">
        <w:rPr>
          <w:rtl/>
        </w:rPr>
        <w:t xml:space="preserve"> כהערכה בעת מעשה, כדי לתקן את המדיניות שנקבעה ולשנות את אופן הטמעתה</w:t>
      </w:r>
      <w:r w:rsidRPr="00956B0F">
        <w:rPr>
          <w:rFonts w:hint="cs"/>
          <w:rtl/>
        </w:rPr>
        <w:t>;</w:t>
      </w:r>
      <w:r w:rsidRPr="00956B0F">
        <w:rPr>
          <w:rtl/>
        </w:rPr>
        <w:t xml:space="preserve"> וכהערכה לאחר מעשה, כדי לבחון את הצעדים שננקטו, את המטרות שהושגו ואת השפעות המדיניות.</w:t>
      </w:r>
      <w:r w:rsidRPr="00956B0F">
        <w:rPr>
          <w:rFonts w:hint="cs"/>
          <w:rtl/>
        </w:rPr>
        <w:t xml:space="preserve"> ראו: רון צור וניסים (נסי) כהן, </w:t>
      </w:r>
      <w:r w:rsidRPr="00956B0F">
        <w:rPr>
          <w:rFonts w:hint="cs"/>
          <w:b/>
          <w:bCs/>
          <w:rtl/>
        </w:rPr>
        <w:t>הערכת מדיניות בשעת משבר: מודל להפקת לקחים בעקבות משבר הקורונה</w:t>
      </w:r>
      <w:r w:rsidRPr="00956B0F">
        <w:rPr>
          <w:rFonts w:hint="cs"/>
          <w:rtl/>
        </w:rPr>
        <w:t xml:space="preserve"> (2021), עמ' 26 - 27 וכן רון צור וניסים כהן, "אי-משילות בשעת משבר: העדר הערכת מדיניות והשפעתה על התמודדותה של ישראל עם הקורונה - מאמר דעה", </w:t>
      </w:r>
      <w:r w:rsidRPr="00956B0F">
        <w:rPr>
          <w:rFonts w:hint="eastAsia"/>
          <w:b/>
          <w:bCs/>
          <w:rtl/>
        </w:rPr>
        <w:t>ביטחון</w:t>
      </w:r>
      <w:r w:rsidRPr="00956B0F">
        <w:rPr>
          <w:rFonts w:hint="cs"/>
          <w:rtl/>
        </w:rPr>
        <w:t xml:space="preserve"> </w:t>
      </w:r>
      <w:r w:rsidRPr="00956B0F">
        <w:rPr>
          <w:rFonts w:hint="eastAsia"/>
          <w:b/>
          <w:bCs/>
          <w:rtl/>
        </w:rPr>
        <w:t>סוציאלי</w:t>
      </w:r>
      <w:r w:rsidRPr="00956B0F">
        <w:rPr>
          <w:rtl/>
        </w:rPr>
        <w:t xml:space="preserve"> </w:t>
      </w:r>
      <w:r w:rsidRPr="00956B0F">
        <w:rPr>
          <w:rFonts w:hint="cs"/>
          <w:rtl/>
        </w:rPr>
        <w:t>115 (2021), עמ' 13.</w:t>
      </w:r>
    </w:p>
  </w:footnote>
  <w:footnote w:id="157">
    <w:p w14:paraId="629F785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אלימות מגדרית היא כזו</w:t>
      </w:r>
      <w:r w:rsidRPr="00956B0F">
        <w:rPr>
          <w:rtl/>
        </w:rPr>
        <w:t xml:space="preserve"> המתרחשת על רקע </w:t>
      </w:r>
      <w:r w:rsidRPr="00956B0F">
        <w:rPr>
          <w:rFonts w:hint="cs"/>
          <w:rtl/>
        </w:rPr>
        <w:t>מין או מגדר של אדם,</w:t>
      </w:r>
      <w:r w:rsidRPr="00956B0F">
        <w:rPr>
          <w:rtl/>
        </w:rPr>
        <w:t xml:space="preserve"> ו</w:t>
      </w:r>
      <w:r w:rsidRPr="00956B0F">
        <w:rPr>
          <w:rFonts w:hint="cs"/>
          <w:rtl/>
        </w:rPr>
        <w:t xml:space="preserve">היא </w:t>
      </w:r>
      <w:r w:rsidRPr="00956B0F">
        <w:rPr>
          <w:rtl/>
        </w:rPr>
        <w:t xml:space="preserve">כוללת אלימות </w:t>
      </w:r>
      <w:r w:rsidRPr="00956B0F">
        <w:rPr>
          <w:rFonts w:hint="cs"/>
          <w:rtl/>
        </w:rPr>
        <w:t>גופנית</w:t>
      </w:r>
      <w:r w:rsidRPr="00956B0F">
        <w:rPr>
          <w:rtl/>
        </w:rPr>
        <w:t>, מינית, כלכלית ונפשית</w:t>
      </w:r>
      <w:r w:rsidRPr="00956B0F">
        <w:rPr>
          <w:rFonts w:hint="cs"/>
          <w:rtl/>
        </w:rPr>
        <w:t xml:space="preserve">. ראו באתר מחוון האלימות המגדרית בקישור: </w:t>
      </w:r>
    </w:p>
    <w:p w14:paraId="1AD97B1A" w14:textId="77777777" w:rsidR="00F769CC" w:rsidRPr="00956B0F" w:rsidRDefault="00F769CC" w:rsidP="00817399">
      <w:pPr>
        <w:pStyle w:val="af7"/>
        <w:ind w:firstLine="0"/>
        <w:rPr>
          <w:rtl/>
        </w:rPr>
      </w:pPr>
      <w:r w:rsidRPr="00956B0F">
        <w:t>govextra.gov.il/mse/women-gender-violence-final/information</w:t>
      </w:r>
      <w:r w:rsidRPr="00956B0F">
        <w:rPr>
          <w:rFonts w:hint="cs"/>
          <w:rtl/>
        </w:rPr>
        <w:t xml:space="preserve"> (כניסה אחרונה: 30.12.24)</w:t>
      </w:r>
    </w:p>
  </w:footnote>
  <w:footnote w:id="158">
    <w:p w14:paraId="24545CD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ראו בהקשר זה: שירין בטשון, לאה גפנג'ר-לוי והדס בן אליהו, </w:t>
      </w:r>
      <w:r w:rsidRPr="00956B0F">
        <w:rPr>
          <w:rFonts w:hint="cs"/>
          <w:b/>
          <w:bCs/>
          <w:rtl/>
        </w:rPr>
        <w:t>אלימות מבוססת מגדר בישראל: איסוף ופילוח נתונים בראי יעדי האו"ם לפיתוח בר קיימא ואמנות בינלאומיות</w:t>
      </w:r>
      <w:r w:rsidRPr="00956B0F">
        <w:rPr>
          <w:rFonts w:hint="cs"/>
          <w:rtl/>
        </w:rPr>
        <w:t xml:space="preserve"> (2024), עמ' 21 - 22.</w:t>
      </w:r>
    </w:p>
  </w:footnote>
  <w:footnote w:id="159">
    <w:p w14:paraId="5379F65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החלטת</w:t>
      </w:r>
      <w:r w:rsidRPr="00956B0F">
        <w:rPr>
          <w:rtl/>
        </w:rPr>
        <w:t xml:space="preserve"> הממשלה 2820 (7.7.17). </w:t>
      </w:r>
    </w:p>
  </w:footnote>
  <w:footnote w:id="160">
    <w:p w14:paraId="08EBA8A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החלטת</w:t>
      </w:r>
      <w:r w:rsidRPr="00956B0F">
        <w:rPr>
          <w:rtl/>
        </w:rPr>
        <w:t xml:space="preserve"> הממשלה 4438 "שינוי </w:t>
      </w:r>
      <w:r w:rsidRPr="00956B0F">
        <w:rPr>
          <w:rFonts w:hint="eastAsia"/>
          <w:rtl/>
        </w:rPr>
        <w:t>בסדר</w:t>
      </w:r>
      <w:r w:rsidRPr="00956B0F">
        <w:rPr>
          <w:rtl/>
        </w:rPr>
        <w:t xml:space="preserve"> </w:t>
      </w:r>
      <w:r w:rsidRPr="00956B0F">
        <w:rPr>
          <w:rFonts w:hint="eastAsia"/>
          <w:rtl/>
        </w:rPr>
        <w:t>העדיפות</w:t>
      </w:r>
      <w:r w:rsidRPr="00956B0F">
        <w:rPr>
          <w:rtl/>
        </w:rPr>
        <w:t xml:space="preserve"> </w:t>
      </w:r>
      <w:r w:rsidRPr="00956B0F">
        <w:rPr>
          <w:rFonts w:hint="eastAsia"/>
          <w:rtl/>
        </w:rPr>
        <w:t>הממשלתית</w:t>
      </w:r>
      <w:r w:rsidRPr="00956B0F">
        <w:rPr>
          <w:rtl/>
        </w:rPr>
        <w:t xml:space="preserve"> </w:t>
      </w:r>
      <w:r w:rsidRPr="00956B0F">
        <w:rPr>
          <w:rFonts w:hint="eastAsia"/>
          <w:rtl/>
        </w:rPr>
        <w:t>לצורך</w:t>
      </w:r>
      <w:r w:rsidRPr="00956B0F">
        <w:rPr>
          <w:rtl/>
        </w:rPr>
        <w:t xml:space="preserve"> </w:t>
      </w:r>
      <w:r w:rsidRPr="00956B0F">
        <w:rPr>
          <w:rFonts w:hint="eastAsia"/>
          <w:rtl/>
        </w:rPr>
        <w:t>הרחבת</w:t>
      </w:r>
      <w:r w:rsidRPr="00956B0F">
        <w:rPr>
          <w:rtl/>
        </w:rPr>
        <w:t xml:space="preserve"> </w:t>
      </w:r>
      <w:r w:rsidRPr="00956B0F">
        <w:rPr>
          <w:rFonts w:hint="eastAsia"/>
          <w:rtl/>
        </w:rPr>
        <w:t>המענה</w:t>
      </w:r>
      <w:r w:rsidRPr="00956B0F">
        <w:rPr>
          <w:rtl/>
        </w:rPr>
        <w:t xml:space="preserve"> </w:t>
      </w:r>
      <w:r w:rsidRPr="00956B0F">
        <w:rPr>
          <w:rFonts w:hint="eastAsia"/>
          <w:rtl/>
        </w:rPr>
        <w:t>הממשלתי</w:t>
      </w:r>
      <w:r w:rsidRPr="00956B0F">
        <w:rPr>
          <w:rtl/>
        </w:rPr>
        <w:t xml:space="preserve"> </w:t>
      </w:r>
      <w:r w:rsidRPr="00956B0F">
        <w:rPr>
          <w:rFonts w:hint="eastAsia"/>
          <w:rtl/>
        </w:rPr>
        <w:t>בנושא</w:t>
      </w:r>
      <w:r w:rsidRPr="00956B0F">
        <w:rPr>
          <w:rtl/>
        </w:rPr>
        <w:t xml:space="preserve"> </w:t>
      </w:r>
      <w:r w:rsidRPr="00956B0F">
        <w:rPr>
          <w:rFonts w:hint="eastAsia"/>
          <w:rtl/>
        </w:rPr>
        <w:t>האלימות</w:t>
      </w:r>
      <w:r w:rsidRPr="00956B0F">
        <w:rPr>
          <w:rtl/>
        </w:rPr>
        <w:t xml:space="preserve"> </w:t>
      </w:r>
      <w:r w:rsidRPr="00956B0F">
        <w:rPr>
          <w:rFonts w:hint="eastAsia"/>
          <w:rtl/>
        </w:rPr>
        <w:t>במשפחה</w:t>
      </w:r>
      <w:r w:rsidRPr="00956B0F">
        <w:rPr>
          <w:rtl/>
        </w:rPr>
        <w:t xml:space="preserve"> </w:t>
      </w:r>
      <w:r w:rsidRPr="00956B0F">
        <w:rPr>
          <w:rFonts w:hint="eastAsia"/>
          <w:rtl/>
        </w:rPr>
        <w:t>ותיקון</w:t>
      </w:r>
      <w:r w:rsidRPr="00956B0F">
        <w:rPr>
          <w:rtl/>
        </w:rPr>
        <w:t xml:space="preserve"> </w:t>
      </w:r>
      <w:r w:rsidRPr="00956B0F">
        <w:rPr>
          <w:rFonts w:hint="eastAsia"/>
          <w:rtl/>
        </w:rPr>
        <w:t>החלטת</w:t>
      </w:r>
      <w:r w:rsidRPr="00956B0F">
        <w:rPr>
          <w:rtl/>
        </w:rPr>
        <w:t xml:space="preserve"> </w:t>
      </w:r>
      <w:r w:rsidRPr="00956B0F">
        <w:rPr>
          <w:rFonts w:hint="eastAsia"/>
          <w:rtl/>
        </w:rPr>
        <w:t>ממשלה</w:t>
      </w:r>
      <w:r w:rsidRPr="00956B0F">
        <w:rPr>
          <w:rtl/>
        </w:rPr>
        <w:t xml:space="preserve">" (6.1.19) </w:t>
      </w:r>
      <w:r w:rsidRPr="00956B0F">
        <w:rPr>
          <w:rFonts w:hint="eastAsia"/>
          <w:rtl/>
        </w:rPr>
        <w:t>והחלטת</w:t>
      </w:r>
      <w:r w:rsidRPr="00956B0F">
        <w:rPr>
          <w:rtl/>
        </w:rPr>
        <w:t xml:space="preserve"> </w:t>
      </w:r>
      <w:r w:rsidRPr="00956B0F">
        <w:rPr>
          <w:rFonts w:hint="eastAsia"/>
          <w:rtl/>
        </w:rPr>
        <w:t>הממשלה</w:t>
      </w:r>
      <w:r w:rsidRPr="00956B0F">
        <w:rPr>
          <w:rtl/>
        </w:rPr>
        <w:t xml:space="preserve"> 4439 "הרחבת </w:t>
      </w:r>
      <w:r w:rsidRPr="00956B0F">
        <w:rPr>
          <w:rFonts w:hint="eastAsia"/>
          <w:rtl/>
        </w:rPr>
        <w:t>הפעילות</w:t>
      </w:r>
      <w:r w:rsidRPr="00956B0F">
        <w:rPr>
          <w:rtl/>
        </w:rPr>
        <w:t xml:space="preserve"> </w:t>
      </w:r>
      <w:r w:rsidRPr="00956B0F">
        <w:rPr>
          <w:rFonts w:hint="eastAsia"/>
          <w:rtl/>
        </w:rPr>
        <w:t>לצמצום</w:t>
      </w:r>
      <w:r w:rsidRPr="00956B0F">
        <w:rPr>
          <w:rtl/>
        </w:rPr>
        <w:t xml:space="preserve"> </w:t>
      </w:r>
      <w:r w:rsidRPr="00956B0F">
        <w:rPr>
          <w:rFonts w:hint="eastAsia"/>
          <w:rtl/>
        </w:rPr>
        <w:t>תופעת</w:t>
      </w:r>
      <w:r w:rsidRPr="00956B0F">
        <w:rPr>
          <w:rtl/>
        </w:rPr>
        <w:t xml:space="preserve"> </w:t>
      </w:r>
      <w:r w:rsidRPr="00956B0F">
        <w:rPr>
          <w:rFonts w:hint="eastAsia"/>
          <w:rtl/>
        </w:rPr>
        <w:t>האלימות</w:t>
      </w:r>
      <w:r w:rsidRPr="00956B0F">
        <w:rPr>
          <w:rtl/>
        </w:rPr>
        <w:t xml:space="preserve"> </w:t>
      </w:r>
      <w:r w:rsidRPr="00956B0F">
        <w:rPr>
          <w:rFonts w:hint="eastAsia"/>
          <w:rtl/>
        </w:rPr>
        <w:t>במשפחה</w:t>
      </w:r>
      <w:r w:rsidRPr="00956B0F">
        <w:rPr>
          <w:rtl/>
        </w:rPr>
        <w:t xml:space="preserve"> </w:t>
      </w:r>
      <w:r w:rsidRPr="00956B0F">
        <w:rPr>
          <w:rFonts w:hint="eastAsia"/>
          <w:rtl/>
        </w:rPr>
        <w:t>על</w:t>
      </w:r>
      <w:r w:rsidRPr="00956B0F">
        <w:rPr>
          <w:rtl/>
        </w:rPr>
        <w:t xml:space="preserve"> </w:t>
      </w:r>
      <w:r w:rsidRPr="00956B0F">
        <w:rPr>
          <w:rFonts w:hint="eastAsia"/>
          <w:rtl/>
        </w:rPr>
        <w:t>ידי</w:t>
      </w:r>
      <w:r w:rsidRPr="00956B0F">
        <w:rPr>
          <w:rtl/>
        </w:rPr>
        <w:t xml:space="preserve"> </w:t>
      </w:r>
      <w:r w:rsidRPr="00956B0F">
        <w:rPr>
          <w:rFonts w:hint="eastAsia"/>
          <w:rtl/>
        </w:rPr>
        <w:t>משרד</w:t>
      </w:r>
      <w:r w:rsidRPr="00956B0F">
        <w:rPr>
          <w:rtl/>
        </w:rPr>
        <w:t xml:space="preserve"> </w:t>
      </w:r>
      <w:r w:rsidRPr="00956B0F">
        <w:rPr>
          <w:rFonts w:hint="eastAsia"/>
          <w:rtl/>
        </w:rPr>
        <w:t>העבודה</w:t>
      </w:r>
      <w:r w:rsidRPr="00956B0F">
        <w:rPr>
          <w:rtl/>
        </w:rPr>
        <w:t xml:space="preserve">, </w:t>
      </w:r>
      <w:r w:rsidRPr="00956B0F">
        <w:rPr>
          <w:rFonts w:hint="eastAsia"/>
          <w:rtl/>
        </w:rPr>
        <w:t>הרווחה</w:t>
      </w:r>
      <w:r w:rsidRPr="00956B0F">
        <w:rPr>
          <w:rtl/>
        </w:rPr>
        <w:t xml:space="preserve"> </w:t>
      </w:r>
      <w:r w:rsidRPr="00956B0F">
        <w:rPr>
          <w:rFonts w:hint="eastAsia"/>
          <w:rtl/>
        </w:rPr>
        <w:t>והשירותים</w:t>
      </w:r>
      <w:r w:rsidRPr="00956B0F">
        <w:rPr>
          <w:rtl/>
        </w:rPr>
        <w:t xml:space="preserve"> </w:t>
      </w:r>
      <w:r w:rsidRPr="00956B0F">
        <w:rPr>
          <w:rFonts w:hint="eastAsia"/>
          <w:rtl/>
        </w:rPr>
        <w:t>החברתיים</w:t>
      </w:r>
      <w:r w:rsidRPr="00956B0F">
        <w:rPr>
          <w:rtl/>
        </w:rPr>
        <w:t>" (6.1.19)</w:t>
      </w:r>
      <w:r w:rsidRPr="00956B0F">
        <w:rPr>
          <w:rFonts w:hint="cs"/>
          <w:rtl/>
        </w:rPr>
        <w:t>.</w:t>
      </w:r>
    </w:p>
  </w:footnote>
  <w:footnote w:id="161">
    <w:p w14:paraId="53B26BC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ראו: מבקר המדינה, </w:t>
      </w:r>
      <w:r w:rsidRPr="00956B0F">
        <w:rPr>
          <w:rFonts w:hint="eastAsia"/>
          <w:b/>
          <w:bCs/>
          <w:rtl/>
        </w:rPr>
        <w:t>דוח</w:t>
      </w:r>
      <w:r w:rsidRPr="00956B0F">
        <w:rPr>
          <w:b/>
          <w:bCs/>
          <w:rtl/>
        </w:rPr>
        <w:t xml:space="preserve"> </w:t>
      </w:r>
      <w:r w:rsidRPr="00956B0F">
        <w:rPr>
          <w:rFonts w:hint="eastAsia"/>
          <w:b/>
          <w:bCs/>
          <w:rtl/>
        </w:rPr>
        <w:t>שנתי</w:t>
      </w:r>
      <w:r w:rsidRPr="00956B0F">
        <w:rPr>
          <w:b/>
          <w:bCs/>
          <w:rtl/>
        </w:rPr>
        <w:t xml:space="preserve"> 62</w:t>
      </w:r>
      <w:r w:rsidRPr="00956B0F">
        <w:rPr>
          <w:rFonts w:hint="cs"/>
          <w:rtl/>
        </w:rPr>
        <w:t xml:space="preserve"> (2012), "תהליך הכנסתו ועדכונו של תקציב המדינה", עמ' 127 - 128 וכן </w:t>
      </w:r>
      <w:r w:rsidRPr="00956B0F">
        <w:rPr>
          <w:rFonts w:hint="eastAsia"/>
          <w:b/>
          <w:bCs/>
          <w:rtl/>
        </w:rPr>
        <w:t>דוח</w:t>
      </w:r>
      <w:r w:rsidRPr="00956B0F">
        <w:rPr>
          <w:b/>
          <w:bCs/>
          <w:rtl/>
        </w:rPr>
        <w:t xml:space="preserve"> </w:t>
      </w:r>
      <w:r w:rsidRPr="00956B0F">
        <w:rPr>
          <w:rFonts w:hint="eastAsia"/>
          <w:b/>
          <w:bCs/>
          <w:rtl/>
        </w:rPr>
        <w:t>מיוחד</w:t>
      </w:r>
      <w:r w:rsidRPr="00956B0F">
        <w:rPr>
          <w:b/>
          <w:bCs/>
          <w:rtl/>
        </w:rPr>
        <w:t xml:space="preserve">: </w:t>
      </w:r>
      <w:r w:rsidRPr="00956B0F">
        <w:rPr>
          <w:rFonts w:hint="eastAsia"/>
          <w:b/>
          <w:bCs/>
          <w:rtl/>
        </w:rPr>
        <w:t>התמודדות</w:t>
      </w:r>
      <w:r w:rsidRPr="00956B0F">
        <w:rPr>
          <w:b/>
          <w:bCs/>
          <w:rtl/>
        </w:rPr>
        <w:t xml:space="preserve"> </w:t>
      </w:r>
      <w:r w:rsidRPr="00956B0F">
        <w:rPr>
          <w:rFonts w:hint="eastAsia"/>
          <w:b/>
          <w:bCs/>
          <w:rtl/>
        </w:rPr>
        <w:t>מדינת</w:t>
      </w:r>
      <w:r w:rsidRPr="00956B0F">
        <w:rPr>
          <w:b/>
          <w:bCs/>
          <w:rtl/>
        </w:rPr>
        <w:t xml:space="preserve"> </w:t>
      </w:r>
      <w:r w:rsidRPr="00956B0F">
        <w:rPr>
          <w:rFonts w:hint="eastAsia"/>
          <w:b/>
          <w:bCs/>
          <w:rtl/>
        </w:rPr>
        <w:t>ישראל</w:t>
      </w:r>
      <w:r w:rsidRPr="00956B0F">
        <w:rPr>
          <w:b/>
          <w:bCs/>
          <w:rtl/>
        </w:rPr>
        <w:t xml:space="preserve"> </w:t>
      </w:r>
      <w:r w:rsidRPr="00956B0F">
        <w:rPr>
          <w:rFonts w:hint="eastAsia"/>
          <w:b/>
          <w:bCs/>
          <w:rtl/>
        </w:rPr>
        <w:t>עם</w:t>
      </w:r>
      <w:r w:rsidRPr="00956B0F">
        <w:rPr>
          <w:b/>
          <w:bCs/>
          <w:rtl/>
        </w:rPr>
        <w:t xml:space="preserve"> </w:t>
      </w:r>
      <w:r w:rsidRPr="00956B0F">
        <w:rPr>
          <w:rFonts w:hint="eastAsia"/>
          <w:b/>
          <w:bCs/>
          <w:rtl/>
        </w:rPr>
        <w:t>משבר</w:t>
      </w:r>
      <w:r w:rsidRPr="00956B0F">
        <w:rPr>
          <w:b/>
          <w:bCs/>
          <w:rtl/>
        </w:rPr>
        <w:t xml:space="preserve"> </w:t>
      </w:r>
      <w:r w:rsidRPr="00956B0F">
        <w:rPr>
          <w:rFonts w:hint="eastAsia"/>
          <w:b/>
          <w:bCs/>
          <w:rtl/>
        </w:rPr>
        <w:t>הקורונה</w:t>
      </w:r>
      <w:r w:rsidRPr="00956B0F">
        <w:rPr>
          <w:rFonts w:hint="cs"/>
          <w:rtl/>
        </w:rPr>
        <w:t xml:space="preserve"> (2021), "ההתנהלות התקציבית במשבר הקורונה - ניהול המשבר וההיערכות לעתיד", עמ' 117.</w:t>
      </w:r>
    </w:p>
  </w:footnote>
  <w:footnote w:id="162">
    <w:p w14:paraId="7EDDB25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הביקורת הנוכחית העלתה כי בחלק מהרשויות המקומיות עלה צורך בהתאמות בטיפול בתחום האלימות במשפחה וכי הן מימנו את ההתאמות הללו </w:t>
      </w:r>
      <w:r w:rsidRPr="00956B0F">
        <w:rPr>
          <w:rtl/>
        </w:rPr>
        <w:t>מתוך תוספת התקציב הכללית שהקצה משרד הרווחה למחלקות לשירותים חברתיים</w:t>
      </w:r>
      <w:r w:rsidRPr="00956B0F">
        <w:rPr>
          <w:rFonts w:hint="cs"/>
          <w:rtl/>
        </w:rPr>
        <w:t xml:space="preserve"> בעקבות המלחמה. ראו תת-הפרק "התמודדות עם תופעת האלימות בין בני זוג בעיתות משבר וחירום ובמלחמת חרבות ברזל".</w:t>
      </w:r>
    </w:p>
  </w:footnote>
  <w:footnote w:id="163">
    <w:p w14:paraId="1A0EC56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מרכז המחקר והמידע של הכנסת</w:t>
      </w:r>
      <w:r w:rsidRPr="00956B0F">
        <w:rPr>
          <w:rtl/>
        </w:rPr>
        <w:t xml:space="preserve">, </w:t>
      </w:r>
      <w:r w:rsidRPr="00956B0F">
        <w:rPr>
          <w:rFonts w:hint="eastAsia"/>
          <w:b/>
          <w:bCs/>
          <w:rtl/>
        </w:rPr>
        <w:t>יישום</w:t>
      </w:r>
      <w:r w:rsidRPr="00956B0F">
        <w:rPr>
          <w:b/>
          <w:bCs/>
          <w:rtl/>
        </w:rPr>
        <w:t xml:space="preserve"> </w:t>
      </w:r>
      <w:r w:rsidRPr="00956B0F">
        <w:rPr>
          <w:rFonts w:hint="eastAsia"/>
          <w:b/>
          <w:bCs/>
          <w:rtl/>
        </w:rPr>
        <w:t>המלצות</w:t>
      </w:r>
      <w:r w:rsidRPr="00956B0F">
        <w:rPr>
          <w:b/>
          <w:bCs/>
          <w:rtl/>
        </w:rPr>
        <w:t xml:space="preserve"> </w:t>
      </w:r>
      <w:r w:rsidRPr="00956B0F">
        <w:rPr>
          <w:rFonts w:hint="eastAsia"/>
          <w:b/>
          <w:bCs/>
          <w:rtl/>
        </w:rPr>
        <w:t>הוועדה</w:t>
      </w:r>
      <w:r w:rsidRPr="00956B0F">
        <w:rPr>
          <w:b/>
          <w:bCs/>
          <w:rtl/>
        </w:rPr>
        <w:t xml:space="preserve"> </w:t>
      </w:r>
      <w:r w:rsidRPr="00956B0F">
        <w:rPr>
          <w:rFonts w:hint="eastAsia"/>
          <w:b/>
          <w:bCs/>
          <w:rtl/>
        </w:rPr>
        <w:t>הבין</w:t>
      </w:r>
      <w:r w:rsidRPr="00956B0F">
        <w:rPr>
          <w:b/>
          <w:bCs/>
          <w:rtl/>
        </w:rPr>
        <w:t xml:space="preserve">-משרדית </w:t>
      </w:r>
      <w:r w:rsidRPr="00956B0F">
        <w:rPr>
          <w:rFonts w:hint="eastAsia"/>
          <w:b/>
          <w:bCs/>
          <w:rtl/>
        </w:rPr>
        <w:t>למניעה</w:t>
      </w:r>
      <w:r w:rsidRPr="00956B0F">
        <w:rPr>
          <w:b/>
          <w:bCs/>
          <w:rtl/>
        </w:rPr>
        <w:t xml:space="preserve"> </w:t>
      </w:r>
      <w:r w:rsidRPr="00956B0F">
        <w:rPr>
          <w:rFonts w:hint="eastAsia"/>
          <w:b/>
          <w:bCs/>
          <w:rtl/>
        </w:rPr>
        <w:t>וטיפול</w:t>
      </w:r>
      <w:r w:rsidRPr="00956B0F">
        <w:rPr>
          <w:b/>
          <w:bCs/>
          <w:rtl/>
        </w:rPr>
        <w:t xml:space="preserve"> </w:t>
      </w:r>
      <w:r w:rsidRPr="00956B0F">
        <w:rPr>
          <w:rFonts w:hint="eastAsia"/>
          <w:b/>
          <w:bCs/>
          <w:rtl/>
        </w:rPr>
        <w:t>בתופעת</w:t>
      </w:r>
      <w:r w:rsidRPr="00956B0F">
        <w:rPr>
          <w:b/>
          <w:bCs/>
          <w:rtl/>
        </w:rPr>
        <w:t xml:space="preserve"> </w:t>
      </w:r>
      <w:r w:rsidRPr="00956B0F">
        <w:rPr>
          <w:rFonts w:hint="eastAsia"/>
          <w:b/>
          <w:bCs/>
          <w:rtl/>
        </w:rPr>
        <w:t>האלימות</w:t>
      </w:r>
      <w:r w:rsidRPr="00956B0F">
        <w:rPr>
          <w:b/>
          <w:bCs/>
          <w:rtl/>
        </w:rPr>
        <w:t xml:space="preserve"> </w:t>
      </w:r>
      <w:r w:rsidRPr="00956B0F">
        <w:rPr>
          <w:rFonts w:hint="eastAsia"/>
          <w:b/>
          <w:bCs/>
          <w:rtl/>
        </w:rPr>
        <w:t>במשפחה</w:t>
      </w:r>
      <w:r w:rsidRPr="00956B0F">
        <w:rPr>
          <w:rtl/>
        </w:rPr>
        <w:t xml:space="preserve"> </w:t>
      </w:r>
      <w:r w:rsidRPr="00956B0F">
        <w:rPr>
          <w:rFonts w:hint="cs"/>
          <w:rtl/>
        </w:rPr>
        <w:t>(</w:t>
      </w:r>
      <w:r w:rsidRPr="00956B0F">
        <w:rPr>
          <w:rFonts w:hint="eastAsia"/>
          <w:rtl/>
        </w:rPr>
        <w:t>הוגש</w:t>
      </w:r>
      <w:r w:rsidRPr="00956B0F">
        <w:rPr>
          <w:rtl/>
        </w:rPr>
        <w:t xml:space="preserve"> </w:t>
      </w:r>
      <w:r w:rsidRPr="00956B0F">
        <w:rPr>
          <w:rFonts w:hint="eastAsia"/>
          <w:rtl/>
        </w:rPr>
        <w:t>לו</w:t>
      </w:r>
      <w:r w:rsidRPr="00956B0F">
        <w:rPr>
          <w:rFonts w:hint="cs"/>
          <w:rtl/>
        </w:rPr>
        <w:t>ו</w:t>
      </w:r>
      <w:r w:rsidRPr="00956B0F">
        <w:rPr>
          <w:rFonts w:hint="eastAsia"/>
          <w:rtl/>
        </w:rPr>
        <w:t>עדה</w:t>
      </w:r>
      <w:r w:rsidRPr="00956B0F">
        <w:rPr>
          <w:rtl/>
        </w:rPr>
        <w:t xml:space="preserve"> </w:t>
      </w:r>
      <w:r w:rsidRPr="00956B0F">
        <w:rPr>
          <w:rFonts w:hint="eastAsia"/>
          <w:rtl/>
        </w:rPr>
        <w:t>לקידום</w:t>
      </w:r>
      <w:r w:rsidRPr="00956B0F">
        <w:rPr>
          <w:rtl/>
        </w:rPr>
        <w:t xml:space="preserve"> </w:t>
      </w:r>
      <w:r w:rsidRPr="00956B0F">
        <w:rPr>
          <w:rFonts w:hint="eastAsia"/>
          <w:rtl/>
        </w:rPr>
        <w:t>מעמד</w:t>
      </w:r>
      <w:r w:rsidRPr="00956B0F">
        <w:rPr>
          <w:rtl/>
        </w:rPr>
        <w:t xml:space="preserve"> </w:t>
      </w:r>
      <w:r w:rsidRPr="00956B0F">
        <w:rPr>
          <w:rFonts w:hint="eastAsia"/>
          <w:rtl/>
        </w:rPr>
        <w:t>האישה</w:t>
      </w:r>
      <w:r w:rsidRPr="00956B0F">
        <w:rPr>
          <w:rtl/>
        </w:rPr>
        <w:t xml:space="preserve"> </w:t>
      </w:r>
      <w:r w:rsidRPr="00956B0F">
        <w:rPr>
          <w:rFonts w:hint="eastAsia"/>
          <w:rtl/>
        </w:rPr>
        <w:t>ולשוויון</w:t>
      </w:r>
      <w:r w:rsidRPr="00956B0F">
        <w:rPr>
          <w:rtl/>
        </w:rPr>
        <w:t xml:space="preserve"> </w:t>
      </w:r>
      <w:r w:rsidRPr="00956B0F">
        <w:rPr>
          <w:rFonts w:hint="eastAsia"/>
          <w:rtl/>
        </w:rPr>
        <w:t>מגדרי</w:t>
      </w:r>
      <w:r w:rsidRPr="00956B0F">
        <w:rPr>
          <w:rFonts w:hint="cs"/>
          <w:rtl/>
        </w:rPr>
        <w:t xml:space="preserve">) </w:t>
      </w:r>
      <w:r w:rsidRPr="00956B0F">
        <w:rPr>
          <w:rtl/>
        </w:rPr>
        <w:t>(20.11.17), עמ' 12</w:t>
      </w:r>
      <w:r w:rsidRPr="00956B0F">
        <w:rPr>
          <w:rFonts w:hint="cs"/>
          <w:rtl/>
        </w:rPr>
        <w:t>.</w:t>
      </w:r>
    </w:p>
  </w:footnote>
  <w:footnote w:id="164">
    <w:p w14:paraId="43B7397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"משימת על" היא כלי תקציבי לניהול פרויקטים ממשלתיים בין-משרדיים רב-שנתיים. </w:t>
      </w:r>
      <w:r w:rsidRPr="00956B0F">
        <w:rPr>
          <w:rtl/>
        </w:rPr>
        <w:t xml:space="preserve">במסגרת "משימת על" מרוכזות המשימות בכל המשרדים, והיא מאפשרת לקבל תמונת מצב כוללת של כל הוצאות הממשלה בגין משימה זו, ללא צורך בפתיחה של מרכזי קרנות ייעודיים או תקנות ייעודיות, אלא באמצעות שימוש בתקנות תקציביות קיימות. </w:t>
      </w:r>
    </w:p>
  </w:footnote>
  <w:footnote w:id="165">
    <w:p w14:paraId="67243D2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לפי</w:t>
      </w:r>
      <w:r w:rsidRPr="00956B0F">
        <w:rPr>
          <w:rtl/>
        </w:rPr>
        <w:t xml:space="preserve"> </w:t>
      </w:r>
      <w:r w:rsidRPr="00956B0F">
        <w:rPr>
          <w:rFonts w:hint="eastAsia"/>
          <w:rtl/>
        </w:rPr>
        <w:t>נתוני</w:t>
      </w:r>
      <w:r w:rsidRPr="00956B0F">
        <w:rPr>
          <w:rtl/>
        </w:rPr>
        <w:t xml:space="preserve"> </w:t>
      </w:r>
      <w:r w:rsidRPr="00956B0F">
        <w:rPr>
          <w:rFonts w:hint="eastAsia"/>
          <w:rtl/>
        </w:rPr>
        <w:t>מרכב</w:t>
      </w:r>
      <w:r w:rsidRPr="00956B0F">
        <w:rPr>
          <w:rtl/>
        </w:rPr>
        <w:t xml:space="preserve">"ה, </w:t>
      </w:r>
      <w:r w:rsidRPr="00956B0F">
        <w:rPr>
          <w:rFonts w:hint="eastAsia"/>
          <w:rtl/>
        </w:rPr>
        <w:t>בשנת</w:t>
      </w:r>
      <w:r w:rsidRPr="00956B0F">
        <w:rPr>
          <w:rtl/>
        </w:rPr>
        <w:t xml:space="preserve"> 2023 </w:t>
      </w:r>
      <w:r w:rsidRPr="00956B0F">
        <w:rPr>
          <w:rFonts w:hint="cs"/>
          <w:rtl/>
        </w:rPr>
        <w:t xml:space="preserve">הועברו </w:t>
      </w:r>
      <w:r w:rsidRPr="00956B0F">
        <w:rPr>
          <w:rFonts w:hint="eastAsia"/>
          <w:rtl/>
        </w:rPr>
        <w:t>כ</w:t>
      </w:r>
      <w:r w:rsidRPr="00956B0F">
        <w:rPr>
          <w:rtl/>
        </w:rPr>
        <w:t xml:space="preserve">-7 </w:t>
      </w:r>
      <w:r w:rsidRPr="00956B0F">
        <w:rPr>
          <w:rFonts w:hint="eastAsia"/>
          <w:rtl/>
        </w:rPr>
        <w:t>מיליון</w:t>
      </w:r>
      <w:r w:rsidRPr="00956B0F">
        <w:rPr>
          <w:rtl/>
        </w:rPr>
        <w:t xml:space="preserve"> </w:t>
      </w:r>
      <w:r w:rsidRPr="00956B0F">
        <w:rPr>
          <w:rFonts w:hint="eastAsia"/>
          <w:rtl/>
        </w:rPr>
        <w:t>ש</w:t>
      </w:r>
      <w:r w:rsidRPr="00956B0F">
        <w:rPr>
          <w:rtl/>
        </w:rPr>
        <w:t xml:space="preserve">"ח </w:t>
      </w:r>
      <w:r w:rsidRPr="00956B0F">
        <w:rPr>
          <w:rFonts w:hint="eastAsia"/>
          <w:rtl/>
        </w:rPr>
        <w:t>לטובת</w:t>
      </w:r>
      <w:r w:rsidRPr="00956B0F">
        <w:rPr>
          <w:rtl/>
        </w:rPr>
        <w:t xml:space="preserve"> </w:t>
      </w:r>
      <w:r w:rsidRPr="00956B0F">
        <w:rPr>
          <w:rFonts w:hint="eastAsia"/>
          <w:rtl/>
        </w:rPr>
        <w:t>הפעלת</w:t>
      </w:r>
      <w:r w:rsidRPr="00956B0F">
        <w:rPr>
          <w:rtl/>
        </w:rPr>
        <w:t xml:space="preserve"> </w:t>
      </w:r>
      <w:r w:rsidRPr="00956B0F">
        <w:rPr>
          <w:rFonts w:hint="eastAsia"/>
          <w:rtl/>
        </w:rPr>
        <w:t>תוכנית</w:t>
      </w:r>
      <w:r w:rsidRPr="00956B0F">
        <w:rPr>
          <w:rtl/>
        </w:rPr>
        <w:t xml:space="preserve"> "חברות </w:t>
      </w:r>
      <w:r w:rsidRPr="00956B0F">
        <w:rPr>
          <w:rFonts w:hint="eastAsia"/>
          <w:rtl/>
        </w:rPr>
        <w:t>וזוגיות</w:t>
      </w:r>
      <w:r w:rsidRPr="00956B0F">
        <w:rPr>
          <w:rtl/>
        </w:rPr>
        <w:t xml:space="preserve">"; </w:t>
      </w:r>
      <w:r w:rsidRPr="00956B0F">
        <w:rPr>
          <w:rFonts w:hint="eastAsia"/>
          <w:rtl/>
        </w:rPr>
        <w:t>כ</w:t>
      </w:r>
      <w:r w:rsidRPr="00956B0F">
        <w:rPr>
          <w:rtl/>
        </w:rPr>
        <w:t>-</w:t>
      </w:r>
      <w:r w:rsidRPr="00956B0F">
        <w:rPr>
          <w:rFonts w:hint="cs"/>
          <w:rtl/>
        </w:rPr>
        <w:t>400,000</w:t>
      </w:r>
      <w:r w:rsidRPr="00956B0F">
        <w:rPr>
          <w:rtl/>
        </w:rPr>
        <w:t xml:space="preserve"> </w:t>
      </w:r>
      <w:r w:rsidRPr="00956B0F">
        <w:rPr>
          <w:rFonts w:hint="eastAsia"/>
          <w:rtl/>
        </w:rPr>
        <w:t>ש</w:t>
      </w:r>
      <w:r w:rsidRPr="00956B0F">
        <w:rPr>
          <w:rtl/>
        </w:rPr>
        <w:t xml:space="preserve">"ח </w:t>
      </w:r>
      <w:r w:rsidRPr="00956B0F">
        <w:rPr>
          <w:rFonts w:hint="eastAsia"/>
          <w:rtl/>
        </w:rPr>
        <w:t>הועברו</w:t>
      </w:r>
      <w:r w:rsidRPr="00956B0F">
        <w:rPr>
          <w:rtl/>
        </w:rPr>
        <w:t xml:space="preserve"> </w:t>
      </w:r>
      <w:r w:rsidRPr="00956B0F">
        <w:rPr>
          <w:rFonts w:hint="eastAsia"/>
          <w:rtl/>
        </w:rPr>
        <w:t>למשרד</w:t>
      </w:r>
      <w:r w:rsidRPr="00956B0F">
        <w:rPr>
          <w:rtl/>
        </w:rPr>
        <w:t xml:space="preserve"> </w:t>
      </w:r>
      <w:r w:rsidRPr="00956B0F">
        <w:rPr>
          <w:rFonts w:hint="eastAsia"/>
          <w:rtl/>
        </w:rPr>
        <w:t>הבריאות</w:t>
      </w:r>
      <w:r w:rsidRPr="00956B0F">
        <w:rPr>
          <w:rtl/>
        </w:rPr>
        <w:t xml:space="preserve"> </w:t>
      </w:r>
      <w:r w:rsidRPr="00956B0F">
        <w:rPr>
          <w:rFonts w:hint="eastAsia"/>
          <w:rtl/>
        </w:rPr>
        <w:t>לפעולות</w:t>
      </w:r>
      <w:r w:rsidRPr="00956B0F">
        <w:rPr>
          <w:rtl/>
        </w:rPr>
        <w:t xml:space="preserve"> </w:t>
      </w:r>
      <w:r w:rsidRPr="00956B0F">
        <w:rPr>
          <w:rFonts w:hint="eastAsia"/>
          <w:rtl/>
        </w:rPr>
        <w:t>בתחום</w:t>
      </w:r>
      <w:r w:rsidRPr="00956B0F">
        <w:rPr>
          <w:rtl/>
        </w:rPr>
        <w:t xml:space="preserve"> </w:t>
      </w:r>
      <w:r w:rsidRPr="00956B0F">
        <w:rPr>
          <w:rFonts w:hint="eastAsia"/>
          <w:rtl/>
        </w:rPr>
        <w:t>האיתור</w:t>
      </w:r>
      <w:r w:rsidRPr="00956B0F">
        <w:rPr>
          <w:rtl/>
        </w:rPr>
        <w:t xml:space="preserve"> </w:t>
      </w:r>
      <w:r w:rsidRPr="00956B0F">
        <w:rPr>
          <w:rFonts w:hint="eastAsia"/>
          <w:rtl/>
        </w:rPr>
        <w:t>של</w:t>
      </w:r>
      <w:r w:rsidRPr="00956B0F">
        <w:rPr>
          <w:rtl/>
        </w:rPr>
        <w:t xml:space="preserve"> </w:t>
      </w:r>
      <w:r w:rsidRPr="00956B0F">
        <w:rPr>
          <w:rFonts w:hint="eastAsia"/>
          <w:rtl/>
        </w:rPr>
        <w:t>נפגעי</w:t>
      </w:r>
      <w:r w:rsidRPr="00956B0F">
        <w:rPr>
          <w:rtl/>
        </w:rPr>
        <w:t xml:space="preserve"> </w:t>
      </w:r>
      <w:r w:rsidRPr="00956B0F">
        <w:rPr>
          <w:rFonts w:hint="eastAsia"/>
          <w:rtl/>
        </w:rPr>
        <w:t>אלימות</w:t>
      </w:r>
      <w:r w:rsidRPr="00956B0F">
        <w:rPr>
          <w:rtl/>
        </w:rPr>
        <w:t xml:space="preserve"> </w:t>
      </w:r>
      <w:r w:rsidRPr="00956B0F">
        <w:rPr>
          <w:rFonts w:hint="eastAsia"/>
          <w:rtl/>
        </w:rPr>
        <w:t>במערכת</w:t>
      </w:r>
      <w:r w:rsidRPr="00956B0F">
        <w:rPr>
          <w:rtl/>
        </w:rPr>
        <w:t xml:space="preserve"> </w:t>
      </w:r>
      <w:r w:rsidRPr="00956B0F">
        <w:rPr>
          <w:rFonts w:hint="eastAsia"/>
          <w:rtl/>
        </w:rPr>
        <w:t>הבריאות</w:t>
      </w:r>
      <w:r w:rsidRPr="00956B0F">
        <w:rPr>
          <w:rtl/>
        </w:rPr>
        <w:t xml:space="preserve">; </w:t>
      </w:r>
      <w:r w:rsidRPr="00956B0F">
        <w:rPr>
          <w:rFonts w:hint="eastAsia"/>
          <w:rtl/>
        </w:rPr>
        <w:t>וכ</w:t>
      </w:r>
      <w:r w:rsidRPr="00956B0F">
        <w:rPr>
          <w:rtl/>
        </w:rPr>
        <w:t xml:space="preserve">-1.3 </w:t>
      </w:r>
      <w:r w:rsidRPr="00956B0F">
        <w:rPr>
          <w:rFonts w:hint="eastAsia"/>
          <w:rtl/>
        </w:rPr>
        <w:t>מיליון</w:t>
      </w:r>
      <w:r w:rsidRPr="00956B0F">
        <w:rPr>
          <w:rtl/>
        </w:rPr>
        <w:t xml:space="preserve"> </w:t>
      </w:r>
      <w:r w:rsidRPr="00956B0F">
        <w:rPr>
          <w:rFonts w:hint="eastAsia"/>
          <w:rtl/>
        </w:rPr>
        <w:t>ש</w:t>
      </w:r>
      <w:r w:rsidRPr="00956B0F">
        <w:rPr>
          <w:rtl/>
        </w:rPr>
        <w:t xml:space="preserve">"ח </w:t>
      </w:r>
      <w:r w:rsidRPr="00956B0F">
        <w:rPr>
          <w:rFonts w:hint="eastAsia"/>
          <w:rtl/>
        </w:rPr>
        <w:t>הועברו</w:t>
      </w:r>
      <w:r w:rsidRPr="00956B0F">
        <w:rPr>
          <w:rtl/>
        </w:rPr>
        <w:t xml:space="preserve"> </w:t>
      </w:r>
      <w:r w:rsidRPr="00956B0F">
        <w:rPr>
          <w:rFonts w:hint="eastAsia"/>
          <w:rtl/>
        </w:rPr>
        <w:t>לשירות</w:t>
      </w:r>
      <w:r w:rsidRPr="00956B0F">
        <w:rPr>
          <w:rtl/>
        </w:rPr>
        <w:t xml:space="preserve"> </w:t>
      </w:r>
      <w:r w:rsidRPr="00956B0F">
        <w:rPr>
          <w:rFonts w:hint="eastAsia"/>
          <w:rtl/>
        </w:rPr>
        <w:t>בתי</w:t>
      </w:r>
      <w:r w:rsidRPr="00956B0F">
        <w:rPr>
          <w:rtl/>
        </w:rPr>
        <w:t xml:space="preserve"> </w:t>
      </w:r>
      <w:r w:rsidRPr="00956B0F">
        <w:rPr>
          <w:rFonts w:hint="eastAsia"/>
          <w:rtl/>
        </w:rPr>
        <w:t>הסוהר</w:t>
      </w:r>
      <w:r w:rsidRPr="00956B0F">
        <w:rPr>
          <w:rtl/>
        </w:rPr>
        <w:t xml:space="preserve"> </w:t>
      </w:r>
      <w:r w:rsidRPr="00956B0F">
        <w:rPr>
          <w:rFonts w:hint="eastAsia"/>
          <w:rtl/>
        </w:rPr>
        <w:t>לטובת</w:t>
      </w:r>
      <w:r w:rsidRPr="00956B0F">
        <w:rPr>
          <w:rtl/>
        </w:rPr>
        <w:t xml:space="preserve"> </w:t>
      </w:r>
      <w:r w:rsidRPr="00956B0F">
        <w:rPr>
          <w:rFonts w:hint="eastAsia"/>
          <w:rtl/>
        </w:rPr>
        <w:t>הדרכות</w:t>
      </w:r>
      <w:r w:rsidRPr="00956B0F">
        <w:rPr>
          <w:rtl/>
        </w:rPr>
        <w:t xml:space="preserve"> </w:t>
      </w:r>
      <w:r w:rsidRPr="00956B0F">
        <w:rPr>
          <w:rFonts w:hint="eastAsia"/>
          <w:rtl/>
        </w:rPr>
        <w:t>והכשרות</w:t>
      </w:r>
      <w:r w:rsidRPr="00956B0F">
        <w:rPr>
          <w:rtl/>
        </w:rPr>
        <w:t xml:space="preserve"> </w:t>
      </w:r>
      <w:r w:rsidRPr="00956B0F">
        <w:rPr>
          <w:rFonts w:hint="eastAsia"/>
          <w:rtl/>
        </w:rPr>
        <w:t>בתחום</w:t>
      </w:r>
      <w:r w:rsidRPr="00956B0F">
        <w:rPr>
          <w:rtl/>
        </w:rPr>
        <w:t xml:space="preserve"> </w:t>
      </w:r>
      <w:r w:rsidRPr="00956B0F">
        <w:rPr>
          <w:rFonts w:hint="eastAsia"/>
          <w:rtl/>
        </w:rPr>
        <w:t>האלימות</w:t>
      </w:r>
      <w:r w:rsidRPr="00956B0F">
        <w:rPr>
          <w:rtl/>
        </w:rPr>
        <w:t xml:space="preserve"> </w:t>
      </w:r>
      <w:r w:rsidRPr="00956B0F">
        <w:rPr>
          <w:rFonts w:hint="eastAsia"/>
          <w:rtl/>
        </w:rPr>
        <w:t>במשפחה</w:t>
      </w:r>
      <w:r w:rsidRPr="00956B0F">
        <w:rPr>
          <w:rtl/>
        </w:rPr>
        <w:t>.</w:t>
      </w:r>
    </w:p>
  </w:footnote>
  <w:footnote w:id="166">
    <w:p w14:paraId="744BFB5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יש לציין כי גם התקציב הייעודי שהועמד לרשות התוכנית הלאומית לילדים ונוער בסיכון מנוהל בתקנה תקציבית נפרדת וייעודית. </w:t>
      </w:r>
      <w:r w:rsidRPr="00956B0F">
        <w:rPr>
          <w:rFonts w:hint="eastAsia"/>
          <w:rtl/>
        </w:rPr>
        <w:t>כאשר</w:t>
      </w:r>
      <w:r w:rsidRPr="00956B0F">
        <w:rPr>
          <w:rtl/>
        </w:rPr>
        <w:t xml:space="preserve"> התקציב הייעודי מנוהל באמצעות תקנה תקציבית נפרדת</w:t>
      </w:r>
      <w:r w:rsidRPr="00956B0F">
        <w:rPr>
          <w:rFonts w:hint="cs"/>
          <w:rtl/>
        </w:rPr>
        <w:t>,</w:t>
      </w:r>
      <w:r w:rsidRPr="00956B0F">
        <w:rPr>
          <w:rtl/>
        </w:rPr>
        <w:t xml:space="preserve"> קיימת גם אפשרות </w:t>
      </w:r>
      <w:r w:rsidRPr="00956B0F">
        <w:rPr>
          <w:rFonts w:hint="eastAsia"/>
          <w:rtl/>
        </w:rPr>
        <w:t>למשרד</w:t>
      </w:r>
      <w:r w:rsidRPr="00956B0F">
        <w:rPr>
          <w:rtl/>
        </w:rPr>
        <w:t xml:space="preserve"> </w:t>
      </w:r>
      <w:r w:rsidRPr="00956B0F">
        <w:rPr>
          <w:rFonts w:hint="eastAsia"/>
          <w:rtl/>
        </w:rPr>
        <w:t>הרווחה</w:t>
      </w:r>
      <w:r w:rsidRPr="00956B0F">
        <w:rPr>
          <w:rtl/>
        </w:rPr>
        <w:t xml:space="preserve"> </w:t>
      </w:r>
      <w:r w:rsidRPr="00956B0F">
        <w:rPr>
          <w:rFonts w:hint="eastAsia"/>
          <w:rtl/>
        </w:rPr>
        <w:t>לאפשר</w:t>
      </w:r>
      <w:r w:rsidRPr="00956B0F">
        <w:rPr>
          <w:rtl/>
        </w:rPr>
        <w:t xml:space="preserve"> למשרד </w:t>
      </w:r>
      <w:r w:rsidRPr="00956B0F">
        <w:rPr>
          <w:rFonts w:hint="eastAsia"/>
          <w:rtl/>
        </w:rPr>
        <w:t>ממשלתי</w:t>
      </w:r>
      <w:r w:rsidRPr="00956B0F">
        <w:rPr>
          <w:rtl/>
        </w:rPr>
        <w:t xml:space="preserve"> </w:t>
      </w:r>
      <w:r w:rsidRPr="00956B0F">
        <w:rPr>
          <w:rFonts w:hint="eastAsia"/>
          <w:rtl/>
        </w:rPr>
        <w:t>אחר</w:t>
      </w:r>
      <w:r w:rsidRPr="00956B0F">
        <w:rPr>
          <w:rtl/>
        </w:rPr>
        <w:t xml:space="preserve"> להתחייב מתוך </w:t>
      </w:r>
      <w:r w:rsidRPr="00956B0F">
        <w:rPr>
          <w:rFonts w:hint="eastAsia"/>
          <w:rtl/>
        </w:rPr>
        <w:t>התקנה</w:t>
      </w:r>
      <w:r w:rsidRPr="00956B0F">
        <w:rPr>
          <w:rtl/>
        </w:rPr>
        <w:t xml:space="preserve">, </w:t>
      </w:r>
      <w:r w:rsidRPr="00956B0F">
        <w:rPr>
          <w:rFonts w:hint="eastAsia"/>
          <w:rtl/>
        </w:rPr>
        <w:t>באופן</w:t>
      </w:r>
      <w:r w:rsidRPr="00956B0F">
        <w:rPr>
          <w:rtl/>
        </w:rPr>
        <w:t xml:space="preserve"> </w:t>
      </w:r>
      <w:r w:rsidRPr="00956B0F">
        <w:rPr>
          <w:rFonts w:hint="eastAsia"/>
          <w:rtl/>
        </w:rPr>
        <w:t>שיאפשר</w:t>
      </w:r>
      <w:r w:rsidRPr="00956B0F">
        <w:rPr>
          <w:rtl/>
        </w:rPr>
        <w:t xml:space="preserve"> </w:t>
      </w:r>
      <w:r w:rsidRPr="00956B0F">
        <w:rPr>
          <w:rFonts w:hint="eastAsia"/>
          <w:rtl/>
        </w:rPr>
        <w:t>את</w:t>
      </w:r>
      <w:r w:rsidRPr="00956B0F">
        <w:rPr>
          <w:rtl/>
        </w:rPr>
        <w:t xml:space="preserve"> </w:t>
      </w:r>
      <w:r w:rsidRPr="00956B0F">
        <w:rPr>
          <w:rFonts w:hint="eastAsia"/>
          <w:rtl/>
        </w:rPr>
        <w:t>העברת</w:t>
      </w:r>
      <w:r w:rsidRPr="00956B0F">
        <w:rPr>
          <w:rtl/>
        </w:rPr>
        <w:t xml:space="preserve"> </w:t>
      </w:r>
      <w:r w:rsidRPr="00956B0F">
        <w:rPr>
          <w:rFonts w:hint="eastAsia"/>
          <w:rtl/>
        </w:rPr>
        <w:t>התקציבים</w:t>
      </w:r>
      <w:r w:rsidRPr="00956B0F">
        <w:rPr>
          <w:rtl/>
        </w:rPr>
        <w:t xml:space="preserve"> </w:t>
      </w:r>
      <w:r w:rsidRPr="00956B0F">
        <w:rPr>
          <w:rFonts w:hint="eastAsia"/>
          <w:rtl/>
        </w:rPr>
        <w:t>בין</w:t>
      </w:r>
      <w:r w:rsidRPr="00956B0F">
        <w:rPr>
          <w:rtl/>
        </w:rPr>
        <w:t xml:space="preserve"> </w:t>
      </w:r>
      <w:r w:rsidRPr="00956B0F">
        <w:rPr>
          <w:rFonts w:hint="eastAsia"/>
          <w:rtl/>
        </w:rPr>
        <w:t>משרדי</w:t>
      </w:r>
      <w:r w:rsidRPr="00956B0F">
        <w:rPr>
          <w:rtl/>
        </w:rPr>
        <w:t xml:space="preserve"> </w:t>
      </w:r>
      <w:r w:rsidRPr="00956B0F">
        <w:rPr>
          <w:rFonts w:hint="eastAsia"/>
          <w:rtl/>
        </w:rPr>
        <w:t>הממשלה</w:t>
      </w:r>
      <w:r w:rsidRPr="00956B0F">
        <w:rPr>
          <w:rtl/>
        </w:rPr>
        <w:t xml:space="preserve"> </w:t>
      </w:r>
      <w:r w:rsidRPr="00956B0F">
        <w:rPr>
          <w:rFonts w:hint="eastAsia"/>
          <w:rtl/>
        </w:rPr>
        <w:t>ביתר</w:t>
      </w:r>
      <w:r w:rsidRPr="00956B0F">
        <w:rPr>
          <w:rtl/>
        </w:rPr>
        <w:t xml:space="preserve"> </w:t>
      </w:r>
      <w:r w:rsidRPr="00956B0F">
        <w:rPr>
          <w:rFonts w:hint="eastAsia"/>
          <w:rtl/>
        </w:rPr>
        <w:t>קלות</w:t>
      </w:r>
      <w:r w:rsidRPr="00956B0F">
        <w:rPr>
          <w:rtl/>
        </w:rPr>
        <w:t xml:space="preserve">, </w:t>
      </w:r>
      <w:r w:rsidRPr="00956B0F">
        <w:rPr>
          <w:rFonts w:hint="eastAsia"/>
          <w:rtl/>
        </w:rPr>
        <w:t>תוך</w:t>
      </w:r>
      <w:r w:rsidRPr="00956B0F">
        <w:rPr>
          <w:rtl/>
        </w:rPr>
        <w:t xml:space="preserve"> </w:t>
      </w:r>
      <w:r w:rsidRPr="00956B0F">
        <w:rPr>
          <w:rFonts w:hint="eastAsia"/>
          <w:rtl/>
        </w:rPr>
        <w:t>הותרת</w:t>
      </w:r>
      <w:r w:rsidRPr="00956B0F">
        <w:rPr>
          <w:rtl/>
        </w:rPr>
        <w:t xml:space="preserve"> </w:t>
      </w:r>
      <w:r w:rsidRPr="00956B0F">
        <w:rPr>
          <w:rFonts w:hint="eastAsia"/>
          <w:rtl/>
        </w:rPr>
        <w:t>מנגנון</w:t>
      </w:r>
      <w:r w:rsidRPr="00956B0F">
        <w:rPr>
          <w:rtl/>
        </w:rPr>
        <w:t xml:space="preserve"> </w:t>
      </w:r>
      <w:r w:rsidRPr="00956B0F">
        <w:rPr>
          <w:rFonts w:hint="eastAsia"/>
          <w:rtl/>
        </w:rPr>
        <w:t>המעקב</w:t>
      </w:r>
      <w:r w:rsidRPr="00956B0F">
        <w:rPr>
          <w:rtl/>
        </w:rPr>
        <w:t xml:space="preserve"> </w:t>
      </w:r>
      <w:r w:rsidRPr="00956B0F">
        <w:rPr>
          <w:rFonts w:hint="eastAsia"/>
          <w:rtl/>
        </w:rPr>
        <w:t>והבקרה</w:t>
      </w:r>
      <w:r w:rsidRPr="00956B0F">
        <w:rPr>
          <w:rtl/>
        </w:rPr>
        <w:t xml:space="preserve"> </w:t>
      </w:r>
      <w:r w:rsidRPr="00956B0F">
        <w:rPr>
          <w:rFonts w:hint="eastAsia"/>
          <w:rtl/>
        </w:rPr>
        <w:t>בידי</w:t>
      </w:r>
      <w:r w:rsidRPr="00956B0F">
        <w:rPr>
          <w:rtl/>
        </w:rPr>
        <w:t xml:space="preserve"> </w:t>
      </w:r>
      <w:r w:rsidRPr="00956B0F">
        <w:rPr>
          <w:rFonts w:hint="eastAsia"/>
          <w:rtl/>
        </w:rPr>
        <w:t>משרד</w:t>
      </w:r>
      <w:r w:rsidRPr="00956B0F">
        <w:rPr>
          <w:rtl/>
        </w:rPr>
        <w:t xml:space="preserve"> </w:t>
      </w:r>
      <w:r w:rsidRPr="00956B0F">
        <w:rPr>
          <w:rFonts w:hint="eastAsia"/>
          <w:rtl/>
        </w:rPr>
        <w:t>הרווחה</w:t>
      </w:r>
      <w:r w:rsidRPr="00956B0F">
        <w:rPr>
          <w:rtl/>
        </w:rPr>
        <w:t>.</w:t>
      </w:r>
    </w:p>
  </w:footnote>
  <w:footnote w:id="167">
    <w:p w14:paraId="21F5BBC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"תחומי אחריותה ותפקידיה של הוועדה הבין-משרדית הקבועה".</w:t>
      </w:r>
      <w:r w:rsidRPr="00956B0F">
        <w:rPr>
          <w:rtl/>
        </w:rPr>
        <w:t xml:space="preserve"> </w:t>
      </w:r>
      <w:r w:rsidRPr="00956B0F">
        <w:rPr>
          <w:rtl/>
        </w:rPr>
        <w:tab/>
      </w:r>
    </w:p>
  </w:footnote>
  <w:footnote w:id="168">
    <w:p w14:paraId="6B30A6D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מדדי תשומה מתייחסים להיבטים של תשתית ומשאבים הדרושים לאספקת השירותים (לדוגמה, הקצאת מבנה, גיוס כוח אדם והכשרתו); מדדי תפוקה מתייחסים למכלול הפעילויות הנדרשות כדי להשיג את התוצאות הרצויות; ומדדי תוצאה מתייחסים להשפעות הרצויות על אוכלוסיית היעד. </w:t>
      </w:r>
      <w:r w:rsidRPr="00956B0F">
        <w:rPr>
          <w:rFonts w:hint="eastAsia"/>
          <w:rtl/>
        </w:rPr>
        <w:t>ראו</w:t>
      </w:r>
      <w:r w:rsidRPr="00956B0F">
        <w:rPr>
          <w:rtl/>
        </w:rPr>
        <w:t xml:space="preserve"> </w:t>
      </w:r>
      <w:r w:rsidRPr="00956B0F">
        <w:rPr>
          <w:rFonts w:hint="eastAsia"/>
          <w:rtl/>
        </w:rPr>
        <w:t>להלן</w:t>
      </w:r>
      <w:r w:rsidRPr="00956B0F">
        <w:rPr>
          <w:rtl/>
        </w:rPr>
        <w:t xml:space="preserve"> </w:t>
      </w:r>
      <w:r w:rsidRPr="00956B0F">
        <w:rPr>
          <w:rFonts w:hint="eastAsia"/>
          <w:rtl/>
        </w:rPr>
        <w:t>תת</w:t>
      </w:r>
      <w:r w:rsidRPr="00956B0F">
        <w:rPr>
          <w:rtl/>
        </w:rPr>
        <w:t>-הפרק "</w:t>
      </w:r>
      <w:r w:rsidRPr="00956B0F">
        <w:rPr>
          <w:rFonts w:hint="cs"/>
          <w:rtl/>
        </w:rPr>
        <w:t>מערך מדידה להערכת מועילות השירותים הניתנים בתחום האלימות במשפחה</w:t>
      </w:r>
      <w:r w:rsidRPr="00956B0F">
        <w:rPr>
          <w:rtl/>
        </w:rPr>
        <w:t>".</w:t>
      </w:r>
      <w:r w:rsidRPr="00956B0F">
        <w:rPr>
          <w:rFonts w:hint="cs"/>
          <w:rtl/>
        </w:rPr>
        <w:t xml:space="preserve"> כן ראו: </w:t>
      </w:r>
      <w:r w:rsidRPr="00956B0F">
        <w:rPr>
          <w:rFonts w:hint="eastAsia"/>
          <w:b/>
          <w:bCs/>
          <w:rtl/>
        </w:rPr>
        <w:t>דוח</w:t>
      </w:r>
      <w:r w:rsidRPr="00956B0F">
        <w:rPr>
          <w:b/>
          <w:bCs/>
          <w:rtl/>
        </w:rPr>
        <w:t xml:space="preserve"> </w:t>
      </w:r>
      <w:r w:rsidRPr="00956B0F">
        <w:rPr>
          <w:rFonts w:hint="eastAsia"/>
          <w:b/>
          <w:bCs/>
          <w:rtl/>
        </w:rPr>
        <w:t>הצוות</w:t>
      </w:r>
      <w:r w:rsidRPr="00956B0F">
        <w:rPr>
          <w:b/>
          <w:bCs/>
          <w:rtl/>
        </w:rPr>
        <w:t xml:space="preserve"> </w:t>
      </w:r>
      <w:r w:rsidRPr="00956B0F">
        <w:rPr>
          <w:rFonts w:hint="eastAsia"/>
          <w:b/>
          <w:bCs/>
          <w:rtl/>
        </w:rPr>
        <w:t>הממשלתי</w:t>
      </w:r>
      <w:r w:rsidRPr="00956B0F">
        <w:rPr>
          <w:b/>
          <w:bCs/>
          <w:rtl/>
        </w:rPr>
        <w:t xml:space="preserve"> </w:t>
      </w:r>
      <w:r w:rsidRPr="00956B0F">
        <w:rPr>
          <w:rFonts w:hint="eastAsia"/>
          <w:b/>
          <w:bCs/>
          <w:rtl/>
        </w:rPr>
        <w:t>לטיוב</w:t>
      </w:r>
      <w:r w:rsidRPr="00956B0F">
        <w:rPr>
          <w:b/>
          <w:bCs/>
          <w:rtl/>
        </w:rPr>
        <w:t xml:space="preserve"> </w:t>
      </w:r>
      <w:r w:rsidRPr="00956B0F">
        <w:rPr>
          <w:rFonts w:hint="eastAsia"/>
          <w:b/>
          <w:bCs/>
          <w:rtl/>
        </w:rPr>
        <w:t>אופן</w:t>
      </w:r>
      <w:r w:rsidRPr="00956B0F">
        <w:rPr>
          <w:b/>
          <w:bCs/>
          <w:rtl/>
        </w:rPr>
        <w:t xml:space="preserve"> </w:t>
      </w:r>
      <w:r w:rsidRPr="00956B0F">
        <w:rPr>
          <w:rFonts w:hint="eastAsia"/>
          <w:b/>
          <w:bCs/>
          <w:rtl/>
        </w:rPr>
        <w:t>אספקת</w:t>
      </w:r>
      <w:r w:rsidRPr="00956B0F">
        <w:rPr>
          <w:b/>
          <w:bCs/>
          <w:rtl/>
        </w:rPr>
        <w:t xml:space="preserve"> </w:t>
      </w:r>
      <w:r w:rsidRPr="00956B0F">
        <w:rPr>
          <w:rFonts w:hint="eastAsia"/>
          <w:b/>
          <w:bCs/>
          <w:rtl/>
        </w:rPr>
        <w:t>שירותים</w:t>
      </w:r>
      <w:r w:rsidRPr="00956B0F">
        <w:rPr>
          <w:b/>
          <w:bCs/>
          <w:rtl/>
        </w:rPr>
        <w:t xml:space="preserve"> </w:t>
      </w:r>
      <w:r w:rsidRPr="00956B0F">
        <w:rPr>
          <w:rFonts w:hint="eastAsia"/>
          <w:b/>
          <w:bCs/>
          <w:rtl/>
        </w:rPr>
        <w:t>חברתיים</w:t>
      </w:r>
      <w:r w:rsidRPr="00956B0F">
        <w:rPr>
          <w:rFonts w:hint="cs"/>
          <w:rtl/>
        </w:rPr>
        <w:t xml:space="preserve"> (2016), עמ' 26 ו-29 (</w:t>
      </w:r>
      <w:bookmarkStart w:id="639" w:name="_Hlk202092807"/>
      <w:r w:rsidRPr="00956B0F">
        <w:rPr>
          <w:rFonts w:hint="cs"/>
          <w:rtl/>
        </w:rPr>
        <w:t>להלן - דוח הצוות הממשלתי לטיוב אופן אספקתם של שירותים חברתיים</w:t>
      </w:r>
      <w:bookmarkEnd w:id="639"/>
      <w:r w:rsidRPr="00956B0F">
        <w:rPr>
          <w:rFonts w:hint="cs"/>
          <w:rtl/>
        </w:rPr>
        <w:t xml:space="preserve">); </w:t>
      </w:r>
      <w:r w:rsidRPr="00956B0F">
        <w:rPr>
          <w:rFonts w:hint="cs"/>
          <w:b/>
          <w:bCs/>
          <w:rtl/>
        </w:rPr>
        <w:t>מדריך התכנון הממשלתי</w:t>
      </w:r>
      <w:r w:rsidRPr="00956B0F">
        <w:rPr>
          <w:rFonts w:hint="cs"/>
          <w:rtl/>
        </w:rPr>
        <w:t xml:space="preserve"> (גרסה מורחבת 2.0, 2008), עמ' 48 - 50; טליה חסין, טל לנטו והילה דולב, </w:t>
      </w:r>
      <w:r w:rsidRPr="00956B0F">
        <w:rPr>
          <w:rFonts w:hint="cs"/>
          <w:b/>
          <w:bCs/>
          <w:rtl/>
        </w:rPr>
        <w:t>מדדי איכות בשירותי רווחה: דרכי פיתוח ויישום - סקירה בין-לאומית</w:t>
      </w:r>
      <w:r w:rsidRPr="00956B0F">
        <w:rPr>
          <w:rFonts w:hint="cs"/>
          <w:rtl/>
        </w:rPr>
        <w:t xml:space="preserve"> (2022), עמ' 7; טל לנטו, רות שטרן-קטרי וטליה חסין, </w:t>
      </w:r>
      <w:r w:rsidRPr="00956B0F">
        <w:rPr>
          <w:rFonts w:hint="cs"/>
          <w:b/>
          <w:bCs/>
          <w:rtl/>
        </w:rPr>
        <w:t>פיקוח על שירותי רווחה: שימוש בכלים לדיווח עצמי על ידי נותני שירות - סקירה בין-לאומית</w:t>
      </w:r>
      <w:r w:rsidRPr="00956B0F">
        <w:rPr>
          <w:rFonts w:hint="cs"/>
          <w:rtl/>
        </w:rPr>
        <w:t xml:space="preserve"> (2024), עמ' 3.</w:t>
      </w:r>
    </w:p>
  </w:footnote>
  <w:footnote w:id="169">
    <w:p w14:paraId="447E5EA0" w14:textId="77777777" w:rsidR="00F769CC" w:rsidRPr="00956B0F" w:rsidRDefault="00F769CC" w:rsidP="00817399">
      <w:pPr>
        <w:pStyle w:val="af7"/>
      </w:pPr>
      <w:r w:rsidRPr="00956B0F">
        <w:rPr>
          <w:rStyle w:val="af9"/>
        </w:rPr>
        <w:footnoteRef/>
      </w:r>
      <w:r w:rsidRPr="00956B0F">
        <w:rPr>
          <w:rtl/>
        </w:rPr>
        <w:t xml:space="preserve"> </w:t>
      </w:r>
      <w:r w:rsidRPr="00956B0F">
        <w:rPr>
          <w:rtl/>
        </w:rPr>
        <w:tab/>
        <w:t xml:space="preserve">משרד הרווחה, </w:t>
      </w:r>
      <w:r w:rsidRPr="00956B0F">
        <w:rPr>
          <w:b/>
          <w:bCs/>
          <w:rtl/>
        </w:rPr>
        <w:t>מסמך לדיון בנושא: תורת הפיקוח של המשרד על מערך השירותים החברתיים בישראל</w:t>
      </w:r>
      <w:r w:rsidRPr="00956B0F">
        <w:rPr>
          <w:rtl/>
        </w:rPr>
        <w:t xml:space="preserve"> (2018)</w:t>
      </w:r>
      <w:r w:rsidRPr="00956B0F">
        <w:rPr>
          <w:rFonts w:hint="cs"/>
          <w:rtl/>
        </w:rPr>
        <w:t xml:space="preserve">; </w:t>
      </w:r>
      <w:r w:rsidRPr="00956B0F">
        <w:rPr>
          <w:rtl/>
        </w:rPr>
        <w:t xml:space="preserve">משרד ראש הממשלה, </w:t>
      </w:r>
      <w:r w:rsidRPr="00956B0F">
        <w:rPr>
          <w:b/>
          <w:bCs/>
          <w:rtl/>
        </w:rPr>
        <w:t>מדריך לניהול סיכונים ברגולציה ובמדיניות ציבורית</w:t>
      </w:r>
      <w:r w:rsidRPr="00956B0F">
        <w:rPr>
          <w:rtl/>
        </w:rPr>
        <w:t xml:space="preserve"> (2018)</w:t>
      </w:r>
      <w:r w:rsidRPr="00956B0F">
        <w:rPr>
          <w:rFonts w:hint="cs"/>
          <w:rtl/>
        </w:rPr>
        <w:t xml:space="preserve">; </w:t>
      </w:r>
      <w:r w:rsidRPr="00956B0F">
        <w:rPr>
          <w:rtl/>
        </w:rPr>
        <w:t>נוהל</w:t>
      </w:r>
      <w:r w:rsidRPr="00956B0F">
        <w:rPr>
          <w:rFonts w:hint="cs"/>
          <w:rtl/>
        </w:rPr>
        <w:t xml:space="preserve"> מס'</w:t>
      </w:r>
      <w:r w:rsidRPr="00956B0F">
        <w:rPr>
          <w:rtl/>
        </w:rPr>
        <w:t xml:space="preserve"> 60-003 </w:t>
      </w:r>
      <w:r w:rsidRPr="00956B0F">
        <w:rPr>
          <w:rFonts w:hint="cs"/>
          <w:rtl/>
        </w:rPr>
        <w:t>של משרד הרווחה, "</w:t>
      </w:r>
      <w:r w:rsidRPr="00956B0F">
        <w:rPr>
          <w:rtl/>
        </w:rPr>
        <w:t>תפקיד המפקח המחוזי</w:t>
      </w:r>
      <w:r w:rsidRPr="00956B0F">
        <w:rPr>
          <w:rFonts w:hint="cs"/>
          <w:rtl/>
        </w:rPr>
        <w:t>"</w:t>
      </w:r>
      <w:r w:rsidRPr="00956B0F">
        <w:rPr>
          <w:rtl/>
        </w:rPr>
        <w:t xml:space="preserve"> </w:t>
      </w:r>
      <w:r w:rsidRPr="00956B0F">
        <w:rPr>
          <w:rFonts w:hint="cs"/>
          <w:rtl/>
        </w:rPr>
        <w:t>(6.1.19</w:t>
      </w:r>
      <w:r w:rsidRPr="00956B0F">
        <w:rPr>
          <w:rStyle w:val="Hyperlink"/>
          <w:rFonts w:hint="cs"/>
          <w:color w:val="auto"/>
          <w:u w:val="none"/>
          <w:rtl/>
        </w:rPr>
        <w:t>)</w:t>
      </w:r>
      <w:r w:rsidRPr="00956B0F">
        <w:rPr>
          <w:rFonts w:hint="cs"/>
          <w:rtl/>
        </w:rPr>
        <w:t xml:space="preserve"> (</w:t>
      </w:r>
      <w:bookmarkStart w:id="640" w:name="_Hlk202092864"/>
      <w:r w:rsidRPr="00956B0F">
        <w:rPr>
          <w:rFonts w:hint="cs"/>
          <w:rtl/>
        </w:rPr>
        <w:t>להלן - נוהל מס' 60-003 של משרד הרווחה</w:t>
      </w:r>
      <w:bookmarkEnd w:id="640"/>
      <w:r w:rsidRPr="00956B0F">
        <w:rPr>
          <w:rFonts w:hint="cs"/>
          <w:rtl/>
        </w:rPr>
        <w:t>).</w:t>
      </w:r>
    </w:p>
  </w:footnote>
  <w:footnote w:id="170">
    <w:p w14:paraId="3F01012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b/>
          <w:bCs/>
          <w:rtl/>
        </w:rPr>
        <w:t>מחקר</w:t>
      </w:r>
      <w:r w:rsidRPr="00956B0F">
        <w:rPr>
          <w:b/>
          <w:bCs/>
          <w:rtl/>
        </w:rPr>
        <w:t xml:space="preserve"> </w:t>
      </w:r>
      <w:r w:rsidRPr="00956B0F">
        <w:rPr>
          <w:rFonts w:hint="eastAsia"/>
          <w:b/>
          <w:bCs/>
          <w:rtl/>
        </w:rPr>
        <w:t>הערכת</w:t>
      </w:r>
      <w:r w:rsidRPr="00956B0F">
        <w:rPr>
          <w:b/>
          <w:bCs/>
          <w:rtl/>
        </w:rPr>
        <w:t xml:space="preserve"> </w:t>
      </w:r>
      <w:r w:rsidRPr="00956B0F">
        <w:rPr>
          <w:rFonts w:hint="eastAsia"/>
          <w:b/>
          <w:bCs/>
          <w:rtl/>
        </w:rPr>
        <w:t>שביעות</w:t>
      </w:r>
      <w:r w:rsidRPr="00956B0F">
        <w:rPr>
          <w:b/>
          <w:bCs/>
          <w:rtl/>
        </w:rPr>
        <w:t xml:space="preserve"> </w:t>
      </w:r>
      <w:r w:rsidRPr="00956B0F">
        <w:rPr>
          <w:rFonts w:hint="eastAsia"/>
          <w:b/>
          <w:bCs/>
          <w:rtl/>
        </w:rPr>
        <w:t>רצון</w:t>
      </w:r>
      <w:r w:rsidRPr="00956B0F">
        <w:rPr>
          <w:b/>
          <w:bCs/>
          <w:rtl/>
        </w:rPr>
        <w:t xml:space="preserve"> </w:t>
      </w:r>
      <w:r w:rsidRPr="00956B0F">
        <w:rPr>
          <w:rFonts w:hint="eastAsia"/>
          <w:b/>
          <w:bCs/>
          <w:rtl/>
        </w:rPr>
        <w:t>של</w:t>
      </w:r>
      <w:r w:rsidRPr="00956B0F">
        <w:rPr>
          <w:b/>
          <w:bCs/>
          <w:rtl/>
        </w:rPr>
        <w:t xml:space="preserve"> </w:t>
      </w:r>
      <w:r w:rsidRPr="00956B0F">
        <w:rPr>
          <w:rFonts w:hint="eastAsia"/>
          <w:b/>
          <w:bCs/>
          <w:rtl/>
        </w:rPr>
        <w:t>נשים</w:t>
      </w:r>
      <w:r w:rsidRPr="00956B0F">
        <w:rPr>
          <w:b/>
          <w:bCs/>
          <w:rtl/>
        </w:rPr>
        <w:t xml:space="preserve"> </w:t>
      </w:r>
      <w:r w:rsidRPr="00956B0F">
        <w:rPr>
          <w:rFonts w:hint="eastAsia"/>
          <w:b/>
          <w:bCs/>
          <w:rtl/>
        </w:rPr>
        <w:t>מהטיפול</w:t>
      </w:r>
      <w:r w:rsidRPr="00956B0F">
        <w:rPr>
          <w:b/>
          <w:bCs/>
          <w:rtl/>
        </w:rPr>
        <w:t xml:space="preserve"> </w:t>
      </w:r>
      <w:r w:rsidRPr="00956B0F">
        <w:rPr>
          <w:rFonts w:hint="eastAsia"/>
          <w:b/>
          <w:bCs/>
          <w:rtl/>
        </w:rPr>
        <w:t>באלימות</w:t>
      </w:r>
      <w:r w:rsidRPr="00956B0F">
        <w:rPr>
          <w:b/>
          <w:bCs/>
          <w:rtl/>
        </w:rPr>
        <w:t xml:space="preserve"> </w:t>
      </w:r>
      <w:r w:rsidRPr="00956B0F">
        <w:rPr>
          <w:rFonts w:hint="eastAsia"/>
          <w:b/>
          <w:bCs/>
          <w:rtl/>
        </w:rPr>
        <w:t>במשפחה</w:t>
      </w:r>
      <w:r w:rsidRPr="00956B0F">
        <w:rPr>
          <w:rFonts w:hint="cs"/>
          <w:rtl/>
        </w:rPr>
        <w:t xml:space="preserve"> (2001), עמ' 5.</w:t>
      </w:r>
    </w:p>
  </w:footnote>
  <w:footnote w:id="171">
    <w:p w14:paraId="24963DF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בדוח הביקורת הקודם נושא זה נכלל בתת-הפרק "הפיקוח באמצעות מחוזות משרד הרווחה", עמ' 562 - 565.</w:t>
      </w:r>
    </w:p>
  </w:footnote>
  <w:footnote w:id="172">
    <w:p w14:paraId="32D4E050"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נוהל</w:t>
      </w:r>
      <w:r w:rsidRPr="00956B0F">
        <w:rPr>
          <w:rFonts w:hint="cs"/>
          <w:rtl/>
        </w:rPr>
        <w:t xml:space="preserve"> מס'</w:t>
      </w:r>
      <w:r w:rsidRPr="00956B0F">
        <w:rPr>
          <w:rtl/>
        </w:rPr>
        <w:t xml:space="preserve"> 60-003 </w:t>
      </w:r>
      <w:r w:rsidRPr="00956B0F">
        <w:rPr>
          <w:rFonts w:hint="cs"/>
          <w:rtl/>
        </w:rPr>
        <w:t>של משרד הרווחה.</w:t>
      </w:r>
      <w:r w:rsidRPr="00956B0F">
        <w:rPr>
          <w:rtl/>
        </w:rPr>
        <w:t xml:space="preserve"> </w:t>
      </w:r>
    </w:p>
  </w:footnote>
  <w:footnote w:id="173">
    <w:p w14:paraId="2BAE28E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סיכום מהלך להגדרת תמהיל עיסוקי המפקח בקהילה והתחלת הטמעה מ-25.8.19</w:t>
      </w:r>
      <w:r w:rsidRPr="00956B0F">
        <w:rPr>
          <w:rFonts w:hint="cs"/>
          <w:rtl/>
        </w:rPr>
        <w:t xml:space="preserve"> (לוח 3).</w:t>
      </w:r>
    </w:p>
  </w:footnote>
  <w:footnote w:id="174">
    <w:p w14:paraId="536385C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5.2, 5.6, 5.9 ו-7.4 לנ</w:t>
      </w:r>
      <w:r w:rsidRPr="00956B0F">
        <w:rPr>
          <w:rtl/>
        </w:rPr>
        <w:t>והל</w:t>
      </w:r>
      <w:r w:rsidRPr="00956B0F">
        <w:rPr>
          <w:rFonts w:hint="cs"/>
          <w:rtl/>
        </w:rPr>
        <w:t xml:space="preserve"> מס'</w:t>
      </w:r>
      <w:r w:rsidRPr="00956B0F">
        <w:rPr>
          <w:rtl/>
        </w:rPr>
        <w:t xml:space="preserve"> 60-003 </w:t>
      </w:r>
      <w:r w:rsidRPr="00956B0F">
        <w:rPr>
          <w:rFonts w:hint="cs"/>
          <w:rtl/>
        </w:rPr>
        <w:t>של משרד הרווחה.</w:t>
      </w:r>
    </w:p>
  </w:footnote>
  <w:footnote w:id="175">
    <w:p w14:paraId="2C0FD9B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דוח הצוות הממשלתי לטיוב אופן אספקתם של שירותים חברתיים, עמ' 30; הילה דולב ואלומה לוי-זוהר, </w:t>
      </w:r>
      <w:r w:rsidRPr="00956B0F">
        <w:rPr>
          <w:rFonts w:hint="cs"/>
          <w:b/>
          <w:bCs/>
          <w:rtl/>
        </w:rPr>
        <w:t>שיתוף מקבלי השירות בפיקוח על שירותים חברתיים: מנגנוני השיתוף, האתגרים ועקרונות הפעולה המיטביים - סקירה בינלאומית</w:t>
      </w:r>
      <w:r w:rsidRPr="00956B0F">
        <w:rPr>
          <w:rFonts w:hint="cs"/>
          <w:rtl/>
        </w:rPr>
        <w:t xml:space="preserve"> (הסקירה הוזמנה על ידי האגף למחקר, תכנון והכשרה במשרד הרווחה ומומנה בסיועו, אפריל 2020), עמ' 12 (להלן - דולב ולוי-זוהר). </w:t>
      </w:r>
      <w:r w:rsidRPr="00956B0F">
        <w:rPr>
          <w:rFonts w:hint="eastAsia"/>
          <w:rtl/>
        </w:rPr>
        <w:t>הערכת</w:t>
      </w:r>
      <w:r w:rsidRPr="00956B0F">
        <w:rPr>
          <w:rtl/>
        </w:rPr>
        <w:t xml:space="preserve"> איכות השירות</w:t>
      </w:r>
      <w:r w:rsidRPr="00956B0F">
        <w:rPr>
          <w:rFonts w:hint="cs"/>
          <w:rtl/>
        </w:rPr>
        <w:t>ים</w:t>
      </w:r>
      <w:r w:rsidRPr="00956B0F">
        <w:rPr>
          <w:rtl/>
        </w:rPr>
        <w:t xml:space="preserve"> </w:t>
      </w:r>
      <w:r w:rsidRPr="00956B0F">
        <w:rPr>
          <w:rFonts w:hint="cs"/>
          <w:rtl/>
        </w:rPr>
        <w:t>יכולה</w:t>
      </w:r>
      <w:r w:rsidRPr="00956B0F">
        <w:rPr>
          <w:rtl/>
        </w:rPr>
        <w:t xml:space="preserve"> להתייחס ל</w:t>
      </w:r>
      <w:r w:rsidRPr="00956B0F">
        <w:rPr>
          <w:rFonts w:hint="cs"/>
          <w:rtl/>
        </w:rPr>
        <w:t>היבטים פיזיים הקשורים ב</w:t>
      </w:r>
      <w:r w:rsidRPr="00956B0F">
        <w:rPr>
          <w:rFonts w:hint="eastAsia"/>
          <w:rtl/>
        </w:rPr>
        <w:t>מבנה</w:t>
      </w:r>
      <w:r w:rsidRPr="00956B0F">
        <w:rPr>
          <w:rtl/>
        </w:rPr>
        <w:t xml:space="preserve"> </w:t>
      </w:r>
      <w:r w:rsidRPr="00956B0F">
        <w:rPr>
          <w:rFonts w:hint="eastAsia"/>
          <w:rtl/>
        </w:rPr>
        <w:t>בו</w:t>
      </w:r>
      <w:r w:rsidRPr="00956B0F">
        <w:rPr>
          <w:rtl/>
        </w:rPr>
        <w:t xml:space="preserve"> </w:t>
      </w:r>
      <w:r w:rsidRPr="00956B0F">
        <w:rPr>
          <w:rFonts w:hint="eastAsia"/>
          <w:rtl/>
        </w:rPr>
        <w:t>ניתנים</w:t>
      </w:r>
      <w:r w:rsidRPr="00956B0F">
        <w:rPr>
          <w:rtl/>
        </w:rPr>
        <w:t xml:space="preserve"> </w:t>
      </w:r>
      <w:r w:rsidRPr="00956B0F">
        <w:rPr>
          <w:rFonts w:hint="eastAsia"/>
          <w:rtl/>
        </w:rPr>
        <w:t>השירותים</w:t>
      </w:r>
      <w:r w:rsidRPr="00956B0F">
        <w:rPr>
          <w:rtl/>
        </w:rPr>
        <w:t xml:space="preserve"> (לרבות </w:t>
      </w:r>
      <w:r w:rsidRPr="00956B0F">
        <w:rPr>
          <w:rFonts w:hint="eastAsia"/>
          <w:rtl/>
        </w:rPr>
        <w:t>מבחינת</w:t>
      </w:r>
      <w:r w:rsidRPr="00956B0F">
        <w:rPr>
          <w:rtl/>
        </w:rPr>
        <w:t xml:space="preserve"> </w:t>
      </w:r>
      <w:r w:rsidRPr="00956B0F">
        <w:rPr>
          <w:rFonts w:hint="eastAsia"/>
          <w:rtl/>
        </w:rPr>
        <w:t>נגישות</w:t>
      </w:r>
      <w:r w:rsidRPr="00956B0F">
        <w:rPr>
          <w:rtl/>
        </w:rPr>
        <w:t xml:space="preserve"> </w:t>
      </w:r>
      <w:r w:rsidRPr="00956B0F">
        <w:rPr>
          <w:rFonts w:hint="eastAsia"/>
          <w:rtl/>
        </w:rPr>
        <w:t>פיזית</w:t>
      </w:r>
      <w:r w:rsidRPr="00956B0F">
        <w:rPr>
          <w:rtl/>
        </w:rPr>
        <w:t xml:space="preserve"> </w:t>
      </w:r>
      <w:r w:rsidRPr="00956B0F">
        <w:rPr>
          <w:rFonts w:hint="eastAsia"/>
          <w:rtl/>
        </w:rPr>
        <w:t>למבנה</w:t>
      </w:r>
      <w:r w:rsidRPr="00956B0F">
        <w:rPr>
          <w:rtl/>
        </w:rPr>
        <w:t xml:space="preserve"> </w:t>
      </w:r>
      <w:r w:rsidRPr="00956B0F">
        <w:rPr>
          <w:rFonts w:hint="eastAsia"/>
          <w:rtl/>
        </w:rPr>
        <w:t>ודרכי</w:t>
      </w:r>
      <w:r w:rsidRPr="00956B0F">
        <w:rPr>
          <w:rtl/>
        </w:rPr>
        <w:t xml:space="preserve"> </w:t>
      </w:r>
      <w:r w:rsidRPr="00956B0F">
        <w:rPr>
          <w:rFonts w:hint="eastAsia"/>
          <w:rtl/>
        </w:rPr>
        <w:t>הגישה</w:t>
      </w:r>
      <w:r w:rsidRPr="00956B0F">
        <w:rPr>
          <w:rtl/>
        </w:rPr>
        <w:t xml:space="preserve"> </w:t>
      </w:r>
      <w:r w:rsidRPr="00956B0F">
        <w:rPr>
          <w:rFonts w:hint="eastAsia"/>
          <w:rtl/>
        </w:rPr>
        <w:t>אליו</w:t>
      </w:r>
      <w:r w:rsidRPr="00956B0F">
        <w:rPr>
          <w:rtl/>
        </w:rPr>
        <w:t>)</w:t>
      </w:r>
      <w:r w:rsidRPr="00956B0F">
        <w:rPr>
          <w:rFonts w:hint="cs"/>
          <w:rtl/>
        </w:rPr>
        <w:t xml:space="preserve"> או להיבטים הקשורים ברמת השירותים הניתנים (משך ההמתנה לטיפול, שיעור הנשירה או שיעור ההתמדה בטיפול, הנגשה שפתית או תרבותית של הטיפול למקבלי השירות וכן התאמת תוכנית ההתערבות שנקבעה למקבלי השירות ועדכונה לאורך זמן)</w:t>
      </w:r>
      <w:r w:rsidRPr="00956B0F">
        <w:rPr>
          <w:rtl/>
        </w:rPr>
        <w:t>.</w:t>
      </w:r>
      <w:r w:rsidRPr="00956B0F">
        <w:rPr>
          <w:rFonts w:hint="cs"/>
          <w:rtl/>
        </w:rPr>
        <w:t xml:space="preserve"> </w:t>
      </w:r>
    </w:p>
  </w:footnote>
  <w:footnote w:id="176">
    <w:p w14:paraId="771F303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ליאור בסרמן נבון, עירית (אייזיק) ענבר והילה דולב, </w:t>
      </w:r>
      <w:r w:rsidRPr="00956B0F">
        <w:rPr>
          <w:rFonts w:hint="eastAsia"/>
          <w:b/>
          <w:bCs/>
          <w:rtl/>
        </w:rPr>
        <w:t>דרכי</w:t>
      </w:r>
      <w:r w:rsidRPr="00956B0F">
        <w:rPr>
          <w:b/>
          <w:bCs/>
          <w:rtl/>
        </w:rPr>
        <w:t xml:space="preserve"> </w:t>
      </w:r>
      <w:r w:rsidRPr="00956B0F">
        <w:rPr>
          <w:rFonts w:hint="eastAsia"/>
          <w:b/>
          <w:bCs/>
          <w:rtl/>
        </w:rPr>
        <w:t>פעולה</w:t>
      </w:r>
      <w:r w:rsidRPr="00956B0F">
        <w:rPr>
          <w:b/>
          <w:bCs/>
          <w:rtl/>
        </w:rPr>
        <w:t xml:space="preserve"> </w:t>
      </w:r>
      <w:r w:rsidRPr="00956B0F">
        <w:rPr>
          <w:rFonts w:hint="eastAsia"/>
          <w:b/>
          <w:bCs/>
          <w:rtl/>
        </w:rPr>
        <w:t>לקידום</w:t>
      </w:r>
      <w:r w:rsidRPr="00956B0F">
        <w:rPr>
          <w:b/>
          <w:bCs/>
          <w:rtl/>
        </w:rPr>
        <w:t xml:space="preserve"> </w:t>
      </w:r>
      <w:r w:rsidRPr="00956B0F">
        <w:rPr>
          <w:rFonts w:hint="eastAsia"/>
          <w:b/>
          <w:bCs/>
          <w:rtl/>
        </w:rPr>
        <w:t>האפקטיביות</w:t>
      </w:r>
      <w:r w:rsidRPr="00956B0F">
        <w:rPr>
          <w:b/>
          <w:bCs/>
          <w:rtl/>
        </w:rPr>
        <w:t xml:space="preserve"> </w:t>
      </w:r>
      <w:r w:rsidRPr="00956B0F">
        <w:rPr>
          <w:rFonts w:hint="eastAsia"/>
          <w:b/>
          <w:bCs/>
          <w:rtl/>
        </w:rPr>
        <w:t>של</w:t>
      </w:r>
      <w:r w:rsidRPr="00956B0F">
        <w:rPr>
          <w:b/>
          <w:bCs/>
          <w:rtl/>
        </w:rPr>
        <w:t xml:space="preserve"> </w:t>
      </w:r>
      <w:r w:rsidRPr="00956B0F">
        <w:rPr>
          <w:rFonts w:hint="eastAsia"/>
          <w:b/>
          <w:bCs/>
          <w:rtl/>
        </w:rPr>
        <w:t>הפיקוח</w:t>
      </w:r>
      <w:r w:rsidRPr="00956B0F">
        <w:rPr>
          <w:b/>
          <w:bCs/>
          <w:rtl/>
        </w:rPr>
        <w:t xml:space="preserve"> </w:t>
      </w:r>
      <w:r w:rsidRPr="00956B0F">
        <w:rPr>
          <w:rFonts w:hint="eastAsia"/>
          <w:b/>
          <w:bCs/>
          <w:rtl/>
        </w:rPr>
        <w:t>על</w:t>
      </w:r>
      <w:r w:rsidRPr="00956B0F">
        <w:rPr>
          <w:b/>
          <w:bCs/>
          <w:rtl/>
        </w:rPr>
        <w:t xml:space="preserve"> </w:t>
      </w:r>
      <w:r w:rsidRPr="00956B0F">
        <w:rPr>
          <w:rFonts w:hint="eastAsia"/>
          <w:b/>
          <w:bCs/>
          <w:rtl/>
        </w:rPr>
        <w:t>שירותי</w:t>
      </w:r>
      <w:r w:rsidRPr="00956B0F">
        <w:rPr>
          <w:b/>
          <w:bCs/>
          <w:rtl/>
        </w:rPr>
        <w:t xml:space="preserve"> </w:t>
      </w:r>
      <w:r w:rsidRPr="00956B0F">
        <w:rPr>
          <w:rFonts w:hint="eastAsia"/>
          <w:b/>
          <w:bCs/>
          <w:rtl/>
        </w:rPr>
        <w:t>הרווחה</w:t>
      </w:r>
      <w:r w:rsidRPr="00956B0F">
        <w:rPr>
          <w:b/>
          <w:bCs/>
          <w:rtl/>
        </w:rPr>
        <w:t xml:space="preserve">: </w:t>
      </w:r>
      <w:r w:rsidRPr="00956B0F">
        <w:rPr>
          <w:rFonts w:hint="eastAsia"/>
          <w:b/>
          <w:bCs/>
          <w:rtl/>
        </w:rPr>
        <w:t>סקירה</w:t>
      </w:r>
      <w:r w:rsidRPr="00956B0F">
        <w:rPr>
          <w:b/>
          <w:bCs/>
          <w:rtl/>
        </w:rPr>
        <w:t xml:space="preserve"> </w:t>
      </w:r>
      <w:r w:rsidRPr="00956B0F">
        <w:rPr>
          <w:rFonts w:hint="eastAsia"/>
          <w:b/>
          <w:bCs/>
          <w:rtl/>
        </w:rPr>
        <w:t>בין</w:t>
      </w:r>
      <w:r w:rsidRPr="00956B0F">
        <w:rPr>
          <w:b/>
          <w:bCs/>
          <w:rtl/>
        </w:rPr>
        <w:t xml:space="preserve">-לאומית </w:t>
      </w:r>
      <w:r w:rsidRPr="00956B0F">
        <w:rPr>
          <w:rFonts w:hint="eastAsia"/>
          <w:b/>
          <w:bCs/>
          <w:rtl/>
        </w:rPr>
        <w:t>ולמידה</w:t>
      </w:r>
      <w:r w:rsidRPr="00956B0F">
        <w:rPr>
          <w:b/>
          <w:bCs/>
          <w:rtl/>
        </w:rPr>
        <w:t xml:space="preserve"> </w:t>
      </w:r>
      <w:r w:rsidRPr="00956B0F">
        <w:rPr>
          <w:rFonts w:hint="eastAsia"/>
          <w:b/>
          <w:bCs/>
          <w:rtl/>
        </w:rPr>
        <w:t>מהצלחות</w:t>
      </w:r>
      <w:r w:rsidRPr="00956B0F">
        <w:rPr>
          <w:b/>
          <w:bCs/>
          <w:rtl/>
        </w:rPr>
        <w:t xml:space="preserve"> </w:t>
      </w:r>
      <w:r w:rsidRPr="00956B0F">
        <w:rPr>
          <w:rFonts w:hint="eastAsia"/>
          <w:b/>
          <w:bCs/>
          <w:rtl/>
        </w:rPr>
        <w:t>בפיקוח</w:t>
      </w:r>
      <w:r w:rsidRPr="00956B0F">
        <w:rPr>
          <w:rFonts w:hint="cs"/>
          <w:rtl/>
        </w:rPr>
        <w:t xml:space="preserve"> (2023), עמ' 22.</w:t>
      </w:r>
    </w:p>
  </w:footnote>
  <w:footnote w:id="177">
    <w:p w14:paraId="0288C04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דולב ולוי-זוהר, עמ' 13. ראו גם עומר דקל, </w:t>
      </w:r>
      <w:r w:rsidRPr="00956B0F">
        <w:rPr>
          <w:rFonts w:hint="cs"/>
          <w:b/>
          <w:bCs/>
          <w:rtl/>
        </w:rPr>
        <w:t>מכרזים</w:t>
      </w:r>
      <w:r w:rsidRPr="00956B0F">
        <w:rPr>
          <w:rFonts w:hint="cs"/>
          <w:rtl/>
        </w:rPr>
        <w:t>, כרך ראשון (2004), עמ' 431.</w:t>
      </w:r>
    </w:p>
  </w:footnote>
  <w:footnote w:id="178">
    <w:p w14:paraId="53458D5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מרכזים פעילים בשנה מסוימת הם מרכזים שדווחו לגביהם השמות (הפנייה של נזקקים לטיפול) בשנה זו. מרכזים שהעסיקו עובדים סוציאליים בתקן בלבד (ולא בתקציב פעולה) לא נדרשו לדווח על השמות, ולכן ישנם מרכזים שהיו פעילים בשנה מסוימת אבל לא מופיעים כמרכזים פעילים ברישומים של משרד הרווחה. בעקבות יישום רפורמת "כתף אל כתף" כלל המרכזים נדרשים לדווח על כלל ההשמות, ראו תת-הפרק "מודל המימון של המרכזים".</w:t>
      </w:r>
    </w:p>
  </w:footnote>
  <w:footnote w:id="179">
    <w:p w14:paraId="2E4CB7E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בקרה מקיפה היא </w:t>
      </w:r>
      <w:r w:rsidRPr="00956B0F">
        <w:rPr>
          <w:rtl/>
        </w:rPr>
        <w:t>בקרה על מרבית תחומי הפעילות של הגורם המפוקח</w:t>
      </w:r>
      <w:r w:rsidRPr="00956B0F">
        <w:rPr>
          <w:rFonts w:hint="cs"/>
          <w:rtl/>
        </w:rPr>
        <w:t xml:space="preserve">. בקרה </w:t>
      </w:r>
      <w:r w:rsidRPr="00956B0F">
        <w:rPr>
          <w:rtl/>
        </w:rPr>
        <w:t xml:space="preserve">ממוקדת </w:t>
      </w:r>
      <w:r w:rsidRPr="00956B0F">
        <w:rPr>
          <w:rFonts w:hint="cs"/>
          <w:rtl/>
        </w:rPr>
        <w:t xml:space="preserve">היא </w:t>
      </w:r>
      <w:r w:rsidRPr="00956B0F">
        <w:rPr>
          <w:rtl/>
        </w:rPr>
        <w:t>בקרה המתמקדת בתחומי פעילות אחדים של הגורם המפוקח)</w:t>
      </w:r>
      <w:r w:rsidRPr="00956B0F">
        <w:rPr>
          <w:rFonts w:hint="cs"/>
          <w:rtl/>
        </w:rPr>
        <w:t>. הגדרת המונחים "בקרה מקיפה" ו"בקרה ממוקדת" לקוחים מתוך מילון המונחים המשרדי של משרד הרווחה. מיליון המונחים זמין בקישור:</w:t>
      </w:r>
    </w:p>
    <w:p w14:paraId="5038BDBD" w14:textId="77777777" w:rsidR="00F769CC" w:rsidRPr="00956B0F" w:rsidRDefault="00F769CC" w:rsidP="00817399">
      <w:pPr>
        <w:pStyle w:val="af7"/>
        <w:ind w:firstLine="0"/>
      </w:pPr>
      <w:r w:rsidRPr="00956B0F">
        <w:t>www.gov.il/he/pages/molsa-office-dictionary?chapterIndex=2</w:t>
      </w:r>
      <w:r w:rsidRPr="00956B0F">
        <w:rPr>
          <w:rFonts w:hint="cs"/>
          <w:rtl/>
        </w:rPr>
        <w:t xml:space="preserve"> (כניסה אחרונה: 6.1.25).</w:t>
      </w:r>
    </w:p>
  </w:footnote>
  <w:footnote w:id="180">
    <w:p w14:paraId="2BD3CFC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טל לנטו, רות שטרן-קטרי וטליה חסין, </w:t>
      </w:r>
      <w:r w:rsidRPr="00956B0F">
        <w:rPr>
          <w:rFonts w:hint="cs"/>
          <w:b/>
          <w:bCs/>
          <w:rtl/>
        </w:rPr>
        <w:t>פיקוח על שירותי רווחה: שימוש בכלים לדיווח עצמי על ידי נותני שירות - סקירה בין-לאומית</w:t>
      </w:r>
      <w:r w:rsidRPr="00956B0F">
        <w:rPr>
          <w:rFonts w:hint="cs"/>
          <w:rtl/>
        </w:rPr>
        <w:t xml:space="preserve"> (2024), עמ' 3 - 4.</w:t>
      </w:r>
    </w:p>
  </w:footnote>
  <w:footnote w:id="181">
    <w:p w14:paraId="77D7EAF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תת-הפרק בנושא "</w:t>
      </w:r>
      <w:r w:rsidRPr="00956B0F">
        <w:rPr>
          <w:rFonts w:hint="eastAsia"/>
          <w:b/>
          <w:rtl/>
        </w:rPr>
        <w:t>ני</w:t>
      </w:r>
      <w:r w:rsidRPr="00956B0F">
        <w:rPr>
          <w:rFonts w:hint="cs"/>
          <w:b/>
          <w:rtl/>
        </w:rPr>
        <w:t>הול</w:t>
      </w:r>
      <w:r w:rsidRPr="00956B0F">
        <w:rPr>
          <w:rFonts w:hint="cs"/>
          <w:rtl/>
        </w:rPr>
        <w:t xml:space="preserve"> ממוחשב ומרכזי של הנתונים על תופעת האלימות בין בני זוג".</w:t>
      </w:r>
    </w:p>
  </w:footnote>
  <w:footnote w:id="182">
    <w:p w14:paraId="315F3EA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מרכזים</w:t>
      </w:r>
      <w:r w:rsidRPr="00956B0F">
        <w:rPr>
          <w:rtl/>
        </w:rPr>
        <w:t xml:space="preserve"> </w:t>
      </w:r>
      <w:r w:rsidRPr="00956B0F">
        <w:rPr>
          <w:rFonts w:hint="eastAsia"/>
          <w:rtl/>
        </w:rPr>
        <w:t>פעילים</w:t>
      </w:r>
      <w:r w:rsidRPr="00956B0F">
        <w:rPr>
          <w:rtl/>
        </w:rPr>
        <w:t xml:space="preserve"> </w:t>
      </w:r>
      <w:r w:rsidRPr="00956B0F">
        <w:rPr>
          <w:rFonts w:hint="eastAsia"/>
          <w:rtl/>
        </w:rPr>
        <w:t>בשנה</w:t>
      </w:r>
      <w:r w:rsidRPr="00956B0F">
        <w:rPr>
          <w:rtl/>
        </w:rPr>
        <w:t xml:space="preserve"> </w:t>
      </w:r>
      <w:r w:rsidRPr="00956B0F">
        <w:rPr>
          <w:rFonts w:hint="eastAsia"/>
          <w:rtl/>
        </w:rPr>
        <w:t>מסוימת</w:t>
      </w:r>
      <w:r w:rsidRPr="00956B0F">
        <w:rPr>
          <w:rtl/>
        </w:rPr>
        <w:t xml:space="preserve"> </w:t>
      </w:r>
      <w:r w:rsidRPr="00956B0F">
        <w:rPr>
          <w:rFonts w:hint="eastAsia"/>
          <w:rtl/>
        </w:rPr>
        <w:t>הם</w:t>
      </w:r>
      <w:r w:rsidRPr="00956B0F">
        <w:rPr>
          <w:rtl/>
        </w:rPr>
        <w:t xml:space="preserve"> </w:t>
      </w:r>
      <w:r w:rsidRPr="00956B0F">
        <w:rPr>
          <w:rFonts w:hint="eastAsia"/>
          <w:rtl/>
        </w:rPr>
        <w:t>מרכזים</w:t>
      </w:r>
      <w:r w:rsidRPr="00956B0F">
        <w:rPr>
          <w:rtl/>
        </w:rPr>
        <w:t xml:space="preserve"> </w:t>
      </w:r>
      <w:r w:rsidRPr="00956B0F">
        <w:rPr>
          <w:rFonts w:hint="eastAsia"/>
          <w:rtl/>
        </w:rPr>
        <w:t>שדווחו</w:t>
      </w:r>
      <w:r w:rsidRPr="00956B0F">
        <w:rPr>
          <w:rtl/>
        </w:rPr>
        <w:t xml:space="preserve"> </w:t>
      </w:r>
      <w:r w:rsidRPr="00956B0F">
        <w:rPr>
          <w:rFonts w:hint="eastAsia"/>
          <w:rtl/>
        </w:rPr>
        <w:t>לגביהם</w:t>
      </w:r>
      <w:r w:rsidRPr="00956B0F">
        <w:rPr>
          <w:rtl/>
        </w:rPr>
        <w:t xml:space="preserve"> </w:t>
      </w:r>
      <w:r w:rsidRPr="00956B0F">
        <w:rPr>
          <w:rFonts w:hint="eastAsia"/>
          <w:rtl/>
        </w:rPr>
        <w:t>השמות</w:t>
      </w:r>
      <w:r w:rsidRPr="00956B0F">
        <w:rPr>
          <w:rtl/>
        </w:rPr>
        <w:t xml:space="preserve"> (הפנייה </w:t>
      </w:r>
      <w:r w:rsidRPr="00956B0F">
        <w:rPr>
          <w:rFonts w:hint="eastAsia"/>
          <w:rtl/>
        </w:rPr>
        <w:t>של</w:t>
      </w:r>
      <w:r w:rsidRPr="00956B0F">
        <w:rPr>
          <w:rtl/>
        </w:rPr>
        <w:t xml:space="preserve"> </w:t>
      </w:r>
      <w:r w:rsidRPr="00956B0F">
        <w:rPr>
          <w:rFonts w:hint="eastAsia"/>
          <w:rtl/>
        </w:rPr>
        <w:t>נזקקים</w:t>
      </w:r>
      <w:r w:rsidRPr="00956B0F">
        <w:rPr>
          <w:rtl/>
        </w:rPr>
        <w:t xml:space="preserve"> </w:t>
      </w:r>
      <w:r w:rsidRPr="00956B0F">
        <w:rPr>
          <w:rFonts w:hint="eastAsia"/>
          <w:rtl/>
        </w:rPr>
        <w:t>לטיפול</w:t>
      </w:r>
      <w:r w:rsidRPr="00956B0F">
        <w:rPr>
          <w:rtl/>
        </w:rPr>
        <w:t xml:space="preserve">) </w:t>
      </w:r>
      <w:r w:rsidRPr="00956B0F">
        <w:rPr>
          <w:rFonts w:hint="eastAsia"/>
          <w:rtl/>
        </w:rPr>
        <w:t>בשנה</w:t>
      </w:r>
      <w:r w:rsidRPr="00956B0F">
        <w:rPr>
          <w:rtl/>
        </w:rPr>
        <w:t xml:space="preserve"> </w:t>
      </w:r>
      <w:r w:rsidRPr="00956B0F">
        <w:rPr>
          <w:rFonts w:hint="eastAsia"/>
          <w:rtl/>
        </w:rPr>
        <w:t>זו</w:t>
      </w:r>
      <w:r w:rsidRPr="00956B0F">
        <w:rPr>
          <w:rtl/>
        </w:rPr>
        <w:t xml:space="preserve">. </w:t>
      </w:r>
      <w:r w:rsidRPr="00956B0F">
        <w:rPr>
          <w:rFonts w:hint="eastAsia"/>
          <w:rtl/>
        </w:rPr>
        <w:t>מרכזים</w:t>
      </w:r>
      <w:r w:rsidRPr="00956B0F">
        <w:rPr>
          <w:rtl/>
        </w:rPr>
        <w:t xml:space="preserve"> </w:t>
      </w:r>
      <w:r w:rsidRPr="00956B0F">
        <w:rPr>
          <w:rFonts w:hint="eastAsia"/>
          <w:rtl/>
        </w:rPr>
        <w:t>שהעסיקו</w:t>
      </w:r>
      <w:r w:rsidRPr="00956B0F">
        <w:rPr>
          <w:rtl/>
        </w:rPr>
        <w:t xml:space="preserve"> </w:t>
      </w:r>
      <w:r w:rsidRPr="00956B0F">
        <w:rPr>
          <w:rFonts w:hint="eastAsia"/>
          <w:rtl/>
        </w:rPr>
        <w:t>עובדים</w:t>
      </w:r>
      <w:r w:rsidRPr="00956B0F">
        <w:rPr>
          <w:rtl/>
        </w:rPr>
        <w:t xml:space="preserve"> </w:t>
      </w:r>
      <w:r w:rsidRPr="00956B0F">
        <w:rPr>
          <w:rFonts w:hint="eastAsia"/>
          <w:rtl/>
        </w:rPr>
        <w:t>סוציאליים</w:t>
      </w:r>
      <w:r w:rsidRPr="00956B0F">
        <w:rPr>
          <w:rtl/>
        </w:rPr>
        <w:t xml:space="preserve"> </w:t>
      </w:r>
      <w:r w:rsidRPr="00956B0F">
        <w:rPr>
          <w:rFonts w:hint="eastAsia"/>
          <w:rtl/>
        </w:rPr>
        <w:t>בתקן</w:t>
      </w:r>
      <w:r w:rsidRPr="00956B0F">
        <w:rPr>
          <w:rtl/>
        </w:rPr>
        <w:t xml:space="preserve"> </w:t>
      </w:r>
      <w:r w:rsidRPr="00956B0F">
        <w:rPr>
          <w:rFonts w:hint="eastAsia"/>
          <w:rtl/>
        </w:rPr>
        <w:t>בלבד</w:t>
      </w:r>
      <w:r w:rsidRPr="00956B0F">
        <w:rPr>
          <w:rtl/>
        </w:rPr>
        <w:t xml:space="preserve"> (ולא </w:t>
      </w:r>
      <w:r w:rsidRPr="00956B0F">
        <w:rPr>
          <w:rFonts w:hint="eastAsia"/>
          <w:rtl/>
        </w:rPr>
        <w:t>בתקציב</w:t>
      </w:r>
      <w:r w:rsidRPr="00956B0F">
        <w:rPr>
          <w:rtl/>
        </w:rPr>
        <w:t xml:space="preserve"> </w:t>
      </w:r>
      <w:r w:rsidRPr="00956B0F">
        <w:rPr>
          <w:rFonts w:hint="eastAsia"/>
          <w:rtl/>
        </w:rPr>
        <w:t>פעולה</w:t>
      </w:r>
      <w:r w:rsidRPr="00956B0F">
        <w:rPr>
          <w:rtl/>
        </w:rPr>
        <w:t xml:space="preserve">) </w:t>
      </w:r>
      <w:r w:rsidRPr="00956B0F">
        <w:rPr>
          <w:rFonts w:hint="eastAsia"/>
          <w:rtl/>
        </w:rPr>
        <w:t>לא</w:t>
      </w:r>
      <w:r w:rsidRPr="00956B0F">
        <w:rPr>
          <w:rtl/>
        </w:rPr>
        <w:t xml:space="preserve"> </w:t>
      </w:r>
      <w:r w:rsidRPr="00956B0F">
        <w:rPr>
          <w:rFonts w:hint="eastAsia"/>
          <w:rtl/>
        </w:rPr>
        <w:t>נדרשו</w:t>
      </w:r>
      <w:r w:rsidRPr="00956B0F">
        <w:rPr>
          <w:rtl/>
        </w:rPr>
        <w:t xml:space="preserve"> </w:t>
      </w:r>
      <w:r w:rsidRPr="00956B0F">
        <w:rPr>
          <w:rFonts w:hint="eastAsia"/>
          <w:rtl/>
        </w:rPr>
        <w:t>לדווח</w:t>
      </w:r>
      <w:r w:rsidRPr="00956B0F">
        <w:rPr>
          <w:rtl/>
        </w:rPr>
        <w:t xml:space="preserve"> </w:t>
      </w:r>
      <w:r w:rsidRPr="00956B0F">
        <w:rPr>
          <w:rFonts w:hint="eastAsia"/>
          <w:rtl/>
        </w:rPr>
        <w:t>על</w:t>
      </w:r>
      <w:r w:rsidRPr="00956B0F">
        <w:rPr>
          <w:rtl/>
        </w:rPr>
        <w:t xml:space="preserve"> </w:t>
      </w:r>
      <w:r w:rsidRPr="00956B0F">
        <w:rPr>
          <w:rFonts w:hint="eastAsia"/>
          <w:rtl/>
        </w:rPr>
        <w:t>השמות</w:t>
      </w:r>
      <w:r w:rsidRPr="00956B0F">
        <w:rPr>
          <w:rtl/>
        </w:rPr>
        <w:t xml:space="preserve">, </w:t>
      </w:r>
      <w:r w:rsidRPr="00956B0F">
        <w:rPr>
          <w:rFonts w:hint="eastAsia"/>
          <w:rtl/>
        </w:rPr>
        <w:t>ולכן</w:t>
      </w:r>
      <w:r w:rsidRPr="00956B0F">
        <w:rPr>
          <w:rtl/>
        </w:rPr>
        <w:t xml:space="preserve"> </w:t>
      </w:r>
      <w:r w:rsidRPr="00956B0F">
        <w:rPr>
          <w:rFonts w:hint="eastAsia"/>
          <w:rtl/>
        </w:rPr>
        <w:t>ישנם</w:t>
      </w:r>
      <w:r w:rsidRPr="00956B0F">
        <w:rPr>
          <w:rtl/>
        </w:rPr>
        <w:t xml:space="preserve"> </w:t>
      </w:r>
      <w:r w:rsidRPr="00956B0F">
        <w:rPr>
          <w:rFonts w:hint="eastAsia"/>
          <w:rtl/>
        </w:rPr>
        <w:t>מרכזים</w:t>
      </w:r>
      <w:r w:rsidRPr="00956B0F">
        <w:rPr>
          <w:rtl/>
        </w:rPr>
        <w:t xml:space="preserve"> </w:t>
      </w:r>
      <w:r w:rsidRPr="00956B0F">
        <w:rPr>
          <w:rFonts w:hint="eastAsia"/>
          <w:rtl/>
        </w:rPr>
        <w:t>שהיו</w:t>
      </w:r>
      <w:r w:rsidRPr="00956B0F">
        <w:rPr>
          <w:rtl/>
        </w:rPr>
        <w:t xml:space="preserve"> </w:t>
      </w:r>
      <w:r w:rsidRPr="00956B0F">
        <w:rPr>
          <w:rFonts w:hint="eastAsia"/>
          <w:rtl/>
        </w:rPr>
        <w:t>פעילים</w:t>
      </w:r>
      <w:r w:rsidRPr="00956B0F">
        <w:rPr>
          <w:rtl/>
        </w:rPr>
        <w:t xml:space="preserve"> </w:t>
      </w:r>
      <w:r w:rsidRPr="00956B0F">
        <w:rPr>
          <w:rFonts w:hint="eastAsia"/>
          <w:rtl/>
        </w:rPr>
        <w:t>בשנה</w:t>
      </w:r>
      <w:r w:rsidRPr="00956B0F">
        <w:rPr>
          <w:rtl/>
        </w:rPr>
        <w:t xml:space="preserve"> </w:t>
      </w:r>
      <w:r w:rsidRPr="00956B0F">
        <w:rPr>
          <w:rFonts w:hint="eastAsia"/>
          <w:rtl/>
        </w:rPr>
        <w:t>מסוימת</w:t>
      </w:r>
      <w:r w:rsidRPr="00956B0F">
        <w:rPr>
          <w:rtl/>
        </w:rPr>
        <w:t xml:space="preserve"> </w:t>
      </w:r>
      <w:r w:rsidRPr="00956B0F">
        <w:rPr>
          <w:rFonts w:hint="eastAsia"/>
          <w:rtl/>
        </w:rPr>
        <w:t>אבל</w:t>
      </w:r>
      <w:r w:rsidRPr="00956B0F">
        <w:rPr>
          <w:rtl/>
        </w:rPr>
        <w:t xml:space="preserve"> </w:t>
      </w:r>
      <w:r w:rsidRPr="00956B0F">
        <w:rPr>
          <w:rFonts w:hint="eastAsia"/>
          <w:rtl/>
        </w:rPr>
        <w:t>לא</w:t>
      </w:r>
      <w:r w:rsidRPr="00956B0F">
        <w:rPr>
          <w:rtl/>
        </w:rPr>
        <w:t xml:space="preserve"> </w:t>
      </w:r>
      <w:r w:rsidRPr="00956B0F">
        <w:rPr>
          <w:rFonts w:hint="eastAsia"/>
          <w:rtl/>
        </w:rPr>
        <w:t>מופיעים</w:t>
      </w:r>
      <w:r w:rsidRPr="00956B0F">
        <w:rPr>
          <w:rtl/>
        </w:rPr>
        <w:t xml:space="preserve"> </w:t>
      </w:r>
      <w:r w:rsidRPr="00956B0F">
        <w:rPr>
          <w:rFonts w:hint="eastAsia"/>
          <w:rtl/>
        </w:rPr>
        <w:t>כמרכזים</w:t>
      </w:r>
      <w:r w:rsidRPr="00956B0F">
        <w:rPr>
          <w:rtl/>
        </w:rPr>
        <w:t xml:space="preserve"> </w:t>
      </w:r>
      <w:r w:rsidRPr="00956B0F">
        <w:rPr>
          <w:rFonts w:hint="eastAsia"/>
          <w:rtl/>
        </w:rPr>
        <w:t>פעילים</w:t>
      </w:r>
      <w:r w:rsidRPr="00956B0F">
        <w:rPr>
          <w:rtl/>
        </w:rPr>
        <w:t xml:space="preserve"> </w:t>
      </w:r>
      <w:r w:rsidRPr="00956B0F">
        <w:rPr>
          <w:rFonts w:hint="eastAsia"/>
          <w:rtl/>
        </w:rPr>
        <w:t>ברישומים</w:t>
      </w:r>
      <w:r w:rsidRPr="00956B0F">
        <w:rPr>
          <w:rtl/>
        </w:rPr>
        <w:t xml:space="preserve"> </w:t>
      </w:r>
      <w:r w:rsidRPr="00956B0F">
        <w:rPr>
          <w:rFonts w:hint="eastAsia"/>
          <w:rtl/>
        </w:rPr>
        <w:t>של</w:t>
      </w:r>
      <w:r w:rsidRPr="00956B0F">
        <w:rPr>
          <w:rtl/>
        </w:rPr>
        <w:t xml:space="preserve"> </w:t>
      </w:r>
      <w:r w:rsidRPr="00956B0F">
        <w:rPr>
          <w:rFonts w:hint="eastAsia"/>
          <w:rtl/>
        </w:rPr>
        <w:t>משרד</w:t>
      </w:r>
      <w:r w:rsidRPr="00956B0F">
        <w:rPr>
          <w:rtl/>
        </w:rPr>
        <w:t xml:space="preserve"> </w:t>
      </w:r>
      <w:r w:rsidRPr="00956B0F">
        <w:rPr>
          <w:rFonts w:hint="eastAsia"/>
          <w:rtl/>
        </w:rPr>
        <w:t>הרווחה</w:t>
      </w:r>
      <w:r w:rsidRPr="00956B0F">
        <w:rPr>
          <w:rtl/>
        </w:rPr>
        <w:t xml:space="preserve">. </w:t>
      </w:r>
      <w:r w:rsidRPr="00956B0F">
        <w:rPr>
          <w:rFonts w:hint="eastAsia"/>
          <w:rtl/>
        </w:rPr>
        <w:t>בעקבות</w:t>
      </w:r>
      <w:r w:rsidRPr="00956B0F">
        <w:rPr>
          <w:rtl/>
        </w:rPr>
        <w:t xml:space="preserve"> </w:t>
      </w:r>
      <w:r w:rsidRPr="00956B0F">
        <w:rPr>
          <w:rFonts w:hint="eastAsia"/>
          <w:rtl/>
        </w:rPr>
        <w:t>יישום</w:t>
      </w:r>
      <w:r w:rsidRPr="00956B0F">
        <w:rPr>
          <w:rtl/>
        </w:rPr>
        <w:t xml:space="preserve"> </w:t>
      </w:r>
      <w:r w:rsidRPr="00956B0F">
        <w:rPr>
          <w:rFonts w:hint="eastAsia"/>
          <w:rtl/>
        </w:rPr>
        <w:t>רפורמת</w:t>
      </w:r>
      <w:r w:rsidRPr="00956B0F">
        <w:rPr>
          <w:rtl/>
        </w:rPr>
        <w:t xml:space="preserve"> "כתף </w:t>
      </w:r>
      <w:r w:rsidRPr="00956B0F">
        <w:rPr>
          <w:rFonts w:hint="eastAsia"/>
          <w:rtl/>
        </w:rPr>
        <w:t>אל</w:t>
      </w:r>
      <w:r w:rsidRPr="00956B0F">
        <w:rPr>
          <w:rtl/>
        </w:rPr>
        <w:t xml:space="preserve"> </w:t>
      </w:r>
      <w:r w:rsidRPr="00956B0F">
        <w:rPr>
          <w:rFonts w:hint="eastAsia"/>
          <w:rtl/>
        </w:rPr>
        <w:t>כתף</w:t>
      </w:r>
      <w:r w:rsidRPr="00956B0F">
        <w:rPr>
          <w:rtl/>
        </w:rPr>
        <w:t xml:space="preserve">" </w:t>
      </w:r>
      <w:r w:rsidRPr="00956B0F">
        <w:rPr>
          <w:rFonts w:hint="eastAsia"/>
          <w:rtl/>
        </w:rPr>
        <w:t>כלל</w:t>
      </w:r>
      <w:r w:rsidRPr="00956B0F">
        <w:rPr>
          <w:rtl/>
        </w:rPr>
        <w:t xml:space="preserve"> </w:t>
      </w:r>
      <w:r w:rsidRPr="00956B0F">
        <w:rPr>
          <w:rFonts w:hint="eastAsia"/>
          <w:rtl/>
        </w:rPr>
        <w:t>המרכזים</w:t>
      </w:r>
      <w:r w:rsidRPr="00956B0F">
        <w:rPr>
          <w:rtl/>
        </w:rPr>
        <w:t xml:space="preserve"> </w:t>
      </w:r>
      <w:r w:rsidRPr="00956B0F">
        <w:rPr>
          <w:rFonts w:hint="eastAsia"/>
          <w:rtl/>
        </w:rPr>
        <w:t>נדרשים</w:t>
      </w:r>
      <w:r w:rsidRPr="00956B0F">
        <w:rPr>
          <w:rtl/>
        </w:rPr>
        <w:t xml:space="preserve"> </w:t>
      </w:r>
      <w:r w:rsidRPr="00956B0F">
        <w:rPr>
          <w:rFonts w:hint="eastAsia"/>
          <w:rtl/>
        </w:rPr>
        <w:t>לדווח</w:t>
      </w:r>
      <w:r w:rsidRPr="00956B0F">
        <w:rPr>
          <w:rtl/>
        </w:rPr>
        <w:t xml:space="preserve"> </w:t>
      </w:r>
      <w:r w:rsidRPr="00956B0F">
        <w:rPr>
          <w:rFonts w:hint="eastAsia"/>
          <w:rtl/>
        </w:rPr>
        <w:t>על</w:t>
      </w:r>
      <w:r w:rsidRPr="00956B0F">
        <w:rPr>
          <w:rtl/>
        </w:rPr>
        <w:t xml:space="preserve"> </w:t>
      </w:r>
      <w:r w:rsidRPr="00956B0F">
        <w:rPr>
          <w:rFonts w:hint="eastAsia"/>
          <w:rtl/>
        </w:rPr>
        <w:t>כלל</w:t>
      </w:r>
      <w:r w:rsidRPr="00956B0F">
        <w:rPr>
          <w:rtl/>
        </w:rPr>
        <w:t xml:space="preserve"> </w:t>
      </w:r>
      <w:r w:rsidRPr="00956B0F">
        <w:rPr>
          <w:rFonts w:hint="eastAsia"/>
          <w:rtl/>
        </w:rPr>
        <w:t>ההשמות</w:t>
      </w:r>
      <w:r w:rsidRPr="00956B0F">
        <w:rPr>
          <w:rtl/>
        </w:rPr>
        <w:t xml:space="preserve">, </w:t>
      </w:r>
      <w:r w:rsidRPr="00956B0F">
        <w:rPr>
          <w:rFonts w:hint="eastAsia"/>
          <w:rtl/>
        </w:rPr>
        <w:t>ראו</w:t>
      </w:r>
      <w:r w:rsidRPr="00956B0F">
        <w:rPr>
          <w:rtl/>
        </w:rPr>
        <w:t xml:space="preserve"> </w:t>
      </w:r>
      <w:r w:rsidRPr="00956B0F">
        <w:rPr>
          <w:rFonts w:hint="eastAsia"/>
          <w:rtl/>
        </w:rPr>
        <w:t>תת</w:t>
      </w:r>
      <w:r w:rsidRPr="00956B0F">
        <w:rPr>
          <w:rtl/>
        </w:rPr>
        <w:t xml:space="preserve">-הפרק "מודל </w:t>
      </w:r>
      <w:r w:rsidRPr="00956B0F">
        <w:rPr>
          <w:rFonts w:hint="eastAsia"/>
          <w:rtl/>
        </w:rPr>
        <w:t>המימון</w:t>
      </w:r>
      <w:r w:rsidRPr="00956B0F">
        <w:rPr>
          <w:rtl/>
        </w:rPr>
        <w:t xml:space="preserve"> </w:t>
      </w:r>
      <w:r w:rsidRPr="00956B0F">
        <w:rPr>
          <w:rFonts w:hint="eastAsia"/>
          <w:rtl/>
        </w:rPr>
        <w:t>של</w:t>
      </w:r>
      <w:r w:rsidRPr="00956B0F">
        <w:rPr>
          <w:rtl/>
        </w:rPr>
        <w:t xml:space="preserve"> </w:t>
      </w:r>
      <w:r w:rsidRPr="00956B0F">
        <w:rPr>
          <w:rFonts w:hint="eastAsia"/>
          <w:rtl/>
        </w:rPr>
        <w:t>המרכזים</w:t>
      </w:r>
      <w:r w:rsidRPr="00956B0F">
        <w:rPr>
          <w:rtl/>
        </w:rPr>
        <w:t>".</w:t>
      </w:r>
      <w:r w:rsidRPr="00956B0F">
        <w:rPr>
          <w:rFonts w:hint="cs"/>
          <w:rtl/>
        </w:rPr>
        <w:t xml:space="preserve"> </w:t>
      </w:r>
    </w:p>
  </w:footnote>
  <w:footnote w:id="183">
    <w:p w14:paraId="2DF497C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תת-הפרק "התמודדות עם תופעת האלימות בין בני זוג בעיתות משבר וחירום ובמלחמת חרבות ברזל".</w:t>
      </w:r>
    </w:p>
  </w:footnote>
  <w:footnote w:id="184">
    <w:p w14:paraId="1B6F0C0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"התמודדות עם תופעת האלימות בין בני זוג בעיתות משבר וחירום ובמלחמת חרבות ברזל".</w:t>
      </w:r>
    </w:p>
  </w:footnote>
  <w:footnote w:id="185">
    <w:p w14:paraId="0E2D298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"הפיקוח באמצעות מחוזות משרד הרווחה: ממצאי הפיקוח", עמ' 564 - 565.</w:t>
      </w:r>
    </w:p>
  </w:footnote>
  <w:footnote w:id="186">
    <w:p w14:paraId="759E2635"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סעיף</w:t>
      </w:r>
      <w:r w:rsidRPr="00956B0F">
        <w:rPr>
          <w:rtl/>
        </w:rPr>
        <w:t xml:space="preserve"> 5.7 </w:t>
      </w:r>
      <w:r w:rsidRPr="00956B0F">
        <w:rPr>
          <w:rFonts w:hint="eastAsia"/>
          <w:rtl/>
        </w:rPr>
        <w:t>לנ</w:t>
      </w:r>
      <w:r w:rsidRPr="00956B0F">
        <w:rPr>
          <w:rtl/>
        </w:rPr>
        <w:t xml:space="preserve">והל מס' 60-003 </w:t>
      </w:r>
      <w:r w:rsidRPr="00956B0F">
        <w:rPr>
          <w:rFonts w:hint="eastAsia"/>
          <w:rtl/>
        </w:rPr>
        <w:t>של</w:t>
      </w:r>
      <w:r w:rsidRPr="00956B0F">
        <w:rPr>
          <w:rtl/>
        </w:rPr>
        <w:t xml:space="preserve"> </w:t>
      </w:r>
      <w:r w:rsidRPr="00956B0F">
        <w:rPr>
          <w:rFonts w:hint="eastAsia"/>
          <w:rtl/>
        </w:rPr>
        <w:t>משרד</w:t>
      </w:r>
      <w:r w:rsidRPr="00956B0F">
        <w:rPr>
          <w:rtl/>
        </w:rPr>
        <w:t xml:space="preserve"> </w:t>
      </w:r>
      <w:r w:rsidRPr="00956B0F">
        <w:rPr>
          <w:rFonts w:hint="eastAsia"/>
          <w:rtl/>
        </w:rPr>
        <w:t>הרווחה</w:t>
      </w:r>
      <w:r w:rsidRPr="00956B0F">
        <w:rPr>
          <w:rFonts w:hint="cs"/>
          <w:rtl/>
        </w:rPr>
        <w:t>.</w:t>
      </w:r>
    </w:p>
  </w:footnote>
  <w:footnote w:id="187">
    <w:p w14:paraId="4F2CB21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יש לציין כי במועד סיום ביקורת המעקב, בדצמבר 2024, הוצגו במסך המרכזי נתונים על 16 מרכזים בלבד. משרד הרווחה מסר במהלך ינואר 2025 כי </w:t>
      </w:r>
      <w:r w:rsidRPr="00956B0F">
        <w:rPr>
          <w:rtl/>
        </w:rPr>
        <w:t>התקלה תוקנה אך לא נמסר מתי היא החלה ולמשך כמה זמן הנתונים שהוצגו היו חלקיים.</w:t>
      </w:r>
    </w:p>
  </w:footnote>
  <w:footnote w:id="188">
    <w:p w14:paraId="00BA1446"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הסכם בין הסתדרות העובדים החדשה לבין משרד האוצר, שעל פיו אמור שר האוצר לפעול לאישור קליטתם של מאות עובדים סוציאליים בהעסקה ישירה ברשויות המקומיות</w:t>
      </w:r>
      <w:r w:rsidRPr="00956B0F">
        <w:rPr>
          <w:rFonts w:hint="cs"/>
          <w:rtl/>
        </w:rPr>
        <w:t xml:space="preserve"> (להלן - הסכם "כתף אל כתף")</w:t>
      </w:r>
      <w:r w:rsidRPr="00956B0F">
        <w:rPr>
          <w:rtl/>
        </w:rPr>
        <w:t>.</w:t>
      </w:r>
      <w:r w:rsidRPr="00956B0F">
        <w:rPr>
          <w:rFonts w:hint="cs"/>
          <w:rtl/>
        </w:rPr>
        <w:t xml:space="preserve"> בכל הנוגע למודל המימון הקודם ומודל המימון החדש ראו תת-הפרק בנושא "מודל המימון של המרכזים".</w:t>
      </w:r>
    </w:p>
  </w:footnote>
  <w:footnote w:id="189">
    <w:p w14:paraId="7DA8801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נכלל נושא זה בתת-הפרק "תוכניות מדידה", עמ' 560 - 562.</w:t>
      </w:r>
    </w:p>
  </w:footnote>
  <w:footnote w:id="190">
    <w:p w14:paraId="444606A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בהקשר זה גם: מחקר הערכת שביעות רצון של נשים מהטיפול באלימות במשפחה (2001), עמ' 5.</w:t>
      </w:r>
    </w:p>
  </w:footnote>
  <w:footnote w:id="191">
    <w:p w14:paraId="4D7B4C5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b/>
          <w:bCs/>
          <w:rtl/>
        </w:rPr>
        <w:t>מדריך התכנון הממשלתי</w:t>
      </w:r>
      <w:r w:rsidRPr="00956B0F">
        <w:rPr>
          <w:rFonts w:hint="cs"/>
          <w:rtl/>
        </w:rPr>
        <w:t xml:space="preserve"> (גרסה מורחבת 2.0, 2008), עמ' 61; ענת מורג, </w:t>
      </w:r>
      <w:r w:rsidRPr="00956B0F">
        <w:rPr>
          <w:rFonts w:hint="cs"/>
          <w:b/>
          <w:bCs/>
          <w:rtl/>
        </w:rPr>
        <w:t>מדידה של תכניות חברתיות</w:t>
      </w:r>
      <w:r w:rsidRPr="00956B0F">
        <w:rPr>
          <w:rFonts w:hint="cs"/>
          <w:rtl/>
        </w:rPr>
        <w:t xml:space="preserve"> (2017).</w:t>
      </w:r>
    </w:p>
  </w:footnote>
  <w:footnote w:id="192">
    <w:p w14:paraId="0E2CFE4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תוכנית הפעולה של ועדת המנכ"לים, עמ' 112 - 113.</w:t>
      </w:r>
    </w:p>
  </w:footnote>
  <w:footnote w:id="193">
    <w:p w14:paraId="6F248F2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החלטת</w:t>
      </w:r>
      <w:r w:rsidRPr="00956B0F">
        <w:rPr>
          <w:rtl/>
        </w:rPr>
        <w:t xml:space="preserve"> הממשלה 4439 (6.1.19).</w:t>
      </w:r>
    </w:p>
  </w:footnote>
  <w:footnote w:id="194">
    <w:p w14:paraId="6894104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תוכנית "חברות וזוגיות מיטיבה"; תוכנית "גשרים" ותוכנית עו"ס משטרה. יצוין כי עוד בשנת </w:t>
      </w:r>
      <w:r w:rsidRPr="00956B0F">
        <w:rPr>
          <w:rtl/>
        </w:rPr>
        <w:t xml:space="preserve">2012 </w:t>
      </w:r>
      <w:r w:rsidRPr="00956B0F">
        <w:rPr>
          <w:rFonts w:hint="cs"/>
          <w:rtl/>
        </w:rPr>
        <w:t xml:space="preserve">המליץ </w:t>
      </w:r>
      <w:r w:rsidRPr="00956B0F">
        <w:rPr>
          <w:rtl/>
        </w:rPr>
        <w:t xml:space="preserve">משרד מבקר המדינה </w:t>
      </w:r>
      <w:r w:rsidRPr="00956B0F">
        <w:rPr>
          <w:rFonts w:hint="cs"/>
          <w:rtl/>
        </w:rPr>
        <w:t>ל</w:t>
      </w:r>
      <w:r w:rsidRPr="00956B0F">
        <w:rPr>
          <w:rtl/>
        </w:rPr>
        <w:t>משרד הרווחה ו</w:t>
      </w:r>
      <w:r w:rsidRPr="00956B0F">
        <w:rPr>
          <w:rFonts w:hint="cs"/>
          <w:rtl/>
        </w:rPr>
        <w:t>ל</w:t>
      </w:r>
      <w:r w:rsidRPr="00956B0F">
        <w:rPr>
          <w:rtl/>
        </w:rPr>
        <w:t>משרד החינוך לפעול לאלתר לשיפור ההיערכות להפעלת תוכנית</w:t>
      </w:r>
      <w:r w:rsidRPr="00956B0F">
        <w:rPr>
          <w:rFonts w:hint="cs"/>
          <w:rtl/>
        </w:rPr>
        <w:t xml:space="preserve"> "חברות וזוגיות מיטיבה"</w:t>
      </w:r>
      <w:r w:rsidRPr="00956B0F">
        <w:rPr>
          <w:rtl/>
        </w:rPr>
        <w:t xml:space="preserve">, לבחון את מידת יעילותה ובהתאם לכך להחליט כיצד היא תיושם במישור </w:t>
      </w:r>
      <w:r w:rsidRPr="00956B0F">
        <w:rPr>
          <w:rFonts w:hint="cs"/>
          <w:rtl/>
        </w:rPr>
        <w:t>הלאומי כדי להבטיח את יעילותה (דוח הביקורת משנת 2012, עמ' 36)</w:t>
      </w:r>
      <w:r w:rsidRPr="00956B0F">
        <w:rPr>
          <w:rtl/>
        </w:rPr>
        <w:t>.</w:t>
      </w:r>
      <w:r w:rsidRPr="00956B0F">
        <w:rPr>
          <w:rFonts w:hint="cs"/>
          <w:rtl/>
        </w:rPr>
        <w:t xml:space="preserve"> </w:t>
      </w:r>
    </w:p>
  </w:footnote>
  <w:footnote w:id="195">
    <w:p w14:paraId="1341304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תוכנית הפעולה של ועדת המנכ"לים, עמ' 112 - 113</w:t>
      </w:r>
      <w:r w:rsidRPr="00956B0F">
        <w:rPr>
          <w:rStyle w:val="Hyperlink"/>
          <w:rFonts w:hint="cs"/>
          <w:color w:val="auto"/>
          <w:u w:val="none"/>
          <w:rtl/>
        </w:rPr>
        <w:t>.</w:t>
      </w:r>
    </w:p>
  </w:footnote>
  <w:footnote w:id="196">
    <w:p w14:paraId="46E5443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אסונות טבע כוללים לדוגמה שיטפונות או רעידות אדמה. אסונות אחרים הנגרמים מפעולה אנושית מכוונת או בלתי מכוונת כוללים, נוסף על אירועי מלחמה, גם אירועי טרור, משברים כלכליים או מגפות. </w:t>
      </w:r>
      <w:r w:rsidRPr="00956B0F">
        <w:rPr>
          <w:rtl/>
        </w:rPr>
        <w:t xml:space="preserve">יש הסבורים כי </w:t>
      </w:r>
      <w:r w:rsidRPr="00956B0F">
        <w:rPr>
          <w:rFonts w:hint="cs"/>
          <w:rtl/>
        </w:rPr>
        <w:t>אסונות הנגרמים מפעולה אנושית מכוונת</w:t>
      </w:r>
      <w:r w:rsidRPr="00956B0F">
        <w:rPr>
          <w:rtl/>
        </w:rPr>
        <w:t xml:space="preserve"> הם קשים יותר, שכן</w:t>
      </w:r>
      <w:r w:rsidRPr="00956B0F">
        <w:rPr>
          <w:rFonts w:hint="cs"/>
          <w:rtl/>
        </w:rPr>
        <w:t xml:space="preserve"> </w:t>
      </w:r>
      <w:r w:rsidRPr="00956B0F">
        <w:rPr>
          <w:rtl/>
        </w:rPr>
        <w:t>הם מניבים תחושות של איום פסיכולוגי ניכר ואי-ודאות בנוגע לסיכונים נוספים</w:t>
      </w:r>
      <w:r w:rsidRPr="00956B0F">
        <w:rPr>
          <w:rFonts w:hint="cs"/>
          <w:rtl/>
        </w:rPr>
        <w:t xml:space="preserve">, </w:t>
      </w:r>
      <w:r w:rsidRPr="00956B0F">
        <w:rPr>
          <w:rtl/>
        </w:rPr>
        <w:t xml:space="preserve">והם </w:t>
      </w:r>
      <w:r w:rsidRPr="00956B0F">
        <w:rPr>
          <w:rFonts w:hint="cs"/>
          <w:rtl/>
        </w:rPr>
        <w:t xml:space="preserve">גם </w:t>
      </w:r>
      <w:r w:rsidRPr="00956B0F">
        <w:rPr>
          <w:rtl/>
        </w:rPr>
        <w:t>מאופיינים בשכיחות גבוהה של אנשים החווים רמות לחץ</w:t>
      </w:r>
      <w:r w:rsidRPr="00956B0F">
        <w:rPr>
          <w:rFonts w:hint="cs"/>
          <w:rtl/>
        </w:rPr>
        <w:t xml:space="preserve"> </w:t>
      </w:r>
      <w:r w:rsidRPr="00956B0F">
        <w:rPr>
          <w:rtl/>
        </w:rPr>
        <w:t>ומתח הנמשכים זמן רב</w:t>
      </w:r>
      <w:r w:rsidRPr="00956B0F">
        <w:rPr>
          <w:rFonts w:hint="cs"/>
          <w:rtl/>
        </w:rPr>
        <w:t>.</w:t>
      </w:r>
      <w:r w:rsidRPr="00956B0F">
        <w:rPr>
          <w:rtl/>
        </w:rPr>
        <w:t xml:space="preserve"> </w:t>
      </w:r>
      <w:r w:rsidRPr="00956B0F">
        <w:rPr>
          <w:rFonts w:hint="cs"/>
          <w:rtl/>
        </w:rPr>
        <w:t xml:space="preserve">ראו: טל לנטו, הילה דולב וטליה חסין, </w:t>
      </w:r>
      <w:r w:rsidRPr="00956B0F">
        <w:rPr>
          <w:rFonts w:hint="cs"/>
          <w:b/>
          <w:bCs/>
          <w:rtl/>
        </w:rPr>
        <w:t>פרקטיקות לניהול שירותים חברתיים באירועי אסון</w:t>
      </w:r>
      <w:r w:rsidRPr="00956B0F">
        <w:rPr>
          <w:rFonts w:hint="cs"/>
          <w:rtl/>
        </w:rPr>
        <w:t xml:space="preserve"> (2024), עמ' 2.</w:t>
      </w:r>
    </w:p>
  </w:footnote>
  <w:footnote w:id="197">
    <w:p w14:paraId="6476F5E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דורי</w:t>
      </w:r>
      <w:r w:rsidRPr="00956B0F">
        <w:rPr>
          <w:rtl/>
        </w:rPr>
        <w:t xml:space="preserve"> </w:t>
      </w:r>
      <w:r w:rsidRPr="00956B0F">
        <w:rPr>
          <w:rFonts w:hint="cs"/>
          <w:rtl/>
        </w:rPr>
        <w:t>ריבקין, טל</w:t>
      </w:r>
      <w:r w:rsidRPr="00956B0F">
        <w:rPr>
          <w:rtl/>
        </w:rPr>
        <w:t xml:space="preserve"> </w:t>
      </w:r>
      <w:r w:rsidRPr="00956B0F">
        <w:rPr>
          <w:rFonts w:hint="cs"/>
          <w:rtl/>
        </w:rPr>
        <w:t>ארזי,</w:t>
      </w:r>
      <w:r w:rsidRPr="00956B0F">
        <w:rPr>
          <w:rtl/>
        </w:rPr>
        <w:t xml:space="preserve"> </w:t>
      </w:r>
      <w:r w:rsidRPr="00956B0F">
        <w:rPr>
          <w:rFonts w:hint="cs"/>
          <w:rtl/>
        </w:rPr>
        <w:t>יניב</w:t>
      </w:r>
      <w:r w:rsidRPr="00956B0F">
        <w:rPr>
          <w:rtl/>
        </w:rPr>
        <w:t xml:space="preserve"> </w:t>
      </w:r>
      <w:r w:rsidRPr="00956B0F">
        <w:rPr>
          <w:rFonts w:hint="cs"/>
          <w:rtl/>
        </w:rPr>
        <w:t>אורן, דנה</w:t>
      </w:r>
      <w:r w:rsidRPr="00956B0F">
        <w:rPr>
          <w:rtl/>
        </w:rPr>
        <w:t xml:space="preserve"> </w:t>
      </w:r>
      <w:r w:rsidRPr="00956B0F">
        <w:rPr>
          <w:rFonts w:hint="cs"/>
          <w:rtl/>
        </w:rPr>
        <w:t>ברנדר, שקד</w:t>
      </w:r>
      <w:r w:rsidRPr="00956B0F">
        <w:rPr>
          <w:rtl/>
        </w:rPr>
        <w:t xml:space="preserve"> </w:t>
      </w:r>
      <w:r w:rsidRPr="00956B0F">
        <w:rPr>
          <w:rFonts w:hint="cs"/>
          <w:rtl/>
        </w:rPr>
        <w:t>לובוצקי</w:t>
      </w:r>
      <w:r w:rsidRPr="00956B0F">
        <w:rPr>
          <w:rtl/>
        </w:rPr>
        <w:t>-</w:t>
      </w:r>
      <w:r w:rsidRPr="00956B0F">
        <w:rPr>
          <w:rFonts w:hint="cs"/>
          <w:rtl/>
        </w:rPr>
        <w:t>גטה,</w:t>
      </w:r>
      <w:r w:rsidRPr="00956B0F">
        <w:rPr>
          <w:rtl/>
        </w:rPr>
        <w:t xml:space="preserve"> </w:t>
      </w:r>
      <w:r w:rsidRPr="00956B0F">
        <w:rPr>
          <w:rFonts w:hint="cs"/>
          <w:rtl/>
        </w:rPr>
        <w:t>מעין</w:t>
      </w:r>
      <w:r w:rsidRPr="00956B0F">
        <w:rPr>
          <w:rtl/>
        </w:rPr>
        <w:t xml:space="preserve"> </w:t>
      </w:r>
      <w:r w:rsidRPr="00956B0F">
        <w:rPr>
          <w:rFonts w:hint="cs"/>
          <w:rtl/>
        </w:rPr>
        <w:t>סרבר ולייה</w:t>
      </w:r>
      <w:r w:rsidRPr="00956B0F">
        <w:rPr>
          <w:rtl/>
        </w:rPr>
        <w:t xml:space="preserve"> </w:t>
      </w:r>
      <w:r w:rsidRPr="00956B0F">
        <w:rPr>
          <w:rFonts w:hint="cs"/>
          <w:rtl/>
        </w:rPr>
        <w:t>מורן</w:t>
      </w:r>
      <w:r w:rsidRPr="00956B0F">
        <w:rPr>
          <w:rtl/>
        </w:rPr>
        <w:t>-</w:t>
      </w:r>
      <w:r w:rsidRPr="00956B0F">
        <w:rPr>
          <w:rFonts w:hint="cs"/>
          <w:rtl/>
        </w:rPr>
        <w:t xml:space="preserve">גלעד, </w:t>
      </w:r>
      <w:r w:rsidRPr="00956B0F">
        <w:rPr>
          <w:rFonts w:hint="cs"/>
          <w:b/>
          <w:bCs/>
          <w:rtl/>
        </w:rPr>
        <w:t>התמודדות</w:t>
      </w:r>
      <w:r w:rsidRPr="00956B0F">
        <w:rPr>
          <w:b/>
          <w:bCs/>
          <w:rtl/>
        </w:rPr>
        <w:t xml:space="preserve"> </w:t>
      </w:r>
      <w:r w:rsidRPr="00956B0F">
        <w:rPr>
          <w:rFonts w:hint="cs"/>
          <w:b/>
          <w:bCs/>
          <w:rtl/>
        </w:rPr>
        <w:t>עם</w:t>
      </w:r>
      <w:r w:rsidRPr="00956B0F">
        <w:rPr>
          <w:b/>
          <w:bCs/>
          <w:rtl/>
        </w:rPr>
        <w:t xml:space="preserve"> </w:t>
      </w:r>
      <w:r w:rsidRPr="00956B0F">
        <w:rPr>
          <w:rFonts w:hint="cs"/>
          <w:b/>
          <w:bCs/>
          <w:rtl/>
        </w:rPr>
        <w:t>אלימות</w:t>
      </w:r>
      <w:r w:rsidRPr="00956B0F">
        <w:rPr>
          <w:b/>
          <w:bCs/>
          <w:rtl/>
        </w:rPr>
        <w:t xml:space="preserve"> </w:t>
      </w:r>
      <w:r w:rsidRPr="00956B0F">
        <w:rPr>
          <w:rFonts w:hint="cs"/>
          <w:b/>
          <w:bCs/>
          <w:rtl/>
        </w:rPr>
        <w:t>נגד</w:t>
      </w:r>
      <w:r w:rsidRPr="00956B0F">
        <w:rPr>
          <w:b/>
          <w:bCs/>
          <w:rtl/>
        </w:rPr>
        <w:t xml:space="preserve"> </w:t>
      </w:r>
      <w:r w:rsidRPr="00956B0F">
        <w:rPr>
          <w:rFonts w:hint="cs"/>
          <w:b/>
          <w:bCs/>
          <w:rtl/>
        </w:rPr>
        <w:t>נשים</w:t>
      </w:r>
      <w:r w:rsidRPr="00956B0F">
        <w:rPr>
          <w:b/>
          <w:bCs/>
          <w:rtl/>
        </w:rPr>
        <w:t xml:space="preserve"> </w:t>
      </w:r>
      <w:r w:rsidRPr="00956B0F">
        <w:rPr>
          <w:rFonts w:hint="cs"/>
          <w:b/>
          <w:bCs/>
          <w:rtl/>
        </w:rPr>
        <w:t>במערכת</w:t>
      </w:r>
      <w:r w:rsidRPr="00956B0F">
        <w:rPr>
          <w:b/>
          <w:bCs/>
          <w:rtl/>
        </w:rPr>
        <w:t xml:space="preserve"> </w:t>
      </w:r>
      <w:r w:rsidRPr="00956B0F">
        <w:rPr>
          <w:rFonts w:hint="cs"/>
          <w:b/>
          <w:bCs/>
          <w:rtl/>
        </w:rPr>
        <w:t>יחסים</w:t>
      </w:r>
      <w:r w:rsidRPr="00956B0F">
        <w:rPr>
          <w:b/>
          <w:bCs/>
          <w:rtl/>
        </w:rPr>
        <w:t xml:space="preserve"> </w:t>
      </w:r>
      <w:r w:rsidRPr="00956B0F">
        <w:rPr>
          <w:rFonts w:hint="cs"/>
          <w:b/>
          <w:bCs/>
          <w:rtl/>
        </w:rPr>
        <w:t>זוגית</w:t>
      </w:r>
      <w:r w:rsidRPr="00956B0F">
        <w:rPr>
          <w:b/>
          <w:bCs/>
          <w:rtl/>
        </w:rPr>
        <w:t xml:space="preserve"> </w:t>
      </w:r>
      <w:r w:rsidRPr="00956B0F">
        <w:rPr>
          <w:rFonts w:hint="cs"/>
          <w:b/>
          <w:bCs/>
          <w:rtl/>
        </w:rPr>
        <w:t>בעת</w:t>
      </w:r>
      <w:r w:rsidRPr="00956B0F">
        <w:rPr>
          <w:b/>
          <w:bCs/>
          <w:rtl/>
        </w:rPr>
        <w:t xml:space="preserve"> </w:t>
      </w:r>
      <w:r w:rsidRPr="00956B0F">
        <w:rPr>
          <w:rFonts w:hint="cs"/>
          <w:b/>
          <w:bCs/>
          <w:rtl/>
        </w:rPr>
        <w:t>משבר</w:t>
      </w:r>
      <w:r w:rsidRPr="00956B0F">
        <w:rPr>
          <w:b/>
          <w:bCs/>
          <w:rtl/>
        </w:rPr>
        <w:t xml:space="preserve"> </w:t>
      </w:r>
      <w:r w:rsidRPr="00956B0F">
        <w:rPr>
          <w:rFonts w:hint="cs"/>
          <w:b/>
          <w:bCs/>
          <w:rtl/>
        </w:rPr>
        <w:t>הקורונה - סקירה</w:t>
      </w:r>
      <w:r w:rsidRPr="00956B0F">
        <w:rPr>
          <w:b/>
          <w:bCs/>
          <w:rtl/>
        </w:rPr>
        <w:t xml:space="preserve"> </w:t>
      </w:r>
      <w:r w:rsidRPr="00956B0F">
        <w:rPr>
          <w:rFonts w:hint="cs"/>
          <w:b/>
          <w:bCs/>
          <w:rtl/>
        </w:rPr>
        <w:t>בין</w:t>
      </w:r>
      <w:r w:rsidRPr="00956B0F">
        <w:rPr>
          <w:b/>
          <w:bCs/>
          <w:rtl/>
        </w:rPr>
        <w:t>-</w:t>
      </w:r>
      <w:r w:rsidRPr="00956B0F">
        <w:rPr>
          <w:rFonts w:hint="cs"/>
          <w:b/>
          <w:bCs/>
          <w:rtl/>
        </w:rPr>
        <w:t>לאומית</w:t>
      </w:r>
      <w:r w:rsidRPr="00956B0F">
        <w:rPr>
          <w:rFonts w:hint="cs"/>
          <w:rtl/>
        </w:rPr>
        <w:t xml:space="preserve"> (2020), עמ' 3 - 4; הדס מור ושמוליק שיינטוך, "</w:t>
      </w:r>
      <w:r w:rsidRPr="00956B0F">
        <w:rPr>
          <w:rtl/>
        </w:rPr>
        <w:t>חסרי וחסרות בית בישראל</w:t>
      </w:r>
      <w:r w:rsidRPr="00956B0F">
        <w:rPr>
          <w:rFonts w:hint="cs"/>
          <w:rtl/>
        </w:rPr>
        <w:t xml:space="preserve"> </w:t>
      </w:r>
      <w:r w:rsidRPr="00956B0F">
        <w:rPr>
          <w:rtl/>
        </w:rPr>
        <w:t>ביום שאחרי המלחמה:</w:t>
      </w:r>
      <w:r w:rsidRPr="00956B0F">
        <w:rPr>
          <w:rFonts w:hint="cs"/>
          <w:rtl/>
        </w:rPr>
        <w:t xml:space="preserve"> </w:t>
      </w:r>
      <w:r w:rsidRPr="00956B0F">
        <w:rPr>
          <w:rtl/>
        </w:rPr>
        <w:t>הצעה לכינון תוכנית אסטרטגית</w:t>
      </w:r>
      <w:r w:rsidRPr="00956B0F">
        <w:rPr>
          <w:rFonts w:hint="cs"/>
          <w:rtl/>
        </w:rPr>
        <w:t xml:space="preserve"> </w:t>
      </w:r>
      <w:r w:rsidRPr="00956B0F">
        <w:rPr>
          <w:rtl/>
        </w:rPr>
        <w:t>להתמודדות עם חסרוּת הבית</w:t>
      </w:r>
      <w:r w:rsidRPr="00956B0F">
        <w:rPr>
          <w:rFonts w:hint="cs"/>
          <w:rtl/>
        </w:rPr>
        <w:t xml:space="preserve"> </w:t>
      </w:r>
      <w:r w:rsidRPr="00956B0F">
        <w:rPr>
          <w:rtl/>
        </w:rPr>
        <w:t>בישראל ולסיומה</w:t>
      </w:r>
      <w:r w:rsidRPr="00956B0F">
        <w:rPr>
          <w:rFonts w:hint="cs"/>
          <w:rtl/>
        </w:rPr>
        <w:t xml:space="preserve">", בתוך: מיכל אלמוג-בר, מימי אייזנשטדט וג'וני גל (עורכים), </w:t>
      </w:r>
      <w:r w:rsidRPr="00956B0F">
        <w:rPr>
          <w:rFonts w:hint="eastAsia"/>
          <w:b/>
          <w:bCs/>
          <w:rtl/>
        </w:rPr>
        <w:t>רווחה</w:t>
      </w:r>
      <w:r w:rsidRPr="00956B0F">
        <w:rPr>
          <w:b/>
          <w:bCs/>
          <w:rtl/>
        </w:rPr>
        <w:t xml:space="preserve"> </w:t>
      </w:r>
      <w:r w:rsidRPr="00956B0F">
        <w:rPr>
          <w:rFonts w:hint="eastAsia"/>
          <w:b/>
          <w:bCs/>
          <w:rtl/>
        </w:rPr>
        <w:t>בעקבות</w:t>
      </w:r>
      <w:r w:rsidRPr="00956B0F">
        <w:rPr>
          <w:b/>
          <w:bCs/>
          <w:rtl/>
        </w:rPr>
        <w:t xml:space="preserve"> </w:t>
      </w:r>
      <w:r w:rsidRPr="00956B0F">
        <w:rPr>
          <w:rFonts w:hint="eastAsia"/>
          <w:b/>
          <w:bCs/>
          <w:rtl/>
        </w:rPr>
        <w:t>המלחמה</w:t>
      </w:r>
      <w:r w:rsidRPr="00956B0F">
        <w:rPr>
          <w:rFonts w:hint="cs"/>
          <w:rtl/>
        </w:rPr>
        <w:t xml:space="preserve"> (2024), עמ' 102; הסקר המקוון, עמ' 2.</w:t>
      </w:r>
    </w:p>
  </w:footnote>
  <w:footnote w:id="198">
    <w:p w14:paraId="42C5804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מימי אייזנשטדט, "מבט לעתיד בראייה מגדרית", בתוך: מיכל אלמוג-בר, מימי אייזנשטדט וג'וני גל (עורכים), </w:t>
      </w:r>
      <w:r w:rsidRPr="00956B0F">
        <w:rPr>
          <w:rFonts w:hint="cs"/>
          <w:b/>
          <w:bCs/>
          <w:rtl/>
        </w:rPr>
        <w:t>רווחה בעקבות המלחמה</w:t>
      </w:r>
      <w:r w:rsidRPr="00956B0F">
        <w:rPr>
          <w:rFonts w:hint="cs"/>
          <w:rtl/>
        </w:rPr>
        <w:t xml:space="preserve"> (2024), עמ' 19; הדס מור ושמוליק שיינטוך, "חסרי וחסרות בית בישראל ביום שאחרי המלחמה: הצעה לכינון תוכנית אסטרטגית להתמודדות עם חסרוּת הבית בישראל ולסיומה", בתוך: מיכל אלמוג-בר, מימי אייזנשטדט וג'וני גל (עורכים), </w:t>
      </w:r>
      <w:r w:rsidRPr="00956B0F">
        <w:rPr>
          <w:rFonts w:hint="cs"/>
          <w:b/>
          <w:bCs/>
          <w:rtl/>
        </w:rPr>
        <w:t>רווחה בעקבות המלחמה</w:t>
      </w:r>
      <w:r w:rsidRPr="00956B0F">
        <w:rPr>
          <w:rFonts w:hint="cs"/>
          <w:rtl/>
        </w:rPr>
        <w:t xml:space="preserve"> (2024), עמ' 102; </w:t>
      </w:r>
      <w:r w:rsidRPr="00956B0F">
        <w:rPr>
          <w:rStyle w:val="Hyperlink"/>
          <w:rFonts w:hint="cs"/>
          <w:color w:val="auto"/>
          <w:u w:val="none"/>
          <w:rtl/>
        </w:rPr>
        <w:t xml:space="preserve">מכון מאיירס ג'וינט ברוקדייל, </w:t>
      </w:r>
      <w:r w:rsidRPr="00956B0F">
        <w:rPr>
          <w:rFonts w:hint="cs"/>
          <w:b/>
          <w:bCs/>
          <w:rtl/>
        </w:rPr>
        <w:t>אלימות במשפחה בזמן מלחמה: סקר "בזק" מקוון לבחינת היקפי אלימות במשפחה בחברה הישראלית בעת מלחמת 'חרבות "חרבות ברזל' ברזל"</w:t>
      </w:r>
      <w:r w:rsidRPr="00956B0F">
        <w:rPr>
          <w:rFonts w:hint="cs"/>
          <w:rtl/>
        </w:rPr>
        <w:t xml:space="preserve"> (2024), עמ' 2.</w:t>
      </w:r>
    </w:p>
  </w:footnote>
  <w:footnote w:id="199">
    <w:p w14:paraId="2DD7155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גילבר, דקל ובן פורת</w:t>
      </w:r>
      <w:r w:rsidRPr="00956B0F">
        <w:rPr>
          <w:rStyle w:val="Hyperlink"/>
          <w:rFonts w:hint="cs"/>
          <w:color w:val="auto"/>
          <w:u w:val="none"/>
          <w:rtl/>
        </w:rPr>
        <w:t xml:space="preserve"> (1), עמ' 51 - 52.</w:t>
      </w:r>
      <w:r w:rsidRPr="00956B0F">
        <w:rPr>
          <w:rFonts w:hint="cs"/>
          <w:rtl/>
        </w:rPr>
        <w:t xml:space="preserve"> ראו גם: שקד לובוצקי-גטה, דנה ברנדר ואמיליה קפרנוב, </w:t>
      </w:r>
      <w:r w:rsidRPr="00956B0F">
        <w:rPr>
          <w:rFonts w:hint="eastAsia"/>
          <w:b/>
          <w:bCs/>
          <w:rtl/>
        </w:rPr>
        <w:t>גברים</w:t>
      </w:r>
      <w:r w:rsidRPr="00956B0F">
        <w:rPr>
          <w:b/>
          <w:bCs/>
          <w:rtl/>
        </w:rPr>
        <w:t xml:space="preserve"> </w:t>
      </w:r>
      <w:r w:rsidRPr="00956B0F">
        <w:rPr>
          <w:rFonts w:hint="eastAsia"/>
          <w:b/>
          <w:bCs/>
          <w:rtl/>
        </w:rPr>
        <w:t>פוגעים</w:t>
      </w:r>
      <w:r w:rsidRPr="00956B0F">
        <w:rPr>
          <w:b/>
          <w:bCs/>
          <w:rtl/>
        </w:rPr>
        <w:t xml:space="preserve"> </w:t>
      </w:r>
      <w:r w:rsidRPr="00956B0F">
        <w:rPr>
          <w:rFonts w:hint="eastAsia"/>
          <w:b/>
          <w:bCs/>
          <w:rtl/>
        </w:rPr>
        <w:t>ונפגעים</w:t>
      </w:r>
      <w:r w:rsidRPr="00956B0F">
        <w:rPr>
          <w:b/>
          <w:bCs/>
          <w:rtl/>
        </w:rPr>
        <w:t xml:space="preserve"> </w:t>
      </w:r>
      <w:r w:rsidRPr="00956B0F">
        <w:rPr>
          <w:rFonts w:hint="eastAsia"/>
          <w:b/>
          <w:bCs/>
          <w:rtl/>
        </w:rPr>
        <w:t>במערכות</w:t>
      </w:r>
      <w:r w:rsidRPr="00956B0F">
        <w:rPr>
          <w:b/>
          <w:bCs/>
          <w:rtl/>
        </w:rPr>
        <w:t xml:space="preserve"> </w:t>
      </w:r>
      <w:r w:rsidRPr="00956B0F">
        <w:rPr>
          <w:rFonts w:hint="eastAsia"/>
          <w:b/>
          <w:bCs/>
          <w:rtl/>
        </w:rPr>
        <w:t>יחסים</w:t>
      </w:r>
      <w:r w:rsidRPr="00956B0F">
        <w:rPr>
          <w:b/>
          <w:bCs/>
          <w:rtl/>
        </w:rPr>
        <w:t xml:space="preserve"> </w:t>
      </w:r>
      <w:r w:rsidRPr="00956B0F">
        <w:rPr>
          <w:rFonts w:hint="eastAsia"/>
          <w:b/>
          <w:bCs/>
          <w:rtl/>
        </w:rPr>
        <w:t>זוגיות</w:t>
      </w:r>
      <w:r w:rsidRPr="00956B0F">
        <w:rPr>
          <w:b/>
          <w:bCs/>
          <w:rtl/>
        </w:rPr>
        <w:t xml:space="preserve"> </w:t>
      </w:r>
      <w:r w:rsidRPr="00956B0F">
        <w:rPr>
          <w:rFonts w:hint="eastAsia"/>
          <w:b/>
          <w:bCs/>
          <w:rtl/>
        </w:rPr>
        <w:t>אלימות</w:t>
      </w:r>
      <w:r w:rsidRPr="00956B0F">
        <w:rPr>
          <w:rFonts w:hint="cs"/>
          <w:rtl/>
        </w:rPr>
        <w:t xml:space="preserve"> (2020), עמ' 24.</w:t>
      </w:r>
    </w:p>
  </w:footnote>
  <w:footnote w:id="200">
    <w:p w14:paraId="2F5958A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אגף חירום וביטחון במשרד הרווחה פרסם במאי 2021 את "תורת ההפעלה לאירועי חירום ומשבר" בעקבות החלטת הממשלה 2017, "שיפור </w:t>
      </w:r>
      <w:r w:rsidRPr="00956B0F">
        <w:rPr>
          <w:rFonts w:hint="eastAsia"/>
          <w:rtl/>
        </w:rPr>
        <w:t>המוכנות</w:t>
      </w:r>
      <w:r w:rsidRPr="00956B0F">
        <w:rPr>
          <w:rtl/>
        </w:rPr>
        <w:t xml:space="preserve"> </w:t>
      </w:r>
      <w:r w:rsidRPr="00956B0F">
        <w:rPr>
          <w:rFonts w:hint="eastAsia"/>
          <w:rtl/>
        </w:rPr>
        <w:t>למצבי</w:t>
      </w:r>
      <w:r w:rsidRPr="00956B0F">
        <w:rPr>
          <w:rtl/>
        </w:rPr>
        <w:t xml:space="preserve"> </w:t>
      </w:r>
      <w:r w:rsidRPr="00956B0F">
        <w:rPr>
          <w:rFonts w:hint="eastAsia"/>
          <w:rtl/>
        </w:rPr>
        <w:t>חירום</w:t>
      </w:r>
      <w:r w:rsidRPr="00956B0F">
        <w:rPr>
          <w:rtl/>
        </w:rPr>
        <w:t>" (30.10.16)</w:t>
      </w:r>
      <w:r w:rsidRPr="00956B0F">
        <w:rPr>
          <w:rFonts w:hint="cs"/>
          <w:rtl/>
        </w:rPr>
        <w:t>. מטרות תורת ההפעלה מפורטות בסעיף 2 למסמך.</w:t>
      </w:r>
    </w:p>
  </w:footnote>
  <w:footnote w:id="201">
    <w:p w14:paraId="11AB008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עורכי הסקר ציינו כי </w:t>
      </w:r>
      <w:r w:rsidRPr="00956B0F">
        <w:rPr>
          <w:rtl/>
        </w:rPr>
        <w:t xml:space="preserve">אף </w:t>
      </w:r>
      <w:r w:rsidRPr="00956B0F">
        <w:rPr>
          <w:rFonts w:hint="cs"/>
          <w:rtl/>
        </w:rPr>
        <w:t>ש</w:t>
      </w:r>
      <w:r w:rsidRPr="00956B0F">
        <w:rPr>
          <w:rtl/>
        </w:rPr>
        <w:t>הסקר נערך במדגם מייצ</w:t>
      </w:r>
      <w:r w:rsidRPr="00956B0F">
        <w:rPr>
          <w:rFonts w:hint="cs"/>
          <w:rtl/>
        </w:rPr>
        <w:t>ג</w:t>
      </w:r>
      <w:r w:rsidRPr="00956B0F">
        <w:rPr>
          <w:rtl/>
        </w:rPr>
        <w:t xml:space="preserve"> בחברה הישראלית, בשל שיטת המחקר שנבחרה (סקר מקוון) יש </w:t>
      </w:r>
      <w:r w:rsidRPr="00956B0F">
        <w:rPr>
          <w:rFonts w:hint="cs"/>
          <w:rtl/>
        </w:rPr>
        <w:t>בו</w:t>
      </w:r>
      <w:r w:rsidRPr="00956B0F">
        <w:rPr>
          <w:rtl/>
        </w:rPr>
        <w:t xml:space="preserve"> תת-ייצוג לזרמים אדוקים בקרב החרדים </w:t>
      </w:r>
      <w:r w:rsidRPr="00956B0F">
        <w:rPr>
          <w:rFonts w:hint="cs"/>
          <w:rtl/>
        </w:rPr>
        <w:t xml:space="preserve">ולאוכלוסייה הערבית הדתית האדוקה, </w:t>
      </w:r>
      <w:r w:rsidRPr="00956B0F">
        <w:rPr>
          <w:rtl/>
        </w:rPr>
        <w:t xml:space="preserve">שאינם משתמשים </w:t>
      </w:r>
      <w:r w:rsidRPr="00956B0F">
        <w:rPr>
          <w:rFonts w:hint="cs"/>
          <w:rtl/>
        </w:rPr>
        <w:t>במרשתת או ממעטים להשתמש בה</w:t>
      </w:r>
      <w:r w:rsidRPr="00956B0F">
        <w:rPr>
          <w:rtl/>
        </w:rPr>
        <w:t xml:space="preserve">. </w:t>
      </w:r>
      <w:r w:rsidRPr="00956B0F">
        <w:rPr>
          <w:rFonts w:hint="cs"/>
          <w:rtl/>
        </w:rPr>
        <w:t xml:space="preserve">ראו: הסקר המקוון, עמ' 34. </w:t>
      </w:r>
    </w:p>
  </w:footnote>
  <w:footnote w:id="202">
    <w:p w14:paraId="683FBFD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הסקר המקוון, עמ' 39 - 40. </w:t>
      </w:r>
    </w:p>
  </w:footnote>
  <w:footnote w:id="203">
    <w:p w14:paraId="70AF668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הסקר המקוון, עמ' 3 ו-37. </w:t>
      </w:r>
    </w:p>
  </w:footnote>
  <w:footnote w:id="204">
    <w:p w14:paraId="13FE526B"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הממונה על הערכת מסוכנות פועל לפי </w:t>
      </w:r>
      <w:r w:rsidRPr="00956B0F">
        <w:rPr>
          <w:rtl/>
        </w:rPr>
        <w:t>סעיף 11א</w:t>
      </w:r>
      <w:r w:rsidRPr="00956B0F">
        <w:rPr>
          <w:rFonts w:hint="cs"/>
          <w:rtl/>
        </w:rPr>
        <w:t>(</w:t>
      </w:r>
      <w:r w:rsidRPr="00956B0F">
        <w:rPr>
          <w:rtl/>
        </w:rPr>
        <w:t>ב</w:t>
      </w:r>
      <w:r w:rsidRPr="00956B0F">
        <w:rPr>
          <w:rFonts w:hint="cs"/>
          <w:rtl/>
        </w:rPr>
        <w:t>)(</w:t>
      </w:r>
      <w:r w:rsidRPr="00956B0F">
        <w:rPr>
          <w:rtl/>
        </w:rPr>
        <w:t>2</w:t>
      </w:r>
      <w:r w:rsidRPr="00956B0F">
        <w:rPr>
          <w:rFonts w:hint="cs"/>
          <w:rtl/>
        </w:rPr>
        <w:t>)</w:t>
      </w:r>
      <w:r w:rsidRPr="00956B0F">
        <w:rPr>
          <w:rtl/>
        </w:rPr>
        <w:t xml:space="preserve"> לחוק כל</w:t>
      </w:r>
      <w:r w:rsidRPr="00956B0F">
        <w:rPr>
          <w:rFonts w:hint="cs"/>
          <w:rtl/>
        </w:rPr>
        <w:t>י</w:t>
      </w:r>
      <w:r w:rsidRPr="00956B0F">
        <w:rPr>
          <w:rtl/>
        </w:rPr>
        <w:t xml:space="preserve"> הירייה, התש"ט</w:t>
      </w:r>
      <w:r w:rsidRPr="00956B0F">
        <w:rPr>
          <w:rFonts w:hint="cs"/>
          <w:rtl/>
        </w:rPr>
        <w:t>-</w:t>
      </w:r>
      <w:r w:rsidRPr="00956B0F">
        <w:rPr>
          <w:rtl/>
        </w:rPr>
        <w:t>1949</w:t>
      </w:r>
      <w:r w:rsidRPr="00956B0F">
        <w:rPr>
          <w:rStyle w:val="Hyperlink"/>
          <w:rFonts w:hint="cs"/>
          <w:color w:val="auto"/>
          <w:u w:val="none"/>
          <w:rtl/>
        </w:rPr>
        <w:t>,</w:t>
      </w:r>
      <w:r w:rsidRPr="00956B0F">
        <w:rPr>
          <w:rFonts w:hint="cs"/>
          <w:rtl/>
        </w:rPr>
        <w:t xml:space="preserve"> והוראת תע"ס 2.13, "הנחיות לעובד סוציאלי ליישום </w:t>
      </w:r>
      <w:r w:rsidRPr="00956B0F">
        <w:rPr>
          <w:rtl/>
        </w:rPr>
        <w:t>לחוק כל</w:t>
      </w:r>
      <w:r w:rsidRPr="00956B0F">
        <w:rPr>
          <w:rFonts w:hint="cs"/>
          <w:rtl/>
        </w:rPr>
        <w:t>י</w:t>
      </w:r>
      <w:r w:rsidRPr="00956B0F">
        <w:rPr>
          <w:rtl/>
        </w:rPr>
        <w:t xml:space="preserve"> הירייה, התש"ט</w:t>
      </w:r>
      <w:r w:rsidRPr="00956B0F">
        <w:rPr>
          <w:rFonts w:hint="cs"/>
          <w:rtl/>
        </w:rPr>
        <w:t>-</w:t>
      </w:r>
      <w:r w:rsidRPr="00956B0F">
        <w:rPr>
          <w:rtl/>
        </w:rPr>
        <w:t>1949</w:t>
      </w:r>
      <w:r w:rsidRPr="00956B0F">
        <w:rPr>
          <w:rFonts w:hint="cs"/>
          <w:rtl/>
        </w:rPr>
        <w:t>" (24.10.04; עדכון אחרון: 11.6.20).</w:t>
      </w:r>
    </w:p>
  </w:footnote>
  <w:footnote w:id="205">
    <w:p w14:paraId="1EAC9E07"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משרד מבקר המדינה, </w:t>
      </w:r>
      <w:r w:rsidRPr="00956B0F">
        <w:rPr>
          <w:rFonts w:hint="eastAsia"/>
          <w:b/>
          <w:bCs/>
          <w:rtl/>
        </w:rPr>
        <w:t>מתקפת</w:t>
      </w:r>
      <w:r w:rsidRPr="00956B0F">
        <w:rPr>
          <w:b/>
          <w:bCs/>
          <w:rtl/>
        </w:rPr>
        <w:t xml:space="preserve"> </w:t>
      </w:r>
      <w:r w:rsidRPr="00956B0F">
        <w:rPr>
          <w:rFonts w:hint="eastAsia"/>
          <w:b/>
          <w:bCs/>
          <w:rtl/>
        </w:rPr>
        <w:t>הטרור</w:t>
      </w:r>
      <w:r w:rsidRPr="00956B0F">
        <w:rPr>
          <w:b/>
          <w:bCs/>
          <w:rtl/>
        </w:rPr>
        <w:t xml:space="preserve"> </w:t>
      </w:r>
      <w:r w:rsidRPr="00956B0F">
        <w:rPr>
          <w:rFonts w:hint="eastAsia"/>
          <w:b/>
          <w:bCs/>
          <w:rtl/>
        </w:rPr>
        <w:t>בשבעה</w:t>
      </w:r>
      <w:r w:rsidRPr="00956B0F">
        <w:rPr>
          <w:b/>
          <w:bCs/>
          <w:rtl/>
        </w:rPr>
        <w:t xml:space="preserve"> </w:t>
      </w:r>
      <w:r w:rsidRPr="00956B0F">
        <w:rPr>
          <w:rFonts w:hint="eastAsia"/>
          <w:b/>
          <w:bCs/>
          <w:rtl/>
        </w:rPr>
        <w:t>באוקטובר</w:t>
      </w:r>
      <w:r w:rsidRPr="00956B0F">
        <w:rPr>
          <w:b/>
          <w:bCs/>
          <w:rtl/>
        </w:rPr>
        <w:t xml:space="preserve"> 2023 </w:t>
      </w:r>
      <w:r w:rsidRPr="00956B0F">
        <w:rPr>
          <w:rFonts w:hint="eastAsia"/>
          <w:b/>
          <w:bCs/>
          <w:rtl/>
        </w:rPr>
        <w:t>ומלחמת</w:t>
      </w:r>
      <w:r w:rsidRPr="00956B0F">
        <w:rPr>
          <w:b/>
          <w:bCs/>
          <w:rtl/>
        </w:rPr>
        <w:t xml:space="preserve"> </w:t>
      </w:r>
      <w:r w:rsidRPr="00956B0F">
        <w:rPr>
          <w:rFonts w:hint="eastAsia"/>
          <w:b/>
          <w:bCs/>
          <w:rtl/>
        </w:rPr>
        <w:t>חרבות</w:t>
      </w:r>
      <w:r w:rsidRPr="00956B0F">
        <w:rPr>
          <w:b/>
          <w:bCs/>
          <w:rtl/>
        </w:rPr>
        <w:t xml:space="preserve"> </w:t>
      </w:r>
      <w:r w:rsidRPr="00956B0F">
        <w:rPr>
          <w:rFonts w:hint="eastAsia"/>
          <w:b/>
          <w:bCs/>
          <w:rtl/>
        </w:rPr>
        <w:t>ברזל</w:t>
      </w:r>
      <w:r w:rsidRPr="00956B0F">
        <w:rPr>
          <w:rFonts w:hint="cs"/>
          <w:rtl/>
        </w:rPr>
        <w:t xml:space="preserve"> </w:t>
      </w:r>
      <w:r w:rsidRPr="00956B0F">
        <w:rPr>
          <w:rFonts w:hint="cs"/>
          <w:b/>
          <w:bCs/>
          <w:rtl/>
        </w:rPr>
        <w:t>-</w:t>
      </w:r>
      <w:r w:rsidRPr="00956B0F">
        <w:rPr>
          <w:b/>
          <w:bCs/>
          <w:rtl/>
        </w:rPr>
        <w:t xml:space="preserve"> הטיפול באוכלוס</w:t>
      </w:r>
      <w:r w:rsidRPr="00956B0F">
        <w:rPr>
          <w:rFonts w:hint="cs"/>
          <w:b/>
          <w:bCs/>
          <w:rtl/>
        </w:rPr>
        <w:t>י</w:t>
      </w:r>
      <w:r w:rsidRPr="00956B0F">
        <w:rPr>
          <w:rFonts w:hint="eastAsia"/>
          <w:b/>
          <w:bCs/>
          <w:rtl/>
        </w:rPr>
        <w:t>יה</w:t>
      </w:r>
      <w:r w:rsidRPr="00956B0F">
        <w:rPr>
          <w:rFonts w:hint="cs"/>
          <w:rtl/>
        </w:rPr>
        <w:t xml:space="preserve"> (2025), "</w:t>
      </w:r>
      <w:r w:rsidRPr="00956B0F">
        <w:rPr>
          <w:rtl/>
        </w:rPr>
        <w:t>הטיפול בבריאות הנפש בעקבות אירועי שבעה באוקטובר ומלחמת חרבות ברזל</w:t>
      </w:r>
      <w:r w:rsidRPr="00956B0F">
        <w:rPr>
          <w:rFonts w:hint="cs"/>
          <w:rtl/>
        </w:rPr>
        <w:t>", עמ' 68 - 69.</w:t>
      </w:r>
    </w:p>
  </w:footnote>
  <w:footnote w:id="206">
    <w:p w14:paraId="5F372D23" w14:textId="77777777" w:rsidR="00F769CC" w:rsidRPr="00956B0F" w:rsidRDefault="00F769CC" w:rsidP="00817399">
      <w:pPr>
        <w:pStyle w:val="af7"/>
      </w:pPr>
      <w:r w:rsidRPr="00956B0F">
        <w:rPr>
          <w:rStyle w:val="af9"/>
        </w:rPr>
        <w:footnoteRef/>
      </w:r>
      <w:r w:rsidRPr="00956B0F">
        <w:rPr>
          <w:rtl/>
        </w:rPr>
        <w:t xml:space="preserve"> </w:t>
      </w:r>
      <w:r w:rsidRPr="00956B0F">
        <w:rPr>
          <w:rtl/>
        </w:rPr>
        <w:tab/>
        <w:t xml:space="preserve">פינוי הרשויות המקומיות בגזרת הצפון נעשתה מתוקף החלטת </w:t>
      </w:r>
      <w:r w:rsidRPr="00956B0F">
        <w:rPr>
          <w:rFonts w:hint="cs"/>
          <w:rtl/>
        </w:rPr>
        <w:t>ה</w:t>
      </w:r>
      <w:r w:rsidRPr="00956B0F">
        <w:rPr>
          <w:rtl/>
        </w:rPr>
        <w:t>ממשלה 975</w:t>
      </w:r>
      <w:r w:rsidRPr="00956B0F">
        <w:rPr>
          <w:rFonts w:hint="cs"/>
          <w:rtl/>
        </w:rPr>
        <w:t>,</w:t>
      </w:r>
      <w:r w:rsidRPr="00956B0F">
        <w:rPr>
          <w:rtl/>
        </w:rPr>
        <w:t xml:space="preserve"> "תוכנית פעולה לאומית לביצוע פינוי אוכלוסייה בגזרת הצפון (</w:t>
      </w:r>
      <w:r w:rsidRPr="00956B0F">
        <w:rPr>
          <w:rFonts w:hint="cs"/>
          <w:rtl/>
        </w:rPr>
        <w:t>0 - 5</w:t>
      </w:r>
      <w:r w:rsidRPr="00956B0F">
        <w:rPr>
          <w:rtl/>
        </w:rPr>
        <w:t xml:space="preserve"> ק"מ מהגבול) וקליטתה - מלחמת 'חרבות ברזל'"</w:t>
      </w:r>
      <w:r w:rsidRPr="00956B0F">
        <w:rPr>
          <w:rFonts w:hint="cs"/>
          <w:rtl/>
        </w:rPr>
        <w:t xml:space="preserve"> (18.10.23); </w:t>
      </w:r>
      <w:r w:rsidRPr="00956B0F">
        <w:rPr>
          <w:rtl/>
        </w:rPr>
        <w:t xml:space="preserve">פינוי הרשויות המקומיות בגזרת הדרום נעשה מתוקף החלטת </w:t>
      </w:r>
      <w:r w:rsidRPr="00956B0F">
        <w:rPr>
          <w:rFonts w:hint="cs"/>
          <w:rtl/>
        </w:rPr>
        <w:t>ה</w:t>
      </w:r>
      <w:r w:rsidRPr="00956B0F">
        <w:rPr>
          <w:rtl/>
        </w:rPr>
        <w:t>ממשלה 950</w:t>
      </w:r>
      <w:r w:rsidRPr="00956B0F">
        <w:rPr>
          <w:rFonts w:hint="cs"/>
          <w:rtl/>
        </w:rPr>
        <w:t>,</w:t>
      </w:r>
      <w:r w:rsidRPr="00956B0F">
        <w:rPr>
          <w:rtl/>
        </w:rPr>
        <w:t xml:space="preserve"> "תוכנית פעולה לאומית לביצוע פינוי אוכלוסייה המצויה בסמוך לגבול רצועת עזה וקליטתה - 'חרבות ברזל'" (12.10.23)</w:t>
      </w:r>
      <w:r w:rsidRPr="00956B0F">
        <w:rPr>
          <w:rFonts w:hint="cs"/>
          <w:rtl/>
        </w:rPr>
        <w:t xml:space="preserve"> ומתוקף החלטת הממשלה 978, "סיוע המדינה לתושבי העיר אשקלון לאור מלחמת 'חרבות ברזל'" (19.10.23). </w:t>
      </w:r>
      <w:r w:rsidRPr="00956B0F">
        <w:rPr>
          <w:rtl/>
        </w:rPr>
        <w:t xml:space="preserve">ברשימת הרשויות המפונות </w:t>
      </w:r>
      <w:r w:rsidRPr="00956B0F">
        <w:rPr>
          <w:rFonts w:hint="cs"/>
          <w:rtl/>
        </w:rPr>
        <w:t xml:space="preserve">בגזרת הצפון </w:t>
      </w:r>
      <w:r w:rsidRPr="00956B0F">
        <w:rPr>
          <w:rtl/>
        </w:rPr>
        <w:t>לא נכללת המועצה המקומית ג'</w:t>
      </w:r>
      <w:r w:rsidRPr="00956B0F">
        <w:rPr>
          <w:rFonts w:hint="cs"/>
          <w:rtl/>
        </w:rPr>
        <w:t>'</w:t>
      </w:r>
      <w:r w:rsidRPr="00956B0F">
        <w:rPr>
          <w:rtl/>
        </w:rPr>
        <w:t xml:space="preserve">ש </w:t>
      </w:r>
      <w:r w:rsidRPr="00956B0F">
        <w:rPr>
          <w:rFonts w:hint="cs"/>
          <w:rtl/>
        </w:rPr>
        <w:t xml:space="preserve">(גוש </w:t>
      </w:r>
      <w:r w:rsidRPr="00956B0F">
        <w:rPr>
          <w:rtl/>
        </w:rPr>
        <w:t>חלב</w:t>
      </w:r>
      <w:r w:rsidRPr="00956B0F">
        <w:rPr>
          <w:rFonts w:hint="cs"/>
          <w:rtl/>
        </w:rPr>
        <w:t>),</w:t>
      </w:r>
      <w:r w:rsidRPr="00956B0F">
        <w:rPr>
          <w:rtl/>
        </w:rPr>
        <w:t xml:space="preserve"> שהתווספה לתוכנית הפעולה הלאומית לביצוע פינוי אוכלוסייה בגזרת הצפון ביוני 2024 מתוקף החלטת </w:t>
      </w:r>
      <w:r w:rsidRPr="00956B0F">
        <w:rPr>
          <w:rFonts w:hint="cs"/>
          <w:rtl/>
        </w:rPr>
        <w:t>ה</w:t>
      </w:r>
      <w:r w:rsidRPr="00956B0F">
        <w:rPr>
          <w:rtl/>
        </w:rPr>
        <w:t>ממשלה 1904</w:t>
      </w:r>
      <w:r w:rsidRPr="00956B0F">
        <w:rPr>
          <w:rFonts w:hint="cs"/>
          <w:rtl/>
        </w:rPr>
        <w:t>,</w:t>
      </w:r>
      <w:r w:rsidRPr="00956B0F">
        <w:rPr>
          <w:rtl/>
        </w:rPr>
        <w:t xml:space="preserve"> "תוכנית פעולה לאומית לביצוע פינוי אוכלוסייה בגזרת הצפון (</w:t>
      </w:r>
      <w:r w:rsidRPr="00956B0F">
        <w:rPr>
          <w:rFonts w:hint="cs"/>
          <w:rtl/>
        </w:rPr>
        <w:t>0 - 5</w:t>
      </w:r>
      <w:r w:rsidRPr="00956B0F">
        <w:rPr>
          <w:rtl/>
        </w:rPr>
        <w:t xml:space="preserve"> ק"מ מהגבול) וקליטתה - מלחמת 'חרבות ברזל' - תיקון החלטת ממשלה" (23.6.24)</w:t>
      </w:r>
      <w:r w:rsidRPr="00956B0F">
        <w:rPr>
          <w:rFonts w:hint="cs"/>
          <w:rtl/>
        </w:rPr>
        <w:t>.</w:t>
      </w:r>
    </w:p>
  </w:footnote>
  <w:footnote w:id="207">
    <w:p w14:paraId="62CB733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הנתונים נוגעים לתיקי חקירה שבהם מקום מגוריו הקבוע של המתלונן היה ברשות מקומית שפונתה באופן מלא או חלקי ולא לפי מקום ביצוע העבירה.</w:t>
      </w:r>
    </w:p>
  </w:footnote>
  <w:footnote w:id="208">
    <w:p w14:paraId="320F636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"איסוף וניהול של נתונים על התופעה ומאפייניה".</w:t>
      </w:r>
    </w:p>
  </w:footnote>
  <w:footnote w:id="209">
    <w:p w14:paraId="1365A4F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ניתוח הנתונים נעשה בחלוקה לשתי תקופות </w:t>
      </w:r>
      <w:r w:rsidRPr="00956B0F">
        <w:rPr>
          <w:rFonts w:hint="cs"/>
          <w:rtl/>
        </w:rPr>
        <w:t>כדי</w:t>
      </w:r>
      <w:r w:rsidRPr="00956B0F">
        <w:rPr>
          <w:rtl/>
        </w:rPr>
        <w:t xml:space="preserve"> לבחון את ההשפעות המידיות של המלחמה ואת ההשפעות של התמשכות המלחמה והמעבר לשגרת חירום. התקופה שבין אוקטובר 2022 ועד פברואר 2023 (והתקופה המקבילה - בין אוקטובר 2023 ועד פברואר 2024) מתייחסת לארבעת החודשים הסמוכים לפרוץ המלחמה וממחישים את השפעותיה המידיות. התקופה שבין פברואר 2023 ועד ספטמבר 2023 (והתקופה המקבילה - בין פברואר 2024 ועד ספטמבר 2024) מתייחסת להשפעות המלחמה בחלוף למעלה מארבעה חודשים מאז פרצה. הנתונים אינם כוללים את חודש אוקטובר שכן בחודש זה פרצה המלחמה.</w:t>
      </w:r>
    </w:p>
  </w:footnote>
  <w:footnote w:id="210">
    <w:p w14:paraId="3D7647D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"העברת נתונים ומידע על נפגעי אלימות במשפחה ועל הפוגעים" ותת-הפרק "</w:t>
      </w:r>
      <w:r w:rsidRPr="00956B0F">
        <w:rPr>
          <w:rFonts w:hint="eastAsia"/>
          <w:b/>
          <w:rtl/>
        </w:rPr>
        <w:t>ני</w:t>
      </w:r>
      <w:r w:rsidRPr="00956B0F">
        <w:rPr>
          <w:rFonts w:hint="cs"/>
          <w:b/>
          <w:rtl/>
        </w:rPr>
        <w:t>הול</w:t>
      </w:r>
      <w:r w:rsidRPr="00956B0F">
        <w:rPr>
          <w:rFonts w:hint="cs"/>
          <w:rtl/>
        </w:rPr>
        <w:t xml:space="preserve"> ממוחשב ומרכזי של הנתונים על תופעת האלימות בין בני זוג".</w:t>
      </w:r>
    </w:p>
  </w:footnote>
  <w:footnote w:id="211">
    <w:p w14:paraId="7DAEA7B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בחוזר מנכ"ל משרד הרווחה נקבע כי ככול האפשר הרשויות המקומיות המפונות ימשיכו בליווי ובמתן מענה טיפולי לנפגעי אלימות במשפחה שפונו מתחומן, וכי רק במקרים בהם הדבר אינו מתאפשר אף לא בדרך של ליווי מרחוק, או אם נדרש ליווי הדוק יותר, הליווי והטיפול יינתנו על ידי הרשות המקומית הקולטת (סעיף 3 לחוזר מנכ"ל משרד הרווחה 007-2023, "הנחיות למוגנות במתקני המפונים, מלחמת חרבות ברזל 2023" [5.11.23]).</w:t>
      </w:r>
    </w:p>
  </w:footnote>
  <w:footnote w:id="212">
    <w:p w14:paraId="30661D6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בסיום השאלון מתקבל משוב בנוגע לרמת הסיכון והמלצות לפעולה, אך מובהר בו כי אינו מחליף את הערכת המסוכנות הנעשית על ידי איש מקצוע מומחה. השאלון נבנה בשיתוף פעולה של משרד הרווחה עם פורום מיכל סלה. השאלון זמין בקישור: </w:t>
      </w:r>
      <w:r w:rsidRPr="00956B0F">
        <w:t>https://i-risk.co.il</w:t>
      </w:r>
      <w:r w:rsidRPr="00956B0F">
        <w:rPr>
          <w:rFonts w:hint="cs"/>
          <w:rtl/>
        </w:rPr>
        <w:t xml:space="preserve"> (כניסה אחרונה: 24.12.24). את השאלון השיק משרד הרווחה ביולי 2020 על רקע משבר הקורונה. </w:t>
      </w:r>
    </w:p>
  </w:footnote>
  <w:footnote w:id="213">
    <w:p w14:paraId="5883028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b/>
          <w:bCs/>
          <w:rtl/>
        </w:rPr>
        <w:t>דין וחשבון הוועדה הציבורית-מקצועית לבדיקה כוללת של שירות המדינה וגופים הנתמכים מתקציב המדינה</w:t>
      </w:r>
      <w:r w:rsidRPr="00956B0F">
        <w:rPr>
          <w:rFonts w:hint="cs"/>
          <w:rtl/>
        </w:rPr>
        <w:t xml:space="preserve">, כרך ב' (1989), עמ' 134 - 135. בשנת 2012 התייחסה גם הוועדה לשינוי כלכלי-חברתי (ועדת טרכטנברג) לכך שהיעדר תיאום ושיתופי פעולה רוחביים בעבודת הממשלה הוא מהכשלים המבניים בשירות הציבורי הפוגע ביכולות הביצוע של הממשלה. ראו: </w:t>
      </w:r>
      <w:r w:rsidRPr="00956B0F">
        <w:rPr>
          <w:rFonts w:hint="eastAsia"/>
          <w:b/>
          <w:bCs/>
          <w:rtl/>
        </w:rPr>
        <w:t>דין</w:t>
      </w:r>
      <w:r w:rsidRPr="00956B0F">
        <w:rPr>
          <w:b/>
          <w:bCs/>
          <w:rtl/>
        </w:rPr>
        <w:t xml:space="preserve"> </w:t>
      </w:r>
      <w:r w:rsidRPr="00956B0F">
        <w:rPr>
          <w:rFonts w:hint="eastAsia"/>
          <w:b/>
          <w:bCs/>
          <w:rtl/>
        </w:rPr>
        <w:t>וחשבון</w:t>
      </w:r>
      <w:r w:rsidRPr="00956B0F">
        <w:rPr>
          <w:b/>
          <w:bCs/>
          <w:rtl/>
        </w:rPr>
        <w:t xml:space="preserve"> </w:t>
      </w:r>
      <w:r w:rsidRPr="00956B0F">
        <w:rPr>
          <w:rFonts w:hint="eastAsia"/>
          <w:b/>
          <w:bCs/>
          <w:rtl/>
        </w:rPr>
        <w:t>הוועדה</w:t>
      </w:r>
      <w:r w:rsidRPr="00956B0F">
        <w:rPr>
          <w:b/>
          <w:bCs/>
          <w:rtl/>
        </w:rPr>
        <w:t xml:space="preserve"> </w:t>
      </w:r>
      <w:r w:rsidRPr="00956B0F">
        <w:rPr>
          <w:rFonts w:hint="eastAsia"/>
          <w:b/>
          <w:bCs/>
          <w:rtl/>
        </w:rPr>
        <w:t>לשינוי</w:t>
      </w:r>
      <w:r w:rsidRPr="00956B0F">
        <w:rPr>
          <w:b/>
          <w:bCs/>
          <w:rtl/>
        </w:rPr>
        <w:t xml:space="preserve"> </w:t>
      </w:r>
      <w:r w:rsidRPr="00956B0F">
        <w:rPr>
          <w:rFonts w:hint="eastAsia"/>
          <w:b/>
          <w:bCs/>
          <w:rtl/>
        </w:rPr>
        <w:t>כלכלי</w:t>
      </w:r>
      <w:r w:rsidRPr="00956B0F">
        <w:rPr>
          <w:b/>
          <w:bCs/>
          <w:rtl/>
        </w:rPr>
        <w:t xml:space="preserve"> </w:t>
      </w:r>
      <w:r w:rsidRPr="00956B0F">
        <w:rPr>
          <w:rFonts w:hint="eastAsia"/>
          <w:b/>
          <w:bCs/>
          <w:rtl/>
        </w:rPr>
        <w:t>חברתי</w:t>
      </w:r>
      <w:r w:rsidRPr="00956B0F">
        <w:rPr>
          <w:rFonts w:hint="cs"/>
          <w:rtl/>
        </w:rPr>
        <w:t xml:space="preserve"> (2012), עמ' 47 - 51.</w:t>
      </w:r>
    </w:p>
  </w:footnote>
  <w:footnote w:id="214">
    <w:p w14:paraId="35042C5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t xml:space="preserve">David A. Wolfe, Peter G. Jaffe, “Emerging Strategies in the Prevention of Domestic Violence”, </w:t>
      </w:r>
      <w:r w:rsidRPr="00956B0F">
        <w:rPr>
          <w:b/>
        </w:rPr>
        <w:t>F</w:t>
      </w:r>
      <w:r w:rsidRPr="00956B0F">
        <w:rPr>
          <w:b/>
          <w:bCs/>
        </w:rPr>
        <w:t>uture Child</w:t>
      </w:r>
      <w:r w:rsidRPr="00956B0F">
        <w:t>, Winter 9(3) (1999), pp. 133 - 136</w:t>
      </w:r>
    </w:p>
  </w:footnote>
  <w:footnote w:id="215">
    <w:p w14:paraId="7C26BE4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בן-שלום (1998), עמ' 8 ו-10.</w:t>
      </w:r>
    </w:p>
  </w:footnote>
  <w:footnote w:id="216">
    <w:p w14:paraId="755EA97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אריאל</w:t>
      </w:r>
      <w:r w:rsidRPr="00956B0F">
        <w:rPr>
          <w:rtl/>
        </w:rPr>
        <w:t xml:space="preserve"> </w:t>
      </w:r>
      <w:r w:rsidRPr="00956B0F">
        <w:rPr>
          <w:rFonts w:hint="eastAsia"/>
          <w:rtl/>
        </w:rPr>
        <w:t>כדורי</w:t>
      </w:r>
      <w:r w:rsidRPr="00956B0F">
        <w:rPr>
          <w:rtl/>
        </w:rPr>
        <w:t xml:space="preserve">, </w:t>
      </w:r>
      <w:r w:rsidRPr="00956B0F">
        <w:rPr>
          <w:rFonts w:ascii="Arial" w:hAnsi="Arial"/>
          <w:b/>
          <w:bCs/>
          <w:rtl/>
        </w:rPr>
        <w:t>מניעת אלימות בין בני זוג, ארגז כלים, ת</w:t>
      </w:r>
      <w:r w:rsidRPr="00956B0F">
        <w:rPr>
          <w:rFonts w:ascii="Arial" w:hAnsi="Arial" w:hint="eastAsia"/>
          <w:b/>
          <w:bCs/>
          <w:rtl/>
        </w:rPr>
        <w:t>ו</w:t>
      </w:r>
      <w:r w:rsidRPr="00956B0F">
        <w:rPr>
          <w:rFonts w:ascii="Arial" w:hAnsi="Arial"/>
          <w:b/>
          <w:bCs/>
          <w:rtl/>
        </w:rPr>
        <w:t xml:space="preserve">כניות מדיניות ופרקטיקות </w:t>
      </w:r>
      <w:r w:rsidRPr="00956B0F">
        <w:rPr>
          <w:rFonts w:ascii="Arial" w:hAnsi="Arial"/>
          <w:rtl/>
        </w:rPr>
        <w:t>(2020</w:t>
      </w:r>
      <w:r w:rsidRPr="00956B0F">
        <w:rPr>
          <w:rFonts w:ascii="Arial" w:hAnsi="Arial" w:hint="cs"/>
          <w:rtl/>
        </w:rPr>
        <w:t>), עמ' 6 - 15</w:t>
      </w:r>
      <w:r w:rsidRPr="00956B0F">
        <w:rPr>
          <w:rFonts w:ascii="Arial" w:hAnsi="Arial"/>
          <w:rtl/>
        </w:rPr>
        <w:t>.</w:t>
      </w:r>
      <w:r w:rsidRPr="00956B0F">
        <w:rPr>
          <w:rFonts w:ascii="Arial" w:hAnsi="Arial" w:hint="cs"/>
          <w:rtl/>
        </w:rPr>
        <w:t xml:space="preserve"> </w:t>
      </w:r>
      <w:r w:rsidRPr="00956B0F">
        <w:rPr>
          <w:rFonts w:hint="cs"/>
          <w:rtl/>
        </w:rPr>
        <w:t xml:space="preserve">רחל יעקבס ויעל אידיסיס, "ייחוסי אשמה וחומרה במקרי אלימות במשפחה על ידי נשים חרדיות", </w:t>
      </w:r>
      <w:r w:rsidRPr="00956B0F">
        <w:rPr>
          <w:rFonts w:hint="cs"/>
          <w:b/>
          <w:bCs/>
          <w:rtl/>
        </w:rPr>
        <w:t>קרימינולוגיה ישראלית</w:t>
      </w:r>
      <w:r w:rsidRPr="00956B0F">
        <w:rPr>
          <w:rFonts w:hint="cs"/>
          <w:rtl/>
        </w:rPr>
        <w:t xml:space="preserve"> ט </w:t>
      </w:r>
      <w:r w:rsidRPr="00956B0F">
        <w:rPr>
          <w:rtl/>
        </w:rPr>
        <w:t>105</w:t>
      </w:r>
      <w:r w:rsidRPr="00956B0F">
        <w:rPr>
          <w:rFonts w:hint="cs"/>
          <w:rtl/>
        </w:rPr>
        <w:t xml:space="preserve"> (תש"ף), עמ' 106 - 107.</w:t>
      </w:r>
    </w:p>
  </w:footnote>
  <w:footnote w:id="217">
    <w:p w14:paraId="4B984E3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לדוגמה את ההתייחסות לכך בהמלצותיה של ועדת האו"ם לביטול הפליה נגד נשים (</w:t>
      </w:r>
      <w:r w:rsidRPr="00956B0F">
        <w:t>CEDAW</w:t>
      </w:r>
      <w:r w:rsidRPr="00956B0F">
        <w:rPr>
          <w:rFonts w:hint="cs"/>
          <w:rtl/>
        </w:rPr>
        <w:t xml:space="preserve">) משנת 2017: </w:t>
      </w:r>
      <w:bookmarkStart w:id="964" w:name="OLE_LINK1"/>
      <w:r w:rsidRPr="00956B0F">
        <w:t>Committee on the Elimination of Discrimination against Women, General recommendation No. 35 on gender-based violence against women, updating general recommendation No. 19 (2017), Sec. IV. Par. B</w:t>
      </w:r>
      <w:bookmarkEnd w:id="964"/>
      <w:r w:rsidRPr="00956B0F">
        <w:rPr>
          <w:rFonts w:hint="cs"/>
          <w:rtl/>
        </w:rPr>
        <w:t xml:space="preserve"> כן ראו: רחל יעקבס ויעל אידיסיס, "ייחוסי אשמה וחומרה במקרי אלימות במשפחה על ידי נשים חרדיות", </w:t>
      </w:r>
      <w:r w:rsidRPr="00956B0F">
        <w:rPr>
          <w:rFonts w:hint="cs"/>
          <w:b/>
          <w:bCs/>
          <w:rtl/>
        </w:rPr>
        <w:t>קרימינולוגיה ישראלית</w:t>
      </w:r>
      <w:r w:rsidRPr="00956B0F">
        <w:rPr>
          <w:rFonts w:hint="cs"/>
          <w:rtl/>
        </w:rPr>
        <w:t xml:space="preserve"> ט (תש"ף), עמ' 106 - 107</w:t>
      </w:r>
      <w:r w:rsidRPr="00956B0F">
        <w:rPr>
          <w:rStyle w:val="Hyperlink"/>
          <w:rFonts w:hint="cs"/>
          <w:color w:val="auto"/>
          <w:u w:val="none"/>
          <w:rtl/>
        </w:rPr>
        <w:t>.</w:t>
      </w:r>
    </w:p>
  </w:footnote>
  <w:footnote w:id="218">
    <w:p w14:paraId="2CFD63E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"התוכנית 'זוגיות ללא אלימות'", עמ' 498 - 500.</w:t>
      </w:r>
    </w:p>
  </w:footnote>
  <w:footnote w:id="219">
    <w:p w14:paraId="0FEF740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החינוך הממלכתי, החינוך הממלכתי-דתי, החינוך הממלכתי ערבי והחינוך ההתיישבותי.</w:t>
      </w:r>
    </w:p>
  </w:footnote>
  <w:footnote w:id="220">
    <w:p w14:paraId="7043373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משרד החינוך ומשרד הרווחה, </w:t>
      </w:r>
      <w:r w:rsidRPr="00956B0F">
        <w:rPr>
          <w:rFonts w:hint="eastAsia"/>
          <w:b/>
          <w:bCs/>
          <w:rtl/>
        </w:rPr>
        <w:t>חברות</w:t>
      </w:r>
      <w:r w:rsidRPr="00956B0F">
        <w:rPr>
          <w:b/>
          <w:bCs/>
          <w:rtl/>
        </w:rPr>
        <w:t xml:space="preserve"> </w:t>
      </w:r>
      <w:r w:rsidRPr="00956B0F">
        <w:rPr>
          <w:rFonts w:hint="eastAsia"/>
          <w:b/>
          <w:bCs/>
          <w:rtl/>
        </w:rPr>
        <w:t>וזוגיות</w:t>
      </w:r>
      <w:r w:rsidRPr="00956B0F">
        <w:rPr>
          <w:b/>
          <w:bCs/>
          <w:rtl/>
        </w:rPr>
        <w:t xml:space="preserve"> </w:t>
      </w:r>
      <w:r w:rsidRPr="00956B0F">
        <w:rPr>
          <w:rFonts w:hint="eastAsia"/>
          <w:b/>
          <w:bCs/>
          <w:rtl/>
        </w:rPr>
        <w:t>ללא</w:t>
      </w:r>
      <w:r w:rsidRPr="00956B0F">
        <w:rPr>
          <w:b/>
          <w:bCs/>
          <w:rtl/>
        </w:rPr>
        <w:t xml:space="preserve"> </w:t>
      </w:r>
      <w:r w:rsidRPr="00956B0F">
        <w:rPr>
          <w:rFonts w:hint="eastAsia"/>
          <w:b/>
          <w:bCs/>
          <w:rtl/>
        </w:rPr>
        <w:t>אלימות</w:t>
      </w:r>
      <w:r w:rsidRPr="00956B0F">
        <w:rPr>
          <w:rFonts w:hint="cs"/>
          <w:rtl/>
        </w:rPr>
        <w:t xml:space="preserve"> (2010), עמ' 6.</w:t>
      </w:r>
    </w:p>
  </w:footnote>
  <w:footnote w:id="221">
    <w:p w14:paraId="5DA915E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bookmarkStart w:id="983" w:name="_Hlk198480074"/>
      <w:r w:rsidRPr="00956B0F">
        <w:rPr>
          <w:rFonts w:hint="cs"/>
          <w:rtl/>
        </w:rPr>
        <w:t xml:space="preserve">ראו: </w:t>
      </w:r>
      <w:r w:rsidRPr="00956B0F">
        <w:t xml:space="preserve">Sarah R. Edwards and Verlin B. Hinsz, "A Meta-Analysis of Empirically Tested School-Based Dating Violence Prevention Programs", </w:t>
      </w:r>
      <w:r w:rsidRPr="00956B0F">
        <w:rPr>
          <w:b/>
          <w:bCs/>
        </w:rPr>
        <w:t>SAGE Open</w:t>
      </w:r>
      <w:r w:rsidRPr="00956B0F">
        <w:t xml:space="preserve"> vol. 4(2) (2014)</w:t>
      </w:r>
      <w:r w:rsidRPr="00956B0F">
        <w:rPr>
          <w:rtl/>
        </w:rPr>
        <w:t>)</w:t>
      </w:r>
      <w:r w:rsidRPr="00956B0F">
        <w:rPr>
          <w:rFonts w:hint="cs"/>
          <w:rtl/>
        </w:rPr>
        <w:t xml:space="preserve"> כן ראו: </w:t>
      </w:r>
      <w:r w:rsidRPr="00956B0F">
        <w:t xml:space="preserve">Phyllis Holditch Niolon and others, "High School Follow-Up of the Dating Matters RCT: Effects on Teen Dating Violence and Relationship Behaviors", </w:t>
      </w:r>
      <w:r w:rsidRPr="00956B0F">
        <w:rPr>
          <w:b/>
          <w:bCs/>
        </w:rPr>
        <w:t>Prevention Sience</w:t>
      </w:r>
      <w:r w:rsidRPr="00956B0F">
        <w:t xml:space="preserve"> 25 (2024), pp. 603 - 615.</w:t>
      </w:r>
      <w:r w:rsidRPr="00956B0F">
        <w:rPr>
          <w:rtl/>
        </w:rPr>
        <w:t>).</w:t>
      </w:r>
      <w:bookmarkEnd w:id="983"/>
    </w:p>
  </w:footnote>
  <w:footnote w:id="222">
    <w:p w14:paraId="3ABB687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t>Heather B. Clayton, Greta Kilmer, Sarah DeGue, Lianne F. Estefan, Vi D. Le, Nicolas A. Suarez, Bridget H. Lyons and Jemekia E. Thornton, Dating Violence, Sexual Violence, and Bullying Victimization Among High School Students</w:t>
      </w:r>
      <w:r w:rsidRPr="00956B0F">
        <w:rPr>
          <w:b/>
          <w:bCs/>
        </w:rPr>
        <w:t xml:space="preserve"> -</w:t>
      </w:r>
      <w:r w:rsidRPr="00956B0F">
        <w:t xml:space="preserve"> Youth Risk Behavior Survey, United States, 2021, MMWR supplements 72(1) (2023).</w:t>
      </w:r>
      <w:r w:rsidRPr="00956B0F">
        <w:rPr>
          <w:rFonts w:hint="cs"/>
          <w:rtl/>
        </w:rPr>
        <w:t xml:space="preserve"> </w:t>
      </w:r>
    </w:p>
    <w:p w14:paraId="42A258C5" w14:textId="77777777" w:rsidR="00F769CC" w:rsidRPr="00956B0F" w:rsidRDefault="00F769CC" w:rsidP="00817399">
      <w:pPr>
        <w:pStyle w:val="af7"/>
        <w:ind w:firstLine="0"/>
        <w:rPr>
          <w:rtl/>
        </w:rPr>
      </w:pPr>
      <w:r w:rsidRPr="00956B0F">
        <w:rPr>
          <w:rFonts w:hint="cs"/>
          <w:rtl/>
        </w:rPr>
        <w:t xml:space="preserve">ראו גם: אביטל קאי צדוק, </w:t>
      </w:r>
      <w:r w:rsidRPr="00956B0F">
        <w:rPr>
          <w:rFonts w:hint="eastAsia"/>
          <w:b/>
          <w:bCs/>
          <w:rtl/>
        </w:rPr>
        <w:t>קידום</w:t>
      </w:r>
      <w:r w:rsidRPr="00956B0F">
        <w:rPr>
          <w:b/>
          <w:bCs/>
          <w:rtl/>
        </w:rPr>
        <w:t xml:space="preserve"> </w:t>
      </w:r>
      <w:r w:rsidRPr="00956B0F">
        <w:rPr>
          <w:rFonts w:hint="eastAsia"/>
          <w:b/>
          <w:bCs/>
          <w:rtl/>
        </w:rPr>
        <w:t>מיניות</w:t>
      </w:r>
      <w:r w:rsidRPr="00956B0F">
        <w:rPr>
          <w:b/>
          <w:bCs/>
          <w:rtl/>
        </w:rPr>
        <w:t xml:space="preserve"> </w:t>
      </w:r>
      <w:r w:rsidRPr="00956B0F">
        <w:rPr>
          <w:rFonts w:hint="eastAsia"/>
          <w:b/>
          <w:bCs/>
          <w:rtl/>
        </w:rPr>
        <w:t>בריאה</w:t>
      </w:r>
      <w:r w:rsidRPr="00956B0F">
        <w:rPr>
          <w:b/>
          <w:bCs/>
          <w:rtl/>
        </w:rPr>
        <w:t xml:space="preserve"> </w:t>
      </w:r>
      <w:r w:rsidRPr="00956B0F">
        <w:rPr>
          <w:rFonts w:hint="eastAsia"/>
          <w:b/>
          <w:bCs/>
          <w:rtl/>
        </w:rPr>
        <w:t>ומניעת</w:t>
      </w:r>
      <w:r w:rsidRPr="00956B0F">
        <w:rPr>
          <w:b/>
          <w:bCs/>
          <w:rtl/>
        </w:rPr>
        <w:t xml:space="preserve"> </w:t>
      </w:r>
      <w:r w:rsidRPr="00956B0F">
        <w:rPr>
          <w:rFonts w:hint="eastAsia"/>
          <w:b/>
          <w:bCs/>
          <w:rtl/>
        </w:rPr>
        <w:t>פגיעות</w:t>
      </w:r>
      <w:r w:rsidRPr="00956B0F">
        <w:rPr>
          <w:b/>
          <w:bCs/>
          <w:rtl/>
        </w:rPr>
        <w:t xml:space="preserve"> </w:t>
      </w:r>
      <w:r w:rsidRPr="00956B0F">
        <w:rPr>
          <w:rFonts w:hint="eastAsia"/>
          <w:b/>
          <w:bCs/>
          <w:rtl/>
        </w:rPr>
        <w:t>מיניות</w:t>
      </w:r>
      <w:r w:rsidRPr="00956B0F">
        <w:rPr>
          <w:b/>
          <w:bCs/>
          <w:rtl/>
        </w:rPr>
        <w:t xml:space="preserve"> </w:t>
      </w:r>
      <w:r w:rsidRPr="00956B0F">
        <w:rPr>
          <w:rFonts w:hint="eastAsia"/>
          <w:b/>
          <w:bCs/>
          <w:rtl/>
        </w:rPr>
        <w:t>בקרב</w:t>
      </w:r>
      <w:r w:rsidRPr="00956B0F">
        <w:rPr>
          <w:b/>
          <w:bCs/>
          <w:rtl/>
        </w:rPr>
        <w:t xml:space="preserve"> </w:t>
      </w:r>
      <w:r w:rsidRPr="00956B0F">
        <w:rPr>
          <w:rFonts w:hint="eastAsia"/>
          <w:b/>
          <w:bCs/>
          <w:rtl/>
        </w:rPr>
        <w:t>מתבגרים</w:t>
      </w:r>
      <w:r w:rsidRPr="00956B0F">
        <w:rPr>
          <w:b/>
          <w:bCs/>
          <w:rtl/>
        </w:rPr>
        <w:t>/</w:t>
      </w:r>
      <w:r w:rsidRPr="00956B0F">
        <w:rPr>
          <w:rFonts w:hint="eastAsia"/>
          <w:b/>
          <w:bCs/>
          <w:rtl/>
        </w:rPr>
        <w:t>ות</w:t>
      </w:r>
      <w:r w:rsidRPr="00956B0F">
        <w:rPr>
          <w:b/>
          <w:bCs/>
          <w:rtl/>
        </w:rPr>
        <w:t xml:space="preserve"> וצעירים/</w:t>
      </w:r>
      <w:r w:rsidRPr="00956B0F">
        <w:rPr>
          <w:rFonts w:hint="eastAsia"/>
          <w:b/>
          <w:bCs/>
          <w:rtl/>
        </w:rPr>
        <w:t>ות</w:t>
      </w:r>
      <w:r w:rsidRPr="00956B0F">
        <w:rPr>
          <w:b/>
          <w:bCs/>
          <w:rtl/>
        </w:rPr>
        <w:t xml:space="preserve">: </w:t>
      </w:r>
      <w:r w:rsidRPr="00956B0F">
        <w:rPr>
          <w:rFonts w:hint="eastAsia"/>
          <w:b/>
          <w:bCs/>
          <w:rtl/>
        </w:rPr>
        <w:t>סקירת</w:t>
      </w:r>
      <w:r w:rsidRPr="00956B0F">
        <w:rPr>
          <w:b/>
          <w:bCs/>
          <w:rtl/>
        </w:rPr>
        <w:t xml:space="preserve"> </w:t>
      </w:r>
      <w:r w:rsidRPr="00956B0F">
        <w:rPr>
          <w:rFonts w:hint="eastAsia"/>
          <w:b/>
          <w:bCs/>
          <w:rtl/>
        </w:rPr>
        <w:t>ספרות</w:t>
      </w:r>
      <w:r w:rsidRPr="00956B0F">
        <w:rPr>
          <w:rFonts w:hint="cs"/>
          <w:rtl/>
        </w:rPr>
        <w:t xml:space="preserve"> (2016), עמ' 22.</w:t>
      </w:r>
    </w:p>
  </w:footnote>
  <w:footnote w:id="223">
    <w:p w14:paraId="69344D5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שלי גפן-קושילביץ, </w:t>
      </w:r>
      <w:r w:rsidRPr="00956B0F">
        <w:rPr>
          <w:b/>
          <w:bCs/>
          <w:rtl/>
        </w:rPr>
        <w:t xml:space="preserve">"היא, </w:t>
      </w:r>
      <w:r w:rsidRPr="00956B0F">
        <w:rPr>
          <w:rFonts w:hint="eastAsia"/>
          <w:b/>
          <w:bCs/>
          <w:rtl/>
        </w:rPr>
        <w:t>הוא</w:t>
      </w:r>
      <w:r w:rsidRPr="00956B0F">
        <w:rPr>
          <w:b/>
          <w:bCs/>
          <w:rtl/>
        </w:rPr>
        <w:t xml:space="preserve"> </w:t>
      </w:r>
      <w:r w:rsidRPr="00956B0F">
        <w:rPr>
          <w:rFonts w:hint="eastAsia"/>
          <w:b/>
          <w:bCs/>
          <w:rtl/>
        </w:rPr>
        <w:t>והחבר</w:t>
      </w:r>
      <w:r w:rsidRPr="00956B0F">
        <w:rPr>
          <w:b/>
          <w:bCs/>
          <w:rtl/>
        </w:rPr>
        <w:t xml:space="preserve">'ה": </w:t>
      </w:r>
      <w:r w:rsidRPr="00956B0F">
        <w:rPr>
          <w:rFonts w:hint="eastAsia"/>
          <w:b/>
          <w:bCs/>
          <w:rtl/>
        </w:rPr>
        <w:t>תכנית</w:t>
      </w:r>
      <w:r w:rsidRPr="00956B0F">
        <w:rPr>
          <w:b/>
          <w:bCs/>
          <w:rtl/>
        </w:rPr>
        <w:t xml:space="preserve"> </w:t>
      </w:r>
      <w:r w:rsidRPr="00956B0F">
        <w:rPr>
          <w:rFonts w:hint="eastAsia"/>
          <w:b/>
          <w:bCs/>
          <w:rtl/>
        </w:rPr>
        <w:t>התערבות</w:t>
      </w:r>
      <w:r w:rsidRPr="00956B0F">
        <w:rPr>
          <w:b/>
          <w:bCs/>
          <w:rtl/>
        </w:rPr>
        <w:t xml:space="preserve"> </w:t>
      </w:r>
      <w:r w:rsidRPr="00956B0F">
        <w:rPr>
          <w:rFonts w:hint="eastAsia"/>
          <w:b/>
          <w:bCs/>
          <w:rtl/>
        </w:rPr>
        <w:t>בבתי</w:t>
      </w:r>
      <w:r w:rsidRPr="00956B0F">
        <w:rPr>
          <w:b/>
          <w:bCs/>
          <w:rtl/>
        </w:rPr>
        <w:t xml:space="preserve"> </w:t>
      </w:r>
      <w:r w:rsidRPr="00956B0F">
        <w:rPr>
          <w:rFonts w:hint="eastAsia"/>
          <w:b/>
          <w:bCs/>
          <w:rtl/>
        </w:rPr>
        <w:t>הספר</w:t>
      </w:r>
      <w:r w:rsidRPr="00956B0F">
        <w:rPr>
          <w:b/>
          <w:bCs/>
          <w:rtl/>
        </w:rPr>
        <w:t xml:space="preserve"> </w:t>
      </w:r>
      <w:r w:rsidRPr="00956B0F">
        <w:rPr>
          <w:rFonts w:hint="eastAsia"/>
          <w:b/>
          <w:bCs/>
          <w:rtl/>
        </w:rPr>
        <w:t>בנושא</w:t>
      </w:r>
      <w:r w:rsidRPr="00956B0F">
        <w:rPr>
          <w:b/>
          <w:bCs/>
          <w:rtl/>
        </w:rPr>
        <w:t xml:space="preserve"> </w:t>
      </w:r>
      <w:r w:rsidRPr="00956B0F">
        <w:rPr>
          <w:rFonts w:hint="eastAsia"/>
          <w:b/>
          <w:bCs/>
          <w:rtl/>
        </w:rPr>
        <w:t>מניעת</w:t>
      </w:r>
      <w:r w:rsidRPr="00956B0F">
        <w:rPr>
          <w:b/>
          <w:bCs/>
          <w:rtl/>
        </w:rPr>
        <w:t xml:space="preserve"> </w:t>
      </w:r>
      <w:r w:rsidRPr="00956B0F">
        <w:rPr>
          <w:rFonts w:hint="eastAsia"/>
          <w:b/>
          <w:bCs/>
          <w:rtl/>
        </w:rPr>
        <w:t>חיזור</w:t>
      </w:r>
      <w:r w:rsidRPr="00956B0F">
        <w:rPr>
          <w:b/>
          <w:bCs/>
          <w:rtl/>
        </w:rPr>
        <w:t xml:space="preserve"> </w:t>
      </w:r>
      <w:r w:rsidRPr="00956B0F">
        <w:rPr>
          <w:rFonts w:hint="eastAsia"/>
          <w:b/>
          <w:bCs/>
          <w:rtl/>
        </w:rPr>
        <w:t>אלים</w:t>
      </w:r>
      <w:r w:rsidRPr="00956B0F">
        <w:rPr>
          <w:b/>
          <w:bCs/>
          <w:rtl/>
        </w:rPr>
        <w:t xml:space="preserve"> (מחקר </w:t>
      </w:r>
      <w:r w:rsidRPr="00956B0F">
        <w:rPr>
          <w:rFonts w:hint="eastAsia"/>
          <w:b/>
          <w:bCs/>
          <w:rtl/>
        </w:rPr>
        <w:t>הערכה</w:t>
      </w:r>
      <w:r w:rsidRPr="00956B0F">
        <w:rPr>
          <w:b/>
          <w:bCs/>
          <w:rtl/>
        </w:rPr>
        <w:t>)</w:t>
      </w:r>
      <w:r w:rsidRPr="00956B0F">
        <w:rPr>
          <w:rFonts w:hint="cs"/>
          <w:rtl/>
        </w:rPr>
        <w:t xml:space="preserve"> (2001), עמ' 5 - 6.</w:t>
      </w:r>
    </w:p>
  </w:footnote>
  <w:footnote w:id="224">
    <w:p w14:paraId="1688D3C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נתוני הלמ"ס מתייחסים לנערים ונערות בני 16 בשנת 2022.</w:t>
      </w:r>
    </w:p>
  </w:footnote>
  <w:footnote w:id="225">
    <w:p w14:paraId="1A31882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במועד סיום ביקורת המעקב, בדצמבר 2024, התוכנית "חברות וזוגיות" פעלה כחלק מ</w:t>
      </w:r>
      <w:r w:rsidRPr="00956B0F">
        <w:rPr>
          <w:rtl/>
        </w:rPr>
        <w:t xml:space="preserve">תוכנית "הכוחות שבדרך" </w:t>
      </w:r>
      <w:r w:rsidRPr="00956B0F">
        <w:rPr>
          <w:rFonts w:hint="cs"/>
          <w:rtl/>
        </w:rPr>
        <w:t>המיועדת לתלמידים מגילי</w:t>
      </w:r>
      <w:r w:rsidRPr="00956B0F">
        <w:rPr>
          <w:rtl/>
        </w:rPr>
        <w:t xml:space="preserve"> הגן ועד </w:t>
      </w:r>
      <w:r w:rsidRPr="00956B0F">
        <w:rPr>
          <w:rFonts w:hint="cs"/>
          <w:rtl/>
        </w:rPr>
        <w:t xml:space="preserve">כיתה </w:t>
      </w:r>
      <w:r w:rsidRPr="00956B0F">
        <w:rPr>
          <w:rtl/>
        </w:rPr>
        <w:t xml:space="preserve">י"ב. בתוכנית </w:t>
      </w:r>
      <w:r w:rsidRPr="00956B0F">
        <w:rPr>
          <w:rFonts w:hint="cs"/>
          <w:rtl/>
        </w:rPr>
        <w:t>"הכוחות שבדרך" מו</w:t>
      </w:r>
      <w:r w:rsidRPr="00956B0F">
        <w:rPr>
          <w:rtl/>
        </w:rPr>
        <w:t>קנים</w:t>
      </w:r>
      <w:r w:rsidRPr="00956B0F">
        <w:rPr>
          <w:rFonts w:hint="cs"/>
          <w:rtl/>
        </w:rPr>
        <w:t xml:space="preserve"> </w:t>
      </w:r>
      <w:r w:rsidRPr="00956B0F">
        <w:rPr>
          <w:rtl/>
        </w:rPr>
        <w:t xml:space="preserve">מיומנויות בסיס וכישורים </w:t>
      </w:r>
      <w:r w:rsidRPr="00956B0F">
        <w:rPr>
          <w:rFonts w:hint="cs"/>
          <w:rtl/>
        </w:rPr>
        <w:t>ב</w:t>
      </w:r>
      <w:r w:rsidRPr="00956B0F">
        <w:rPr>
          <w:rtl/>
        </w:rPr>
        <w:t>כלל תחומי החיים בהתאם לגיל ה</w:t>
      </w:r>
      <w:r w:rsidRPr="00956B0F">
        <w:rPr>
          <w:rFonts w:hint="cs"/>
          <w:rtl/>
        </w:rPr>
        <w:t>ה</w:t>
      </w:r>
      <w:r w:rsidRPr="00956B0F">
        <w:rPr>
          <w:rtl/>
        </w:rPr>
        <w:t>תפתחותי של התלמידים</w:t>
      </w:r>
      <w:r w:rsidRPr="00956B0F">
        <w:rPr>
          <w:rFonts w:hint="cs"/>
          <w:rtl/>
        </w:rPr>
        <w:t xml:space="preserve">, ובכלל זה התוכנית כוללת תכנים של </w:t>
      </w:r>
      <w:r w:rsidRPr="00956B0F">
        <w:rPr>
          <w:rtl/>
        </w:rPr>
        <w:t>סובלנות, אמפתיה, חברות, הסכמה, מגדר וסטריאוטיפים מיניים, שמירה על מרחב</w:t>
      </w:r>
      <w:r w:rsidRPr="00956B0F">
        <w:rPr>
          <w:rFonts w:hint="cs"/>
          <w:rtl/>
        </w:rPr>
        <w:t xml:space="preserve"> </w:t>
      </w:r>
      <w:r w:rsidRPr="00956B0F">
        <w:rPr>
          <w:rtl/>
        </w:rPr>
        <w:t xml:space="preserve">אישי, שומרי סף, פנייה ועזרה ועוד. נושאים אלה מהווים בסיס ותשתית לתוכנית </w:t>
      </w:r>
      <w:r w:rsidRPr="00956B0F">
        <w:rPr>
          <w:rFonts w:hint="cs"/>
          <w:rtl/>
        </w:rPr>
        <w:t>"חברות וזוגיות"</w:t>
      </w:r>
      <w:r w:rsidRPr="00956B0F">
        <w:rPr>
          <w:rtl/>
        </w:rPr>
        <w:t>.</w:t>
      </w:r>
    </w:p>
  </w:footnote>
  <w:footnote w:id="226">
    <w:p w14:paraId="7942357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הרשויות המקומיות </w:t>
      </w:r>
      <w:r w:rsidRPr="00956B0F">
        <w:rPr>
          <w:rtl/>
        </w:rPr>
        <w:t xml:space="preserve">בני ברק, דרום השרון, יבנה, מטה יהודה, סח'נין, עכו, ראש העין </w:t>
      </w:r>
      <w:r w:rsidRPr="00956B0F">
        <w:rPr>
          <w:rFonts w:hint="cs"/>
          <w:rtl/>
        </w:rPr>
        <w:t>ו</w:t>
      </w:r>
      <w:r w:rsidRPr="00956B0F">
        <w:rPr>
          <w:rtl/>
        </w:rPr>
        <w:t>ש</w:t>
      </w:r>
      <w:r w:rsidRPr="00956B0F">
        <w:rPr>
          <w:rFonts w:hint="cs"/>
          <w:rtl/>
        </w:rPr>
        <w:t>י</w:t>
      </w:r>
      <w:r w:rsidRPr="00956B0F">
        <w:rPr>
          <w:rtl/>
        </w:rPr>
        <w:t>בלי - אום אל-</w:t>
      </w:r>
      <w:r w:rsidRPr="00956B0F">
        <w:rPr>
          <w:rFonts w:hint="cs"/>
          <w:rtl/>
        </w:rPr>
        <w:t>ר'נם.</w:t>
      </w:r>
    </w:p>
  </w:footnote>
  <w:footnote w:id="227">
    <w:p w14:paraId="7C09C72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לפי התשובה, </w:t>
      </w:r>
      <w:r w:rsidRPr="00956B0F">
        <w:rPr>
          <w:rtl/>
        </w:rPr>
        <w:t xml:space="preserve">בכיתות א' </w:t>
      </w:r>
      <w:r w:rsidRPr="00956B0F">
        <w:rPr>
          <w:rFonts w:hint="cs"/>
          <w:rtl/>
        </w:rPr>
        <w:t xml:space="preserve">עד </w:t>
      </w:r>
      <w:r w:rsidRPr="00956B0F">
        <w:rPr>
          <w:rtl/>
        </w:rPr>
        <w:t>ה' מבססים תשתית ליצירת קשרים ויחסים חברתיים</w:t>
      </w:r>
      <w:r w:rsidRPr="00956B0F">
        <w:rPr>
          <w:rFonts w:hint="cs"/>
          <w:rtl/>
        </w:rPr>
        <w:t xml:space="preserve">; </w:t>
      </w:r>
      <w:r w:rsidRPr="00956B0F">
        <w:rPr>
          <w:rtl/>
        </w:rPr>
        <w:t xml:space="preserve">בכיתות ו' </w:t>
      </w:r>
      <w:r w:rsidRPr="00956B0F">
        <w:rPr>
          <w:rFonts w:hint="cs"/>
          <w:rtl/>
        </w:rPr>
        <w:t xml:space="preserve">עד </w:t>
      </w:r>
      <w:r w:rsidRPr="00956B0F">
        <w:rPr>
          <w:rtl/>
        </w:rPr>
        <w:t>ז' מבססים תשתית להיכרות עצמית ו</w:t>
      </w:r>
      <w:r w:rsidRPr="00956B0F">
        <w:rPr>
          <w:rFonts w:hint="cs"/>
          <w:rtl/>
        </w:rPr>
        <w:t>ל</w:t>
      </w:r>
      <w:r w:rsidRPr="00956B0F">
        <w:rPr>
          <w:rtl/>
        </w:rPr>
        <w:t>שמירה על העצמי</w:t>
      </w:r>
      <w:r w:rsidRPr="00956B0F">
        <w:rPr>
          <w:rFonts w:hint="cs"/>
          <w:rtl/>
        </w:rPr>
        <w:t xml:space="preserve">; </w:t>
      </w:r>
      <w:r w:rsidRPr="00956B0F">
        <w:rPr>
          <w:rtl/>
        </w:rPr>
        <w:t xml:space="preserve">בכיתות ח' </w:t>
      </w:r>
      <w:r w:rsidRPr="00956B0F">
        <w:rPr>
          <w:rFonts w:hint="cs"/>
          <w:rtl/>
        </w:rPr>
        <w:t xml:space="preserve">עד </w:t>
      </w:r>
      <w:r w:rsidRPr="00956B0F">
        <w:rPr>
          <w:rtl/>
        </w:rPr>
        <w:t>ט' מבססים תשתית לזוגיות המוש</w:t>
      </w:r>
      <w:r w:rsidRPr="00956B0F">
        <w:rPr>
          <w:rFonts w:hint="cs"/>
          <w:rtl/>
        </w:rPr>
        <w:t>ת</w:t>
      </w:r>
      <w:r w:rsidRPr="00956B0F">
        <w:rPr>
          <w:rtl/>
        </w:rPr>
        <w:t>תת על כבוד וקשר זוגי מיטבי</w:t>
      </w:r>
      <w:r w:rsidRPr="00956B0F">
        <w:rPr>
          <w:rFonts w:hint="cs"/>
          <w:rtl/>
        </w:rPr>
        <w:t xml:space="preserve">; </w:t>
      </w:r>
      <w:r w:rsidRPr="00956B0F">
        <w:rPr>
          <w:rtl/>
        </w:rPr>
        <w:t>בכיתות י' מבססים תשתית למיומנויות של אסרטיביות וניהול יחסים</w:t>
      </w:r>
      <w:r w:rsidRPr="00956B0F">
        <w:rPr>
          <w:rFonts w:hint="cs"/>
          <w:rtl/>
        </w:rPr>
        <w:t>; ו</w:t>
      </w:r>
      <w:r w:rsidRPr="00956B0F">
        <w:rPr>
          <w:rtl/>
        </w:rPr>
        <w:t xml:space="preserve">בכיתה י"א מופעלת התוכנית "חברות וזוגיות" על סמך התשתיות </w:t>
      </w:r>
      <w:r w:rsidRPr="00956B0F">
        <w:rPr>
          <w:rFonts w:hint="cs"/>
          <w:rtl/>
        </w:rPr>
        <w:t>הללו.</w:t>
      </w:r>
    </w:p>
  </w:footnote>
  <w:footnote w:id="228">
    <w:p w14:paraId="1E2A3AE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ראמ"ה </w:t>
      </w:r>
      <w:r w:rsidRPr="00956B0F">
        <w:rPr>
          <w:rFonts w:hint="cs"/>
          <w:rtl/>
        </w:rPr>
        <w:t xml:space="preserve">(הרשות הארצית למדידה והערכה בחינוך) </w:t>
      </w:r>
      <w:r w:rsidRPr="00956B0F">
        <w:rPr>
          <w:rtl/>
        </w:rPr>
        <w:t xml:space="preserve">היא </w:t>
      </w:r>
      <w:r w:rsidRPr="00956B0F">
        <w:rPr>
          <w:rFonts w:hint="cs"/>
          <w:rtl/>
        </w:rPr>
        <w:t>יחידת סמך ממשלתית הפועלת תחת משרד החינוך</w:t>
      </w:r>
      <w:r w:rsidRPr="00956B0F">
        <w:rPr>
          <w:rtl/>
        </w:rPr>
        <w:t xml:space="preserve">. </w:t>
      </w:r>
      <w:r w:rsidRPr="00956B0F">
        <w:rPr>
          <w:rFonts w:hint="cs"/>
          <w:rtl/>
        </w:rPr>
        <w:t>ראמ"ה אמונה על איסוף</w:t>
      </w:r>
      <w:r w:rsidRPr="00956B0F">
        <w:rPr>
          <w:rtl/>
        </w:rPr>
        <w:t xml:space="preserve">, </w:t>
      </w:r>
      <w:r w:rsidRPr="00956B0F">
        <w:rPr>
          <w:rFonts w:hint="cs"/>
          <w:rtl/>
        </w:rPr>
        <w:t xml:space="preserve">ניתוח </w:t>
      </w:r>
      <w:r w:rsidRPr="00956B0F">
        <w:rPr>
          <w:rtl/>
        </w:rPr>
        <w:t>ו</w:t>
      </w:r>
      <w:r w:rsidRPr="00956B0F">
        <w:rPr>
          <w:rFonts w:hint="cs"/>
          <w:rtl/>
        </w:rPr>
        <w:t xml:space="preserve">הפצה של </w:t>
      </w:r>
      <w:r w:rsidRPr="00956B0F">
        <w:rPr>
          <w:rtl/>
        </w:rPr>
        <w:t>נתונים מגוונים, מתוקפים ומקצועיים, שנועדו לתמוך בתהליכי קבלת החלטות ובמהלכי שינוי רחבי היקף.</w:t>
      </w:r>
      <w:r w:rsidRPr="00956B0F">
        <w:rPr>
          <w:rFonts w:hint="cs"/>
          <w:rtl/>
        </w:rPr>
        <w:t xml:space="preserve"> כחלק מכך מקיימת ראמ"ה סקר </w:t>
      </w:r>
      <w:r w:rsidRPr="00956B0F">
        <w:rPr>
          <w:rtl/>
        </w:rPr>
        <w:t xml:space="preserve">בית ספרי אחת לשנה בקרב שליש מבתי הספר, </w:t>
      </w:r>
      <w:r w:rsidRPr="00956B0F">
        <w:rPr>
          <w:rFonts w:hint="cs"/>
          <w:rtl/>
        </w:rPr>
        <w:t>ש</w:t>
      </w:r>
      <w:r w:rsidRPr="00956B0F">
        <w:rPr>
          <w:rtl/>
        </w:rPr>
        <w:t>מטרתו לשקף להנהלת בית הספר את מצבו של בית הספר כפי שהוא נתפס ע</w:t>
      </w:r>
      <w:r w:rsidRPr="00956B0F">
        <w:rPr>
          <w:rFonts w:hint="cs"/>
          <w:rtl/>
        </w:rPr>
        <w:t>ל ידי</w:t>
      </w:r>
      <w:r w:rsidRPr="00956B0F">
        <w:rPr>
          <w:rtl/>
        </w:rPr>
        <w:t xml:space="preserve"> התלמידים, המורים וההורים</w:t>
      </w:r>
      <w:r w:rsidRPr="00956B0F">
        <w:rPr>
          <w:rFonts w:hint="cs"/>
          <w:rtl/>
        </w:rPr>
        <w:t xml:space="preserve">. </w:t>
      </w:r>
      <w:r w:rsidRPr="00956B0F">
        <w:rPr>
          <w:rtl/>
        </w:rPr>
        <w:t xml:space="preserve">במסגרת </w:t>
      </w:r>
      <w:r w:rsidRPr="00956B0F">
        <w:rPr>
          <w:rFonts w:hint="cs"/>
          <w:rtl/>
        </w:rPr>
        <w:t>ה</w:t>
      </w:r>
      <w:r w:rsidRPr="00956B0F">
        <w:rPr>
          <w:rtl/>
        </w:rPr>
        <w:t xml:space="preserve">סקר </w:t>
      </w:r>
      <w:r w:rsidRPr="00956B0F">
        <w:rPr>
          <w:rFonts w:hint="cs"/>
          <w:rtl/>
        </w:rPr>
        <w:t xml:space="preserve">מתבקשים </w:t>
      </w:r>
      <w:r w:rsidRPr="00956B0F">
        <w:rPr>
          <w:rtl/>
        </w:rPr>
        <w:t>התלמידים לדווח</w:t>
      </w:r>
      <w:r w:rsidRPr="00956B0F">
        <w:rPr>
          <w:rFonts w:hint="cs"/>
          <w:rtl/>
        </w:rPr>
        <w:t>, בין השאר,</w:t>
      </w:r>
      <w:r w:rsidRPr="00956B0F">
        <w:rPr>
          <w:rtl/>
        </w:rPr>
        <w:t xml:space="preserve"> באיזו שכיחות התרחשו, בחודש שקדם למילוי השאלון, גילויי אלימות שונים כמו דחיפות, מכות, העלבות, הפצת שמועות, איומים</w:t>
      </w:r>
      <w:r w:rsidRPr="00956B0F">
        <w:rPr>
          <w:rFonts w:hint="cs"/>
          <w:rtl/>
        </w:rPr>
        <w:t xml:space="preserve"> </w:t>
      </w:r>
      <w:r w:rsidRPr="00956B0F">
        <w:rPr>
          <w:rtl/>
        </w:rPr>
        <w:t>והחרמו</w:t>
      </w:r>
      <w:r w:rsidRPr="00956B0F">
        <w:rPr>
          <w:rFonts w:hint="cs"/>
          <w:rtl/>
        </w:rPr>
        <w:t>ת. נתונים אלו הנאספים על ידי ראמ"ה מאוגדים לכדי מדד "אלימות ומוגנות" והם מפורסמים מדי שנה במרשתת. הנתונים זמינים בקישור הבא:</w:t>
      </w:r>
    </w:p>
    <w:p w14:paraId="55225CA6" w14:textId="77777777" w:rsidR="00F769CC" w:rsidRPr="00956B0F" w:rsidRDefault="00F769CC" w:rsidP="00817399">
      <w:pPr>
        <w:pStyle w:val="af7"/>
        <w:ind w:firstLine="0"/>
        <w:rPr>
          <w:rtl/>
        </w:rPr>
      </w:pPr>
      <w:r w:rsidRPr="00956B0F">
        <w:t>https://rama.edu.gov.il/assessments/surveys-2025</w:t>
      </w:r>
      <w:r w:rsidRPr="00956B0F">
        <w:rPr>
          <w:rFonts w:hint="cs"/>
          <w:rtl/>
        </w:rPr>
        <w:t xml:space="preserve"> (כניסה אחרונה: 17.2.25).</w:t>
      </w:r>
    </w:p>
  </w:footnote>
  <w:footnote w:id="229">
    <w:p w14:paraId="2249370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אריאל</w:t>
      </w:r>
      <w:r w:rsidRPr="00956B0F">
        <w:rPr>
          <w:rtl/>
        </w:rPr>
        <w:t xml:space="preserve"> </w:t>
      </w:r>
      <w:r w:rsidRPr="00956B0F">
        <w:rPr>
          <w:rFonts w:hint="eastAsia"/>
          <w:rtl/>
        </w:rPr>
        <w:t>כדורי</w:t>
      </w:r>
      <w:r w:rsidRPr="00956B0F">
        <w:rPr>
          <w:rtl/>
        </w:rPr>
        <w:t xml:space="preserve">, </w:t>
      </w:r>
      <w:r w:rsidRPr="00956B0F">
        <w:rPr>
          <w:rFonts w:ascii="Arial" w:hAnsi="Arial"/>
          <w:b/>
          <w:bCs/>
          <w:rtl/>
        </w:rPr>
        <w:t>מניעת אלימות בין בני זוג, ארגז כלים, ת</w:t>
      </w:r>
      <w:r w:rsidRPr="00956B0F">
        <w:rPr>
          <w:rFonts w:ascii="Arial" w:hAnsi="Arial" w:hint="eastAsia"/>
          <w:b/>
          <w:bCs/>
          <w:rtl/>
        </w:rPr>
        <w:t>ו</w:t>
      </w:r>
      <w:r w:rsidRPr="00956B0F">
        <w:rPr>
          <w:rFonts w:ascii="Arial" w:hAnsi="Arial"/>
          <w:b/>
          <w:bCs/>
          <w:rtl/>
        </w:rPr>
        <w:t xml:space="preserve">כניות מדיניות ופרקטיקות </w:t>
      </w:r>
      <w:r w:rsidRPr="00956B0F">
        <w:rPr>
          <w:rFonts w:ascii="Arial" w:hAnsi="Arial"/>
          <w:rtl/>
        </w:rPr>
        <w:t>(2020</w:t>
      </w:r>
      <w:r w:rsidRPr="00956B0F">
        <w:rPr>
          <w:rFonts w:ascii="Arial" w:hAnsi="Arial" w:hint="cs"/>
          <w:rtl/>
        </w:rPr>
        <w:t>), עמ' 14</w:t>
      </w:r>
      <w:r w:rsidRPr="00956B0F">
        <w:rPr>
          <w:rFonts w:hint="cs"/>
          <w:rtl/>
        </w:rPr>
        <w:t>.</w:t>
      </w:r>
    </w:p>
  </w:footnote>
  <w:footnote w:id="230">
    <w:p w14:paraId="6DCFEE0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t xml:space="preserve">Helen LaVan, Yvette P Lopez, Marsha Katz, William M Martin, The Impact of Domestic Violence in the Workplace, </w:t>
      </w:r>
      <w:r w:rsidRPr="00956B0F">
        <w:rPr>
          <w:b/>
          <w:bCs/>
        </w:rPr>
        <w:t>Employment Relations Today</w:t>
      </w:r>
      <w:r w:rsidRPr="00956B0F">
        <w:t xml:space="preserve"> (2012), pp. 51 - 63; Jennifer C.D. MacGregor, C. Nadine Wathen, Barbara J. MacQuarrie, Domestic Violence in the Canadian Workplace: Are Coworkers Aware? </w:t>
      </w:r>
      <w:r w:rsidRPr="00956B0F">
        <w:rPr>
          <w:b/>
          <w:bCs/>
        </w:rPr>
        <w:t>Safety and Health at Work</w:t>
      </w:r>
      <w:r w:rsidRPr="00956B0F">
        <w:t xml:space="preserve"> 7 (2016), pp. 244 - 250</w:t>
      </w:r>
    </w:p>
  </w:footnote>
  <w:footnote w:id="231">
    <w:p w14:paraId="5CEAE25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בן-שלום (1998), עמ' 26 ו-58.</w:t>
      </w:r>
    </w:p>
  </w:footnote>
  <w:footnote w:id="232">
    <w:p w14:paraId="39F9601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bookmarkStart w:id="1031" w:name="_Hlk185243578"/>
      <w:r w:rsidRPr="00956B0F">
        <w:rPr>
          <w:rFonts w:hint="cs"/>
          <w:rtl/>
        </w:rPr>
        <w:t xml:space="preserve">הצעת חוק למניעת אלימות במשפחה </w:t>
      </w:r>
      <w:r w:rsidRPr="00956B0F">
        <w:rPr>
          <w:rtl/>
        </w:rPr>
        <w:t>(תיקון - ממונה על נושא האלימות במשפחה במקומות עבודה גדולים), התשפ"ג-2023</w:t>
      </w:r>
      <w:bookmarkEnd w:id="1031"/>
      <w:r w:rsidRPr="00956B0F">
        <w:rPr>
          <w:rFonts w:hint="cs"/>
          <w:rtl/>
        </w:rPr>
        <w:t xml:space="preserve">. הצעת החוק הונחה על שולחן הכנסת </w:t>
      </w:r>
      <w:r w:rsidRPr="00956B0F">
        <w:rPr>
          <w:rFonts w:hint="eastAsia"/>
          <w:rtl/>
        </w:rPr>
        <w:t>לדיון</w:t>
      </w:r>
      <w:r w:rsidRPr="00956B0F">
        <w:rPr>
          <w:rtl/>
        </w:rPr>
        <w:t xml:space="preserve"> </w:t>
      </w:r>
      <w:r w:rsidRPr="00956B0F">
        <w:rPr>
          <w:rFonts w:hint="eastAsia"/>
          <w:rtl/>
        </w:rPr>
        <w:t>מוקדם</w:t>
      </w:r>
      <w:r w:rsidRPr="00956B0F">
        <w:rPr>
          <w:rFonts w:hint="cs"/>
          <w:rtl/>
        </w:rPr>
        <w:t xml:space="preserve"> ב-15.5.23. התיקון המוצע מבקש להטיל על מעסיקים במקומות עבודה שבהם יותר מ-518 עובדים את החובה למנות </w:t>
      </w:r>
      <w:r w:rsidRPr="00956B0F">
        <w:rPr>
          <w:rtl/>
        </w:rPr>
        <w:t>עובד סוציאלי או עובד אחר</w:t>
      </w:r>
      <w:r w:rsidRPr="00956B0F">
        <w:rPr>
          <w:rFonts w:hint="cs"/>
          <w:rtl/>
        </w:rPr>
        <w:t>, נוסף על תפקידו</w:t>
      </w:r>
      <w:r w:rsidRPr="00956B0F">
        <w:rPr>
          <w:rtl/>
        </w:rPr>
        <w:t>, אשר י</w:t>
      </w:r>
      <w:r w:rsidRPr="00956B0F">
        <w:rPr>
          <w:rFonts w:hint="cs"/>
          <w:rtl/>
        </w:rPr>
        <w:t>שמש</w:t>
      </w:r>
      <w:r w:rsidRPr="00956B0F">
        <w:rPr>
          <w:rtl/>
        </w:rPr>
        <w:t xml:space="preserve"> כתובת לעניין פניות העובדים בנושא אלימות במשפחה</w:t>
      </w:r>
      <w:r w:rsidRPr="00956B0F">
        <w:rPr>
          <w:rFonts w:hint="cs"/>
          <w:rtl/>
        </w:rPr>
        <w:t xml:space="preserve"> (להלן - ממונה אלימות במשפחה). עובד זה</w:t>
      </w:r>
      <w:r w:rsidRPr="00956B0F">
        <w:rPr>
          <w:rtl/>
        </w:rPr>
        <w:t xml:space="preserve"> </w:t>
      </w:r>
      <w:r w:rsidRPr="00956B0F">
        <w:rPr>
          <w:rFonts w:hint="cs"/>
          <w:rtl/>
        </w:rPr>
        <w:t>יהיה אמון על קבלת</w:t>
      </w:r>
      <w:r w:rsidRPr="00956B0F">
        <w:rPr>
          <w:rtl/>
        </w:rPr>
        <w:t xml:space="preserve"> </w:t>
      </w:r>
      <w:r w:rsidRPr="00956B0F">
        <w:rPr>
          <w:rFonts w:hint="cs"/>
          <w:rtl/>
        </w:rPr>
        <w:t>פניות של עובדים בנושא אלימות במשפחה</w:t>
      </w:r>
      <w:r w:rsidRPr="00956B0F">
        <w:rPr>
          <w:rtl/>
        </w:rPr>
        <w:t xml:space="preserve"> </w:t>
      </w:r>
      <w:r w:rsidRPr="00956B0F">
        <w:rPr>
          <w:rFonts w:hint="cs"/>
          <w:rtl/>
        </w:rPr>
        <w:t>ועל העברתן לטיפולם של ה</w:t>
      </w:r>
      <w:r w:rsidRPr="00956B0F">
        <w:rPr>
          <w:rtl/>
        </w:rPr>
        <w:t>גורמים המקצועיים המוסמכים לכך</w:t>
      </w:r>
      <w:r w:rsidRPr="00956B0F">
        <w:rPr>
          <w:rFonts w:hint="cs"/>
          <w:rtl/>
        </w:rPr>
        <w:t xml:space="preserve">. נוסף על כך, על פי הצעת החוק, הממונה על אלימות במשפחה יהיה אמון על </w:t>
      </w:r>
      <w:r w:rsidRPr="00956B0F">
        <w:rPr>
          <w:rtl/>
        </w:rPr>
        <w:t>ייזום</w:t>
      </w:r>
      <w:r w:rsidRPr="00956B0F">
        <w:rPr>
          <w:rFonts w:hint="cs"/>
          <w:rtl/>
        </w:rPr>
        <w:t xml:space="preserve"> פעולות מסוימות להעלאת המודעות לתופעת האלימות במשפחה במקום העבודה.</w:t>
      </w:r>
    </w:p>
  </w:footnote>
  <w:footnote w:id="233">
    <w:p w14:paraId="2EE85FA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סעיף</w:t>
      </w:r>
      <w:r w:rsidRPr="00956B0F">
        <w:rPr>
          <w:rtl/>
        </w:rPr>
        <w:t xml:space="preserve"> 7(ג)(5) </w:t>
      </w:r>
      <w:r w:rsidRPr="00956B0F">
        <w:rPr>
          <w:rFonts w:hint="eastAsia"/>
          <w:rtl/>
        </w:rPr>
        <w:t>לחוק</w:t>
      </w:r>
      <w:r w:rsidRPr="00956B0F">
        <w:rPr>
          <w:rtl/>
        </w:rPr>
        <w:t xml:space="preserve"> </w:t>
      </w:r>
      <w:r w:rsidRPr="00956B0F">
        <w:rPr>
          <w:rFonts w:hint="eastAsia"/>
          <w:rtl/>
        </w:rPr>
        <w:t>עבודת</w:t>
      </w:r>
      <w:r w:rsidRPr="00956B0F">
        <w:rPr>
          <w:rtl/>
        </w:rPr>
        <w:t xml:space="preserve"> </w:t>
      </w:r>
      <w:r w:rsidRPr="00956B0F">
        <w:rPr>
          <w:rFonts w:hint="eastAsia"/>
          <w:rtl/>
        </w:rPr>
        <w:t>נשים</w:t>
      </w:r>
      <w:r w:rsidRPr="00956B0F">
        <w:rPr>
          <w:rtl/>
        </w:rPr>
        <w:t xml:space="preserve">, </w:t>
      </w:r>
      <w:r w:rsidRPr="00956B0F">
        <w:rPr>
          <w:rFonts w:hint="eastAsia"/>
          <w:rtl/>
        </w:rPr>
        <w:t>התשי</w:t>
      </w:r>
      <w:r w:rsidRPr="00956B0F">
        <w:rPr>
          <w:rtl/>
        </w:rPr>
        <w:t>"ד-1954.</w:t>
      </w:r>
    </w:p>
  </w:footnote>
  <w:footnote w:id="234">
    <w:p w14:paraId="23AB12F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החלטת</w:t>
      </w:r>
      <w:r w:rsidRPr="00956B0F">
        <w:rPr>
          <w:rtl/>
        </w:rPr>
        <w:t xml:space="preserve"> </w:t>
      </w:r>
      <w:r w:rsidRPr="00956B0F">
        <w:rPr>
          <w:rFonts w:hint="eastAsia"/>
          <w:rtl/>
        </w:rPr>
        <w:t>הממשלה</w:t>
      </w:r>
      <w:r w:rsidRPr="00956B0F">
        <w:rPr>
          <w:rtl/>
        </w:rPr>
        <w:t xml:space="preserve"> 1889</w:t>
      </w:r>
      <w:r w:rsidRPr="00956B0F">
        <w:rPr>
          <w:rFonts w:hint="cs"/>
          <w:rtl/>
        </w:rPr>
        <w:t>,</w:t>
      </w:r>
      <w:r w:rsidRPr="00956B0F">
        <w:rPr>
          <w:rtl/>
        </w:rPr>
        <w:t xml:space="preserve"> "קידום </w:t>
      </w:r>
      <w:r w:rsidRPr="00956B0F">
        <w:rPr>
          <w:rFonts w:hint="eastAsia"/>
          <w:rtl/>
        </w:rPr>
        <w:t>זכויות</w:t>
      </w:r>
      <w:r w:rsidRPr="00956B0F">
        <w:rPr>
          <w:rtl/>
        </w:rPr>
        <w:t xml:space="preserve"> </w:t>
      </w:r>
      <w:r w:rsidRPr="00956B0F">
        <w:rPr>
          <w:rFonts w:hint="eastAsia"/>
          <w:rtl/>
        </w:rPr>
        <w:t>נפגעי</w:t>
      </w:r>
      <w:r w:rsidRPr="00956B0F">
        <w:rPr>
          <w:rtl/>
        </w:rPr>
        <w:t xml:space="preserve"> </w:t>
      </w:r>
      <w:r w:rsidRPr="00956B0F">
        <w:rPr>
          <w:rFonts w:hint="eastAsia"/>
          <w:rtl/>
        </w:rPr>
        <w:t>עבירה</w:t>
      </w:r>
      <w:r w:rsidRPr="00956B0F">
        <w:rPr>
          <w:rtl/>
        </w:rPr>
        <w:t xml:space="preserve"> </w:t>
      </w:r>
      <w:r w:rsidRPr="00956B0F">
        <w:rPr>
          <w:rFonts w:hint="eastAsia"/>
          <w:rtl/>
        </w:rPr>
        <w:t>בהליכים</w:t>
      </w:r>
      <w:r w:rsidRPr="00956B0F">
        <w:rPr>
          <w:rtl/>
        </w:rPr>
        <w:t xml:space="preserve"> </w:t>
      </w:r>
      <w:r w:rsidRPr="00956B0F">
        <w:rPr>
          <w:rFonts w:hint="eastAsia"/>
          <w:rtl/>
        </w:rPr>
        <w:t>משפטיים</w:t>
      </w:r>
      <w:r w:rsidRPr="00956B0F">
        <w:rPr>
          <w:rtl/>
        </w:rPr>
        <w:t xml:space="preserve"> </w:t>
      </w:r>
      <w:r w:rsidRPr="00956B0F">
        <w:rPr>
          <w:rFonts w:hint="eastAsia"/>
          <w:rtl/>
        </w:rPr>
        <w:t>ושיפור</w:t>
      </w:r>
      <w:r w:rsidRPr="00956B0F">
        <w:rPr>
          <w:rtl/>
        </w:rPr>
        <w:t xml:space="preserve"> </w:t>
      </w:r>
      <w:r w:rsidRPr="00956B0F">
        <w:rPr>
          <w:rFonts w:hint="eastAsia"/>
          <w:rtl/>
        </w:rPr>
        <w:t>המענה</w:t>
      </w:r>
      <w:r w:rsidRPr="00956B0F">
        <w:rPr>
          <w:rtl/>
        </w:rPr>
        <w:t xml:space="preserve"> </w:t>
      </w:r>
      <w:r w:rsidRPr="00956B0F">
        <w:rPr>
          <w:rFonts w:hint="eastAsia"/>
          <w:rtl/>
        </w:rPr>
        <w:t>הממשלתי</w:t>
      </w:r>
      <w:r w:rsidRPr="00956B0F">
        <w:rPr>
          <w:rtl/>
        </w:rPr>
        <w:t>" (2.10.22)</w:t>
      </w:r>
      <w:r w:rsidRPr="00956B0F">
        <w:rPr>
          <w:rFonts w:hint="cs"/>
          <w:rtl/>
        </w:rPr>
        <w:t>.</w:t>
      </w:r>
    </w:p>
  </w:footnote>
  <w:footnote w:id="235">
    <w:p w14:paraId="7504550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t xml:space="preserve">Phyllis Holiditch et al., </w:t>
      </w:r>
      <w:r w:rsidRPr="00956B0F">
        <w:rPr>
          <w:b/>
          <w:bCs/>
        </w:rPr>
        <w:t xml:space="preserve">Preventing Intimate Partner Violence Across the Lifespan: A Technical Package of Programs, Policies, and Practices </w:t>
      </w:r>
      <w:r w:rsidRPr="00956B0F">
        <w:t>(2017), p. 25</w:t>
      </w:r>
      <w:r w:rsidRPr="00956B0F">
        <w:rPr>
          <w:rtl/>
        </w:rPr>
        <w:t>.</w:t>
      </w:r>
    </w:p>
  </w:footnote>
  <w:footnote w:id="236">
    <w:p w14:paraId="423E63E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לדוגמה, בלניות, ספריות, קוסמטיקאיות, נהגי מונית וכיוצא באלה. בשל הטמעתה של מערכת ממוחשבת חדשה בעבודתה של הרשות לביטחון קהילתי במהלך ביקורת המעקב לא התאפשר לה להעביר נתונים על ההיקף התקציבי של תוכנית "שומרי סף" ועל מספר הרשויות המקומיות בהן הופעלה התוכנית בשנים שחלפו מאז הביקורת הקודמת.</w:t>
      </w:r>
    </w:p>
  </w:footnote>
  <w:footnote w:id="237">
    <w:p w14:paraId="6E8A7817"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המנהל היישובי אחראי</w:t>
      </w:r>
      <w:r w:rsidRPr="00956B0F">
        <w:rPr>
          <w:rtl/>
        </w:rPr>
        <w:t xml:space="preserve"> על איגום המשאבים, התיאום והשיתוף בין כלל הגורמים העוסקים בתחומי המניעה, ההסברה, הטיפול והשיקום</w:t>
      </w:r>
      <w:r w:rsidRPr="00956B0F">
        <w:rPr>
          <w:rFonts w:hint="cs"/>
          <w:rtl/>
        </w:rPr>
        <w:t xml:space="preserve">. ראו בהקשר זה גם: מבקר המדינה, </w:t>
      </w:r>
      <w:r w:rsidRPr="00956B0F">
        <w:rPr>
          <w:rFonts w:hint="cs"/>
          <w:b/>
          <w:bCs/>
          <w:rtl/>
        </w:rPr>
        <w:t>דוח על הביקורת בשלטון המקומי</w:t>
      </w:r>
      <w:r w:rsidRPr="00956B0F">
        <w:rPr>
          <w:rFonts w:hint="cs"/>
          <w:rtl/>
        </w:rPr>
        <w:t xml:space="preserve"> (2022), "טיפול הרשויות המקומיות בתופעות הסמים והאלכוהול בתחומן", עמ' 1149 - 1241.</w:t>
      </w:r>
    </w:p>
  </w:footnote>
  <w:footnote w:id="238">
    <w:p w14:paraId="512E03E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בשנת 2022 הועסקו עובדים סוציאליים קהילתיים במימון הרשות לביטחון קהילתי ב-27 רשויות מקומיות, בהיקף כספי מצטבר של כ-1.6 מיליון ש"ח, ובשנת 2023 הועסקו עובדים סוציאליים קהילתיים כאמור רק ב-23 רשויות מקומיות, בהיקף כספי מצטבר של כ-1.5 מיליון ש"ח.</w:t>
      </w:r>
    </w:p>
  </w:footnote>
  <w:footnote w:id="239">
    <w:p w14:paraId="6D580D4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לכל תקן מאויש</w:t>
      </w:r>
      <w:r w:rsidRPr="00956B0F">
        <w:rPr>
          <w:rFonts w:hint="cs"/>
          <w:rtl/>
        </w:rPr>
        <w:t xml:space="preserve"> במימון משרד הרווחה</w:t>
      </w:r>
      <w:r w:rsidRPr="00956B0F">
        <w:rPr>
          <w:rtl/>
        </w:rPr>
        <w:t xml:space="preserve"> נלווה תקציב פעולה</w:t>
      </w:r>
      <w:r w:rsidRPr="00956B0F">
        <w:rPr>
          <w:rFonts w:hint="cs"/>
          <w:rtl/>
        </w:rPr>
        <w:t xml:space="preserve"> בסכום של 25,000 ש"ח עבור עובד סוציאלי המועסק בתקן מלא או של 12,500 ש"ח עבור עובד סוציאלי המועסק בתקן חלקי</w:t>
      </w:r>
      <w:r w:rsidRPr="00956B0F">
        <w:rPr>
          <w:rtl/>
        </w:rPr>
        <w:t>.</w:t>
      </w:r>
      <w:r w:rsidRPr="00956B0F">
        <w:rPr>
          <w:rFonts w:hint="cs"/>
          <w:rtl/>
        </w:rPr>
        <w:t xml:space="preserve"> במועד סיום ביקורת המעקב, בדצמבר 2024, הקצה משרד הרווחה </w:t>
      </w:r>
      <w:r w:rsidRPr="00956B0F">
        <w:rPr>
          <w:rtl/>
        </w:rPr>
        <w:t xml:space="preserve">86 תקנים של </w:t>
      </w:r>
      <w:r w:rsidRPr="00956B0F">
        <w:rPr>
          <w:rFonts w:hint="cs"/>
          <w:rtl/>
        </w:rPr>
        <w:t>עובדים סוציאליים קהילתיים, אך רק כ-54% מהם אוישו (46.85 מתוך 86.25 תקנים, ב-57 מתוך 99 רשויות מקומיות).</w:t>
      </w:r>
    </w:p>
  </w:footnote>
  <w:footnote w:id="240">
    <w:p w14:paraId="6602599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מבקר המדינה, </w:t>
      </w:r>
      <w:r w:rsidRPr="00956B0F">
        <w:rPr>
          <w:rFonts w:hint="cs"/>
          <w:b/>
          <w:bCs/>
          <w:rtl/>
        </w:rPr>
        <w:t>דוח על הביקורת בשלטון המקומי</w:t>
      </w:r>
      <w:r w:rsidRPr="00956B0F">
        <w:rPr>
          <w:rFonts w:hint="cs"/>
          <w:rtl/>
        </w:rPr>
        <w:t xml:space="preserve"> (2023), "קידום השוויון המגדרי בשלטון המקומי", עמ' 144 - 147. </w:t>
      </w:r>
      <w:r w:rsidRPr="00956B0F">
        <w:rPr>
          <w:rtl/>
        </w:rPr>
        <w:t>יש לציין כי מתשובת משרד הנגב, הגליל והחוסן הלאומי לביקורת שעשה משרד מבקר המדינה בנושא זה הועלה כי עיכוב או הגשה חלקית של דרישות התשלום מצד הרשויות המקומיות עלולים לעכב גם את העברת התשלום מצד המשרד, כפי שקורה גם בתוכניות אחרות, ולכן שיעור ניצול התקציב אינו משקף בהכרח את שיעור הביצוע בפועל</w:t>
      </w:r>
      <w:r w:rsidRPr="00956B0F">
        <w:rPr>
          <w:rFonts w:hint="cs"/>
          <w:rtl/>
        </w:rPr>
        <w:t>.</w:t>
      </w:r>
    </w:p>
  </w:footnote>
  <w:footnote w:id="241">
    <w:p w14:paraId="03351A4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מערכת ארגונית-תשתיתית החובקת את כלל המערך הממשלתי לניהול נכסי</w:t>
      </w:r>
      <w:r w:rsidRPr="00956B0F">
        <w:rPr>
          <w:rFonts w:hint="cs"/>
          <w:rtl/>
        </w:rPr>
        <w:t xml:space="preserve"> </w:t>
      </w:r>
      <w:r w:rsidRPr="00956B0F">
        <w:rPr>
          <w:rtl/>
        </w:rPr>
        <w:t>המדינה ומשאביה.</w:t>
      </w:r>
    </w:p>
  </w:footnote>
  <w:footnote w:id="242">
    <w:p w14:paraId="273DF6C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לפי סעיף 149יב לפקודת העיריות [נוסח חדש], תפקידה של הוועדה למיגור האלימות הוא לאסוף ולנתח נתונים בנוגע למעשי </w:t>
      </w:r>
      <w:r w:rsidRPr="00956B0F">
        <w:rPr>
          <w:rFonts w:hint="cs"/>
          <w:rtl/>
        </w:rPr>
        <w:t>ה</w:t>
      </w:r>
      <w:r w:rsidRPr="00956B0F">
        <w:rPr>
          <w:rtl/>
        </w:rPr>
        <w:t xml:space="preserve">אלימות, </w:t>
      </w:r>
      <w:r w:rsidRPr="00956B0F">
        <w:rPr>
          <w:rFonts w:hint="cs"/>
          <w:rtl/>
        </w:rPr>
        <w:t>ה</w:t>
      </w:r>
      <w:r w:rsidRPr="00956B0F">
        <w:rPr>
          <w:rtl/>
        </w:rPr>
        <w:t xml:space="preserve">עבריינות </w:t>
      </w:r>
      <w:r w:rsidRPr="00956B0F">
        <w:rPr>
          <w:rFonts w:hint="cs"/>
          <w:rtl/>
        </w:rPr>
        <w:t>והפשיעה</w:t>
      </w:r>
      <w:r w:rsidRPr="00956B0F">
        <w:rPr>
          <w:rtl/>
        </w:rPr>
        <w:t xml:space="preserve"> בתחומי הרשות המקומית. כמו כן, על הוועדה לבחון את התוכניות הקיימות להתמודדות עם תופעות אלו, לגבש תוכניות חדשות ולהגישן לאישור המועצה, וכן לעקוב אחר יישום התוכניות שאושרו.</w:t>
      </w:r>
    </w:p>
  </w:footnote>
  <w:footnote w:id="243">
    <w:p w14:paraId="0F2FFF3E"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בהחלטת הממשלה 980</w:t>
      </w:r>
      <w:r w:rsidRPr="00956B0F">
        <w:rPr>
          <w:rFonts w:hint="cs"/>
          <w:rtl/>
        </w:rPr>
        <w:t>,</w:t>
      </w:r>
      <w:r w:rsidRPr="00956B0F">
        <w:rPr>
          <w:rtl/>
        </w:rPr>
        <w:t xml:space="preserve"> "הקמת מנהלת לשיקום ולפיתוח חבל 'התקומה' ואוכלוסייתו"</w:t>
      </w:r>
      <w:r w:rsidRPr="00956B0F">
        <w:rPr>
          <w:rFonts w:hint="cs"/>
          <w:rtl/>
        </w:rPr>
        <w:t xml:space="preserve"> (</w:t>
      </w:r>
      <w:r w:rsidRPr="00956B0F">
        <w:rPr>
          <w:rtl/>
        </w:rPr>
        <w:t>19.10.23</w:t>
      </w:r>
      <w:r w:rsidRPr="00956B0F">
        <w:rPr>
          <w:rFonts w:hint="cs"/>
          <w:rtl/>
        </w:rPr>
        <w:t xml:space="preserve">), </w:t>
      </w:r>
      <w:r w:rsidRPr="00956B0F">
        <w:rPr>
          <w:rtl/>
        </w:rPr>
        <w:t>הוגדר חבל התקומה כ"אזור שדרות רבתי והיישובים במועצות האזוריות אשכול, חוף אשקלון,</w:t>
      </w:r>
      <w:r w:rsidRPr="00956B0F">
        <w:rPr>
          <w:rFonts w:hint="cs"/>
          <w:rtl/>
        </w:rPr>
        <w:t xml:space="preserve"> </w:t>
      </w:r>
      <w:r w:rsidRPr="00956B0F">
        <w:rPr>
          <w:rtl/>
        </w:rPr>
        <w:t>שדות נגב ושער הנגב אשר בתיהם, כולם או חלקם, נמצאים בטווח של עד 7 ק"מ מגדר המערכת סביב רצועת</w:t>
      </w:r>
      <w:r w:rsidRPr="00956B0F">
        <w:rPr>
          <w:rFonts w:hint="cs"/>
          <w:rtl/>
        </w:rPr>
        <w:t xml:space="preserve"> </w:t>
      </w:r>
      <w:r w:rsidRPr="00956B0F">
        <w:rPr>
          <w:rtl/>
        </w:rPr>
        <w:t>עזה". הגדרת החבל מסתמכת על הגדרת "יישובי עוטף עזה" בהחלטת הממשלה</w:t>
      </w:r>
      <w:r w:rsidRPr="00956B0F">
        <w:rPr>
          <w:rFonts w:hint="cs"/>
          <w:rtl/>
        </w:rPr>
        <w:t xml:space="preserve"> </w:t>
      </w:r>
      <w:r w:rsidRPr="00956B0F">
        <w:rPr>
          <w:rtl/>
        </w:rPr>
        <w:t>462</w:t>
      </w:r>
      <w:r w:rsidRPr="00956B0F">
        <w:rPr>
          <w:rFonts w:hint="cs"/>
          <w:rtl/>
        </w:rPr>
        <w:t>,</w:t>
      </w:r>
      <w:r w:rsidRPr="00956B0F">
        <w:rPr>
          <w:rtl/>
        </w:rPr>
        <w:t xml:space="preserve"> "תוכנית לחיזוק החוסן</w:t>
      </w:r>
      <w:r w:rsidRPr="00956B0F">
        <w:rPr>
          <w:rFonts w:hint="cs"/>
          <w:rtl/>
        </w:rPr>
        <w:t xml:space="preserve"> </w:t>
      </w:r>
      <w:r w:rsidRPr="00956B0F">
        <w:rPr>
          <w:rtl/>
        </w:rPr>
        <w:t xml:space="preserve">האזרחי בשדרות וביישובי 'עוטף רצועות עזה' לשנים 2023 - 2024 ותיקון החלטות ממשלה" </w:t>
      </w:r>
      <w:r w:rsidRPr="00956B0F">
        <w:rPr>
          <w:rFonts w:hint="cs"/>
          <w:rtl/>
        </w:rPr>
        <w:t>(</w:t>
      </w:r>
      <w:r w:rsidRPr="00956B0F">
        <w:rPr>
          <w:rtl/>
        </w:rPr>
        <w:t>20.4.23</w:t>
      </w:r>
      <w:r w:rsidRPr="00956B0F">
        <w:rPr>
          <w:rFonts w:hint="cs"/>
          <w:rtl/>
        </w:rPr>
        <w:t>)</w:t>
      </w:r>
      <w:r w:rsidRPr="00956B0F">
        <w:rPr>
          <w:rtl/>
        </w:rPr>
        <w:t>, ועל</w:t>
      </w:r>
      <w:r w:rsidRPr="00956B0F">
        <w:rPr>
          <w:rFonts w:hint="cs"/>
          <w:rtl/>
        </w:rPr>
        <w:t xml:space="preserve"> </w:t>
      </w:r>
      <w:r w:rsidRPr="00956B0F">
        <w:rPr>
          <w:rtl/>
        </w:rPr>
        <w:t>החלטות הממשלה המוזכרות בה.</w:t>
      </w:r>
    </w:p>
  </w:footnote>
  <w:footnote w:id="244">
    <w:p w14:paraId="3F5FAFA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לפי התשובה, בשנת 2022, לקראת ציון יום המאבק הבין-לאומי באלימות כלפי נשים, הופצו לרשויות המקומיות ערכות דיגיטליות הכוללות "תמרורי אזהרה" בזוגיות לצורך פרסומן. הערכות פותחו בשיתוף עם ארגון פרטי והופצו ללא עלות, כך שהרשויות המקומיות נדרשו לממן רק את עלויות הפרסום במרחב העירוני ובמדיה הדיגיטלית.</w:t>
      </w:r>
    </w:p>
  </w:footnote>
  <w:footnote w:id="245">
    <w:p w14:paraId="54E3B55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עלויות הכליאה וההגנה המיידית המוערכות בשנת 2019 כוללות כ-172.5 מיליון ש"ח בגין כליאתם של עוברי חוק בתחום האלימות במשפחה (עלויות הכליאה של 1,438 אסירים כפול כ-120,000 ש"ח בשנה, שהיא העלות השנתית המוערכת של שהותו של אסיר במתקן כליאה) וכ-40 מיליוני ש"ח בגין הפעלת מקלטים לנשים נפגעות אלימות וילדיהן; עלויות המניעה הראשונית המוערכות בשנת 2019 כוללות כ-900 אלפי ש"ח בגין הפעלת תוכנית "חברות וזוגיות מיטיבה" וכ-2 מיליון ש"ח בגין הפעלת תוכנית "שומרי הסף" והעסקת עובדים סוציאליים קהילתיים. יש לציין כי בחישוב עלויות המניעה הראשונית לא נכללו עלויות מערכת הבריאות ובעלויות המניעה השלישונית לא נכללו עלויות הסיוע החומרי לנפגעי אלימות ועלויות השיקום של הפוגעים. ממצאים דומים על שיעורה המזערי של ההוצאה הציבורית על מניעה ראשונית ושניונית מול מניעה שלישונית בתחום ההתמודדות עם אלימות מבוססת מגדר (אלימות מגדרית) עלו גם ממחקר של המכון האירופי לשוויון מגדרי (</w:t>
      </w:r>
      <w:r w:rsidRPr="00956B0F">
        <w:t>EIGE</w:t>
      </w:r>
      <w:r w:rsidRPr="00956B0F">
        <w:rPr>
          <w:rFonts w:hint="cs"/>
          <w:rtl/>
        </w:rPr>
        <w:t xml:space="preserve">): </w:t>
      </w:r>
      <w:r w:rsidRPr="00956B0F">
        <w:t xml:space="preserve">European institute for gender equality, </w:t>
      </w:r>
      <w:r w:rsidRPr="00956B0F">
        <w:rPr>
          <w:b/>
          <w:bCs/>
        </w:rPr>
        <w:t>Estimating the costs of gender-based violence in the European Union</w:t>
      </w:r>
      <w:r w:rsidRPr="00956B0F">
        <w:t xml:space="preserve"> (2014), p. 115</w:t>
      </w:r>
    </w:p>
  </w:footnote>
  <w:footnote w:id="246">
    <w:p w14:paraId="3EB0087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"מערך מדידה להערכת מועילות השירותים הניתנים בתחום האלימות במשפחה".</w:t>
      </w:r>
    </w:p>
  </w:footnote>
  <w:footnote w:id="247">
    <w:p w14:paraId="0240C85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bookmarkStart w:id="1130" w:name="_Hlk192508643"/>
      <w:r w:rsidRPr="00956B0F">
        <w:rPr>
          <w:rFonts w:hint="cs"/>
          <w:rtl/>
        </w:rPr>
        <w:t>עלויות הכליאה וההגנה המיידית המוערכות בשנת 2023 כוללות כ-180 מיליון ש"ח בגין כליאתם של עוברי חוק בתחום האלימות במשפחה (עלויות הכליאה של כ-1,500 אסירים כפול כ-120,000 ש"ח בשנה, שהיא העלות השנתית המוערכת של שהותו של אסיר במתקן כליאה) וכ-50 מיליוני ש"ח בגין הפעלת מקלטים לנשים נפגעות אלימות וילדיהן; עלויות המניעה הראשונית המוערכות בשנת 2023 כוללות כ-7 מיליוני ש"ח בגין הפעלת תוכנית "חברות וזוגיות מיטיבה" וכ-1.5 מיליון ש"ח בגין העסקת עובדים סוציאליים קהילתיים במימון הרשות לביטחון קהילתי. בשל הטמעתה של מערכת ממוחשבת חדשה בעבודתה של הרשות לביטחון קהילתי במהלך ביקורת המעקב לא התאפשר לה להעביר נתונים על מספר הרשויות המקומיות וההיקף התקציבי של תוכנית "שומרי סף" בשנה זו. יש לציין כי בדומה לביקורת הקודמת, בחישוב עלויות המניעה הראשונית לא נכללו עלויות מערכת הבריאות ובעלויות המניעה השלישונית לא נכללו עלויות הסיוע החומרי לנפגעי אלימות ועלויות השיקום של הפוגעים).</w:t>
      </w:r>
      <w:bookmarkEnd w:id="1130"/>
    </w:p>
  </w:footnote>
  <w:footnote w:id="248">
    <w:p w14:paraId="0A52A40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4 לחוק הרשות לקידום מעמד האישה.</w:t>
      </w:r>
    </w:p>
  </w:footnote>
  <w:footnote w:id="249">
    <w:p w14:paraId="1F6B3BA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b/>
          <w:bCs/>
          <w:rtl/>
        </w:rPr>
        <w:t>דין וחשבון הוועדה לניסוח הצעה לרפורמה בשירותי הרווחה המקומיים</w:t>
      </w:r>
      <w:r w:rsidRPr="00956B0F">
        <w:rPr>
          <w:rtl/>
        </w:rPr>
        <w:t xml:space="preserve"> (2010)</w:t>
      </w:r>
      <w:r w:rsidRPr="00956B0F">
        <w:rPr>
          <w:rFonts w:hint="cs"/>
          <w:rtl/>
        </w:rPr>
        <w:t>, עמ' 36.</w:t>
      </w:r>
    </w:p>
  </w:footnote>
  <w:footnote w:id="250">
    <w:p w14:paraId="6FDCF68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דין וחשבון ועדת בן-שלום</w:t>
      </w:r>
      <w:r w:rsidRPr="00956B0F">
        <w:rPr>
          <w:rStyle w:val="Hyperlink"/>
          <w:color w:val="auto"/>
          <w:u w:val="none"/>
        </w:rPr>
        <w:t xml:space="preserve"> </w:t>
      </w:r>
      <w:r w:rsidRPr="00956B0F">
        <w:rPr>
          <w:rStyle w:val="Hyperlink"/>
          <w:color w:val="auto"/>
          <w:u w:val="none"/>
          <w:rtl/>
        </w:rPr>
        <w:t>(1998)</w:t>
      </w:r>
      <w:r w:rsidRPr="00956B0F">
        <w:rPr>
          <w:rtl/>
        </w:rPr>
        <w:t>,</w:t>
      </w:r>
      <w:r w:rsidRPr="00956B0F">
        <w:rPr>
          <w:rFonts w:hint="cs"/>
          <w:rtl/>
        </w:rPr>
        <w:t xml:space="preserve"> עמ' 8 - 9.</w:t>
      </w:r>
    </w:p>
  </w:footnote>
  <w:footnote w:id="251">
    <w:p w14:paraId="0AE9E3A9"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"איתור משפחות במעגל האלימות על ידי גורמים נוספים והפנייתן לרשויות הרווחה: משרד הבריאות", עמ' 475 - 476.</w:t>
      </w:r>
    </w:p>
  </w:footnote>
  <w:footnote w:id="252">
    <w:p w14:paraId="49CF810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בשונה לדוגמה מהתפיסות החברתיות שעשויות להתלוות לפנייה לשירותי הרווחה או לגורמי אכיפת החוק. ראו: הדס שפירא ואלן מילשטיין, </w:t>
      </w:r>
      <w:r w:rsidRPr="00956B0F">
        <w:rPr>
          <w:rFonts w:hint="cs"/>
          <w:b/>
          <w:bCs/>
          <w:rtl/>
        </w:rPr>
        <w:t>איתור נפגעי אלימות במשפחה וטיפול בהם במערכות בריאות: סקירה בין-לאומית</w:t>
      </w:r>
      <w:r w:rsidRPr="00956B0F">
        <w:rPr>
          <w:rFonts w:hint="cs"/>
          <w:rtl/>
        </w:rPr>
        <w:t xml:space="preserve"> (2023), עמ' 1. ראו גם:</w:t>
      </w:r>
      <w:r w:rsidRPr="00956B0F">
        <w:rPr>
          <w:rFonts w:hint="cs"/>
        </w:rPr>
        <w:t xml:space="preserve"> </w:t>
      </w:r>
      <w:r w:rsidRPr="00956B0F">
        <w:rPr>
          <w:rFonts w:hint="cs"/>
          <w:rtl/>
        </w:rPr>
        <w:t xml:space="preserve">אירית אלרועי, רויטל גרוס, דבורה איציק וזהר לביא-סהר, </w:t>
      </w:r>
      <w:r w:rsidRPr="00956B0F">
        <w:rPr>
          <w:rFonts w:hint="eastAsia"/>
          <w:b/>
          <w:bCs/>
          <w:rtl/>
        </w:rPr>
        <w:t>קולן</w:t>
      </w:r>
      <w:r w:rsidRPr="00956B0F">
        <w:rPr>
          <w:b/>
          <w:bCs/>
          <w:rtl/>
        </w:rPr>
        <w:t xml:space="preserve"> של נשים </w:t>
      </w:r>
      <w:r w:rsidRPr="00956B0F">
        <w:rPr>
          <w:rFonts w:hint="cs"/>
          <w:b/>
          <w:bCs/>
          <w:rtl/>
        </w:rPr>
        <w:t>נ</w:t>
      </w:r>
      <w:r w:rsidRPr="00956B0F">
        <w:rPr>
          <w:rFonts w:hint="eastAsia"/>
          <w:b/>
          <w:bCs/>
          <w:rtl/>
        </w:rPr>
        <w:t>פגעות</w:t>
      </w:r>
      <w:r w:rsidRPr="00956B0F">
        <w:rPr>
          <w:b/>
          <w:bCs/>
          <w:rtl/>
        </w:rPr>
        <w:t xml:space="preserve"> </w:t>
      </w:r>
      <w:r w:rsidRPr="00956B0F">
        <w:rPr>
          <w:rFonts w:hint="eastAsia"/>
          <w:b/>
          <w:bCs/>
          <w:rtl/>
        </w:rPr>
        <w:t>אלימות</w:t>
      </w:r>
      <w:r w:rsidRPr="00956B0F">
        <w:rPr>
          <w:b/>
          <w:bCs/>
          <w:rtl/>
        </w:rPr>
        <w:t xml:space="preserve">: </w:t>
      </w:r>
      <w:r w:rsidRPr="00956B0F">
        <w:rPr>
          <w:rFonts w:hint="eastAsia"/>
          <w:b/>
          <w:bCs/>
          <w:rtl/>
        </w:rPr>
        <w:t>תפיסותיהן</w:t>
      </w:r>
      <w:r w:rsidRPr="00956B0F">
        <w:rPr>
          <w:b/>
          <w:bCs/>
          <w:rtl/>
        </w:rPr>
        <w:t xml:space="preserve"> </w:t>
      </w:r>
      <w:r w:rsidRPr="00956B0F">
        <w:rPr>
          <w:rFonts w:hint="eastAsia"/>
          <w:b/>
          <w:bCs/>
          <w:rtl/>
        </w:rPr>
        <w:t>את</w:t>
      </w:r>
      <w:r w:rsidRPr="00956B0F">
        <w:rPr>
          <w:b/>
          <w:bCs/>
          <w:rtl/>
        </w:rPr>
        <w:t xml:space="preserve"> </w:t>
      </w:r>
      <w:r w:rsidRPr="00956B0F">
        <w:rPr>
          <w:rFonts w:hint="eastAsia"/>
          <w:b/>
          <w:bCs/>
          <w:rtl/>
        </w:rPr>
        <w:t>הטיפול</w:t>
      </w:r>
      <w:r w:rsidRPr="00956B0F">
        <w:rPr>
          <w:b/>
          <w:bCs/>
          <w:rtl/>
        </w:rPr>
        <w:t xml:space="preserve"> </w:t>
      </w:r>
      <w:r w:rsidRPr="00956B0F">
        <w:rPr>
          <w:rFonts w:hint="eastAsia"/>
          <w:b/>
          <w:bCs/>
          <w:rtl/>
        </w:rPr>
        <w:t>בהן</w:t>
      </w:r>
      <w:r w:rsidRPr="00956B0F">
        <w:rPr>
          <w:b/>
          <w:bCs/>
          <w:rtl/>
        </w:rPr>
        <w:t xml:space="preserve"> </w:t>
      </w:r>
      <w:r w:rsidRPr="00956B0F">
        <w:rPr>
          <w:rFonts w:hint="eastAsia"/>
          <w:b/>
          <w:bCs/>
          <w:rtl/>
        </w:rPr>
        <w:t>בבית</w:t>
      </w:r>
      <w:r w:rsidRPr="00956B0F">
        <w:rPr>
          <w:b/>
          <w:bCs/>
          <w:rtl/>
        </w:rPr>
        <w:t>-החולים</w:t>
      </w:r>
      <w:r w:rsidRPr="00956B0F">
        <w:rPr>
          <w:rFonts w:hint="cs"/>
          <w:rtl/>
        </w:rPr>
        <w:t xml:space="preserve"> (2008), עמ' 24 - 25.</w:t>
      </w:r>
    </w:p>
  </w:footnote>
  <w:footnote w:id="253">
    <w:p w14:paraId="3895604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חוזר מנכ"ל משרד הבריאות 23/03,"איתור וטיפול נשים נפגעות אלימות במשפחה ע"י מטפלים במסגרות הבריאות - באשפוז בקהילה" </w:t>
      </w:r>
      <w:r w:rsidRPr="00956B0F">
        <w:rPr>
          <w:rtl/>
        </w:rPr>
        <w:t>(</w:t>
      </w:r>
      <w:r w:rsidRPr="00956B0F">
        <w:rPr>
          <w:rFonts w:hint="cs"/>
          <w:rtl/>
        </w:rPr>
        <w:t>19.11.03</w:t>
      </w:r>
      <w:r w:rsidRPr="00956B0F">
        <w:rPr>
          <w:rStyle w:val="Hyperlink"/>
          <w:rFonts w:hint="cs"/>
          <w:color w:val="auto"/>
          <w:u w:val="none"/>
          <w:rtl/>
        </w:rPr>
        <w:t>)</w:t>
      </w:r>
      <w:r w:rsidRPr="00956B0F">
        <w:rPr>
          <w:rFonts w:hint="cs"/>
          <w:rtl/>
        </w:rPr>
        <w:t>. נוסף על חוזר 23/03 פורסמו במהלך שלושת העשורים האחרונים כמה חוזרים נוספים: חוזר מנכ"ל משרד הבריאות 20/90, "טיפול בנפגעי אלימות במשפחה ניצול מיני והזנחה של קטינים וחסרי ישע" (28.8.90</w:t>
      </w:r>
      <w:r w:rsidRPr="00956B0F">
        <w:rPr>
          <w:rStyle w:val="Hyperlink"/>
          <w:rFonts w:hint="cs"/>
          <w:color w:val="auto"/>
          <w:u w:val="none"/>
          <w:rtl/>
        </w:rPr>
        <w:t>)</w:t>
      </w:r>
      <w:r w:rsidRPr="00956B0F">
        <w:rPr>
          <w:rFonts w:hint="cs"/>
          <w:rtl/>
        </w:rPr>
        <w:t>; חוזר מינהל הרפואה 35/02, "נוהל טיפול עובד/ת סוציאלי/ת בנשים נפגעות אלימות במשפחה במחלקה לרפואה דחופה" (15.7.02</w:t>
      </w:r>
      <w:r w:rsidRPr="00956B0F">
        <w:rPr>
          <w:rStyle w:val="Hyperlink"/>
          <w:rFonts w:hint="cs"/>
          <w:color w:val="auto"/>
          <w:u w:val="none"/>
          <w:rtl/>
        </w:rPr>
        <w:t>)</w:t>
      </w:r>
      <w:r w:rsidRPr="00956B0F">
        <w:rPr>
          <w:rFonts w:hint="cs"/>
          <w:rtl/>
        </w:rPr>
        <w:t>; חוזר מנכ"ל משרד הבריאות 26/03, "מינוי ועדות קבועות לנושא אלימות במשפחה, ניצול מיני והזנחה של קטינים וחסרי ישע" (19.11.03</w:t>
      </w:r>
      <w:r w:rsidRPr="00956B0F">
        <w:rPr>
          <w:rStyle w:val="Hyperlink"/>
          <w:rFonts w:hint="cs"/>
          <w:color w:val="auto"/>
          <w:u w:val="none"/>
          <w:rtl/>
        </w:rPr>
        <w:t>)</w:t>
      </w:r>
      <w:r w:rsidRPr="00956B0F">
        <w:rPr>
          <w:rFonts w:hint="cs"/>
          <w:rtl/>
        </w:rPr>
        <w:t>; חוזר מינהל הרפואה 39/11, "העברת מידע בין מוסדות רפואיים לאיתור וזיהוי קטינים וחסרי ישע נפגעי אלימות במשפחה" (27.11.11</w:t>
      </w:r>
      <w:r w:rsidRPr="00956B0F">
        <w:rPr>
          <w:rStyle w:val="Hyperlink"/>
          <w:rFonts w:hint="cs"/>
          <w:color w:val="auto"/>
          <w:u w:val="none"/>
          <w:rtl/>
        </w:rPr>
        <w:t>)</w:t>
      </w:r>
      <w:r w:rsidRPr="00956B0F">
        <w:rPr>
          <w:rFonts w:hint="cs"/>
          <w:rtl/>
        </w:rPr>
        <w:t>.</w:t>
      </w:r>
    </w:p>
  </w:footnote>
  <w:footnote w:id="254">
    <w:p w14:paraId="559A635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התשאול מתבצע בין היתר באמצעות אחיות טיפת חלב בקרב נשים אחרי לידה. בביקורת הקודמת משרד מבקר המדינה ציין לחיוב את הגידול הניכר </w:t>
      </w:r>
      <w:r w:rsidRPr="00956B0F">
        <w:rPr>
          <w:rtl/>
        </w:rPr>
        <w:t xml:space="preserve">במספר הנשים שתושאלו בתחנות טיפת חלב </w:t>
      </w:r>
      <w:r w:rsidRPr="00956B0F">
        <w:rPr>
          <w:rFonts w:hint="cs"/>
          <w:rtl/>
        </w:rPr>
        <w:t>בשנים 2016 - 2018:</w:t>
      </w:r>
      <w:r w:rsidRPr="00956B0F">
        <w:rPr>
          <w:rtl/>
        </w:rPr>
        <w:t xml:space="preserve"> מ-53% בשנת </w:t>
      </w:r>
      <w:r w:rsidRPr="00956B0F">
        <w:rPr>
          <w:rFonts w:hint="cs"/>
          <w:rtl/>
        </w:rPr>
        <w:t>2016</w:t>
      </w:r>
      <w:r w:rsidRPr="00956B0F">
        <w:rPr>
          <w:rtl/>
        </w:rPr>
        <w:t xml:space="preserve"> ל-85% בשנת 2018.</w:t>
      </w:r>
    </w:p>
  </w:footnote>
  <w:footnote w:id="255">
    <w:p w14:paraId="1EE3117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לפי החוק למניעת אלימות במשפחה ותקנות למניעת אלימות במשפחה (יידוע בידי אנשי מקצוע בתחום הבריאות), התשס"ב-2002.</w:t>
      </w:r>
    </w:p>
  </w:footnote>
  <w:footnote w:id="256">
    <w:p w14:paraId="0822204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סעיף</w:t>
      </w:r>
      <w:r w:rsidRPr="00956B0F">
        <w:rPr>
          <w:rtl/>
        </w:rPr>
        <w:t xml:space="preserve"> 4 </w:t>
      </w:r>
      <w:r w:rsidRPr="00956B0F">
        <w:rPr>
          <w:rFonts w:hint="eastAsia"/>
          <w:rtl/>
        </w:rPr>
        <w:t>לחוזר</w:t>
      </w:r>
      <w:r w:rsidRPr="00956B0F">
        <w:rPr>
          <w:rtl/>
        </w:rPr>
        <w:t xml:space="preserve"> </w:t>
      </w:r>
      <w:r w:rsidRPr="00956B0F">
        <w:rPr>
          <w:rFonts w:hint="eastAsia"/>
          <w:rtl/>
        </w:rPr>
        <w:t>מנכ</w:t>
      </w:r>
      <w:r w:rsidRPr="00956B0F">
        <w:rPr>
          <w:rtl/>
        </w:rPr>
        <w:t xml:space="preserve">"ל משרד </w:t>
      </w:r>
      <w:r w:rsidRPr="00956B0F">
        <w:rPr>
          <w:rFonts w:hint="eastAsia"/>
          <w:rtl/>
        </w:rPr>
        <w:t>הבריאות</w:t>
      </w:r>
      <w:r w:rsidRPr="00956B0F">
        <w:rPr>
          <w:rtl/>
        </w:rPr>
        <w:t xml:space="preserve"> 26/03</w:t>
      </w:r>
      <w:r w:rsidRPr="00956B0F">
        <w:rPr>
          <w:rFonts w:hint="cs"/>
          <w:rtl/>
        </w:rPr>
        <w:t>.</w:t>
      </w:r>
    </w:p>
  </w:footnote>
  <w:footnote w:id="257">
    <w:p w14:paraId="203C3A87"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הנתונים מתבססים על דיווחים עצמיים של 153 מרכזים בשנת 2023 (מתוך 169 מרכזים שפעלו בשנה זו) ושל 152 מרכזים בשנת 2022 (מתוך 171 מרכזים שפעלו בשנה זו).</w:t>
      </w:r>
    </w:p>
  </w:footnote>
  <w:footnote w:id="258">
    <w:p w14:paraId="419E098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בשנים 2022 ו-2023, בהתאמה, התקבלו 19,888 ו-20,315 הפניות חדשות במרכזים. </w:t>
      </w:r>
    </w:p>
  </w:footnote>
  <w:footnote w:id="259">
    <w:p w14:paraId="66DFB07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אלן מילשטיין, טליה חסין, זהר סהר-לביא וברברה לנג, </w:t>
      </w:r>
      <w:r w:rsidRPr="00956B0F">
        <w:rPr>
          <w:rFonts w:hint="cs"/>
          <w:b/>
          <w:bCs/>
          <w:rtl/>
        </w:rPr>
        <w:t>ועדות בנושא אלימות במשפחה ופגיעה מינית במערכת הבריאות: מיפוי של מאפיינים ודרכי פעולה</w:t>
      </w:r>
      <w:r w:rsidRPr="00956B0F">
        <w:rPr>
          <w:rFonts w:hint="cs"/>
          <w:rtl/>
        </w:rPr>
        <w:t xml:space="preserve"> (2024), עמ' 47.</w:t>
      </w:r>
    </w:p>
  </w:footnote>
  <w:footnote w:id="260">
    <w:p w14:paraId="2E81C92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בהקשר זה: אלן מילשטיין, הדס שפירא וטליה חסין, </w:t>
      </w:r>
      <w:r w:rsidRPr="00956B0F">
        <w:rPr>
          <w:b/>
          <w:bCs/>
          <w:rtl/>
        </w:rPr>
        <w:t>ועדות בנושא אלימות</w:t>
      </w:r>
      <w:r w:rsidRPr="00956B0F">
        <w:rPr>
          <w:rFonts w:hint="cs"/>
          <w:b/>
          <w:bCs/>
          <w:rtl/>
        </w:rPr>
        <w:t xml:space="preserve"> </w:t>
      </w:r>
      <w:r w:rsidRPr="00956B0F">
        <w:rPr>
          <w:b/>
          <w:bCs/>
          <w:rtl/>
        </w:rPr>
        <w:t>במשפחה ופגיעה מינית:</w:t>
      </w:r>
      <w:r w:rsidRPr="00956B0F">
        <w:rPr>
          <w:rFonts w:hint="cs"/>
          <w:b/>
          <w:bCs/>
          <w:rtl/>
        </w:rPr>
        <w:t xml:space="preserve"> </w:t>
      </w:r>
      <w:r w:rsidRPr="00956B0F">
        <w:rPr>
          <w:b/>
          <w:bCs/>
          <w:rtl/>
        </w:rPr>
        <w:t>תחומי אחריות, אופני</w:t>
      </w:r>
      <w:r w:rsidRPr="00956B0F">
        <w:rPr>
          <w:rFonts w:hint="cs"/>
          <w:b/>
          <w:bCs/>
          <w:rtl/>
        </w:rPr>
        <w:t xml:space="preserve"> </w:t>
      </w:r>
      <w:r w:rsidRPr="00956B0F">
        <w:rPr>
          <w:b/>
          <w:bCs/>
          <w:rtl/>
        </w:rPr>
        <w:t>התנהלות ואתגרים</w:t>
      </w:r>
      <w:r w:rsidRPr="00956B0F">
        <w:rPr>
          <w:rFonts w:hint="cs"/>
          <w:b/>
          <w:bCs/>
          <w:rtl/>
        </w:rPr>
        <w:t xml:space="preserve"> - </w:t>
      </w:r>
      <w:r w:rsidRPr="00956B0F">
        <w:rPr>
          <w:b/>
          <w:bCs/>
          <w:rtl/>
        </w:rPr>
        <w:t>ממצאים מראיונות עם חברי ועדות</w:t>
      </w:r>
      <w:r w:rsidRPr="00956B0F">
        <w:rPr>
          <w:rFonts w:hint="cs"/>
          <w:b/>
          <w:bCs/>
          <w:rtl/>
        </w:rPr>
        <w:t xml:space="preserve"> </w:t>
      </w:r>
      <w:r w:rsidRPr="00956B0F">
        <w:rPr>
          <w:b/>
          <w:bCs/>
          <w:rtl/>
        </w:rPr>
        <w:t>ועם אנשי צוות שאינם חברים בוועדות</w:t>
      </w:r>
      <w:r w:rsidRPr="00956B0F">
        <w:rPr>
          <w:rFonts w:hint="cs"/>
          <w:rtl/>
        </w:rPr>
        <w:t xml:space="preserve"> (2023), עמ' 38; אלן מילשטיין, טליה חסין, זהר סהר-לביא וברברה לנג, </w:t>
      </w:r>
      <w:r w:rsidRPr="00956B0F">
        <w:rPr>
          <w:rFonts w:hint="cs"/>
          <w:b/>
          <w:bCs/>
          <w:rtl/>
        </w:rPr>
        <w:t>ועדות בנושא אלימות במשפחה ופגיעה מינית במערכת הבריאות: מיפוי של מאפיינים ודרכי פעולה</w:t>
      </w:r>
      <w:r w:rsidRPr="00956B0F">
        <w:rPr>
          <w:rFonts w:hint="cs"/>
          <w:rtl/>
        </w:rPr>
        <w:t xml:space="preserve"> (2024), עמ' 67.</w:t>
      </w:r>
    </w:p>
  </w:footnote>
  <w:footnote w:id="261">
    <w:p w14:paraId="440FBE8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התקצוב הדיפרנציאלי בא לידי ביטוי בתקצוב משתנה לפי גודל בית החולים או קופת החולים. כך, לדוגמה, בבתי החולים הגדולים מתוקצבות 40 שעות חודשיות לטובת הנושא, ובבתי החולים הבינוניים והקטנים מתוקצבות 20 שעות חודשיות. </w:t>
      </w:r>
    </w:p>
  </w:footnote>
  <w:footnote w:id="262">
    <w:p w14:paraId="2B0D329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סעיף 10.3 לחוזר מנכ"ל משרד הבריאות 23/03 וסעיף 3.3 לחוזר מנכ"ל משרד הבריאות 26/03.</w:t>
      </w:r>
    </w:p>
  </w:footnote>
  <w:footnote w:id="263">
    <w:p w14:paraId="345978E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t>H. Khalifeh, P. Moran, R. Borschmann, K. Dean, C. Hart, J. Hogg, D. Osborn, S. Johnson and</w:t>
      </w:r>
    </w:p>
    <w:p w14:paraId="678037C4" w14:textId="77777777" w:rsidR="00F769CC" w:rsidRPr="00956B0F" w:rsidRDefault="00F769CC" w:rsidP="00817399">
      <w:pPr>
        <w:pStyle w:val="af7"/>
        <w:ind w:firstLine="0"/>
        <w:rPr>
          <w:rtl/>
        </w:rPr>
      </w:pPr>
      <w:r w:rsidRPr="00956B0F">
        <w:t xml:space="preserve">L. M. Howard, </w:t>
      </w:r>
      <w:r w:rsidRPr="00956B0F">
        <w:rPr>
          <w:b/>
          <w:bCs/>
        </w:rPr>
        <w:t>Domestic and sexual violence against patients with severe mental illness</w:t>
      </w:r>
      <w:r w:rsidRPr="00956B0F">
        <w:t>, Psychological medicine (45) (2015), pp. 875 - 886.</w:t>
      </w:r>
    </w:p>
  </w:footnote>
  <w:footnote w:id="264">
    <w:p w14:paraId="3CE8521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ענת ירון ענתר ורוני בנצור, "השוואה בין רצח על רקע פסיכוטי לבין רצח שאינו על רקע פסיכוטי", </w:t>
      </w:r>
      <w:r w:rsidRPr="00956B0F">
        <w:rPr>
          <w:rFonts w:hint="eastAsia"/>
          <w:b/>
          <w:bCs/>
          <w:rtl/>
        </w:rPr>
        <w:t>רפואה</w:t>
      </w:r>
      <w:r w:rsidRPr="00956B0F">
        <w:rPr>
          <w:rFonts w:hint="cs"/>
          <w:rtl/>
        </w:rPr>
        <w:t xml:space="preserve"> </w:t>
      </w:r>
      <w:r w:rsidRPr="00956B0F">
        <w:rPr>
          <w:rFonts w:hint="eastAsia"/>
          <w:b/>
          <w:bCs/>
          <w:rtl/>
        </w:rPr>
        <w:t>ומשפט</w:t>
      </w:r>
      <w:r w:rsidRPr="00956B0F">
        <w:rPr>
          <w:rFonts w:hint="cs"/>
          <w:rtl/>
        </w:rPr>
        <w:t xml:space="preserve"> (49) 106 - 116 (2017). ראו גם הדיון שהתקיים בנושא "מתמודדי נפש ואלימות במשפחה" בוועדה לקידום מעמד האישה בכנסת ב-1.12.21.</w:t>
      </w:r>
    </w:p>
  </w:footnote>
  <w:footnote w:id="265">
    <w:p w14:paraId="37A207C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נתון זה כולל גם מקרי פגיעות מיניות שאותרו במערכת הבריאות.</w:t>
      </w:r>
    </w:p>
  </w:footnote>
  <w:footnote w:id="266">
    <w:p w14:paraId="5E1266A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בשני בתי חולים פסיכיאטריים שמפעילה שירותי בריאות כללית מועסקים רכזים במסגרת התקשרות כללית של משרד הבריאות עם קופת החולים, והעסקתם מתאפשרת משום שהיא אינה טעונה תוספת תקציבית.</w:t>
      </w:r>
    </w:p>
  </w:footnote>
  <w:footnote w:id="267">
    <w:p w14:paraId="02F9792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תת-הפרק "הבסיס החוקי והמקצועי להתמודדות עם תופעת האלימות בין בני זוג".</w:t>
      </w:r>
    </w:p>
  </w:footnote>
  <w:footnote w:id="268">
    <w:p w14:paraId="37A893A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יצוין כי המענה הטיפולי יכול להינתן </w:t>
      </w:r>
      <w:r w:rsidRPr="00956B0F">
        <w:rPr>
          <w:rtl/>
        </w:rPr>
        <w:t>באמצעות עובד סוציאלי (אחד או יותר)</w:t>
      </w:r>
      <w:r w:rsidRPr="00956B0F">
        <w:rPr>
          <w:rFonts w:hint="cs"/>
          <w:rtl/>
        </w:rPr>
        <w:t>,</w:t>
      </w:r>
      <w:r w:rsidRPr="00956B0F">
        <w:rPr>
          <w:rtl/>
        </w:rPr>
        <w:t xml:space="preserve"> בעל הכשרה ייעודית לתפקיד במבנה המחלקה לשירותים חברתיים</w:t>
      </w:r>
      <w:r w:rsidRPr="00956B0F">
        <w:rPr>
          <w:rFonts w:hint="cs"/>
          <w:rtl/>
        </w:rPr>
        <w:t xml:space="preserve"> (יחידה לטיפול ומניעת אלימות במשפחה), והוא יכול להינתן גם </w:t>
      </w:r>
      <w:r w:rsidRPr="00956B0F">
        <w:rPr>
          <w:rtl/>
        </w:rPr>
        <w:t>באמצעות עובדים סוציאליים בעלי הכשרה ייעודית לתפקיד, במבנה ובניהול נפרדים מהמחלקה לשירותים חברתיים</w:t>
      </w:r>
      <w:r w:rsidRPr="00956B0F">
        <w:rPr>
          <w:rFonts w:hint="cs"/>
          <w:rtl/>
        </w:rPr>
        <w:t xml:space="preserve"> (מרכז לטיפול ומניעת אלימות במשפחה)</w:t>
      </w:r>
      <w:r w:rsidRPr="00956B0F">
        <w:rPr>
          <w:rtl/>
        </w:rPr>
        <w:t>.</w:t>
      </w:r>
      <w:r w:rsidRPr="00956B0F">
        <w:rPr>
          <w:rFonts w:hint="cs"/>
          <w:rtl/>
        </w:rPr>
        <w:t xml:space="preserve"> לשם הנוחות, בדוח זה ייעשה שימוש במונח "מרכז לטיפול ומניעת אלימות במשפחה" גם בהתייחס ליחידות לטיפול ומניעת אלימות במשפחה.</w:t>
      </w:r>
    </w:p>
  </w:footnote>
  <w:footnote w:id="269">
    <w:p w14:paraId="593504A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משרד העבודה הרווחה והשירותים החברתיים, </w:t>
      </w:r>
      <w:r w:rsidRPr="00956B0F">
        <w:rPr>
          <w:rFonts w:hint="eastAsia"/>
          <w:b/>
          <w:bCs/>
          <w:rtl/>
        </w:rPr>
        <w:t>מתווה</w:t>
      </w:r>
      <w:r w:rsidRPr="00956B0F">
        <w:rPr>
          <w:b/>
          <w:bCs/>
          <w:rtl/>
        </w:rPr>
        <w:t xml:space="preserve"> </w:t>
      </w:r>
      <w:r w:rsidRPr="00956B0F">
        <w:rPr>
          <w:rFonts w:hint="eastAsia"/>
          <w:b/>
          <w:bCs/>
          <w:rtl/>
        </w:rPr>
        <w:t>להתערבות</w:t>
      </w:r>
      <w:r w:rsidRPr="00956B0F">
        <w:rPr>
          <w:b/>
          <w:bCs/>
          <w:rtl/>
        </w:rPr>
        <w:t xml:space="preserve"> </w:t>
      </w:r>
      <w:r w:rsidRPr="00956B0F">
        <w:rPr>
          <w:rFonts w:hint="eastAsia"/>
          <w:b/>
          <w:bCs/>
          <w:rtl/>
        </w:rPr>
        <w:t>עובד</w:t>
      </w:r>
      <w:r w:rsidRPr="00956B0F">
        <w:rPr>
          <w:b/>
          <w:bCs/>
          <w:rtl/>
        </w:rPr>
        <w:t xml:space="preserve"> </w:t>
      </w:r>
      <w:r w:rsidRPr="00956B0F">
        <w:rPr>
          <w:rFonts w:hint="eastAsia"/>
          <w:b/>
          <w:bCs/>
          <w:rtl/>
        </w:rPr>
        <w:t>סוציאלי</w:t>
      </w:r>
      <w:r w:rsidRPr="00956B0F">
        <w:rPr>
          <w:b/>
          <w:bCs/>
          <w:rtl/>
        </w:rPr>
        <w:t xml:space="preserve"> </w:t>
      </w:r>
      <w:r w:rsidRPr="00956B0F">
        <w:rPr>
          <w:rFonts w:hint="eastAsia"/>
          <w:b/>
          <w:bCs/>
          <w:rtl/>
        </w:rPr>
        <w:t>משפחה</w:t>
      </w:r>
      <w:r w:rsidRPr="00956B0F">
        <w:rPr>
          <w:b/>
          <w:bCs/>
          <w:rtl/>
        </w:rPr>
        <w:t xml:space="preserve"> </w:t>
      </w:r>
      <w:r w:rsidRPr="00956B0F">
        <w:rPr>
          <w:rFonts w:hint="eastAsia"/>
          <w:b/>
          <w:bCs/>
          <w:rtl/>
        </w:rPr>
        <w:t>במחלקה</w:t>
      </w:r>
      <w:r w:rsidRPr="00956B0F">
        <w:rPr>
          <w:b/>
          <w:bCs/>
          <w:rtl/>
        </w:rPr>
        <w:t xml:space="preserve"> </w:t>
      </w:r>
      <w:r w:rsidRPr="00956B0F">
        <w:rPr>
          <w:rFonts w:hint="eastAsia"/>
          <w:b/>
          <w:bCs/>
          <w:rtl/>
        </w:rPr>
        <w:t>לשירותים</w:t>
      </w:r>
      <w:r w:rsidRPr="00956B0F">
        <w:rPr>
          <w:b/>
          <w:bCs/>
          <w:rtl/>
        </w:rPr>
        <w:t xml:space="preserve"> </w:t>
      </w:r>
      <w:r w:rsidRPr="00956B0F">
        <w:rPr>
          <w:rFonts w:hint="eastAsia"/>
          <w:b/>
          <w:bCs/>
          <w:rtl/>
        </w:rPr>
        <w:t>חברתיים</w:t>
      </w:r>
      <w:r w:rsidRPr="00956B0F">
        <w:rPr>
          <w:b/>
          <w:bCs/>
          <w:rtl/>
        </w:rPr>
        <w:t xml:space="preserve"> </w:t>
      </w:r>
      <w:r w:rsidRPr="00956B0F">
        <w:rPr>
          <w:rFonts w:hint="eastAsia"/>
          <w:b/>
          <w:bCs/>
          <w:rtl/>
        </w:rPr>
        <w:t>באלימות</w:t>
      </w:r>
      <w:r w:rsidRPr="00956B0F">
        <w:rPr>
          <w:b/>
          <w:bCs/>
          <w:rtl/>
        </w:rPr>
        <w:t xml:space="preserve"> </w:t>
      </w:r>
      <w:r w:rsidRPr="00956B0F">
        <w:rPr>
          <w:rFonts w:hint="eastAsia"/>
          <w:b/>
          <w:bCs/>
          <w:rtl/>
        </w:rPr>
        <w:t>במשפחה</w:t>
      </w:r>
      <w:r w:rsidRPr="00956B0F">
        <w:rPr>
          <w:b/>
          <w:bCs/>
          <w:rtl/>
        </w:rPr>
        <w:t xml:space="preserve"> </w:t>
      </w:r>
      <w:r w:rsidRPr="00956B0F">
        <w:rPr>
          <w:rFonts w:hint="cs"/>
          <w:rtl/>
        </w:rPr>
        <w:t xml:space="preserve">(2018), עמ' 8 ו-22. בהיעדר מרכז ייעודי לטיפול ומניעת אלימות במשפחה, רשימת המתנה ממושכת לטיפול במרכז או התנגדות של המטופל לקבלת טיפול במרכז, עו"ס המשפחה עשוי להיות אחראי במישרין למתן המענה הטיפולי. </w:t>
      </w:r>
    </w:p>
  </w:footnote>
  <w:footnote w:id="270">
    <w:p w14:paraId="6201224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לפי תקנה 1 לתקנות</w:t>
      </w:r>
      <w:r w:rsidRPr="00956B0F">
        <w:rPr>
          <w:rFonts w:eastAsia="Times New Roman" w:hint="cs"/>
          <w:sz w:val="24"/>
          <w:rtl/>
        </w:rPr>
        <w:t xml:space="preserve"> שירותי הסעד (פניה לקבלת סעד או טיפול סוציאלי), התשכ"ח-1967</w:t>
      </w:r>
      <w:r w:rsidRPr="00956B0F">
        <w:rPr>
          <w:rStyle w:val="Hyperlink"/>
          <w:rFonts w:eastAsia="Times New Roman"/>
          <w:color w:val="auto"/>
          <w:sz w:val="24"/>
          <w:u w:val="none"/>
          <w:rtl/>
        </w:rPr>
        <w:t>,</w:t>
      </w:r>
      <w:r w:rsidRPr="00956B0F">
        <w:rPr>
          <w:rFonts w:hint="cs"/>
          <w:rtl/>
        </w:rPr>
        <w:t xml:space="preserve"> "פונה" למחלקה לשירותים חברתיים הוא האדם הזקוק לסעד או טיפול סוציאלי, בן משפחתו של אותו אדם או אדם אחר.</w:t>
      </w:r>
    </w:p>
  </w:footnote>
  <w:footnote w:id="271">
    <w:p w14:paraId="608C2DC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לדוגמה, מוקד הסיוע הארצי של משרד הרווחה, הכולל קו ייעודי לגברים במעגל האלימות, המוקדים העירוניים ברשויות המקומיות והמענה הטלפוני במרכזים לטיפול ומניעת אלימות במשפחה.</w:t>
      </w:r>
    </w:p>
  </w:footnote>
  <w:footnote w:id="272">
    <w:p w14:paraId="7CC4B8B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לדוגמה, בלניות, ספריות, קוסמטיקאיות, נהגי מונית וכיוצא באלה.</w:t>
      </w:r>
    </w:p>
  </w:footnote>
  <w:footnote w:id="273">
    <w:p w14:paraId="21EEBEF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בן-שלום</w:t>
      </w:r>
      <w:r w:rsidRPr="00956B0F">
        <w:rPr>
          <w:rStyle w:val="Hyperlink"/>
          <w:color w:val="auto"/>
          <w:u w:val="none"/>
          <w:rtl/>
        </w:rPr>
        <w:t xml:space="preserve"> (1998)</w:t>
      </w:r>
      <w:r w:rsidRPr="00956B0F">
        <w:rPr>
          <w:rFonts w:hint="cs"/>
          <w:rtl/>
        </w:rPr>
        <w:t>, עמ' 3; דין וחשבון ועדת רוזנבאום</w:t>
      </w:r>
      <w:r w:rsidRPr="00956B0F">
        <w:rPr>
          <w:rtl/>
        </w:rPr>
        <w:t xml:space="preserve"> (2016)</w:t>
      </w:r>
      <w:r w:rsidRPr="00956B0F">
        <w:rPr>
          <w:rFonts w:hint="cs"/>
          <w:rtl/>
        </w:rPr>
        <w:t>, עמ' 65; תוכנית הפעולה של ועדת המנכ"לים, עמ' 60 (ההמלצה בנוגע לאחריות הוועדה הבין-משרדית הקבועה בנושא זה).</w:t>
      </w:r>
    </w:p>
  </w:footnote>
  <w:footnote w:id="274">
    <w:p w14:paraId="5F1FC63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החלטת הממשלה 513, "גיבוש תוכנית</w:t>
      </w:r>
      <w:r w:rsidRPr="00956B0F">
        <w:rPr>
          <w:rtl/>
        </w:rPr>
        <w:t xml:space="preserve"> לאיתור, מניעה וטיוב הטיפול לצמצום האלימות במשפחה</w:t>
      </w:r>
      <w:r w:rsidRPr="00956B0F">
        <w:rPr>
          <w:rFonts w:hint="cs"/>
          <w:rtl/>
        </w:rPr>
        <w:t xml:space="preserve"> על ידי משרד העבודה, הרווחה והשירותים החברתיים" (8.11.20).</w:t>
      </w:r>
    </w:p>
  </w:footnote>
  <w:footnote w:id="275">
    <w:p w14:paraId="6105162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דוח הביקורת משנת 2002, עמ' 780 - 781.</w:t>
      </w:r>
    </w:p>
  </w:footnote>
  <w:footnote w:id="276">
    <w:p w14:paraId="1B30E4D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למעט בעיריית חדרה אשר מסרה במהלך הביקורת כי בשנת 2019 הועברו לטיפולה שתי פניות ממוקד הסיוע הארצי.</w:t>
      </w:r>
    </w:p>
  </w:footnote>
  <w:footnote w:id="277">
    <w:p w14:paraId="3DC8B95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"אינטייק" (</w:t>
      </w:r>
      <w:r w:rsidRPr="00956B0F">
        <w:t>Intake</w:t>
      </w:r>
      <w:r w:rsidRPr="00956B0F">
        <w:rPr>
          <w:rFonts w:hint="cs"/>
          <w:rtl/>
        </w:rPr>
        <w:t xml:space="preserve">) הוא תהליך הקֶלֶט של אדם הפונה לקבלת שירותי רווחה, ובמהלכו מעריך העובד הסוציאלי את צרכיו של הפונה ומגבש עבורו </w:t>
      </w:r>
      <w:r w:rsidRPr="00956B0F">
        <w:rPr>
          <w:rtl/>
        </w:rPr>
        <w:t>חלופות לטיפול</w:t>
      </w:r>
      <w:r w:rsidRPr="00956B0F">
        <w:rPr>
          <w:rFonts w:hint="cs"/>
          <w:rtl/>
        </w:rPr>
        <w:t xml:space="preserve"> (ראו: משרד הרווחה, רגישות תרבותית בראיון אינטייק (</w:t>
      </w:r>
      <w:r w:rsidRPr="00956B0F">
        <w:rPr>
          <w:rFonts w:hint="cs"/>
        </w:rPr>
        <w:t>I</w:t>
      </w:r>
      <w:r w:rsidRPr="00956B0F">
        <w:t>ntake</w:t>
      </w:r>
      <w:r w:rsidRPr="00956B0F">
        <w:rPr>
          <w:rFonts w:hint="cs"/>
          <w:rtl/>
        </w:rPr>
        <w:t>) - תדריך מנחה [2013])</w:t>
      </w:r>
      <w:r w:rsidRPr="00956B0F">
        <w:rPr>
          <w:rtl/>
        </w:rPr>
        <w:t>.</w:t>
      </w:r>
    </w:p>
  </w:footnote>
  <w:footnote w:id="278">
    <w:p w14:paraId="587A39C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והשוו: טל ארזי ויעל סבג, </w:t>
      </w:r>
      <w:r w:rsidRPr="00956B0F">
        <w:rPr>
          <w:rFonts w:hint="cs"/>
          <w:b/>
          <w:bCs/>
          <w:rtl/>
        </w:rPr>
        <w:t>מיצוי זכויות ושירותים חברתיים לאזרח: הבניית קונספט ותורת עבודה</w:t>
      </w:r>
      <w:r w:rsidRPr="00956B0F">
        <w:rPr>
          <w:rFonts w:hint="cs"/>
          <w:rtl/>
        </w:rPr>
        <w:t xml:space="preserve"> (2020), עמ' 6 - 8.</w:t>
      </w:r>
    </w:p>
  </w:footnote>
  <w:footnote w:id="279">
    <w:p w14:paraId="64069F7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אמצעי פנייה למוקד הסיוע שמפעיל משרד הרווחה באמצעות מסרון (</w:t>
      </w:r>
      <w:r w:rsidRPr="00956B0F">
        <w:t>SMS</w:t>
      </w:r>
      <w:r w:rsidRPr="00956B0F">
        <w:rPr>
          <w:rFonts w:hint="cs"/>
          <w:rtl/>
        </w:rPr>
        <w:t>). משרד הרווחה החל להפעיל אמצעי פנייה זה על רקע משבר הקורונה.</w:t>
      </w:r>
    </w:p>
  </w:footnote>
  <w:footnote w:id="280">
    <w:p w14:paraId="6D1F955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אפליקציית זום, גוגל טימס </w:t>
      </w:r>
      <w:r w:rsidRPr="00956B0F">
        <w:t>(Google Teams)</w:t>
      </w:r>
      <w:r w:rsidRPr="00956B0F">
        <w:rPr>
          <w:rFonts w:hint="cs"/>
          <w:rtl/>
        </w:rPr>
        <w:t>, או וטסאפ במקרים המתאימים.</w:t>
      </w:r>
    </w:p>
  </w:footnote>
  <w:footnote w:id="281">
    <w:p w14:paraId="6FB0AB3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"מימון הפעלת המרכזים לטיפול ומניעת אלימות במשפחה", עמ' 493 - 496.</w:t>
      </w:r>
    </w:p>
  </w:footnote>
  <w:footnote w:id="282">
    <w:p w14:paraId="67A4D51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15.3.3(א) - (ב) ו-15.3.5 להוראת תע"ס 3.28.</w:t>
      </w:r>
    </w:p>
  </w:footnote>
  <w:footnote w:id="283">
    <w:p w14:paraId="399090A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במועד סיום הביקורת הקודמת היה התעריף 1,144.19 ש"ח בחודש למשפחה.</w:t>
      </w:r>
    </w:p>
  </w:footnote>
  <w:footnote w:id="284">
    <w:p w14:paraId="7A0B203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במועד סיום הביקורת הקודמת, בנובמבר 2020, כ-54% מהעובדים הסוציאליים במרכזים (171 מתוך 315) הועסקו באמצעות תקציב השמות.</w:t>
      </w:r>
    </w:p>
  </w:footnote>
  <w:footnote w:id="285">
    <w:p w14:paraId="17DF3F3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כך בין השאר הועלה כי בשנת 2019 מימן משרד הרווחה את הטיפול רק בכמחצית מהמשפחות שטופלו במרכזים בפועל (4,266 מתוך 8,641 משפחות).</w:t>
      </w:r>
    </w:p>
  </w:footnote>
  <w:footnote w:id="286">
    <w:p w14:paraId="6A87D54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הועלה כי המימון בפועל של המרכזים בשנים 2017 - 2019 היה גבוה בכ-32% מבסיס התקציב של משרד הרווחה להפעלת המרכזים וכי משרד הרווחה מימן כ-88% מהוצאות הרשויות שחרגו מהתכנון המקורי - הרשויות המקומיות הן שנדרשו לכסות על הפער.</w:t>
      </w:r>
    </w:p>
  </w:footnote>
  <w:footnote w:id="287">
    <w:p w14:paraId="780CD6A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ג'וני גל, שביט מדהלה וחיים בלייך, </w:t>
      </w:r>
      <w:r w:rsidRPr="00956B0F">
        <w:rPr>
          <w:rtl/>
        </w:rPr>
        <w:t xml:space="preserve">"תקצוב </w:t>
      </w:r>
      <w:r w:rsidRPr="00956B0F">
        <w:rPr>
          <w:rFonts w:hint="eastAsia"/>
          <w:rtl/>
        </w:rPr>
        <w:t>שירותי</w:t>
      </w:r>
      <w:r w:rsidRPr="00956B0F">
        <w:rPr>
          <w:rtl/>
        </w:rPr>
        <w:t xml:space="preserve"> </w:t>
      </w:r>
      <w:r w:rsidRPr="00956B0F">
        <w:rPr>
          <w:rFonts w:hint="eastAsia"/>
          <w:rtl/>
        </w:rPr>
        <w:t>הרווחה</w:t>
      </w:r>
      <w:r w:rsidRPr="00956B0F">
        <w:rPr>
          <w:rtl/>
        </w:rPr>
        <w:t xml:space="preserve"> </w:t>
      </w:r>
      <w:r w:rsidRPr="00956B0F">
        <w:rPr>
          <w:rFonts w:hint="eastAsia"/>
          <w:rtl/>
        </w:rPr>
        <w:t>ברשויות</w:t>
      </w:r>
      <w:r w:rsidRPr="00956B0F">
        <w:rPr>
          <w:rtl/>
        </w:rPr>
        <w:t xml:space="preserve"> </w:t>
      </w:r>
      <w:r w:rsidRPr="00956B0F">
        <w:rPr>
          <w:rFonts w:hint="eastAsia"/>
          <w:rtl/>
        </w:rPr>
        <w:t>המקומיות</w:t>
      </w:r>
      <w:r w:rsidRPr="00956B0F">
        <w:rPr>
          <w:rtl/>
        </w:rPr>
        <w:t>"</w:t>
      </w:r>
      <w:r w:rsidRPr="00956B0F">
        <w:rPr>
          <w:rFonts w:hint="cs"/>
          <w:b/>
          <w:bCs/>
          <w:rtl/>
        </w:rPr>
        <w:t xml:space="preserve">, </w:t>
      </w:r>
      <w:r w:rsidRPr="00956B0F">
        <w:rPr>
          <w:rFonts w:hint="cs"/>
          <w:rtl/>
        </w:rPr>
        <w:t>בתוך:</w:t>
      </w:r>
      <w:r w:rsidRPr="00956B0F">
        <w:rPr>
          <w:rFonts w:hint="cs"/>
          <w:b/>
          <w:bCs/>
          <w:rtl/>
        </w:rPr>
        <w:t xml:space="preserve"> דוח מצב המדינה 2017</w:t>
      </w:r>
      <w:r w:rsidRPr="00956B0F">
        <w:rPr>
          <w:rFonts w:hint="cs"/>
          <w:rtl/>
        </w:rPr>
        <w:t xml:space="preserve"> (2017</w:t>
      </w:r>
      <w:r w:rsidRPr="00956B0F">
        <w:rPr>
          <w:rtl/>
        </w:rPr>
        <w:t>)</w:t>
      </w:r>
      <w:r w:rsidRPr="00956B0F">
        <w:rPr>
          <w:rFonts w:hint="cs"/>
          <w:rtl/>
        </w:rPr>
        <w:t xml:space="preserve">; עדו אבגר, </w:t>
      </w:r>
      <w:r w:rsidRPr="00956B0F">
        <w:rPr>
          <w:rFonts w:hint="cs"/>
          <w:b/>
          <w:bCs/>
          <w:rtl/>
        </w:rPr>
        <w:t>מימון שירותי רווחה ברשויות המקומיות בשיטת המימון התואם (מטצ</w:t>
      </w:r>
      <w:r w:rsidRPr="00956B0F">
        <w:rPr>
          <w:b/>
          <w:bCs/>
          <w:rtl/>
        </w:rPr>
        <w:t>'</w:t>
      </w:r>
      <w:r w:rsidRPr="00956B0F">
        <w:rPr>
          <w:rFonts w:hint="cs"/>
          <w:b/>
          <w:bCs/>
          <w:rtl/>
        </w:rPr>
        <w:t>ינג)</w:t>
      </w:r>
      <w:r w:rsidRPr="00956B0F">
        <w:rPr>
          <w:rFonts w:hint="cs"/>
          <w:rtl/>
        </w:rPr>
        <w:t xml:space="preserve"> (2017), עמ' 6; משרד מבקר המדינה, </w:t>
      </w:r>
      <w:r w:rsidRPr="00956B0F">
        <w:rPr>
          <w:rFonts w:hint="cs"/>
          <w:b/>
          <w:bCs/>
          <w:rtl/>
        </w:rPr>
        <w:t>דוחות על הביקורת בשלטון המקומי</w:t>
      </w:r>
      <w:r w:rsidRPr="00956B0F">
        <w:rPr>
          <w:rFonts w:hint="cs"/>
          <w:rtl/>
        </w:rPr>
        <w:t xml:space="preserve"> (2021),</w:t>
      </w:r>
      <w:r w:rsidRPr="00956B0F">
        <w:rPr>
          <w:rFonts w:ascii="Arial" w:hAnsi="Arial"/>
          <w:rtl/>
        </w:rPr>
        <w:t xml:space="preserve"> "מימון שירותי רווחה"</w:t>
      </w:r>
      <w:r w:rsidRPr="00956B0F">
        <w:rPr>
          <w:rFonts w:hint="cs"/>
          <w:rtl/>
        </w:rPr>
        <w:t xml:space="preserve">, </w:t>
      </w:r>
      <w:r w:rsidRPr="00956B0F">
        <w:rPr>
          <w:rFonts w:ascii="Arial" w:hAnsi="Arial" w:hint="cs"/>
          <w:rtl/>
        </w:rPr>
        <w:t>עמ' 569 - 667 (להלן - דוח הביקורת בנושא מימון שירותי רווחה).</w:t>
      </w:r>
      <w:r w:rsidRPr="00956B0F">
        <w:rPr>
          <w:rFonts w:hint="cs"/>
          <w:rtl/>
        </w:rPr>
        <w:t xml:space="preserve"> כך למשל העלתה הביקורת הקודמת כי עיריית קריית מלאכי סירבה בעבר לקבל</w:t>
      </w:r>
      <w:r w:rsidRPr="00956B0F">
        <w:rPr>
          <w:rtl/>
        </w:rPr>
        <w:t xml:space="preserve"> </w:t>
      </w:r>
      <w:r w:rsidRPr="00956B0F">
        <w:rPr>
          <w:rFonts w:hint="cs"/>
          <w:rtl/>
        </w:rPr>
        <w:t>ממשרד הרווחה</w:t>
      </w:r>
      <w:r w:rsidRPr="00956B0F">
        <w:rPr>
          <w:rtl/>
        </w:rPr>
        <w:t xml:space="preserve"> </w:t>
      </w:r>
      <w:r w:rsidRPr="00956B0F">
        <w:rPr>
          <w:rFonts w:hint="cs"/>
          <w:rtl/>
        </w:rPr>
        <w:t xml:space="preserve">מימון </w:t>
      </w:r>
      <w:r w:rsidRPr="00956B0F">
        <w:rPr>
          <w:rtl/>
        </w:rPr>
        <w:t>ל</w:t>
      </w:r>
      <w:r w:rsidRPr="00956B0F">
        <w:rPr>
          <w:rFonts w:hint="cs"/>
          <w:rtl/>
        </w:rPr>
        <w:t xml:space="preserve">אספקת </w:t>
      </w:r>
      <w:r w:rsidRPr="00956B0F">
        <w:rPr>
          <w:rtl/>
        </w:rPr>
        <w:t>שירותי</w:t>
      </w:r>
      <w:r w:rsidRPr="00956B0F">
        <w:rPr>
          <w:rFonts w:hint="cs"/>
          <w:rtl/>
        </w:rPr>
        <w:t xml:space="preserve"> רווחה</w:t>
      </w:r>
      <w:r w:rsidRPr="00956B0F">
        <w:rPr>
          <w:rtl/>
        </w:rPr>
        <w:t xml:space="preserve"> בתחום </w:t>
      </w:r>
      <w:r w:rsidRPr="00956B0F">
        <w:rPr>
          <w:rFonts w:hint="cs"/>
          <w:rtl/>
        </w:rPr>
        <w:t>האלימות במשפחה</w:t>
      </w:r>
      <w:r w:rsidRPr="00956B0F">
        <w:rPr>
          <w:rtl/>
        </w:rPr>
        <w:t xml:space="preserve"> </w:t>
      </w:r>
      <w:r w:rsidRPr="00956B0F">
        <w:rPr>
          <w:rFonts w:hint="cs"/>
          <w:rtl/>
        </w:rPr>
        <w:t>בשל</w:t>
      </w:r>
      <w:r w:rsidRPr="00956B0F">
        <w:rPr>
          <w:rtl/>
        </w:rPr>
        <w:t xml:space="preserve"> קשיים במימון חלקה</w:t>
      </w:r>
      <w:r w:rsidRPr="00956B0F">
        <w:rPr>
          <w:rFonts w:hint="cs"/>
          <w:rtl/>
        </w:rPr>
        <w:t xml:space="preserve"> בעלות אספקת השירותים. עוד יצוין כי כ-15% מהרשויות שאליהן פנה משרד הרווחה ביולי 2020 בהצעה לפתוח מרכז - סירבו להצעה (9 מתוך 59).</w:t>
      </w:r>
    </w:p>
  </w:footnote>
  <w:footnote w:id="288">
    <w:p w14:paraId="1F93E62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מבקר המדינה, </w:t>
      </w:r>
      <w:r w:rsidRPr="00956B0F">
        <w:rPr>
          <w:b/>
          <w:bCs/>
          <w:rtl/>
        </w:rPr>
        <w:t>דוח שנתי 51ב</w:t>
      </w:r>
      <w:r w:rsidRPr="00956B0F">
        <w:rPr>
          <w:rFonts w:hint="cs"/>
          <w:b/>
          <w:bCs/>
          <w:rtl/>
        </w:rPr>
        <w:t xml:space="preserve"> </w:t>
      </w:r>
      <w:r w:rsidRPr="00956B0F">
        <w:rPr>
          <w:rFonts w:hint="cs"/>
          <w:rtl/>
        </w:rPr>
        <w:t>(</w:t>
      </w:r>
      <w:r w:rsidRPr="00956B0F">
        <w:rPr>
          <w:rtl/>
        </w:rPr>
        <w:t>2001</w:t>
      </w:r>
      <w:r w:rsidRPr="00956B0F">
        <w:rPr>
          <w:rFonts w:hint="cs"/>
          <w:rtl/>
        </w:rPr>
        <w:t>)</w:t>
      </w:r>
      <w:r w:rsidRPr="00956B0F">
        <w:rPr>
          <w:rtl/>
        </w:rPr>
        <w:t xml:space="preserve">, "תקצוב שירותי רווחה לרשויות מקומיות", עמ' 560; </w:t>
      </w:r>
      <w:r w:rsidRPr="00956B0F">
        <w:rPr>
          <w:b/>
          <w:bCs/>
          <w:rtl/>
        </w:rPr>
        <w:t>דוח שנתי 57ב</w:t>
      </w:r>
      <w:r w:rsidRPr="00956B0F">
        <w:rPr>
          <w:rtl/>
        </w:rPr>
        <w:t xml:space="preserve"> </w:t>
      </w:r>
      <w:r w:rsidRPr="00956B0F">
        <w:rPr>
          <w:rFonts w:hint="cs"/>
          <w:rtl/>
        </w:rPr>
        <w:t>(</w:t>
      </w:r>
      <w:r w:rsidRPr="00956B0F">
        <w:rPr>
          <w:rtl/>
        </w:rPr>
        <w:t>2006</w:t>
      </w:r>
      <w:r w:rsidRPr="00956B0F">
        <w:rPr>
          <w:rFonts w:hint="cs"/>
          <w:rtl/>
        </w:rPr>
        <w:t>)</w:t>
      </w:r>
      <w:r w:rsidRPr="00956B0F">
        <w:rPr>
          <w:rtl/>
        </w:rPr>
        <w:t xml:space="preserve">, </w:t>
      </w:r>
      <w:r w:rsidRPr="00956B0F">
        <w:rPr>
          <w:rFonts w:hint="cs"/>
          <w:rtl/>
        </w:rPr>
        <w:t>"</w:t>
      </w:r>
      <w:r w:rsidRPr="00956B0F">
        <w:rPr>
          <w:rtl/>
        </w:rPr>
        <w:t>תקצוב שירותי רווחה לרשויות מקומיות - היעדר שוויון", עמ' 657</w:t>
      </w:r>
      <w:r w:rsidRPr="00956B0F">
        <w:rPr>
          <w:rFonts w:hint="cs"/>
          <w:rtl/>
        </w:rPr>
        <w:t>. המלצה זו נכללה גם בדוח הביקורת בנושא מימון שירותי רווחה שפורסם במקבץ הדוחות ביחד עם הביקורת הקודמת.</w:t>
      </w:r>
    </w:p>
  </w:footnote>
  <w:footnote w:id="289">
    <w:p w14:paraId="07F0B757"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כתלות במספר המטופלים במרכז. התקציב הייעודי עומד על כ-20 מיליוני ש"ח. </w:t>
      </w:r>
    </w:p>
  </w:footnote>
  <w:footnote w:id="290">
    <w:p w14:paraId="38B64A4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"הטיפול במעורבים באלימות בין בני זוג ברשויות המקומיות", עמ' 482 - 483.</w:t>
      </w:r>
    </w:p>
  </w:footnote>
  <w:footnote w:id="291">
    <w:p w14:paraId="444CCFE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15.3.3(ד)(2) ו-15.3.3(ד)(3) להוראת תע"ס 3.28.</w:t>
      </w:r>
    </w:p>
  </w:footnote>
  <w:footnote w:id="292">
    <w:p w14:paraId="51CF99C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לכך התייחס מבקר המדינה עוד בשנת 2002: מבקר המדינה, </w:t>
      </w:r>
      <w:r w:rsidRPr="00956B0F">
        <w:rPr>
          <w:rFonts w:hint="cs"/>
          <w:b/>
          <w:bCs/>
          <w:rtl/>
        </w:rPr>
        <w:t>דוח שנתי 52ב</w:t>
      </w:r>
      <w:r w:rsidRPr="00956B0F">
        <w:rPr>
          <w:rFonts w:hint="cs"/>
          <w:rtl/>
        </w:rPr>
        <w:t xml:space="preserve"> (2002), "הטיפול בתופעת האלימות בין בני זוג", עמ' 790.</w:t>
      </w:r>
    </w:p>
  </w:footnote>
  <w:footnote w:id="293">
    <w:p w14:paraId="244BDD49" w14:textId="77777777" w:rsidR="00F769CC" w:rsidRPr="00956B0F" w:rsidRDefault="00F769CC" w:rsidP="00817399">
      <w:pPr>
        <w:pStyle w:val="af7"/>
      </w:pPr>
      <w:r w:rsidRPr="00956B0F">
        <w:rPr>
          <w:rStyle w:val="af9"/>
        </w:rPr>
        <w:footnoteRef/>
      </w:r>
      <w:r w:rsidRPr="00956B0F">
        <w:rPr>
          <w:rtl/>
        </w:rPr>
        <w:t xml:space="preserve"> </w:t>
      </w:r>
      <w:r w:rsidRPr="00956B0F">
        <w:rPr>
          <w:rtl/>
        </w:rPr>
        <w:tab/>
        <w:t xml:space="preserve">מדדי ביצוע מגדירים את אופן השימוש בתשומות שהוקצו, כמו עריכת סדנאות </w:t>
      </w:r>
      <w:r w:rsidRPr="00956B0F">
        <w:rPr>
          <w:rFonts w:hint="cs"/>
          <w:rtl/>
        </w:rPr>
        <w:t>ו</w:t>
      </w:r>
      <w:r w:rsidRPr="00956B0F">
        <w:rPr>
          <w:rtl/>
        </w:rPr>
        <w:t>התקשרות עם יועצים</w:t>
      </w:r>
      <w:r w:rsidRPr="00956B0F">
        <w:rPr>
          <w:rFonts w:hint="cs"/>
          <w:rtl/>
        </w:rPr>
        <w:t xml:space="preserve"> </w:t>
      </w:r>
      <w:r w:rsidRPr="00956B0F">
        <w:rPr>
          <w:rtl/>
        </w:rPr>
        <w:t>מקצועיים, בהתאם למועדים שנקבעו. מדדי תוצאה מגדירים את השינוי המצופה. ראו</w:t>
      </w:r>
      <w:r w:rsidRPr="00956B0F">
        <w:rPr>
          <w:rFonts w:hint="cs"/>
          <w:rtl/>
        </w:rPr>
        <w:t xml:space="preserve"> </w:t>
      </w:r>
      <w:r w:rsidRPr="00956B0F">
        <w:rPr>
          <w:rtl/>
        </w:rPr>
        <w:t xml:space="preserve">לדוגמה: </w:t>
      </w:r>
      <w:r w:rsidRPr="00956B0F">
        <w:rPr>
          <w:b/>
          <w:bCs/>
          <w:rtl/>
        </w:rPr>
        <w:t>מדריך התכנון הממשלתי</w:t>
      </w:r>
      <w:r w:rsidRPr="00956B0F">
        <w:rPr>
          <w:rtl/>
        </w:rPr>
        <w:t xml:space="preserve"> </w:t>
      </w:r>
      <w:r w:rsidRPr="00956B0F">
        <w:rPr>
          <w:rFonts w:hint="cs"/>
          <w:rtl/>
        </w:rPr>
        <w:t>(</w:t>
      </w:r>
      <w:r w:rsidRPr="00956B0F">
        <w:rPr>
          <w:rtl/>
        </w:rPr>
        <w:t>גרסה מורחבת 2.0, 2008</w:t>
      </w:r>
      <w:r w:rsidRPr="00956B0F">
        <w:rPr>
          <w:rFonts w:hint="cs"/>
          <w:rtl/>
        </w:rPr>
        <w:t>)</w:t>
      </w:r>
      <w:r w:rsidRPr="00956B0F">
        <w:rPr>
          <w:rtl/>
        </w:rPr>
        <w:t>, עמ' 31 ו</w:t>
      </w:r>
      <w:r w:rsidRPr="00956B0F">
        <w:rPr>
          <w:rFonts w:hint="cs"/>
          <w:rtl/>
        </w:rPr>
        <w:t>-</w:t>
      </w:r>
      <w:r w:rsidRPr="00956B0F">
        <w:rPr>
          <w:rtl/>
        </w:rPr>
        <w:t xml:space="preserve">48. </w:t>
      </w:r>
    </w:p>
  </w:footnote>
  <w:footnote w:id="294">
    <w:p w14:paraId="0D74F98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מרכזים פעילים בשנה מסוימת הם מרכזים שדווחו לגביהם השמות (הפנייה של נזקקים לטיפול) בשנה זו. מרכזים שהעסיקו עובדים סוציאליים בתקן בלבד (ולא בתקציב פעולה) לא נדרשו לדווח על השמות, ולכן ישנם מרכזים שהיו פעילים בשנה מסוימת אבל לא מופיעים כמרכזים פעילים ברישומים של משרד הרווחה. בעקבות יישום רפורמת "כתף אל כתף" כלל המרכזים נדרשים לדווח על כלל ההשמות, ראו תת-הפרק "מודל המימון של המרכזים".</w:t>
      </w:r>
    </w:p>
  </w:footnote>
  <w:footnote w:id="295">
    <w:p w14:paraId="5B94CEB6"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פרוטוקול דיון ועדת ההיגוי במרכז לטיפול ומניעת אלימות במשפחה שמפעילה המועצה האזורית דרום השרון מ-24.12.23.</w:t>
      </w:r>
    </w:p>
  </w:footnote>
  <w:footnote w:id="296">
    <w:p w14:paraId="76CAF7D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w:t>
      </w:r>
      <w:r w:rsidRPr="00956B0F">
        <w:rPr>
          <w:rtl/>
        </w:rPr>
        <w:t>הטיפול במעורבים באלימות בין בני</w:t>
      </w:r>
      <w:r w:rsidRPr="00956B0F">
        <w:rPr>
          <w:rFonts w:hint="cs"/>
          <w:rtl/>
        </w:rPr>
        <w:t xml:space="preserve"> </w:t>
      </w:r>
      <w:r w:rsidRPr="00956B0F">
        <w:rPr>
          <w:rtl/>
        </w:rPr>
        <w:t>זוג ברשויות המקומיו</w:t>
      </w:r>
      <w:r w:rsidRPr="00956B0F">
        <w:rPr>
          <w:rFonts w:hint="cs"/>
          <w:rtl/>
        </w:rPr>
        <w:t>ת", עמ' 482 - 484.</w:t>
      </w:r>
    </w:p>
  </w:footnote>
  <w:footnote w:id="297">
    <w:p w14:paraId="6392667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bookmarkStart w:id="1474" w:name="_Hlk196158934"/>
      <w:r w:rsidRPr="00956B0F">
        <w:rPr>
          <w:rFonts w:hint="cs"/>
          <w:rtl/>
        </w:rPr>
        <w:t>סעיף 15.3.3(ד)(4) להוראת תע"ס 3.28 ותיאור התפקיד "מרָכז נושא המניעה והטיפול באלימות במשפחה" (עדכון אחרון: 9.6.24)</w:t>
      </w:r>
      <w:bookmarkEnd w:id="1474"/>
      <w:r w:rsidRPr="00956B0F">
        <w:rPr>
          <w:rFonts w:hint="cs"/>
          <w:rtl/>
        </w:rPr>
        <w:t>.</w:t>
      </w:r>
    </w:p>
  </w:footnote>
  <w:footnote w:id="298">
    <w:p w14:paraId="0270E295"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בעל נזקקות פרט בתחום האלימות במשפחה הוא אדם שהמחלקה לשירותים חברתיים מצאה שהוא זקוק לטיפול סוציאלי בתחום האלימות במשפחה, לרבות אלימות של הורה כלפי ילד או של ילד כלפי הורה וכן אלימות בין אחים. </w:t>
      </w:r>
    </w:p>
  </w:footnote>
  <w:footnote w:id="299">
    <w:p w14:paraId="3FB1265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הרשויות המקומיות </w:t>
      </w:r>
      <w:r w:rsidRPr="00956B0F">
        <w:rPr>
          <w:rtl/>
        </w:rPr>
        <w:t>בוקעאת'א, בית שאן, בני ברק, בסמ"ה, גן יבנה, דימונה, חיפה, ירושלים, כפר קרע, כרמיאל, מגדל העמק, מטה בנימין, עילוט, ערד, קלנסווה, רמת גן</w:t>
      </w:r>
      <w:r w:rsidRPr="00956B0F">
        <w:rPr>
          <w:rFonts w:hint="cs"/>
          <w:rtl/>
        </w:rPr>
        <w:t xml:space="preserve">. </w:t>
      </w:r>
    </w:p>
  </w:footnote>
  <w:footnote w:id="300">
    <w:p w14:paraId="0A1820D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הנתונים מתייחסים לתקנים מאוישים בלבד.</w:t>
      </w:r>
    </w:p>
  </w:footnote>
  <w:footnote w:id="301">
    <w:p w14:paraId="5AB084B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המלצה בנושא זה נכללה גם בדוח הביקורת משנת 2002, עמ' 780.</w:t>
      </w:r>
    </w:p>
  </w:footnote>
  <w:footnote w:id="302">
    <w:p w14:paraId="40DF30B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"פיזור גיאוגרפי של המרכזים לטיפול ומניעת אלימות במשפחה ברשויות המקומיות", עמ' 486 - 493.</w:t>
      </w:r>
    </w:p>
  </w:footnote>
  <w:footnote w:id="303">
    <w:p w14:paraId="4D5C17E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והשוו: </w:t>
      </w:r>
      <w:bookmarkStart w:id="1497" w:name="_Hlk185869302"/>
      <w:r w:rsidRPr="00956B0F">
        <w:rPr>
          <w:rtl/>
        </w:rPr>
        <w:t>התוכנית הלאומית</w:t>
      </w:r>
      <w:r w:rsidRPr="00956B0F">
        <w:rPr>
          <w:rFonts w:hint="cs"/>
          <w:rtl/>
        </w:rPr>
        <w:t xml:space="preserve"> </w:t>
      </w:r>
      <w:r w:rsidRPr="00956B0F">
        <w:rPr>
          <w:rtl/>
        </w:rPr>
        <w:t>לילדים ולנוער בסיכון</w:t>
      </w:r>
      <w:r w:rsidRPr="00956B0F">
        <w:rPr>
          <w:rFonts w:hint="cs"/>
          <w:rtl/>
        </w:rPr>
        <w:t xml:space="preserve"> - הערכת מודל האגדים - דוח מסכם (2019), עמ' 13</w:t>
      </w:r>
      <w:bookmarkEnd w:id="1497"/>
      <w:r w:rsidRPr="00956B0F">
        <w:rPr>
          <w:rFonts w:hint="cs"/>
          <w:rtl/>
        </w:rPr>
        <w:t>.</w:t>
      </w:r>
    </w:p>
  </w:footnote>
  <w:footnote w:id="304">
    <w:p w14:paraId="610E8AD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15.3.3(ג)(4) להוראת תע"ס 3.28.</w:t>
      </w:r>
    </w:p>
  </w:footnote>
  <w:footnote w:id="305">
    <w:p w14:paraId="05F1D06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שירות אזורי הוגדר לצורכי הביקורת הקודמת כשירות שניתן ליותר מעשר משפחות המתגוררות ברשויות מקומיות אחרות. </w:t>
      </w:r>
    </w:p>
  </w:footnote>
  <w:footnote w:id="306">
    <w:p w14:paraId="28D48E8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בשנת 2021 מצא משרד מבקר המדינה כי תופעה זו מאפיינת את כלל שירותי הרווחה הניתנים על ידי הרשויות המקומיות. ראו: </w:t>
      </w:r>
      <w:r w:rsidRPr="00956B0F">
        <w:rPr>
          <w:rtl/>
        </w:rPr>
        <w:t>דוח הביקורת בנושא אסדרת אספקתם של שירותי הרווחה בקהילה</w:t>
      </w:r>
      <w:r w:rsidRPr="00956B0F">
        <w:rPr>
          <w:rFonts w:hint="cs"/>
          <w:rtl/>
        </w:rPr>
        <w:t xml:space="preserve">, עמ' 993 - 994. </w:t>
      </w:r>
    </w:p>
  </w:footnote>
  <w:footnote w:id="307">
    <w:p w14:paraId="7D6DAB9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יש לציין כי גברים הנמצאים במעגל האלימות עשויים להזדקק לטיפול ולשיקום בהיותם פוגעים או נפגעים. עם זאת, נתונים על מאפייניה של התופעה, ולדוגמה נתונים על מאפייניהם של מתלוננים וחשודים בעבירות אלימות בין בני זוג ועל מאפייניהם של מי שהעידו כי היו נתונים לאירוע אלימות גופנית מצד בן זוגם או שהעידו כי חששו לשלומם או לחייהם, מצביעים על כך שבמקרים הללו לרוב מתאפיינת תופעת האלימות הזוגית באלימות של הגבר כלפי האישה, ובהיותם של הגברים פוגעים ולא נפגעים. ראו לעיל פרק ה</w:t>
      </w:r>
      <w:r w:rsidRPr="00956B0F">
        <w:rPr>
          <w:rFonts w:hint="cs"/>
          <w:rtl/>
        </w:rPr>
        <w:t>מבוא</w:t>
      </w:r>
      <w:r w:rsidRPr="00956B0F">
        <w:rPr>
          <w:rtl/>
        </w:rPr>
        <w:t xml:space="preserve"> לדוח זה ותת-הפרק "</w:t>
      </w:r>
      <w:r w:rsidRPr="00956B0F">
        <w:rPr>
          <w:rFonts w:hint="cs"/>
          <w:rtl/>
        </w:rPr>
        <w:t>אמידת היקפה של תופעת האלימות בין בני זוג</w:t>
      </w:r>
      <w:r w:rsidRPr="00956B0F">
        <w:rPr>
          <w:rtl/>
        </w:rPr>
        <w:t>".</w:t>
      </w:r>
    </w:p>
  </w:footnote>
  <w:footnote w:id="308">
    <w:p w14:paraId="735C76B3" w14:textId="77777777" w:rsidR="00F769CC" w:rsidRPr="00956B0F" w:rsidRDefault="00F769CC" w:rsidP="00817399">
      <w:pPr>
        <w:pStyle w:val="af7"/>
      </w:pPr>
      <w:r w:rsidRPr="00956B0F">
        <w:rPr>
          <w:rStyle w:val="af9"/>
        </w:rPr>
        <w:footnoteRef/>
      </w:r>
      <w:r w:rsidRPr="00956B0F">
        <w:rPr>
          <w:rtl/>
        </w:rPr>
        <w:t xml:space="preserve"> </w:t>
      </w:r>
      <w:r w:rsidRPr="00956B0F">
        <w:rPr>
          <w:rtl/>
        </w:rPr>
        <w:tab/>
        <w:t xml:space="preserve">ענת בן פורת, רחל דקל ואוהד גילבר, </w:t>
      </w:r>
      <w:r w:rsidRPr="00956B0F">
        <w:rPr>
          <w:b/>
          <w:bCs/>
          <w:rtl/>
        </w:rPr>
        <w:t>דוח מחקר</w:t>
      </w:r>
      <w:r w:rsidRPr="00956B0F">
        <w:rPr>
          <w:rFonts w:hint="cs"/>
          <w:b/>
          <w:bCs/>
          <w:rtl/>
        </w:rPr>
        <w:t>:</w:t>
      </w:r>
      <w:r w:rsidRPr="00956B0F">
        <w:rPr>
          <w:b/>
          <w:bCs/>
          <w:rtl/>
        </w:rPr>
        <w:t xml:space="preserve"> חוויתם של גברים אלימים המקבלים סיוע במרכזים לטיפול במניעת אלימת במשפחה בישראל</w:t>
      </w:r>
      <w:r w:rsidRPr="00956B0F">
        <w:rPr>
          <w:rFonts w:hint="cs"/>
          <w:b/>
          <w:bCs/>
          <w:rtl/>
        </w:rPr>
        <w:t>:</w:t>
      </w:r>
      <w:r w:rsidRPr="00956B0F">
        <w:rPr>
          <w:b/>
          <w:bCs/>
          <w:rtl/>
        </w:rPr>
        <w:t xml:space="preserve"> מה עוזר בעזרה? </w:t>
      </w:r>
      <w:r w:rsidRPr="00956B0F">
        <w:rPr>
          <w:rtl/>
        </w:rPr>
        <w:t>(יולי 2018</w:t>
      </w:r>
      <w:r w:rsidRPr="00956B0F">
        <w:rPr>
          <w:rFonts w:hint="cs"/>
          <w:rtl/>
        </w:rPr>
        <w:t>), עמ' 7 - 10 (להלן - בן פורת, דקל וגילבר [2])</w:t>
      </w:r>
      <w:r w:rsidRPr="00956B0F">
        <w:rPr>
          <w:rtl/>
        </w:rPr>
        <w:t>.</w:t>
      </w:r>
    </w:p>
  </w:footnote>
  <w:footnote w:id="309">
    <w:p w14:paraId="3D42AFB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כך לדוגמה עצם ההכרה בתופעת האלימות במשפחה בחברה החרדית חותרת תחת תפיסות היסוד שלה. ראו: רחל יעקבס ויעל אידיסיס, "ייחוסי אשמה וחומרה במקרי אלימות במשפחה על ידי נשים חרדיות", </w:t>
      </w:r>
      <w:r w:rsidRPr="00956B0F">
        <w:rPr>
          <w:rFonts w:hint="cs"/>
          <w:b/>
          <w:bCs/>
          <w:rtl/>
        </w:rPr>
        <w:t>קרימינולוגיה ישראלית</w:t>
      </w:r>
      <w:r w:rsidRPr="00956B0F">
        <w:rPr>
          <w:rFonts w:hint="cs"/>
          <w:rtl/>
        </w:rPr>
        <w:t xml:space="preserve"> ט (תש"ף), עמ' 131. בחברה הערבית פנייה לסיוע מגורמים רשמיים, ובהם רשויות הרווחה, עלולה להיתפס כ"חילול כבוד המשפחה". ראו: </w:t>
      </w:r>
      <w:r w:rsidRPr="00956B0F">
        <w:rPr>
          <w:rtl/>
        </w:rPr>
        <w:t xml:space="preserve">אלי בוכבינדר וסוהאד אסעד, "דילמות אתיות של עובדים סוציאליים המטפלים באלימות נגד נשים בחברה הערבית", </w:t>
      </w:r>
      <w:r w:rsidRPr="00956B0F">
        <w:rPr>
          <w:b/>
          <w:bCs/>
          <w:rtl/>
        </w:rPr>
        <w:t>חברה ורווחה</w:t>
      </w:r>
      <w:r w:rsidRPr="00956B0F">
        <w:rPr>
          <w:rFonts w:hint="cs"/>
          <w:rtl/>
        </w:rPr>
        <w:t xml:space="preserve"> </w:t>
      </w:r>
      <w:r w:rsidRPr="00956B0F">
        <w:rPr>
          <w:rtl/>
        </w:rPr>
        <w:t>כ</w:t>
      </w:r>
      <w:r w:rsidRPr="00956B0F">
        <w:rPr>
          <w:rFonts w:hint="cs"/>
          <w:rtl/>
        </w:rPr>
        <w:t>(</w:t>
      </w:r>
      <w:r w:rsidRPr="00956B0F">
        <w:rPr>
          <w:rtl/>
        </w:rPr>
        <w:t>1</w:t>
      </w:r>
      <w:r w:rsidRPr="00956B0F">
        <w:rPr>
          <w:rFonts w:hint="cs"/>
          <w:rtl/>
        </w:rPr>
        <w:t>)</w:t>
      </w:r>
      <w:r w:rsidRPr="00956B0F">
        <w:rPr>
          <w:rtl/>
        </w:rPr>
        <w:t xml:space="preserve"> (2000), עמ' 69.</w:t>
      </w:r>
    </w:p>
  </w:footnote>
  <w:footnote w:id="310">
    <w:p w14:paraId="425C78C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חגית הרטף, מירי לוין-רוזליס ונעמה בר-און, "</w:t>
      </w:r>
      <w:r w:rsidRPr="00956B0F">
        <w:rPr>
          <w:rtl/>
        </w:rPr>
        <w:t xml:space="preserve">תוצאות התערבות טיפולית ייחודית לגברים אלימים </w:t>
      </w:r>
      <w:r w:rsidRPr="00956B0F">
        <w:rPr>
          <w:rFonts w:hint="cs"/>
          <w:rtl/>
        </w:rPr>
        <w:t xml:space="preserve">בבית-נועם </w:t>
      </w:r>
      <w:r w:rsidRPr="00956B0F">
        <w:rPr>
          <w:rtl/>
        </w:rPr>
        <w:t>- הצלחות, גבולות וקשיים</w:t>
      </w:r>
      <w:r w:rsidRPr="00956B0F">
        <w:rPr>
          <w:rFonts w:hint="cs"/>
          <w:rtl/>
        </w:rPr>
        <w:t xml:space="preserve">", </w:t>
      </w:r>
      <w:r w:rsidRPr="00956B0F">
        <w:rPr>
          <w:rFonts w:hint="cs"/>
          <w:b/>
          <w:bCs/>
          <w:rtl/>
        </w:rPr>
        <w:t>מפגש לעבודה חינוכית-סוציאלית</w:t>
      </w:r>
      <w:r w:rsidRPr="00956B0F">
        <w:rPr>
          <w:rFonts w:hint="cs"/>
          <w:rtl/>
        </w:rPr>
        <w:t xml:space="preserve"> 17 (2003), עמ' 65 - 87.</w:t>
      </w:r>
    </w:p>
  </w:footnote>
  <w:footnote w:id="311">
    <w:p w14:paraId="7091DD4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הכוונה להפניה באמצעות הוועדות המחוזיות לאלימות במשפחה. ראו תת-הפרק "טיפול ושיקום לאחר שחרור הפוגע ממאסר".</w:t>
      </w:r>
    </w:p>
  </w:footnote>
  <w:footnote w:id="312">
    <w:p w14:paraId="26E1EF9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הנתונים מתייחסים לעולים חדשים (שעלו לאחר שנת 2008) וכן לעולים ותיקים (שעלו לארץ בשנים 1990 - 2007). לא נמצא הבדל משמעותי בשיעור זה בניתוח נפרד של הנתונים לפי שנת העלייה.</w:t>
      </w:r>
    </w:p>
  </w:footnote>
  <w:footnote w:id="313">
    <w:p w14:paraId="44B139C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"התוכנית 'גשרים' לטיפול באלימות בקרב עולים", עמ' 497 - 498.</w:t>
      </w:r>
    </w:p>
  </w:footnote>
  <w:footnote w:id="314">
    <w:p w14:paraId="5E01D9BC" w14:textId="77777777" w:rsidR="00F769CC" w:rsidRPr="00956B0F" w:rsidRDefault="00F769CC" w:rsidP="00817399">
      <w:pPr>
        <w:pStyle w:val="af7"/>
      </w:pPr>
      <w:r w:rsidRPr="00956B0F">
        <w:rPr>
          <w:rStyle w:val="af9"/>
        </w:rPr>
        <w:footnoteRef/>
      </w:r>
      <w:r w:rsidRPr="00956B0F">
        <w:rPr>
          <w:rtl/>
        </w:rPr>
        <w:t xml:space="preserve"> </w:t>
      </w:r>
      <w:r w:rsidRPr="00956B0F">
        <w:rPr>
          <w:rtl/>
        </w:rPr>
        <w:tab/>
        <w:t xml:space="preserve">ארנון אדלשטיין, </w:t>
      </w:r>
      <w:r w:rsidRPr="00956B0F">
        <w:rPr>
          <w:b/>
          <w:bCs/>
          <w:rtl/>
        </w:rPr>
        <w:t>רצח בנות זוג בישראל היבטים תיאורטיים ואמפיריים</w:t>
      </w:r>
      <w:r w:rsidRPr="00956B0F">
        <w:rPr>
          <w:rtl/>
        </w:rPr>
        <w:t xml:space="preserve"> (</w:t>
      </w:r>
      <w:r w:rsidRPr="00956B0F">
        <w:rPr>
          <w:rFonts w:hint="cs"/>
          <w:rtl/>
        </w:rPr>
        <w:t>2013</w:t>
      </w:r>
      <w:r w:rsidRPr="00956B0F">
        <w:rPr>
          <w:rtl/>
        </w:rPr>
        <w:t>)</w:t>
      </w:r>
      <w:r w:rsidRPr="00956B0F">
        <w:rPr>
          <w:rFonts w:hint="cs"/>
          <w:rtl/>
        </w:rPr>
        <w:t>,</w:t>
      </w:r>
      <w:r w:rsidRPr="00956B0F">
        <w:rPr>
          <w:rtl/>
        </w:rPr>
        <w:t xml:space="preserve"> עמ' </w:t>
      </w:r>
      <w:r w:rsidRPr="00956B0F">
        <w:rPr>
          <w:rFonts w:hint="cs"/>
          <w:rtl/>
        </w:rPr>
        <w:t>129 - 132.</w:t>
      </w:r>
    </w:p>
  </w:footnote>
  <w:footnote w:id="315">
    <w:p w14:paraId="080AF0B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לפי משרד העלייה, "עולה חדש" הוא מי שעלה לארץ בעשר השנים האחרונות, ולעניין עולים מאתיופיה - במהלך 15 השנים האחרונות. מי ששוהה בארץ פרק זמן ארוך יותר מוגדר "עולה ותיק".</w:t>
      </w:r>
    </w:p>
  </w:footnote>
  <w:footnote w:id="316">
    <w:p w14:paraId="26C17A2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מתוך סכום כולל של 4,480,000 ש"ח שהוקצו בשנים 2022 - 2024, חלקו של משרד הרווחה עמד על כ-75% מהתקציב (3,317,300 ש"ח), וחלקו של משרד העלייה עמד על כ-25% (1,162,700 ש"ח).</w:t>
      </w:r>
    </w:p>
  </w:footnote>
  <w:footnote w:id="317">
    <w:p w14:paraId="677792D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ראו והשוו: אלה ברנד לוי ומיקי מלול, "תפיסת מקבלות שירות את הטיפול הסוציאלי במחלקות לשירותים חברתיים: הבדלים בין טיפול שגרתי לטיפול מודע-עוני", </w:t>
      </w:r>
      <w:r w:rsidRPr="00956B0F">
        <w:rPr>
          <w:rFonts w:hint="cs"/>
          <w:b/>
          <w:bCs/>
          <w:rtl/>
        </w:rPr>
        <w:t xml:space="preserve">ביטחון סוציאלי </w:t>
      </w:r>
      <w:r w:rsidRPr="00956B0F">
        <w:rPr>
          <w:rFonts w:hint="cs"/>
          <w:rtl/>
        </w:rPr>
        <w:t xml:space="preserve">106 (2019), עמ' 157 </w:t>
      </w:r>
      <w:r w:rsidRPr="00956B0F">
        <w:rPr>
          <w:rStyle w:val="Hyperlink"/>
          <w:color w:val="auto"/>
          <w:u w:val="none"/>
          <w:rtl/>
        </w:rPr>
        <w:t>(להלן</w:t>
      </w:r>
      <w:r w:rsidRPr="00956B0F">
        <w:rPr>
          <w:rStyle w:val="Hyperlink"/>
          <w:rFonts w:hint="cs"/>
          <w:color w:val="auto"/>
          <w:u w:val="none"/>
          <w:rtl/>
        </w:rPr>
        <w:t xml:space="preserve"> -</w:t>
      </w:r>
      <w:r w:rsidRPr="00956B0F">
        <w:rPr>
          <w:rStyle w:val="Hyperlink"/>
          <w:color w:val="auto"/>
          <w:u w:val="none"/>
          <w:rtl/>
        </w:rPr>
        <w:t xml:space="preserve"> ברנד לוי ומלול)</w:t>
      </w:r>
      <w:r w:rsidRPr="00956B0F">
        <w:rPr>
          <w:rFonts w:hint="cs"/>
          <w:rtl/>
        </w:rPr>
        <w:t>.</w:t>
      </w:r>
    </w:p>
  </w:footnote>
  <w:footnote w:id="318">
    <w:p w14:paraId="714A15A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11 ו-15.3.5 להוראת תע"ס 3.28.</w:t>
      </w:r>
    </w:p>
  </w:footnote>
  <w:footnote w:id="319">
    <w:p w14:paraId="422E958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החישוב בביקורת הקודמת נעשה בהתבסס על תקינת כוח האדם ולא על איוש התקנים בפועל, בהיעדר נתונים מלאים בנושא זה.</w:t>
      </w:r>
    </w:p>
  </w:footnote>
  <w:footnote w:id="320">
    <w:p w14:paraId="102BCD8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בית הספר המרכזי להכשרת עובדים לשירותי הרווחה משמש זרוע פדגוגית של משרד הרווחה ובית מקצועי להתפתחות ולניהול הקריירה של עובדים בכל מגוון התפקידים.</w:t>
      </w:r>
    </w:p>
  </w:footnote>
  <w:footnote w:id="321">
    <w:p w14:paraId="7B78EB04" w14:textId="77777777" w:rsidR="00F769CC" w:rsidRPr="00956B0F" w:rsidRDefault="00F769CC" w:rsidP="00817399">
      <w:pPr>
        <w:pStyle w:val="af7"/>
        <w:rPr>
          <w:b/>
          <w:bCs/>
          <w:rtl/>
        </w:rPr>
      </w:pPr>
      <w:r w:rsidRPr="00956B0F">
        <w:rPr>
          <w:rStyle w:val="af9"/>
        </w:rPr>
        <w:footnoteRef/>
      </w:r>
      <w:r w:rsidRPr="00956B0F">
        <w:rPr>
          <w:rtl/>
        </w:rPr>
        <w:t xml:space="preserve"> </w:t>
      </w:r>
      <w:r w:rsidRPr="00956B0F">
        <w:rPr>
          <w:rtl/>
        </w:rPr>
        <w:tab/>
      </w:r>
      <w:r w:rsidRPr="00956B0F">
        <w:rPr>
          <w:rFonts w:hint="cs"/>
          <w:rtl/>
        </w:rPr>
        <w:t xml:space="preserve">משרד הרווחה והשירותים החברתיים, </w:t>
      </w:r>
      <w:r w:rsidRPr="00956B0F">
        <w:rPr>
          <w:rFonts w:hint="cs"/>
          <w:b/>
          <w:bCs/>
          <w:rtl/>
        </w:rPr>
        <w:t xml:space="preserve">מיפוי מאפיינים וצרכים של עובדים סוציאליים במרכזים למניעה וטיפול באלימות במשפחה </w:t>
      </w:r>
      <w:r w:rsidRPr="00956B0F">
        <w:rPr>
          <w:rFonts w:hint="cs"/>
          <w:rtl/>
        </w:rPr>
        <w:t>(2022), עמ' 4.</w:t>
      </w:r>
    </w:p>
  </w:footnote>
  <w:footnote w:id="322">
    <w:p w14:paraId="68DCE805"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דין וחשבון ועדת בן-שלום (1998), עמ' 9.</w:t>
      </w:r>
    </w:p>
  </w:footnote>
  <w:footnote w:id="323">
    <w:p w14:paraId="7DBDF37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טל ג'משי וסארה אבו-כף, "שחיקה וסימפטומים דיכאוניים בקרב עובדים סוציאליים: התרומה של ניהול קונפליקטים ומשאבי תמיכה חברתית", </w:t>
      </w:r>
      <w:r w:rsidRPr="00956B0F">
        <w:rPr>
          <w:rFonts w:hint="cs"/>
          <w:b/>
          <w:bCs/>
          <w:rtl/>
        </w:rPr>
        <w:t>חברה</w:t>
      </w:r>
      <w:r w:rsidRPr="00956B0F">
        <w:rPr>
          <w:rFonts w:hint="cs"/>
          <w:rtl/>
        </w:rPr>
        <w:t xml:space="preserve"> </w:t>
      </w:r>
      <w:r w:rsidRPr="00956B0F">
        <w:rPr>
          <w:rFonts w:hint="cs"/>
          <w:b/>
          <w:bCs/>
          <w:rtl/>
        </w:rPr>
        <w:t>ורווחה</w:t>
      </w:r>
      <w:r w:rsidRPr="00956B0F">
        <w:rPr>
          <w:rFonts w:hint="cs"/>
          <w:rtl/>
        </w:rPr>
        <w:t xml:space="preserve"> מ"א 4 (2021), עמ' 491 - 541; ראו והשוו גם: ברנד לוי ומלול, עמ' 159 - 160. </w:t>
      </w:r>
    </w:p>
  </w:footnote>
  <w:footnote w:id="324">
    <w:p w14:paraId="7B32DCE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ברנד</w:t>
      </w:r>
      <w:r w:rsidRPr="00956B0F">
        <w:rPr>
          <w:rtl/>
        </w:rPr>
        <w:t xml:space="preserve"> לוי ומלול, עמ' 160.</w:t>
      </w:r>
    </w:p>
  </w:footnote>
  <w:footnote w:id="325">
    <w:p w14:paraId="695233C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בהקשר זה ראו גם: </w:t>
      </w:r>
      <w:r w:rsidRPr="00956B0F">
        <w:rPr>
          <w:rFonts w:hint="eastAsia"/>
          <w:rtl/>
        </w:rPr>
        <w:t>טלי</w:t>
      </w:r>
      <w:r w:rsidRPr="00956B0F">
        <w:rPr>
          <w:rtl/>
        </w:rPr>
        <w:t xml:space="preserve"> ארז, </w:t>
      </w:r>
      <w:r w:rsidRPr="00956B0F">
        <w:rPr>
          <w:rFonts w:hint="eastAsia"/>
          <w:rtl/>
        </w:rPr>
        <w:t>לייה</w:t>
      </w:r>
      <w:r w:rsidRPr="00956B0F">
        <w:rPr>
          <w:rtl/>
        </w:rPr>
        <w:t xml:space="preserve"> מורן-גלעד, רי</w:t>
      </w:r>
      <w:r w:rsidRPr="00956B0F">
        <w:rPr>
          <w:rFonts w:hint="eastAsia"/>
          <w:rtl/>
        </w:rPr>
        <w:t>נת</w:t>
      </w:r>
      <w:r w:rsidRPr="00956B0F">
        <w:rPr>
          <w:rtl/>
        </w:rPr>
        <w:t xml:space="preserve"> </w:t>
      </w:r>
      <w:r w:rsidRPr="00956B0F">
        <w:rPr>
          <w:rFonts w:hint="eastAsia"/>
          <w:rtl/>
        </w:rPr>
        <w:t>נמר</w:t>
      </w:r>
      <w:r w:rsidRPr="00956B0F">
        <w:rPr>
          <w:rtl/>
        </w:rPr>
        <w:t>-</w:t>
      </w:r>
      <w:r w:rsidRPr="00956B0F">
        <w:rPr>
          <w:rFonts w:hint="eastAsia"/>
          <w:rtl/>
        </w:rPr>
        <w:t>פוסטנברג</w:t>
      </w:r>
      <w:r w:rsidRPr="00956B0F">
        <w:rPr>
          <w:rtl/>
        </w:rPr>
        <w:t xml:space="preserve">, דפנה הרן, יפית כהן ויניב אורן, </w:t>
      </w:r>
      <w:r w:rsidRPr="00956B0F">
        <w:rPr>
          <w:rFonts w:hint="eastAsia"/>
          <w:b/>
          <w:bCs/>
          <w:rtl/>
        </w:rPr>
        <w:t>מעמדו</w:t>
      </w:r>
      <w:r w:rsidRPr="00956B0F">
        <w:rPr>
          <w:b/>
          <w:bCs/>
          <w:rtl/>
        </w:rPr>
        <w:t xml:space="preserve"> </w:t>
      </w:r>
      <w:r w:rsidRPr="00956B0F">
        <w:rPr>
          <w:rFonts w:hint="eastAsia"/>
          <w:b/>
          <w:bCs/>
          <w:rtl/>
        </w:rPr>
        <w:t>של</w:t>
      </w:r>
      <w:r w:rsidRPr="00956B0F">
        <w:rPr>
          <w:b/>
          <w:bCs/>
          <w:rtl/>
        </w:rPr>
        <w:t xml:space="preserve"> </w:t>
      </w:r>
      <w:r w:rsidRPr="00956B0F">
        <w:rPr>
          <w:rFonts w:hint="eastAsia"/>
          <w:b/>
          <w:bCs/>
          <w:rtl/>
        </w:rPr>
        <w:t>העובד</w:t>
      </w:r>
      <w:r w:rsidRPr="00956B0F">
        <w:rPr>
          <w:b/>
          <w:bCs/>
          <w:rtl/>
        </w:rPr>
        <w:t xml:space="preserve"> </w:t>
      </w:r>
      <w:r w:rsidRPr="00956B0F">
        <w:rPr>
          <w:rFonts w:hint="eastAsia"/>
          <w:b/>
          <w:bCs/>
          <w:rtl/>
        </w:rPr>
        <w:t>הסוציאלי</w:t>
      </w:r>
      <w:r w:rsidRPr="00956B0F">
        <w:rPr>
          <w:b/>
          <w:bCs/>
          <w:rtl/>
        </w:rPr>
        <w:t xml:space="preserve">: </w:t>
      </w:r>
      <w:r w:rsidRPr="00956B0F">
        <w:rPr>
          <w:rFonts w:hint="eastAsia"/>
          <w:b/>
          <w:bCs/>
          <w:rtl/>
        </w:rPr>
        <w:t>סקירה</w:t>
      </w:r>
      <w:r w:rsidRPr="00956B0F">
        <w:rPr>
          <w:b/>
          <w:bCs/>
          <w:rtl/>
        </w:rPr>
        <w:t xml:space="preserve"> </w:t>
      </w:r>
      <w:r w:rsidRPr="00956B0F">
        <w:rPr>
          <w:rFonts w:hint="eastAsia"/>
          <w:b/>
          <w:bCs/>
          <w:rtl/>
        </w:rPr>
        <w:t>בינלאומית</w:t>
      </w:r>
      <w:r w:rsidRPr="00956B0F">
        <w:rPr>
          <w:rtl/>
        </w:rPr>
        <w:t xml:space="preserve"> (2020), </w:t>
      </w:r>
      <w:r w:rsidRPr="00956B0F">
        <w:rPr>
          <w:rFonts w:hint="eastAsia"/>
          <w:rtl/>
        </w:rPr>
        <w:t>עמ</w:t>
      </w:r>
      <w:r w:rsidRPr="00956B0F">
        <w:rPr>
          <w:rtl/>
        </w:rPr>
        <w:t>' 19.</w:t>
      </w:r>
    </w:p>
  </w:footnote>
  <w:footnote w:id="326">
    <w:p w14:paraId="1198743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9.2 להוראת תע"ס 3.28</w:t>
      </w:r>
      <w:r w:rsidRPr="00956B0F">
        <w:rPr>
          <w:rStyle w:val="Hyperlink"/>
          <w:rFonts w:hint="cs"/>
          <w:color w:val="auto"/>
          <w:u w:val="none"/>
          <w:rtl/>
        </w:rPr>
        <w:t>.</w:t>
      </w:r>
    </w:p>
  </w:footnote>
  <w:footnote w:id="327">
    <w:p w14:paraId="20AF3A8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המונח "השמה" מתייחס לפעולה של הפנייתו של</w:t>
      </w:r>
      <w:r w:rsidRPr="00956B0F">
        <w:rPr>
          <w:rtl/>
        </w:rPr>
        <w:t xml:space="preserve"> אדם </w:t>
      </w:r>
      <w:r w:rsidRPr="00956B0F">
        <w:rPr>
          <w:rFonts w:hint="cs"/>
          <w:rtl/>
        </w:rPr>
        <w:t xml:space="preserve">הזקוק לתמיכה וסיוע </w:t>
      </w:r>
      <w:r w:rsidRPr="00956B0F">
        <w:rPr>
          <w:rtl/>
        </w:rPr>
        <w:t>ל</w:t>
      </w:r>
      <w:r w:rsidRPr="00956B0F">
        <w:rPr>
          <w:rFonts w:hint="cs"/>
          <w:rtl/>
        </w:rPr>
        <w:t>קבלת שירותי רווחה אישיים ב</w:t>
      </w:r>
      <w:r w:rsidRPr="00956B0F">
        <w:rPr>
          <w:rtl/>
        </w:rPr>
        <w:t xml:space="preserve">מסגרת </w:t>
      </w:r>
      <w:r w:rsidRPr="00956B0F">
        <w:rPr>
          <w:rFonts w:hint="cs"/>
          <w:rtl/>
        </w:rPr>
        <w:t xml:space="preserve">חוץ-ביתית </w:t>
      </w:r>
      <w:r w:rsidRPr="00956B0F">
        <w:rPr>
          <w:rtl/>
        </w:rPr>
        <w:t xml:space="preserve">או </w:t>
      </w:r>
      <w:r w:rsidRPr="00956B0F">
        <w:rPr>
          <w:rFonts w:hint="cs"/>
          <w:rtl/>
        </w:rPr>
        <w:t>בקהילה.</w:t>
      </w:r>
      <w:r w:rsidRPr="00956B0F">
        <w:rPr>
          <w:rtl/>
        </w:rPr>
        <w:t xml:space="preserve"> </w:t>
      </w:r>
    </w:p>
  </w:footnote>
  <w:footnote w:id="328">
    <w:p w14:paraId="7D65DB2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עד לרפורמת "כתף אל כתף" הרשויות המקומיות התבקשו לדווח על השמות רק </w:t>
      </w:r>
      <w:r w:rsidRPr="00956B0F">
        <w:rPr>
          <w:rtl/>
        </w:rPr>
        <w:t xml:space="preserve">עבור מטופלים אצל </w:t>
      </w:r>
      <w:r w:rsidRPr="00956B0F">
        <w:rPr>
          <w:rFonts w:hint="cs"/>
          <w:rtl/>
        </w:rPr>
        <w:t xml:space="preserve">עובדים סוציאליים המועסקים בתקציבי פעולה. ההשמה הייתה מדווחת </w:t>
      </w:r>
      <w:r w:rsidRPr="00956B0F">
        <w:rPr>
          <w:rtl/>
        </w:rPr>
        <w:t xml:space="preserve">עבור כל בני המשפחה ולא </w:t>
      </w:r>
      <w:r w:rsidRPr="00956B0F">
        <w:rPr>
          <w:rFonts w:hint="cs"/>
          <w:rtl/>
        </w:rPr>
        <w:t>ברמת הפרט היחיד</w:t>
      </w:r>
      <w:r w:rsidRPr="00956B0F">
        <w:rPr>
          <w:rtl/>
        </w:rPr>
        <w:t xml:space="preserve">. </w:t>
      </w:r>
      <w:r w:rsidRPr="00956B0F">
        <w:rPr>
          <w:rFonts w:hint="cs"/>
          <w:rtl/>
        </w:rPr>
        <w:t>מסיבה זו מערכת מס"ר מציגה נתונים על כמחצית מהמטופלים בפועל ומתייחסת לטיפול מהותי, ואינה כוללת לדוגמה שיחת אינטייק טלפונית.</w:t>
      </w:r>
    </w:p>
  </w:footnote>
  <w:footnote w:id="329">
    <w:p w14:paraId="4795869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כלומר, כולל ימי שבת וחג.</w:t>
      </w:r>
    </w:p>
  </w:footnote>
  <w:footnote w:id="330">
    <w:p w14:paraId="4E5A234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משרד הרווחה והביטחון החברתי, "</w:t>
      </w:r>
      <w:r w:rsidRPr="00956B0F">
        <w:rPr>
          <w:rtl/>
        </w:rPr>
        <w:t>מודל הפעלה למרכזים/יחידות למניעה וטיפול באלימות במשפחה</w:t>
      </w:r>
      <w:r w:rsidRPr="00956B0F">
        <w:rPr>
          <w:rFonts w:hint="cs"/>
          <w:rtl/>
        </w:rPr>
        <w:t>" (6.6.24).</w:t>
      </w:r>
    </w:p>
  </w:footnote>
  <w:footnote w:id="331">
    <w:p w14:paraId="730755D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"היבטים נוספים באיכות השירות", עמ' 558 - 560.</w:t>
      </w:r>
    </w:p>
  </w:footnote>
  <w:footnote w:id="332">
    <w:p w14:paraId="7B761D0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19ט(ג1א)(5) וסימן ג' לחוק שוויון זכויות ו</w:t>
      </w:r>
      <w:r w:rsidRPr="00956B0F">
        <w:rPr>
          <w:rtl/>
        </w:rPr>
        <w:t>תקנות שוויון זכויות לאנשים עם מוגבלות (התאמות נגישות למקום ציבורי שהוא בניין קיים), התשע"ב-2011</w:t>
      </w:r>
      <w:r w:rsidRPr="00956B0F">
        <w:rPr>
          <w:rFonts w:hint="cs"/>
          <w:rtl/>
        </w:rPr>
        <w:t xml:space="preserve">. המקומות הציבוריים שחלה לגביהם חובת הנגשה מפורטים בתוספת הראשונה לחוק שוויון זכויות. </w:t>
      </w:r>
    </w:p>
  </w:footnote>
  <w:footnote w:id="333">
    <w:p w14:paraId="7D43BD3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מורשה לנגישות הוא </w:t>
      </w:r>
      <w:r w:rsidRPr="00956B0F">
        <w:rPr>
          <w:rtl/>
        </w:rPr>
        <w:t>א</w:t>
      </w:r>
      <w:r w:rsidRPr="00956B0F">
        <w:rPr>
          <w:rFonts w:hint="cs"/>
          <w:rtl/>
        </w:rPr>
        <w:t>י</w:t>
      </w:r>
      <w:r w:rsidRPr="00956B0F">
        <w:rPr>
          <w:rtl/>
        </w:rPr>
        <w:t xml:space="preserve">ש מקצוע </w:t>
      </w:r>
      <w:r w:rsidRPr="00956B0F">
        <w:rPr>
          <w:rFonts w:hint="cs"/>
          <w:rtl/>
        </w:rPr>
        <w:t>ש</w:t>
      </w:r>
      <w:r w:rsidRPr="00956B0F">
        <w:rPr>
          <w:rtl/>
        </w:rPr>
        <w:t>תפקיד</w:t>
      </w:r>
      <w:r w:rsidRPr="00956B0F">
        <w:rPr>
          <w:rFonts w:hint="cs"/>
          <w:rtl/>
        </w:rPr>
        <w:t>ו</w:t>
      </w:r>
      <w:r w:rsidRPr="00956B0F">
        <w:rPr>
          <w:rtl/>
        </w:rPr>
        <w:t xml:space="preserve"> לסייע ב</w:t>
      </w:r>
      <w:r w:rsidRPr="00956B0F">
        <w:rPr>
          <w:rFonts w:hint="cs"/>
          <w:rtl/>
        </w:rPr>
        <w:t xml:space="preserve">כל הקשור </w:t>
      </w:r>
      <w:r w:rsidRPr="00956B0F">
        <w:rPr>
          <w:rtl/>
        </w:rPr>
        <w:t xml:space="preserve">באפיון, תכנון, בקרה ופיקוח על יישום </w:t>
      </w:r>
      <w:r w:rsidRPr="00956B0F">
        <w:rPr>
          <w:rFonts w:hint="cs"/>
          <w:rtl/>
        </w:rPr>
        <w:t>ה</w:t>
      </w:r>
      <w:r w:rsidRPr="00956B0F">
        <w:rPr>
          <w:rtl/>
        </w:rPr>
        <w:t xml:space="preserve">דרישות להתאמות נגישות לפי דרישות </w:t>
      </w:r>
      <w:r w:rsidRPr="00956B0F">
        <w:rPr>
          <w:rFonts w:hint="cs"/>
          <w:rtl/>
        </w:rPr>
        <w:t>חוק שוויון זכויות, בין שלעניין מבנים, תשתיות וסביבה (מורשה לנגישות מתו"ס) ובין שלעניין נגישות השירות, לרבות אביזרים ונהלים (מורשה לנגישות השירות)</w:t>
      </w:r>
      <w:r w:rsidRPr="00956B0F">
        <w:rPr>
          <w:rtl/>
        </w:rPr>
        <w:t>.</w:t>
      </w:r>
    </w:p>
  </w:footnote>
  <w:footnote w:id="334">
    <w:p w14:paraId="2ABE47E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דין וחשבון ועדת קרפ (1989); אפרת שהם, "</w:t>
      </w:r>
      <w:r w:rsidRPr="00956B0F">
        <w:rPr>
          <w:rtl/>
        </w:rPr>
        <w:t>הקמת מער</w:t>
      </w:r>
      <w:r w:rsidRPr="00956B0F">
        <w:rPr>
          <w:rFonts w:hint="cs"/>
          <w:rtl/>
        </w:rPr>
        <w:t>ך</w:t>
      </w:r>
      <w:r w:rsidRPr="00956B0F">
        <w:rPr>
          <w:rtl/>
        </w:rPr>
        <w:t xml:space="preserve"> חוקרי אלימות במשפחה (אלמ</w:t>
      </w:r>
      <w:r w:rsidRPr="00956B0F">
        <w:rPr>
          <w:rFonts w:hint="cs"/>
          <w:rtl/>
        </w:rPr>
        <w:t>"ב)</w:t>
      </w:r>
      <w:r w:rsidRPr="00956B0F">
        <w:rPr>
          <w:rtl/>
        </w:rPr>
        <w:t xml:space="preserve"> מה נשתנה</w:t>
      </w:r>
      <w:r w:rsidRPr="00956B0F">
        <w:rPr>
          <w:rFonts w:hint="cs"/>
          <w:rtl/>
        </w:rPr>
        <w:t xml:space="preserve">?", </w:t>
      </w:r>
      <w:r w:rsidRPr="00956B0F">
        <w:rPr>
          <w:rFonts w:hint="cs"/>
          <w:b/>
          <w:bCs/>
          <w:rtl/>
        </w:rPr>
        <w:t>פלילים</w:t>
      </w:r>
      <w:r w:rsidRPr="00956B0F">
        <w:rPr>
          <w:rFonts w:hint="cs"/>
          <w:rtl/>
        </w:rPr>
        <w:t xml:space="preserve"> ד </w:t>
      </w:r>
      <w:r w:rsidRPr="00956B0F">
        <w:rPr>
          <w:rtl/>
        </w:rPr>
        <w:t>55</w:t>
      </w:r>
      <w:r w:rsidRPr="00956B0F">
        <w:rPr>
          <w:rFonts w:hint="cs"/>
          <w:rtl/>
        </w:rPr>
        <w:t xml:space="preserve"> (1994), עמ' 57 - 58.</w:t>
      </w:r>
    </w:p>
  </w:footnote>
  <w:footnote w:id="335">
    <w:p w14:paraId="60D89AC4"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התוכנית הבין-משרדית להתמודדות עם תופעת האלימות במשפחה, משרד הרווחה בשותפות קרן רש"י וג'וינט אלכא</w:t>
      </w:r>
      <w:r w:rsidRPr="00956B0F">
        <w:rPr>
          <w:rFonts w:hint="cs"/>
          <w:rtl/>
        </w:rPr>
        <w:t>,</w:t>
      </w:r>
      <w:r w:rsidRPr="00956B0F">
        <w:rPr>
          <w:rtl/>
        </w:rPr>
        <w:t xml:space="preserve"> "</w:t>
      </w:r>
      <w:r w:rsidRPr="00956B0F">
        <w:rPr>
          <w:rFonts w:hint="eastAsia"/>
          <w:b/>
          <w:bCs/>
          <w:rtl/>
        </w:rPr>
        <w:t>פיתוח</w:t>
      </w:r>
      <w:r w:rsidRPr="00956B0F">
        <w:rPr>
          <w:b/>
          <w:bCs/>
          <w:rtl/>
        </w:rPr>
        <w:t xml:space="preserve"> </w:t>
      </w:r>
      <w:r w:rsidRPr="00956B0F">
        <w:rPr>
          <w:rFonts w:hint="eastAsia"/>
          <w:b/>
          <w:bCs/>
          <w:rtl/>
        </w:rPr>
        <w:t>שירותים</w:t>
      </w:r>
      <w:r w:rsidRPr="00956B0F">
        <w:rPr>
          <w:b/>
          <w:bCs/>
          <w:rtl/>
        </w:rPr>
        <w:t xml:space="preserve"> </w:t>
      </w:r>
      <w:r w:rsidRPr="00956B0F">
        <w:rPr>
          <w:rFonts w:hint="eastAsia"/>
          <w:b/>
          <w:bCs/>
          <w:rtl/>
        </w:rPr>
        <w:t>במאבק</w:t>
      </w:r>
      <w:r w:rsidRPr="00956B0F">
        <w:rPr>
          <w:b/>
          <w:bCs/>
          <w:rtl/>
        </w:rPr>
        <w:t xml:space="preserve"> </w:t>
      </w:r>
      <w:r w:rsidRPr="00956B0F">
        <w:rPr>
          <w:rFonts w:hint="eastAsia"/>
          <w:b/>
          <w:bCs/>
          <w:rtl/>
        </w:rPr>
        <w:t>באלימות</w:t>
      </w:r>
      <w:r w:rsidRPr="00956B0F">
        <w:rPr>
          <w:b/>
          <w:bCs/>
          <w:rtl/>
        </w:rPr>
        <w:t xml:space="preserve"> </w:t>
      </w:r>
      <w:r w:rsidRPr="00956B0F">
        <w:rPr>
          <w:rFonts w:hint="eastAsia"/>
          <w:b/>
          <w:bCs/>
          <w:rtl/>
        </w:rPr>
        <w:t>הזוגית</w:t>
      </w:r>
      <w:r w:rsidRPr="00956B0F">
        <w:rPr>
          <w:b/>
          <w:bCs/>
          <w:rtl/>
        </w:rPr>
        <w:t>"</w:t>
      </w:r>
      <w:r w:rsidRPr="00956B0F">
        <w:rPr>
          <w:rtl/>
        </w:rPr>
        <w:t xml:space="preserve"> (2022), עמ' 6.</w:t>
      </w:r>
    </w:p>
  </w:footnote>
  <w:footnote w:id="336">
    <w:p w14:paraId="70B6401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אורית שלו ופנחס יחזקאלי, "דגם לטיפול מערכתי משולב בתחנת באר שבע", </w:t>
      </w:r>
      <w:r w:rsidRPr="00956B0F">
        <w:rPr>
          <w:rFonts w:hint="cs"/>
          <w:b/>
          <w:bCs/>
          <w:rtl/>
        </w:rPr>
        <w:t>פלילים</w:t>
      </w:r>
      <w:r w:rsidRPr="00956B0F">
        <w:rPr>
          <w:rFonts w:hint="cs"/>
          <w:rtl/>
        </w:rPr>
        <w:t xml:space="preserve"> ד </w:t>
      </w:r>
      <w:r w:rsidRPr="00956B0F">
        <w:rPr>
          <w:rtl/>
        </w:rPr>
        <w:t>223</w:t>
      </w:r>
      <w:r w:rsidRPr="00956B0F">
        <w:rPr>
          <w:rFonts w:hint="cs"/>
          <w:rtl/>
        </w:rPr>
        <w:t xml:space="preserve"> (1994), עמ' 234.</w:t>
      </w:r>
    </w:p>
  </w:footnote>
  <w:footnote w:id="337">
    <w:p w14:paraId="1AC5D25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נוהל זה מתווה את תהליך החקירה המשטרתי בעבירות אלימות במשפחה תוך הסדרת עבודתו של מערך חוקרי האלימות במשפחה וכן את ממשק העבודה בין תחנות המשטרה למחלקות לשירותים חברתיים ולמרכזים לטיפול ומניעת אלימות במשפחה. בין השאר הנוהל קובע את חובתם של חוקרי המשטרה בעבירות אלימות במשפחה ליידע את נפגע העבירה ואת החשוד על אפשרויות הטיפול בקהילה ולבקש את הסכמתם להעברת דיווח במישרין על ביצוע העבירה מתחנת המשטרה לגורמי הטיפול בקהילה באמצעות טופס ייעודי (סעיף (4)(ז)(ד) לנוהל). הנוהל העדכני פורסם בינואר 2024.</w:t>
      </w:r>
    </w:p>
  </w:footnote>
  <w:footnote w:id="338">
    <w:p w14:paraId="3222B2D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חוזר מיוחד של מנכ"ל משרד הרווחה מס' 92, "נוהל טיוב התיאום בין משרד הרווחה והשירותים החברתיים ומשטרת ישראל בתחום אלימות במשפחה בדגש על נשים בסיכון גבוה" (1.2.16). </w:t>
      </w:r>
      <w:r w:rsidRPr="00956B0F">
        <w:rPr>
          <w:rtl/>
        </w:rPr>
        <w:t xml:space="preserve">נוהל </w:t>
      </w:r>
      <w:r w:rsidRPr="00956B0F">
        <w:rPr>
          <w:rFonts w:hint="cs"/>
          <w:rtl/>
        </w:rPr>
        <w:t>זה נועד לחזק את</w:t>
      </w:r>
      <w:r w:rsidRPr="00956B0F">
        <w:rPr>
          <w:rtl/>
        </w:rPr>
        <w:t xml:space="preserve"> </w:t>
      </w:r>
      <w:r w:rsidRPr="00956B0F">
        <w:rPr>
          <w:rFonts w:hint="cs"/>
          <w:rtl/>
        </w:rPr>
        <w:t>ממשקי העבודה</w:t>
      </w:r>
      <w:r w:rsidRPr="00956B0F">
        <w:rPr>
          <w:rtl/>
        </w:rPr>
        <w:t xml:space="preserve"> </w:t>
      </w:r>
      <w:r w:rsidRPr="00956B0F">
        <w:rPr>
          <w:rFonts w:hint="cs"/>
          <w:rtl/>
        </w:rPr>
        <w:t xml:space="preserve">והתיאום </w:t>
      </w:r>
      <w:r w:rsidRPr="00956B0F">
        <w:rPr>
          <w:rtl/>
        </w:rPr>
        <w:t>בין משרד הרווחה</w:t>
      </w:r>
      <w:r w:rsidRPr="00956B0F">
        <w:rPr>
          <w:rFonts w:hint="cs"/>
          <w:rtl/>
        </w:rPr>
        <w:t xml:space="preserve">, </w:t>
      </w:r>
      <w:r w:rsidRPr="00956B0F">
        <w:rPr>
          <w:rtl/>
        </w:rPr>
        <w:t xml:space="preserve">משטרת ישראל </w:t>
      </w:r>
      <w:r w:rsidRPr="00956B0F">
        <w:rPr>
          <w:rFonts w:hint="cs"/>
          <w:rtl/>
        </w:rPr>
        <w:t>וגורמי הטיפול בקהילה בכל הקשור ל</w:t>
      </w:r>
      <w:r w:rsidRPr="00956B0F">
        <w:rPr>
          <w:rtl/>
        </w:rPr>
        <w:t>טיפול ב</w:t>
      </w:r>
      <w:r w:rsidRPr="00956B0F">
        <w:rPr>
          <w:rFonts w:hint="cs"/>
          <w:rtl/>
        </w:rPr>
        <w:t>תופעת ה</w:t>
      </w:r>
      <w:r w:rsidRPr="00956B0F">
        <w:rPr>
          <w:rtl/>
        </w:rPr>
        <w:t xml:space="preserve">אלימות במשפחה, בדגש על נשים </w:t>
      </w:r>
      <w:r w:rsidRPr="00956B0F">
        <w:rPr>
          <w:rFonts w:hint="cs"/>
          <w:rtl/>
        </w:rPr>
        <w:t xml:space="preserve">המצויות </w:t>
      </w:r>
      <w:r w:rsidRPr="00956B0F">
        <w:rPr>
          <w:rtl/>
        </w:rPr>
        <w:t xml:space="preserve">בסיכון גבוה. הנוהל </w:t>
      </w:r>
      <w:r w:rsidRPr="00956B0F">
        <w:rPr>
          <w:rFonts w:hint="cs"/>
          <w:rtl/>
        </w:rPr>
        <w:t>מסדיר</w:t>
      </w:r>
      <w:r w:rsidRPr="00956B0F">
        <w:rPr>
          <w:rtl/>
        </w:rPr>
        <w:t xml:space="preserve"> הקמ</w:t>
      </w:r>
      <w:r w:rsidRPr="00956B0F">
        <w:rPr>
          <w:rFonts w:hint="cs"/>
          <w:rtl/>
        </w:rPr>
        <w:t>ה של</w:t>
      </w:r>
      <w:r w:rsidRPr="00956B0F">
        <w:rPr>
          <w:rtl/>
        </w:rPr>
        <w:t xml:space="preserve"> מנגנונים לדיונים משותפים ו</w:t>
      </w:r>
      <w:r w:rsidRPr="00956B0F">
        <w:rPr>
          <w:rFonts w:hint="cs"/>
          <w:rtl/>
        </w:rPr>
        <w:t xml:space="preserve">לניהול משותף של נתונים ומידע בנוגע </w:t>
      </w:r>
      <w:r w:rsidRPr="00956B0F">
        <w:rPr>
          <w:rtl/>
        </w:rPr>
        <w:t xml:space="preserve">לנשים </w:t>
      </w:r>
      <w:r w:rsidRPr="00956B0F">
        <w:rPr>
          <w:rFonts w:hint="cs"/>
          <w:rtl/>
        </w:rPr>
        <w:t xml:space="preserve">נפגעות אלימות המצויות </w:t>
      </w:r>
      <w:r w:rsidRPr="00956B0F">
        <w:rPr>
          <w:rtl/>
        </w:rPr>
        <w:t>בסיכון</w:t>
      </w:r>
      <w:r w:rsidRPr="00956B0F">
        <w:rPr>
          <w:rFonts w:hint="cs"/>
          <w:rtl/>
        </w:rPr>
        <w:t xml:space="preserve"> גבוה</w:t>
      </w:r>
      <w:r w:rsidRPr="00956B0F">
        <w:rPr>
          <w:rtl/>
        </w:rPr>
        <w:t>.</w:t>
      </w:r>
    </w:p>
  </w:footnote>
  <w:footnote w:id="339">
    <w:p w14:paraId="783493A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דין וחשבון ועדת בן-שלום </w:t>
      </w:r>
      <w:r w:rsidRPr="00956B0F">
        <w:rPr>
          <w:rtl/>
        </w:rPr>
        <w:t>(1998)</w:t>
      </w:r>
      <w:r w:rsidRPr="00956B0F">
        <w:rPr>
          <w:rFonts w:hint="cs"/>
          <w:rtl/>
        </w:rPr>
        <w:t>, עמ' 15.</w:t>
      </w:r>
    </w:p>
  </w:footnote>
  <w:footnote w:id="340">
    <w:p w14:paraId="1411B04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יחידות אלו אמונות על מתן טיפול גם בעבירות מין, עבירות אלימות כלפי חסרי ישע קטינים, קשישים ובעלי מוגבלות, גם אם אינן מתרחשות בתוך התא המשפחתי, וזאת בשל רגישותן ומורכבותן.</w:t>
      </w:r>
    </w:p>
  </w:footnote>
  <w:footnote w:id="341">
    <w:p w14:paraId="05A3A32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משטרת ישראל, </w:t>
      </w:r>
      <w:r w:rsidRPr="00956B0F">
        <w:rPr>
          <w:rFonts w:hint="cs"/>
          <w:b/>
          <w:bCs/>
          <w:rtl/>
        </w:rPr>
        <w:t xml:space="preserve">השנתון הסטטיסטי 2022 </w:t>
      </w:r>
      <w:r w:rsidRPr="00956B0F">
        <w:rPr>
          <w:rFonts w:hint="cs"/>
          <w:rtl/>
        </w:rPr>
        <w:t>(2023). הנתון נוגע לתיקי חקירה ש</w:t>
      </w:r>
      <w:r w:rsidRPr="00956B0F">
        <w:rPr>
          <w:rtl/>
        </w:rPr>
        <w:t>יש בהם חשוד או נילון</w:t>
      </w:r>
      <w:r w:rsidRPr="00956B0F">
        <w:rPr>
          <w:rFonts w:hint="cs"/>
          <w:rtl/>
        </w:rPr>
        <w:t xml:space="preserve"> (תיקי חקירה גלויים).</w:t>
      </w:r>
    </w:p>
  </w:footnote>
  <w:footnote w:id="342">
    <w:p w14:paraId="71B7CEF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"תוכנית עו"ס משטרה", עמ' 500 - 505.</w:t>
      </w:r>
    </w:p>
  </w:footnote>
  <w:footnote w:id="343">
    <w:p w14:paraId="338B968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המודל הייחודי של תוכנית עו"ס משטרה בחברה הערבית הופעל עד לשנת 2018 כחלק מהתוכנית "עיר ללא אלימות" מכוח החלטת הממשלה 2711, "יישום מודל ייחודי להתמודדות עם אירועי אלימות נגד נשים בחברה הערבית" (1.6.17). האחריות להפעלת התוכנית הועברה לרשות למאבק באלימות, סמים ואלכוהול (כיום הרשות לביטחון קהילתי) בשנת 2018. נכון לשנת 2024 מופעלת התוכנית גם מכוח החלטת הממשלה 549, "תכנית לטיפול בתופעות הפשיעה והאלימות בחברה הערבית 2022 - 2026" (24.3.22).</w:t>
      </w:r>
    </w:p>
  </w:footnote>
  <w:footnote w:id="344">
    <w:p w14:paraId="0D196BF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הדס שפירא, אנה רזניקובסקי-קוראס וטל ארזי, </w:t>
      </w:r>
      <w:r w:rsidRPr="00956B0F">
        <w:rPr>
          <w:b/>
          <w:bCs/>
          <w:rtl/>
        </w:rPr>
        <w:t>תוכנית "עו"ס משטרה</w:t>
      </w:r>
      <w:r w:rsidRPr="00956B0F">
        <w:rPr>
          <w:rFonts w:hint="cs"/>
          <w:b/>
          <w:bCs/>
          <w:rtl/>
        </w:rPr>
        <w:t>"</w:t>
      </w:r>
      <w:r w:rsidRPr="00956B0F">
        <w:rPr>
          <w:b/>
          <w:bCs/>
          <w:rtl/>
        </w:rPr>
        <w:t>:</w:t>
      </w:r>
      <w:r w:rsidRPr="00956B0F">
        <w:rPr>
          <w:rFonts w:hint="cs"/>
          <w:b/>
          <w:bCs/>
          <w:rtl/>
        </w:rPr>
        <w:t xml:space="preserve"> </w:t>
      </w:r>
      <w:r w:rsidRPr="00956B0F">
        <w:rPr>
          <w:b/>
          <w:bCs/>
          <w:rtl/>
        </w:rPr>
        <w:t>ממצאי פיילוט</w:t>
      </w:r>
      <w:r w:rsidRPr="00956B0F">
        <w:rPr>
          <w:rFonts w:hint="cs"/>
          <w:b/>
          <w:bCs/>
          <w:rtl/>
        </w:rPr>
        <w:t xml:space="preserve"> </w:t>
      </w:r>
      <w:r w:rsidRPr="00956B0F">
        <w:rPr>
          <w:b/>
          <w:bCs/>
          <w:rtl/>
        </w:rPr>
        <w:t>למדידת התוכנית</w:t>
      </w:r>
      <w:r w:rsidRPr="00956B0F">
        <w:rPr>
          <w:rFonts w:hint="cs"/>
          <w:rtl/>
        </w:rPr>
        <w:t xml:space="preserve"> (2021), עמ' 4.</w:t>
      </w:r>
    </w:p>
  </w:footnote>
  <w:footnote w:id="345">
    <w:p w14:paraId="234FB6C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15.3.3ו(6) להוראת תע"ס 3.28, עמ' 25 - 26.</w:t>
      </w:r>
    </w:p>
  </w:footnote>
  <w:footnote w:id="346">
    <w:p w14:paraId="4424A8AB"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תוכנית הפעולה של ועדת המנכ"לים, עמ' 73 - 77.</w:t>
      </w:r>
    </w:p>
  </w:footnote>
  <w:footnote w:id="347">
    <w:p w14:paraId="4D678BE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עבור כל תקן ניתן מימון מלא (ולא בשיטת המימון התואם) לרשות המקומית המעסיקה את העובד הסוציאלי, בסך של 200,000 ש"ח.</w:t>
      </w:r>
    </w:p>
  </w:footnote>
  <w:footnote w:id="348">
    <w:p w14:paraId="186FDAD7"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אשכול אזורי הוא איגוד ערים מיוחד המבוסס על התאגדות וולונטרית של רשויות סמוכות בעלות מאפיינים</w:t>
      </w:r>
      <w:r w:rsidRPr="00956B0F">
        <w:rPr>
          <w:rFonts w:hint="cs"/>
          <w:rtl/>
        </w:rPr>
        <w:t xml:space="preserve"> </w:t>
      </w:r>
      <w:r w:rsidRPr="00956B0F">
        <w:rPr>
          <w:rtl/>
        </w:rPr>
        <w:t>הטרוגניים</w:t>
      </w:r>
      <w:r w:rsidRPr="00956B0F">
        <w:rPr>
          <w:rFonts w:hint="cs"/>
          <w:rtl/>
        </w:rPr>
        <w:t>,</w:t>
      </w:r>
      <w:r w:rsidRPr="00956B0F">
        <w:rPr>
          <w:rtl/>
        </w:rPr>
        <w:t xml:space="preserve"> </w:t>
      </w:r>
      <w:r w:rsidRPr="00956B0F">
        <w:rPr>
          <w:rFonts w:hint="cs"/>
          <w:rtl/>
        </w:rPr>
        <w:t>ש</w:t>
      </w:r>
      <w:r w:rsidRPr="00956B0F">
        <w:rPr>
          <w:rtl/>
        </w:rPr>
        <w:t>חוברות יחד לשותפות המכוונת לקידום צמיחה כלכלית-חברתית בראייה אזורית כדי לקדם</w:t>
      </w:r>
      <w:r w:rsidRPr="00956B0F">
        <w:rPr>
          <w:rFonts w:hint="cs"/>
          <w:rtl/>
        </w:rPr>
        <w:t xml:space="preserve"> </w:t>
      </w:r>
      <w:r w:rsidRPr="00956B0F">
        <w:rPr>
          <w:rtl/>
        </w:rPr>
        <w:t>את איכות חייהם של התושבים באזור. הקמתם של אשכולות אזוריים מוסדרת בפרק א' 1 לחוק איגודי</w:t>
      </w:r>
      <w:r w:rsidRPr="00956B0F">
        <w:rPr>
          <w:rFonts w:hint="cs"/>
          <w:rtl/>
        </w:rPr>
        <w:t xml:space="preserve"> </w:t>
      </w:r>
      <w:r w:rsidRPr="00956B0F">
        <w:rPr>
          <w:rtl/>
        </w:rPr>
        <w:t>ערי</w:t>
      </w:r>
      <w:r w:rsidRPr="00956B0F">
        <w:rPr>
          <w:rFonts w:hint="cs"/>
          <w:rtl/>
        </w:rPr>
        <w:t>ם, התשט"ו-1955</w:t>
      </w:r>
      <w:r w:rsidRPr="00956B0F">
        <w:rPr>
          <w:rtl/>
        </w:rPr>
        <w:t xml:space="preserve">. ראו: הדס ברזילי, </w:t>
      </w:r>
      <w:r w:rsidRPr="00956B0F">
        <w:rPr>
          <w:b/>
          <w:bCs/>
          <w:rtl/>
        </w:rPr>
        <w:t>מדריך הפעלה - העמקת שותפויות באשכולות - כמנוף לצמיחה מכלילה</w:t>
      </w:r>
      <w:r w:rsidRPr="00956B0F">
        <w:rPr>
          <w:rtl/>
        </w:rPr>
        <w:t xml:space="preserve"> </w:t>
      </w:r>
      <w:r w:rsidRPr="00956B0F">
        <w:rPr>
          <w:rFonts w:hint="cs"/>
          <w:rtl/>
        </w:rPr>
        <w:t>(2020)</w:t>
      </w:r>
      <w:r w:rsidRPr="00956B0F">
        <w:rPr>
          <w:rtl/>
        </w:rPr>
        <w:t>.</w:t>
      </w:r>
    </w:p>
  </w:footnote>
  <w:footnote w:id="349">
    <w:p w14:paraId="162B387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כך לדוגמה בחלק מהרשויות המקומיות דווחו נתונים על הפניות מהמשטרה או מגורמים אחרים, אך לא דווחו סך כל ההפניות החדשות שהתקבלו למרכזים. במקרים אחרים שיעור ההפניות מהמשטרה היה גבוה מסך ההפניות החדשות שהתקבלו למרכזים כפי שדווחו למשרד הרווחה.</w:t>
      </w:r>
    </w:p>
  </w:footnote>
  <w:footnote w:id="350">
    <w:p w14:paraId="1322A06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מתוך כלל ביקורי הפיקוח שנעשו בשנים 2021 - 2024 (631 ביקורי פיקוח), בחמישה בלבד כלל הפיקוח בדיקה של תוכנית עו"ס משטרה. באף אחד מביקורי הפיקוח לא נעשתה בקרה ממוקדת או מקיפה.</w:t>
      </w:r>
    </w:p>
  </w:footnote>
  <w:footnote w:id="351">
    <w:p w14:paraId="326F469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משרד מבקר המדינה עמד בדוח משנת 2021 על החשיבות שבהקצאת מסגרת תקציב מבעוד מועד כדי להבטיח ודאות תקציבית ולאפשר לרשויות המקומיות תכנון תקציבי מושכל. ראו: דוח הביקורת בנושא מימון שירותי רווחה, עמ' 602 - 605.</w:t>
      </w:r>
    </w:p>
  </w:footnote>
  <w:footnote w:id="352">
    <w:p w14:paraId="71F4B04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משרד הרווחה, </w:t>
      </w:r>
      <w:r w:rsidRPr="00956B0F">
        <w:rPr>
          <w:rFonts w:hint="cs"/>
          <w:b/>
          <w:bCs/>
          <w:rtl/>
        </w:rPr>
        <w:t>אגף בכיר משפחות ילדים ונוער בקהילה: סיכום פעילות ונתונים לשנת 2019</w:t>
      </w:r>
      <w:r w:rsidRPr="00956B0F">
        <w:rPr>
          <w:rFonts w:hint="cs"/>
          <w:rtl/>
        </w:rPr>
        <w:t xml:space="preserve"> (2020), עמ' 104.</w:t>
      </w:r>
    </w:p>
  </w:footnote>
  <w:footnote w:id="353">
    <w:p w14:paraId="531C6DD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הדס שפירא, אנה רזניקובסקי-קוראס וטל ארזי, </w:t>
      </w:r>
      <w:r w:rsidRPr="00956B0F">
        <w:rPr>
          <w:rFonts w:hint="cs"/>
          <w:b/>
          <w:bCs/>
          <w:rtl/>
        </w:rPr>
        <w:t>תוכנית "עו"ס משטרה": ממצאי פיילוט למדידת התוכנית</w:t>
      </w:r>
      <w:r w:rsidRPr="00956B0F">
        <w:rPr>
          <w:rFonts w:hint="cs"/>
          <w:rtl/>
        </w:rPr>
        <w:t xml:space="preserve"> (2021).</w:t>
      </w:r>
    </w:p>
  </w:footnote>
  <w:footnote w:id="354">
    <w:p w14:paraId="04AD978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אנה רזניקובסקי-קוראס והדס שפירא, </w:t>
      </w:r>
      <w:r w:rsidRPr="00956B0F">
        <w:rPr>
          <w:rFonts w:hint="cs"/>
          <w:b/>
          <w:bCs/>
          <w:rtl/>
        </w:rPr>
        <w:t>העובד הסוציאלי בתחנות המשטרה (עו"ס משטרה): מדידת תוצאות ארגוניות בתוכנית</w:t>
      </w:r>
      <w:r w:rsidRPr="00956B0F">
        <w:rPr>
          <w:rFonts w:hint="cs"/>
          <w:rtl/>
        </w:rPr>
        <w:t xml:space="preserve"> (2022), עמ' 11 ו-21.</w:t>
      </w:r>
    </w:p>
  </w:footnote>
  <w:footnote w:id="355">
    <w:p w14:paraId="129A32F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אנה רזניקובסקי-קוראס והדס שפירא, </w:t>
      </w:r>
      <w:r w:rsidRPr="00956B0F">
        <w:rPr>
          <w:rFonts w:hint="cs"/>
          <w:b/>
          <w:bCs/>
          <w:rtl/>
        </w:rPr>
        <w:t>העובד הסוציאלי בתחנות המשטרה (עו"ס משטרה): מדידת תוצאות ארגוניות בתוכנית</w:t>
      </w:r>
      <w:r w:rsidRPr="00956B0F">
        <w:rPr>
          <w:rFonts w:hint="cs"/>
          <w:rtl/>
        </w:rPr>
        <w:t xml:space="preserve"> (2022), עמ' 23.</w:t>
      </w:r>
    </w:p>
  </w:footnote>
  <w:footnote w:id="356">
    <w:p w14:paraId="40A2E8C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כך לדוגמה תדירות הגעתו של עו"ס משטרה לתחנת המשטרה ואיכות ממשקי העבודה שלו עם הגורמים בתחנה משפיעים גם על תדירות העברת העדכונים אליו על תיקי חקירה שנפתחו בעבירות אלימות במשפחה.</w:t>
      </w:r>
    </w:p>
  </w:footnote>
  <w:footnote w:id="357">
    <w:p w14:paraId="44C9F8F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כך</w:t>
      </w:r>
      <w:r w:rsidRPr="00956B0F">
        <w:rPr>
          <w:rtl/>
        </w:rPr>
        <w:t xml:space="preserve"> לדוגמה </w:t>
      </w:r>
      <w:r w:rsidRPr="00956B0F">
        <w:rPr>
          <w:rFonts w:hint="cs"/>
          <w:rtl/>
        </w:rPr>
        <w:t xml:space="preserve">הועלה </w:t>
      </w:r>
      <w:r w:rsidRPr="00956B0F">
        <w:rPr>
          <w:rtl/>
        </w:rPr>
        <w:t>במסגרת בקרה שעשתה משטרת ישראל בתחנת המשטרה בעיר אילת שבה מופעלת תוכנית עו"ס משטרה</w:t>
      </w:r>
      <w:r w:rsidRPr="00956B0F">
        <w:rPr>
          <w:rFonts w:hint="cs"/>
          <w:rtl/>
        </w:rPr>
        <w:t xml:space="preserve"> כי </w:t>
      </w:r>
      <w:r w:rsidRPr="00956B0F">
        <w:rPr>
          <w:rtl/>
        </w:rPr>
        <w:t xml:space="preserve">בשל תקלות חוזרות (בפקס ובממשק </w:t>
      </w:r>
      <w:r w:rsidRPr="00956B0F">
        <w:rPr>
          <w:rFonts w:hint="eastAsia"/>
          <w:rtl/>
        </w:rPr>
        <w:t>ה</w:t>
      </w:r>
      <w:r w:rsidRPr="00956B0F">
        <w:rPr>
          <w:rFonts w:hint="cs"/>
          <w:rtl/>
        </w:rPr>
        <w:t>ממוחשב של משטרת ישראל [</w:t>
      </w:r>
      <w:r w:rsidRPr="00956B0F">
        <w:rPr>
          <w:rFonts w:hint="eastAsia"/>
          <w:rtl/>
        </w:rPr>
        <w:t>פל</w:t>
      </w:r>
      <w:r w:rsidRPr="00956B0F">
        <w:rPr>
          <w:rtl/>
        </w:rPr>
        <w:t>"א</w:t>
      </w:r>
      <w:r w:rsidRPr="00956B0F">
        <w:rPr>
          <w:rFonts w:hint="cs"/>
          <w:rtl/>
        </w:rPr>
        <w:t>]</w:t>
      </w:r>
      <w:r w:rsidRPr="00956B0F">
        <w:rPr>
          <w:rtl/>
        </w:rPr>
        <w:t xml:space="preserve">), </w:t>
      </w:r>
      <w:r w:rsidRPr="00956B0F">
        <w:rPr>
          <w:rFonts w:hint="eastAsia"/>
          <w:rtl/>
        </w:rPr>
        <w:t>לא</w:t>
      </w:r>
      <w:r w:rsidRPr="00956B0F">
        <w:rPr>
          <w:rtl/>
        </w:rPr>
        <w:t xml:space="preserve"> </w:t>
      </w:r>
      <w:r w:rsidRPr="00956B0F">
        <w:rPr>
          <w:rFonts w:hint="eastAsia"/>
          <w:rtl/>
        </w:rPr>
        <w:t>מתקבלים</w:t>
      </w:r>
      <w:r w:rsidRPr="00956B0F">
        <w:rPr>
          <w:rtl/>
        </w:rPr>
        <w:t xml:space="preserve"> </w:t>
      </w:r>
      <w:r w:rsidRPr="00956B0F">
        <w:rPr>
          <w:rFonts w:hint="eastAsia"/>
          <w:rtl/>
        </w:rPr>
        <w:t>ברווחה</w:t>
      </w:r>
      <w:r w:rsidRPr="00956B0F">
        <w:rPr>
          <w:rtl/>
        </w:rPr>
        <w:t xml:space="preserve"> </w:t>
      </w:r>
      <w:r w:rsidRPr="00956B0F">
        <w:rPr>
          <w:rFonts w:hint="eastAsia"/>
          <w:rtl/>
        </w:rPr>
        <w:t>דיווחים</w:t>
      </w:r>
      <w:r w:rsidRPr="00956B0F">
        <w:rPr>
          <w:rtl/>
        </w:rPr>
        <w:t xml:space="preserve"> </w:t>
      </w:r>
      <w:r w:rsidRPr="00956B0F">
        <w:rPr>
          <w:rFonts w:hint="eastAsia"/>
          <w:rtl/>
        </w:rPr>
        <w:t>שוטפים</w:t>
      </w:r>
      <w:r w:rsidRPr="00956B0F">
        <w:rPr>
          <w:rFonts w:hint="cs"/>
          <w:rtl/>
        </w:rPr>
        <w:t>.</w:t>
      </w:r>
    </w:p>
  </w:footnote>
  <w:footnote w:id="358">
    <w:p w14:paraId="1360ABD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תחנות המשטרה </w:t>
      </w:r>
      <w:r w:rsidRPr="00956B0F">
        <w:rPr>
          <w:rtl/>
        </w:rPr>
        <w:t xml:space="preserve">מסובים, אשדוד, אשקלון, באר שבע, בני ברק, חדרה, חולון, חיפה, </w:t>
      </w:r>
      <w:r w:rsidRPr="00956B0F">
        <w:rPr>
          <w:rFonts w:hint="cs"/>
          <w:rtl/>
        </w:rPr>
        <w:t xml:space="preserve">טייבה, </w:t>
      </w:r>
      <w:r w:rsidRPr="00956B0F">
        <w:rPr>
          <w:rtl/>
        </w:rPr>
        <w:t>מוריה, כפר סבא, קאסם, לוד, נצרת, נתניה, עכו, פתח תקווה, ק</w:t>
      </w:r>
      <w:r w:rsidRPr="00956B0F">
        <w:rPr>
          <w:rFonts w:hint="cs"/>
          <w:rtl/>
        </w:rPr>
        <w:t>ריית</w:t>
      </w:r>
      <w:r w:rsidRPr="00956B0F">
        <w:rPr>
          <w:rtl/>
        </w:rPr>
        <w:t xml:space="preserve"> גת, ק</w:t>
      </w:r>
      <w:r w:rsidRPr="00956B0F">
        <w:rPr>
          <w:rFonts w:hint="cs"/>
          <w:rtl/>
        </w:rPr>
        <w:t>ריית</w:t>
      </w:r>
      <w:r w:rsidRPr="00956B0F">
        <w:rPr>
          <w:rtl/>
        </w:rPr>
        <w:t xml:space="preserve"> מלאכי, ראש</w:t>
      </w:r>
      <w:r w:rsidRPr="00956B0F">
        <w:rPr>
          <w:rFonts w:hint="cs"/>
          <w:rtl/>
        </w:rPr>
        <w:t xml:space="preserve">ון לציון. בתחנת המשטרה בטייבה התקן במימון משרד הרווחה לא היה מאויש במועד סיום הביקורת, </w:t>
      </w:r>
      <w:r w:rsidRPr="00956B0F">
        <w:rPr>
          <w:rFonts w:hint="eastAsia"/>
          <w:rtl/>
        </w:rPr>
        <w:t>בדצמבר</w:t>
      </w:r>
      <w:r w:rsidRPr="00956B0F">
        <w:rPr>
          <w:rFonts w:hint="cs"/>
          <w:rtl/>
        </w:rPr>
        <w:t xml:space="preserve"> 2024. </w:t>
      </w:r>
    </w:p>
  </w:footnote>
  <w:footnote w:id="359">
    <w:p w14:paraId="7EAD32F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תחנות המשטרה טייבה, כפר קאסם ונצרת. כאמור, בתחנת המשטרה בטייבה התקן במימון משרד הרווחה לא היה מאויש במועד סיום הביקורת, </w:t>
      </w:r>
      <w:r w:rsidRPr="00956B0F">
        <w:rPr>
          <w:rFonts w:hint="eastAsia"/>
          <w:rtl/>
        </w:rPr>
        <w:t>בדצמבר</w:t>
      </w:r>
      <w:r w:rsidRPr="00956B0F">
        <w:rPr>
          <w:rFonts w:hint="cs"/>
          <w:rtl/>
        </w:rPr>
        <w:t xml:space="preserve"> 2024.</w:t>
      </w:r>
    </w:p>
  </w:footnote>
  <w:footnote w:id="360">
    <w:p w14:paraId="5589221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סעיפים 2(ז), 2(ח) ו-ז(2)(ד)(4) לנוהל </w:t>
      </w:r>
      <w:r w:rsidRPr="00956B0F">
        <w:rPr>
          <w:rtl/>
        </w:rPr>
        <w:t>הטיפול המשטרתי בעבירות אלימות במשפחה</w:t>
      </w:r>
      <w:r w:rsidRPr="00956B0F">
        <w:rPr>
          <w:rFonts w:hint="cs"/>
          <w:rtl/>
        </w:rPr>
        <w:t>.</w:t>
      </w:r>
    </w:p>
  </w:footnote>
  <w:footnote w:id="361">
    <w:p w14:paraId="08EDD00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"הפריסה הגיאוגרפית של תוכנית עו"ס משטרה".</w:t>
      </w:r>
      <w:r w:rsidRPr="00956B0F">
        <w:rPr>
          <w:rtl/>
        </w:rPr>
        <w:t xml:space="preserve"> </w:t>
      </w:r>
    </w:p>
  </w:footnote>
  <w:footnote w:id="362">
    <w:p w14:paraId="265195A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דין וחשבון ועדת בן-שלום </w:t>
      </w:r>
      <w:r w:rsidRPr="00956B0F">
        <w:rPr>
          <w:rtl/>
        </w:rPr>
        <w:t>(1998)</w:t>
      </w:r>
      <w:r w:rsidRPr="00956B0F">
        <w:rPr>
          <w:rFonts w:hint="cs"/>
          <w:rtl/>
        </w:rPr>
        <w:t xml:space="preserve">, עמ' 6 (הוועדה ציינה בהקשר זה כי "אנו עוסקים בתופעה שהיא פגיעה בזכויות אדם, פגיעה בכבודו ופגיעה בגופו... המוסדות הממשלתיים והציבוריים אינם עוסקים בהתערבות הומניטרית ו/או וולונטרית לשם הגנה על קורבנות אלא במימוש חובותיה ואחריותה של המדינה כלפי תושביה"); הלל סומר, "הזכויות הבלתי-מנויות - על היקפה של המהפכה החוקתית", </w:t>
      </w:r>
      <w:r w:rsidRPr="00956B0F">
        <w:rPr>
          <w:rFonts w:hint="cs"/>
          <w:b/>
          <w:bCs/>
          <w:rtl/>
        </w:rPr>
        <w:t>משפטים</w:t>
      </w:r>
      <w:r w:rsidRPr="00956B0F">
        <w:rPr>
          <w:rFonts w:hint="cs"/>
          <w:rtl/>
        </w:rPr>
        <w:t xml:space="preserve"> כ"ח </w:t>
      </w:r>
      <w:r w:rsidRPr="00956B0F">
        <w:rPr>
          <w:rtl/>
        </w:rPr>
        <w:t>257</w:t>
      </w:r>
      <w:r w:rsidRPr="00956B0F">
        <w:rPr>
          <w:rFonts w:hint="cs"/>
          <w:rtl/>
        </w:rPr>
        <w:t xml:space="preserve"> (תשנ"ז), עמ' 323.</w:t>
      </w:r>
    </w:p>
  </w:footnote>
  <w:footnote w:id="363">
    <w:p w14:paraId="22E7C32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דברי ההסבר ל</w:t>
      </w:r>
      <w:r w:rsidRPr="00956B0F">
        <w:rPr>
          <w:rtl/>
        </w:rPr>
        <w:t xml:space="preserve">הצעת חוק שירותי רווחה </w:t>
      </w:r>
      <w:r w:rsidRPr="00956B0F">
        <w:rPr>
          <w:rFonts w:hint="cs"/>
          <w:rtl/>
        </w:rPr>
        <w:t>(</w:t>
      </w:r>
      <w:r w:rsidRPr="00956B0F">
        <w:rPr>
          <w:rtl/>
        </w:rPr>
        <w:t>מענק הסתגלות לנשים ששהו במקלט לנשים מוכות</w:t>
      </w:r>
      <w:r w:rsidRPr="00956B0F">
        <w:rPr>
          <w:rFonts w:hint="cs"/>
          <w:rtl/>
        </w:rPr>
        <w:t>),</w:t>
      </w:r>
      <w:r w:rsidRPr="00956B0F">
        <w:rPr>
          <w:rtl/>
        </w:rPr>
        <w:t xml:space="preserve"> התשע"ב</w:t>
      </w:r>
      <w:r w:rsidRPr="00956B0F">
        <w:rPr>
          <w:rFonts w:hint="cs"/>
          <w:rtl/>
        </w:rPr>
        <w:t>-</w:t>
      </w:r>
      <w:r w:rsidRPr="00956B0F">
        <w:rPr>
          <w:rtl/>
        </w:rPr>
        <w:t>2012</w:t>
      </w:r>
      <w:r w:rsidRPr="00956B0F">
        <w:rPr>
          <w:rStyle w:val="Hyperlink"/>
          <w:rFonts w:hint="cs"/>
          <w:color w:val="auto"/>
          <w:u w:val="none"/>
          <w:rtl/>
        </w:rPr>
        <w:t>,</w:t>
      </w:r>
      <w:r w:rsidRPr="00956B0F">
        <w:rPr>
          <w:rFonts w:hint="cs"/>
          <w:rtl/>
        </w:rPr>
        <w:t xml:space="preserve"> </w:t>
      </w:r>
      <w:r w:rsidRPr="00956B0F">
        <w:rPr>
          <w:rFonts w:hint="eastAsia"/>
          <w:rtl/>
        </w:rPr>
        <w:t>ודברי</w:t>
      </w:r>
      <w:r w:rsidRPr="00956B0F">
        <w:rPr>
          <w:rtl/>
        </w:rPr>
        <w:t xml:space="preserve"> </w:t>
      </w:r>
      <w:r w:rsidRPr="00956B0F">
        <w:rPr>
          <w:rFonts w:hint="eastAsia"/>
          <w:rtl/>
        </w:rPr>
        <w:t>ההסבר</w:t>
      </w:r>
      <w:r w:rsidRPr="00956B0F">
        <w:rPr>
          <w:rtl/>
        </w:rPr>
        <w:t xml:space="preserve"> </w:t>
      </w:r>
      <w:r w:rsidRPr="00956B0F">
        <w:rPr>
          <w:rFonts w:hint="eastAsia"/>
          <w:rtl/>
        </w:rPr>
        <w:t>ל</w:t>
      </w:r>
      <w:r w:rsidRPr="00956B0F">
        <w:rPr>
          <w:rtl/>
        </w:rPr>
        <w:t>הצעת חוק שירותי רווחה (מענק הסתגלות לנשים ששהו במקלט לנשים מוכות)(תיקון מס' 2) (זכויות נשים ששהו במקלט לנשים מוכות), התשע"ז-2017.</w:t>
      </w:r>
    </w:p>
  </w:footnote>
  <w:footnote w:id="364">
    <w:p w14:paraId="30355BB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במועד סיום ביקורת המעקב, </w:t>
      </w:r>
      <w:r w:rsidRPr="00956B0F">
        <w:rPr>
          <w:rFonts w:hint="eastAsia"/>
          <w:rtl/>
        </w:rPr>
        <w:t>בדצמבר</w:t>
      </w:r>
      <w:r w:rsidRPr="00956B0F">
        <w:rPr>
          <w:rFonts w:hint="cs"/>
          <w:rtl/>
        </w:rPr>
        <w:t xml:space="preserve"> 2024, פעלו שלושה מרכזי חירום (המכונים גם מרכזי אלומה): בעכו, החל מאוגוסט 2021; בבית שמש, החל מיוני 2022; ובראשון לציון, החל מנובמבר 2024. כן עתיד להיפתח מרכז אלומה נוסף בבאר שבע. </w:t>
      </w:r>
      <w:r w:rsidRPr="00956B0F">
        <w:rPr>
          <w:rtl/>
        </w:rPr>
        <w:t>ה</w:t>
      </w:r>
      <w:r w:rsidRPr="00956B0F">
        <w:rPr>
          <w:rFonts w:hint="cs"/>
          <w:rtl/>
        </w:rPr>
        <w:t xml:space="preserve">פעלת המרכזים מתבצעת בשיתוף עם </w:t>
      </w:r>
      <w:r w:rsidRPr="00956B0F">
        <w:rPr>
          <w:rtl/>
        </w:rPr>
        <w:t>הרשויות המקומיות, קרן רש"י והמוסד לביטוח לאומי</w:t>
      </w:r>
      <w:r w:rsidRPr="00956B0F">
        <w:rPr>
          <w:rFonts w:hint="cs"/>
          <w:rtl/>
        </w:rPr>
        <w:t xml:space="preserve"> וכן עם משרד ה</w:t>
      </w:r>
      <w:r w:rsidRPr="00956B0F">
        <w:rPr>
          <w:rtl/>
        </w:rPr>
        <w:t xml:space="preserve">בריאות, </w:t>
      </w:r>
      <w:r w:rsidRPr="00956B0F">
        <w:rPr>
          <w:rFonts w:hint="cs"/>
          <w:rtl/>
        </w:rPr>
        <w:t xml:space="preserve">המשרד לביטחון לאומי </w:t>
      </w:r>
      <w:r w:rsidRPr="00956B0F">
        <w:rPr>
          <w:rtl/>
        </w:rPr>
        <w:t>ו</w:t>
      </w:r>
      <w:r w:rsidRPr="00956B0F">
        <w:rPr>
          <w:rFonts w:hint="cs"/>
          <w:rtl/>
        </w:rPr>
        <w:t>משרד ה</w:t>
      </w:r>
      <w:r w:rsidRPr="00956B0F">
        <w:rPr>
          <w:rtl/>
        </w:rPr>
        <w:t>משפטים.</w:t>
      </w:r>
    </w:p>
  </w:footnote>
  <w:footnote w:id="365">
    <w:p w14:paraId="0A0C8B6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w:t>
      </w:r>
      <w:r w:rsidRPr="00956B0F">
        <w:rPr>
          <w:rtl/>
        </w:rPr>
        <w:t>הגנה על האישה נפגעת האלימות באמצעות צווי הגנה</w:t>
      </w:r>
      <w:r w:rsidRPr="00956B0F">
        <w:rPr>
          <w:rFonts w:hint="cs"/>
          <w:rtl/>
        </w:rPr>
        <w:t>", עמ' 518 - 519.</w:t>
      </w:r>
    </w:p>
  </w:footnote>
  <w:footnote w:id="366">
    <w:p w14:paraId="1E4D5F1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נועה יניב, "מחשבים מסלול מחדש: על שימוש בטכנולוגיית </w:t>
      </w:r>
      <w:r w:rsidRPr="00956B0F">
        <w:rPr>
          <w:rFonts w:hint="cs"/>
        </w:rPr>
        <w:t>G</w:t>
      </w:r>
      <w:r w:rsidRPr="00956B0F">
        <w:t>PS</w:t>
      </w:r>
      <w:r w:rsidRPr="00956B0F">
        <w:rPr>
          <w:rFonts w:hint="cs"/>
          <w:rtl/>
        </w:rPr>
        <w:t xml:space="preserve"> בטיפול בתופעת האלימות המגדרית במשפחה", </w:t>
      </w:r>
      <w:r w:rsidRPr="00956B0F">
        <w:rPr>
          <w:rFonts w:hint="cs"/>
          <w:b/>
          <w:bCs/>
          <w:rtl/>
        </w:rPr>
        <w:t>מעשי</w:t>
      </w:r>
      <w:r w:rsidRPr="00956B0F">
        <w:rPr>
          <w:rFonts w:hint="cs"/>
          <w:rtl/>
        </w:rPr>
        <w:t xml:space="preserve"> </w:t>
      </w:r>
      <w:r w:rsidRPr="00956B0F">
        <w:rPr>
          <w:rFonts w:hint="cs"/>
          <w:b/>
          <w:bCs/>
          <w:rtl/>
        </w:rPr>
        <w:t>משפט</w:t>
      </w:r>
      <w:r w:rsidRPr="00956B0F">
        <w:rPr>
          <w:rFonts w:hint="cs"/>
          <w:rtl/>
        </w:rPr>
        <w:t xml:space="preserve"> יב </w:t>
      </w:r>
      <w:r w:rsidRPr="00956B0F">
        <w:rPr>
          <w:rtl/>
        </w:rPr>
        <w:t>283</w:t>
      </w:r>
      <w:r w:rsidRPr="00956B0F">
        <w:rPr>
          <w:rFonts w:hint="cs"/>
          <w:rtl/>
        </w:rPr>
        <w:t xml:space="preserve"> (2021), עמ' 285.</w:t>
      </w:r>
    </w:p>
  </w:footnote>
  <w:footnote w:id="367">
    <w:p w14:paraId="1945B95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חוק למניעת אלימות במשפחה (תיקון מס' 19 - הוראת שעה), התשפ"ג-2023, ס"ח 3085. ההסדר נקבע כהוראת שעה לתקופה של שלוש שנים מיום התחילה (היינו מה-6.8.24 עד ה-6.8.27) על מנת לאפשר בחינה שלו בתקופת זמן מוגבלת (במתכונת של פיילוט) ובהתאם לכך לעגן אותו כהסדר קבע. ראו: פרוטוקול מס' 55 מישיבת הוועדה לביטחון לאומי בנושא "</w:t>
      </w:r>
      <w:r w:rsidRPr="00956B0F">
        <w:rPr>
          <w:rtl/>
        </w:rPr>
        <w:t>הצעת חוק למניעת אלימות במשפחה (פיקוח טכנולוגי להבטחת קיומו של צו הגנה, והערכת מסוכנות - הוראת שעה), התשפ"ב-2022 (מ/1572)</w:t>
      </w:r>
      <w:r w:rsidRPr="00956B0F">
        <w:rPr>
          <w:rFonts w:hint="cs"/>
          <w:rtl/>
        </w:rPr>
        <w:t>" מ-10.7.23, עמ' 11.</w:t>
      </w:r>
    </w:p>
  </w:footnote>
  <w:footnote w:id="368">
    <w:p w14:paraId="22E3289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טווח אזהרה הינו </w:t>
      </w:r>
      <w:r w:rsidRPr="00956B0F">
        <w:rPr>
          <w:rtl/>
        </w:rPr>
        <w:t>תחום</w:t>
      </w:r>
      <w:r w:rsidRPr="00956B0F">
        <w:rPr>
          <w:rFonts w:hint="cs"/>
          <w:rtl/>
        </w:rPr>
        <w:t xml:space="preserve"> </w:t>
      </w:r>
      <w:r w:rsidRPr="00956B0F">
        <w:rPr>
          <w:rtl/>
        </w:rPr>
        <w:t>הסמוך גיאוגרפית לטווח ההפרה כפי שקבע בית המשפט</w:t>
      </w:r>
      <w:r w:rsidRPr="00956B0F">
        <w:rPr>
          <w:rFonts w:hint="cs"/>
          <w:rtl/>
        </w:rPr>
        <w:t xml:space="preserve">, </w:t>
      </w:r>
      <w:r w:rsidRPr="00956B0F">
        <w:rPr>
          <w:rtl/>
        </w:rPr>
        <w:t>אשר מתנהל בו מעקב אחר</w:t>
      </w:r>
      <w:r w:rsidRPr="00956B0F">
        <w:rPr>
          <w:rFonts w:hint="cs"/>
          <w:rtl/>
        </w:rPr>
        <w:t xml:space="preserve"> </w:t>
      </w:r>
      <w:r w:rsidRPr="00956B0F">
        <w:rPr>
          <w:rtl/>
        </w:rPr>
        <w:t>מיקומו של המפוקח.</w:t>
      </w:r>
      <w:r w:rsidRPr="00956B0F">
        <w:rPr>
          <w:rFonts w:hint="cs"/>
          <w:rtl/>
        </w:rPr>
        <w:t xml:space="preserve"> טווח הפרה הינו </w:t>
      </w:r>
      <w:r w:rsidRPr="00956B0F">
        <w:rPr>
          <w:rtl/>
        </w:rPr>
        <w:t xml:space="preserve">אזור </w:t>
      </w:r>
      <w:r w:rsidRPr="00956B0F">
        <w:rPr>
          <w:rFonts w:hint="cs"/>
          <w:rtl/>
        </w:rPr>
        <w:t>של</w:t>
      </w:r>
      <w:r w:rsidRPr="00956B0F">
        <w:rPr>
          <w:rtl/>
        </w:rPr>
        <w:t xml:space="preserve"> יישוב או מקום מסוים אחר שבית המשפט אסר</w:t>
      </w:r>
      <w:r w:rsidRPr="00956B0F">
        <w:rPr>
          <w:rFonts w:hint="cs"/>
          <w:rtl/>
        </w:rPr>
        <w:t xml:space="preserve"> </w:t>
      </w:r>
      <w:r w:rsidRPr="00956B0F">
        <w:rPr>
          <w:rtl/>
        </w:rPr>
        <w:t>על המפוקח להיכנס אליו, או אזור שבו נמצא בן המשפחה שבית המשפט אסר על המפוקח</w:t>
      </w:r>
      <w:r w:rsidRPr="00956B0F">
        <w:rPr>
          <w:rFonts w:hint="cs"/>
          <w:rtl/>
        </w:rPr>
        <w:t xml:space="preserve"> </w:t>
      </w:r>
      <w:r w:rsidRPr="00956B0F">
        <w:rPr>
          <w:rtl/>
        </w:rPr>
        <w:t>להימצא במרחק מסוים ממנו.</w:t>
      </w:r>
      <w:r w:rsidRPr="00956B0F">
        <w:rPr>
          <w:rFonts w:hint="cs"/>
          <w:rtl/>
        </w:rPr>
        <w:t xml:space="preserve"> ראו סעיף 1 לחוק למניעת אלימות במשפחה.</w:t>
      </w:r>
    </w:p>
  </w:footnote>
  <w:footnote w:id="369">
    <w:p w14:paraId="7F995D0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המשרד לביטחון לאומי, </w:t>
      </w:r>
      <w:r w:rsidRPr="00956B0F">
        <w:rPr>
          <w:rFonts w:hint="cs"/>
          <w:b/>
          <w:bCs/>
          <w:rtl/>
        </w:rPr>
        <w:t>תמצית מנהלים: יחידת משגב</w:t>
      </w:r>
      <w:r w:rsidRPr="00956B0F">
        <w:rPr>
          <w:rFonts w:hint="cs"/>
          <w:rtl/>
        </w:rPr>
        <w:t xml:space="preserve"> (אוקטובר 2024), עמ' 3.</w:t>
      </w:r>
    </w:p>
  </w:footnote>
  <w:footnote w:id="370">
    <w:p w14:paraId="3993DC5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3ב(א) - (ג) לחוק למניעת אלימות במשפחה.</w:t>
      </w:r>
    </w:p>
  </w:footnote>
  <w:footnote w:id="371">
    <w:p w14:paraId="7879ECC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3ב(ה) לחוק למניעת אלימות במשפחה.</w:t>
      </w:r>
    </w:p>
  </w:footnote>
  <w:footnote w:id="372">
    <w:p w14:paraId="787D2D9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3ב(ח) לחוק למניעת אלימות במשפחה.</w:t>
      </w:r>
    </w:p>
  </w:footnote>
  <w:footnote w:id="373">
    <w:p w14:paraId="754BB72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לפי סעיף 3 לחוק למניעת אלימות במשפחה, צו הגנה יינתן "</w:t>
      </w:r>
      <w:r w:rsidRPr="00956B0F">
        <w:rPr>
          <w:rtl/>
        </w:rPr>
        <w:t>לבקשת בן משפחה, היועץ המשפטי לממשלה או נציגו, תובע משטרתי או עובד סוציאלי שהתמנה על פי חוק הנוער (טיפול והשגחה), התש"ך-1960 או על פי חוק ההגנה על חוסים, התשכ"ו-1966</w:t>
      </w:r>
      <w:r w:rsidRPr="00956B0F">
        <w:rPr>
          <w:rFonts w:hint="cs"/>
          <w:rtl/>
        </w:rPr>
        <w:t>".</w:t>
      </w:r>
    </w:p>
  </w:footnote>
  <w:footnote w:id="374">
    <w:p w14:paraId="74BF1CC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דין וחשבון ועדת רוזנבאום (2016), עמ' 70 - 71.</w:t>
      </w:r>
    </w:p>
  </w:footnote>
  <w:footnote w:id="375">
    <w:p w14:paraId="62BFD9A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תוכנית הפעולה של ועדת המנכ"לים, עמ' 101.</w:t>
      </w:r>
    </w:p>
  </w:footnote>
  <w:footnote w:id="376">
    <w:p w14:paraId="750CDF8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6 - 8 לחוק למניעת אלימות במשפחה (תיקון מס' 19 - הוראת שעה), התשפ"ג-2023, ספר החוקים 3085, י"ט באב התשפ"ג,6.8.23.</w:t>
      </w:r>
    </w:p>
  </w:footnote>
  <w:footnote w:id="377">
    <w:p w14:paraId="09E77F4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3ג לחוק למניעת אלימות במשפחה.</w:t>
      </w:r>
    </w:p>
  </w:footnote>
  <w:footnote w:id="378">
    <w:p w14:paraId="1109B25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3ג(א)(5) ו-3ח לחוק למניעת אלימות במשפחה.</w:t>
      </w:r>
    </w:p>
  </w:footnote>
  <w:footnote w:id="379">
    <w:p w14:paraId="3C0C53C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3ח(ו) לחוק למניעת אלימות במשפחה.</w:t>
      </w:r>
    </w:p>
  </w:footnote>
  <w:footnote w:id="380">
    <w:p w14:paraId="3FF6E9C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יחידת הפיקוח הטכנולוגי הוקמה בסיומה של עבודת מטה שהחלה בשנת 2020, כחלק ממהלך להקמת יחידה ייעודית למעקב אחר אסירים משוחררים שריצו מאסר בגין עבירות אלימות במשפחה. ראו להלן תת-הפרק "רתימה להליך טיפולי-שיקומי בקהילה".</w:t>
      </w:r>
    </w:p>
  </w:footnote>
  <w:footnote w:id="381">
    <w:p w14:paraId="7E72A9F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סוגיות נוספות שעשויות להצריך הבהרה עם תחילת יישומו של ההסדר נוגעות למועד תחילתו של הפיקוח הטכנולוגי (החל ממועד מתן הצו השיפוטי או החל מהתקנתו של אמצעי הפיקוח הטכנולוגי); קביעת סייגים לתקופת הפיקוח, לדוגמה לצורך מפגש משותף קבוע מראש או יציאה מחוץ לישראל; החלטה שיפוטית בעניין הבקשה לפיקוח טכנולוגי בנסיבות שבהן חל עיכוב בהערכת המסוכנות.</w:t>
      </w:r>
    </w:p>
  </w:footnote>
  <w:footnote w:id="382">
    <w:p w14:paraId="0FEF578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תיקוני החקיקה כוללים בין השאר את הגדרתה של יחידת הפיקוח, האופן בו תוגש הבקשה, האופן בו יועבר העדכון על הגשת הבקשה ליחידת הפיקוח וכן את התנאים להארכת תוקפה של הבקשה (סעיפים 1, 2(ב1), 7(ג), 7ב ו-8(ב1) לתקנות סדרי</w:t>
      </w:r>
      <w:r w:rsidRPr="00956B0F">
        <w:rPr>
          <w:rStyle w:val="Hyperlink"/>
          <w:rFonts w:hint="cs"/>
          <w:color w:val="auto"/>
          <w:u w:val="none"/>
          <w:rtl/>
        </w:rPr>
        <w:t xml:space="preserve"> הדין</w:t>
      </w:r>
      <w:r w:rsidRPr="00956B0F">
        <w:rPr>
          <w:rFonts w:hint="cs"/>
          <w:rtl/>
        </w:rPr>
        <w:t>). תיקוני החקיקה פורסמו בקובץ התקנות 11394 ב-6.8.24.</w:t>
      </w:r>
    </w:p>
  </w:footnote>
  <w:footnote w:id="383">
    <w:p w14:paraId="6BFE889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לפי סעיף 3י לחוק למניעת אלימות במשפחה, </w:t>
      </w:r>
      <w:r w:rsidRPr="00956B0F">
        <w:rPr>
          <w:rtl/>
        </w:rPr>
        <w:t xml:space="preserve">השר לביטחון </w:t>
      </w:r>
      <w:r w:rsidRPr="00956B0F">
        <w:rPr>
          <w:rFonts w:hint="cs"/>
          <w:rtl/>
        </w:rPr>
        <w:t>לאומי</w:t>
      </w:r>
      <w:r w:rsidRPr="00956B0F">
        <w:rPr>
          <w:rtl/>
        </w:rPr>
        <w:t>, בהסכמת שר האוצר, בהתייעצות עם שר</w:t>
      </w:r>
      <w:r w:rsidRPr="00956B0F">
        <w:rPr>
          <w:rFonts w:hint="cs"/>
          <w:rtl/>
        </w:rPr>
        <w:t xml:space="preserve"> </w:t>
      </w:r>
      <w:r w:rsidRPr="00956B0F">
        <w:rPr>
          <w:rtl/>
        </w:rPr>
        <w:t xml:space="preserve">המשפטים ובאישור הוועדה לביטחון </w:t>
      </w:r>
      <w:r w:rsidRPr="00956B0F">
        <w:rPr>
          <w:rFonts w:hint="cs"/>
          <w:rtl/>
        </w:rPr>
        <w:t>לאומי</w:t>
      </w:r>
      <w:r w:rsidRPr="00956B0F">
        <w:rPr>
          <w:rtl/>
        </w:rPr>
        <w:t xml:space="preserve"> של הכנסת, יקבע</w:t>
      </w:r>
      <w:r w:rsidRPr="00956B0F">
        <w:rPr>
          <w:rFonts w:hint="cs"/>
          <w:rtl/>
        </w:rPr>
        <w:t xml:space="preserve"> </w:t>
      </w:r>
      <w:r w:rsidRPr="00956B0F">
        <w:rPr>
          <w:rtl/>
        </w:rPr>
        <w:t>בצו מספר מרבי של אמצעי פיקוח טכנולוגי שניתן להורות</w:t>
      </w:r>
      <w:r w:rsidRPr="00956B0F">
        <w:rPr>
          <w:rFonts w:hint="cs"/>
          <w:rtl/>
        </w:rPr>
        <w:t xml:space="preserve"> </w:t>
      </w:r>
      <w:r w:rsidRPr="00956B0F">
        <w:rPr>
          <w:rtl/>
        </w:rPr>
        <w:t xml:space="preserve">על שימוש בהם לפי </w:t>
      </w:r>
      <w:r w:rsidRPr="00956B0F">
        <w:rPr>
          <w:rFonts w:hint="cs"/>
          <w:rtl/>
        </w:rPr>
        <w:t>ה</w:t>
      </w:r>
      <w:r w:rsidRPr="00956B0F">
        <w:rPr>
          <w:rtl/>
        </w:rPr>
        <w:t>חוק</w:t>
      </w:r>
      <w:r w:rsidRPr="00956B0F">
        <w:rPr>
          <w:rFonts w:hint="cs"/>
          <w:rtl/>
        </w:rPr>
        <w:t>.</w:t>
      </w:r>
    </w:p>
  </w:footnote>
  <w:footnote w:id="384">
    <w:p w14:paraId="1ECA4CC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בין 6.8.24 ל-1.12.24.</w:t>
      </w:r>
    </w:p>
  </w:footnote>
  <w:footnote w:id="385">
    <w:p w14:paraId="51EFBB4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שיבוש בקליטת </w:t>
      </w:r>
      <w:r w:rsidRPr="00956B0F">
        <w:rPr>
          <w:rFonts w:hint="cs"/>
        </w:rPr>
        <w:t>GPS</w:t>
      </w:r>
      <w:r w:rsidRPr="00956B0F">
        <w:rPr>
          <w:rFonts w:hint="cs"/>
          <w:rtl/>
        </w:rPr>
        <w:t>, בין היתר על רקע מלחמת חרבות ברזל.</w:t>
      </w:r>
    </w:p>
  </w:footnote>
  <w:footnote w:id="386">
    <w:p w14:paraId="74F00527"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שוטרת השייכת לחטיבת המודיעין ואחראית על ריכוז המידע המודיעיני ועל הפקת תובנות ומתן המלצות בהתבסס עליו.</w:t>
      </w:r>
    </w:p>
  </w:footnote>
  <w:footnote w:id="387">
    <w:p w14:paraId="3702A72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הוראת תע"ס 3.8; ענת וויסברון, "תפיסותיהם של ילדים בגיל החביון על החיים במקלטים לנשים מוכות בישראל", </w:t>
      </w:r>
      <w:r w:rsidRPr="00956B0F">
        <w:rPr>
          <w:rFonts w:hint="cs"/>
          <w:b/>
          <w:bCs/>
          <w:rtl/>
        </w:rPr>
        <w:t>חברה</w:t>
      </w:r>
      <w:r w:rsidRPr="00956B0F">
        <w:rPr>
          <w:rFonts w:hint="cs"/>
          <w:rtl/>
        </w:rPr>
        <w:t xml:space="preserve"> </w:t>
      </w:r>
      <w:r w:rsidRPr="00956B0F">
        <w:rPr>
          <w:rFonts w:hint="cs"/>
          <w:b/>
          <w:bCs/>
          <w:rtl/>
        </w:rPr>
        <w:t>ורווחה</w:t>
      </w:r>
      <w:r w:rsidRPr="00956B0F">
        <w:rPr>
          <w:rFonts w:hint="cs"/>
          <w:rtl/>
        </w:rPr>
        <w:t xml:space="preserve"> מ"א(3) (2021), עמ' 408 - 428 (להלן - וויסברון).</w:t>
      </w:r>
    </w:p>
  </w:footnote>
  <w:footnote w:id="388">
    <w:p w14:paraId="7BD23723"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וויסברון, עמ' </w:t>
      </w:r>
      <w:r w:rsidRPr="00956B0F">
        <w:rPr>
          <w:rtl/>
        </w:rPr>
        <w:t>408</w:t>
      </w:r>
      <w:r w:rsidRPr="00956B0F">
        <w:rPr>
          <w:rFonts w:hint="cs"/>
          <w:rtl/>
        </w:rPr>
        <w:t>.</w:t>
      </w:r>
    </w:p>
  </w:footnote>
  <w:footnote w:id="389">
    <w:p w14:paraId="4A9A229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בהוראת תע"ס 3.8</w:t>
      </w:r>
      <w:r w:rsidRPr="00956B0F">
        <w:t xml:space="preserve"> </w:t>
      </w:r>
      <w:r w:rsidRPr="00956B0F">
        <w:rPr>
          <w:rFonts w:hint="cs"/>
          <w:rtl/>
        </w:rPr>
        <w:t>ובהוראת תע"ס 3.41.</w:t>
      </w:r>
    </w:p>
  </w:footnote>
  <w:footnote w:id="390">
    <w:p w14:paraId="162EC64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6 להוראת תע"ס 3.8.</w:t>
      </w:r>
    </w:p>
  </w:footnote>
  <w:footnote w:id="391">
    <w:p w14:paraId="1B78E16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2.2(ג) ו-3 להוראת תע"ס 3.8.</w:t>
      </w:r>
    </w:p>
  </w:footnote>
  <w:footnote w:id="392">
    <w:p w14:paraId="076B862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2 ו-3 להוראת תע"ס 3.8.</w:t>
      </w:r>
    </w:p>
  </w:footnote>
  <w:footnote w:id="393">
    <w:p w14:paraId="430580C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13ג להוראת תע"ס 3.41.</w:t>
      </w:r>
    </w:p>
  </w:footnote>
  <w:footnote w:id="394">
    <w:p w14:paraId="452ADFA9"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לעניין חובת ההנגשה הקבועה בדין ראו תת-הפרק "הנגישות הפיזית</w:t>
      </w:r>
      <w:r w:rsidRPr="00956B0F">
        <w:rPr>
          <w:rtl/>
        </w:rPr>
        <w:t xml:space="preserve"> </w:t>
      </w:r>
      <w:r w:rsidRPr="00956B0F">
        <w:rPr>
          <w:rFonts w:hint="cs"/>
          <w:rtl/>
        </w:rPr>
        <w:t>וסביבת הטיפול במחלקות לשירותים חברתיים ובמרכזים לטיפול ומניעת אלימות במשפחה".</w:t>
      </w:r>
      <w:r w:rsidRPr="00956B0F">
        <w:rPr>
          <w:rtl/>
        </w:rPr>
        <w:t xml:space="preserve"> </w:t>
      </w:r>
    </w:p>
  </w:footnote>
  <w:footnote w:id="395">
    <w:p w14:paraId="18D33029"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אחד מהמקלטים שפעלו בביקורת הקודמת באופן זמני הוסב למקלט קבוע עבור האוכלוסייה הכללית.</w:t>
      </w:r>
    </w:p>
  </w:footnote>
  <w:footnote w:id="396">
    <w:p w14:paraId="78EB5F9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לפי נתוני משרד הרווחה, בשנת 2022 שהו במקלט שהופעל בדרום 13 נשים מהחברה הערבית; בשנת 2023 שהו בו 18 נשים מהחברה הערבית; ובשנת 2024 (עד 10.12.24) שהו בו 15 נשים מהחברה הערבית.</w:t>
      </w:r>
    </w:p>
  </w:footnote>
  <w:footnote w:id="397">
    <w:p w14:paraId="78BF4E1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ועדת "אורות אדומים" מתכנסת לפי חוזר מיוחד של מנכ"ל משרד הרווחה מס' 69, "נוהל דיווח יידוע במקרי 'אורות אדומים' (א.א) ולאחר אירוע" (9.12.14).</w:t>
      </w:r>
    </w:p>
  </w:footnote>
  <w:footnote w:id="398">
    <w:p w14:paraId="5E23BC9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חיה יצחקי, חיה דקל וענת בן פורת, </w:t>
      </w:r>
      <w:r w:rsidRPr="00956B0F">
        <w:rPr>
          <w:b/>
          <w:bCs/>
          <w:rtl/>
        </w:rPr>
        <w:t>מחקר מעקב אחר נשים נפגעות אלימות משפחה: במקלט ובחזרה לקהילה</w:t>
      </w:r>
      <w:r w:rsidRPr="00956B0F">
        <w:rPr>
          <w:rtl/>
        </w:rPr>
        <w:t>, אוני</w:t>
      </w:r>
      <w:r w:rsidRPr="00956B0F">
        <w:rPr>
          <w:rFonts w:hint="cs"/>
          <w:rtl/>
        </w:rPr>
        <w:t>ברסיטת</w:t>
      </w:r>
      <w:r w:rsidRPr="00956B0F">
        <w:rPr>
          <w:rtl/>
        </w:rPr>
        <w:t xml:space="preserve"> בר</w:t>
      </w:r>
      <w:r w:rsidRPr="00956B0F">
        <w:rPr>
          <w:rFonts w:hint="cs"/>
          <w:rtl/>
        </w:rPr>
        <w:t>-</w:t>
      </w:r>
      <w:r w:rsidRPr="00956B0F">
        <w:rPr>
          <w:rtl/>
        </w:rPr>
        <w:t>אילן</w:t>
      </w:r>
      <w:r w:rsidRPr="00956B0F">
        <w:rPr>
          <w:rFonts w:hint="cs"/>
          <w:rtl/>
        </w:rPr>
        <w:t>, (</w:t>
      </w:r>
      <w:r w:rsidRPr="00956B0F">
        <w:rPr>
          <w:rtl/>
        </w:rPr>
        <w:t>2014</w:t>
      </w:r>
      <w:r w:rsidRPr="00956B0F">
        <w:rPr>
          <w:rFonts w:hint="cs"/>
          <w:rtl/>
        </w:rPr>
        <w:t xml:space="preserve">); חיה יצחקי וענת בן פורת, </w:t>
      </w:r>
      <w:r w:rsidRPr="00956B0F">
        <w:rPr>
          <w:rFonts w:hint="cs"/>
          <w:b/>
          <w:bCs/>
          <w:rtl/>
        </w:rPr>
        <w:t>מחקר מעקב אחר נשים נפגעות אלימות במשפחה בקהילה: פעימה שלישית</w:t>
      </w:r>
      <w:r w:rsidRPr="00956B0F">
        <w:rPr>
          <w:rFonts w:hint="cs"/>
          <w:rtl/>
        </w:rPr>
        <w:t xml:space="preserve">, אוניברסיטת בר-אילן (2016), עמ' 6; יעל חסון, ירון הופמן-דישון ותהילה שרעבי, </w:t>
      </w:r>
      <w:r w:rsidRPr="00956B0F">
        <w:rPr>
          <w:rFonts w:hint="cs"/>
          <w:b/>
          <w:bCs/>
          <w:rtl/>
        </w:rPr>
        <w:t>בית משלך: אי-שוויון מגדרי בדיור</w:t>
      </w:r>
      <w:r w:rsidRPr="00956B0F">
        <w:rPr>
          <w:rFonts w:hint="cs"/>
          <w:rtl/>
        </w:rPr>
        <w:t xml:space="preserve"> (2023), עמ' 36.</w:t>
      </w:r>
    </w:p>
  </w:footnote>
  <w:footnote w:id="399">
    <w:p w14:paraId="1C05FC6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מצב זה, שבו אדם אינו מממש את זכאותו בשל סיבות מבניות, מכונה "חוסר יעילות אופקית" או "כשל אי- מיצוי הזכויות". ראו בהקשר זה: טל ארזי ויעל סבג, </w:t>
      </w:r>
      <w:r w:rsidRPr="00956B0F">
        <w:rPr>
          <w:rFonts w:hint="cs"/>
          <w:b/>
          <w:bCs/>
          <w:rtl/>
        </w:rPr>
        <w:t>מיצוי זכויות ושירותים חברתיים לאזרח: הבניית קונספט ותורת עבודה</w:t>
      </w:r>
      <w:r w:rsidRPr="00956B0F">
        <w:rPr>
          <w:rFonts w:hint="cs"/>
          <w:rtl/>
        </w:rPr>
        <w:t xml:space="preserve"> (2020), עמ' 3; ג'וני גל, מימי אייזנשטדט, אבישי בניש ורוני הולר, </w:t>
      </w:r>
      <w:r w:rsidRPr="00956B0F">
        <w:rPr>
          <w:rFonts w:hint="cs"/>
          <w:b/>
          <w:bCs/>
          <w:rtl/>
        </w:rPr>
        <w:t>מיצוי זכויות אקטיבי בביטחון סוציאלי</w:t>
      </w:r>
      <w:r w:rsidRPr="00956B0F">
        <w:rPr>
          <w:rFonts w:hint="cs"/>
          <w:rtl/>
        </w:rPr>
        <w:t xml:space="preserve"> (2019), עמ' 7 - 8; אבישי בניש ולירון דוד, "זכות הגישה למנהל במדינת הרווחה: על (אי-)מיצוי זכויות חברתיות וחובת ההנגשה של החקיקה החברתית", </w:t>
      </w:r>
      <w:r w:rsidRPr="00956B0F">
        <w:rPr>
          <w:rFonts w:hint="cs"/>
          <w:b/>
          <w:bCs/>
          <w:rtl/>
        </w:rPr>
        <w:t>משפט וממשל</w:t>
      </w:r>
      <w:r w:rsidRPr="00956B0F">
        <w:rPr>
          <w:rFonts w:hint="cs"/>
          <w:rtl/>
        </w:rPr>
        <w:t xml:space="preserve"> יט </w:t>
      </w:r>
      <w:r w:rsidRPr="00956B0F">
        <w:rPr>
          <w:rtl/>
        </w:rPr>
        <w:t>395</w:t>
      </w:r>
      <w:r w:rsidRPr="00956B0F">
        <w:rPr>
          <w:rFonts w:hint="cs"/>
          <w:rtl/>
        </w:rPr>
        <w:t xml:space="preserve"> (תשע"ח), עמ' 11 - 16; משרד מבקר המדינה, </w:t>
      </w:r>
      <w:r w:rsidRPr="00956B0F">
        <w:rPr>
          <w:rFonts w:hint="cs"/>
          <w:b/>
          <w:bCs/>
          <w:rtl/>
        </w:rPr>
        <w:t>דוח שנתי 65ג</w:t>
      </w:r>
      <w:r w:rsidRPr="00956B0F">
        <w:rPr>
          <w:rFonts w:hint="cs"/>
          <w:rtl/>
        </w:rPr>
        <w:t xml:space="preserve"> (2015), "אי-מיצוי של זכויות חברתיות", עמ' 3 - 46; </w:t>
      </w:r>
      <w:r w:rsidRPr="00956B0F">
        <w:rPr>
          <w:rFonts w:hint="cs"/>
          <w:b/>
          <w:bCs/>
          <w:rtl/>
        </w:rPr>
        <w:t>דוח שנתי 72א - חלק ראשון</w:t>
      </w:r>
      <w:r w:rsidRPr="00956B0F">
        <w:rPr>
          <w:rFonts w:hint="cs"/>
          <w:rtl/>
        </w:rPr>
        <w:t xml:space="preserve"> (2021), "אי-מיצוי של זכויות חברתיות", עמ' 867 - 915.</w:t>
      </w:r>
    </w:p>
  </w:footnote>
  <w:footnote w:id="400">
    <w:p w14:paraId="2CB0498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1 - 4 לחוק שירותי רווחה (זכויות נשים ששהו במקלט לנשים מוכות), התשע"ג-2012.</w:t>
      </w:r>
    </w:p>
  </w:footnote>
  <w:footnote w:id="401">
    <w:p w14:paraId="020127D8" w14:textId="77777777" w:rsidR="00F769CC" w:rsidRPr="00956B0F" w:rsidRDefault="00F769CC" w:rsidP="00817399">
      <w:pPr>
        <w:pStyle w:val="af7"/>
        <w:jc w:val="left"/>
        <w:rPr>
          <w:rtl/>
        </w:rPr>
      </w:pPr>
      <w:r w:rsidRPr="00956B0F">
        <w:rPr>
          <w:rStyle w:val="af9"/>
        </w:rPr>
        <w:footnoteRef/>
      </w:r>
      <w:r w:rsidRPr="00956B0F">
        <w:rPr>
          <w:rtl/>
        </w:rPr>
        <w:t xml:space="preserve"> </w:t>
      </w:r>
      <w:r w:rsidRPr="00956B0F">
        <w:rPr>
          <w:rtl/>
        </w:rPr>
        <w:tab/>
      </w:r>
      <w:r w:rsidRPr="00956B0F">
        <w:rPr>
          <w:rFonts w:hint="cs"/>
          <w:rtl/>
        </w:rPr>
        <w:t>סעיף 2(א)(9) לחוק הבטחת הכנסה.</w:t>
      </w:r>
    </w:p>
  </w:footnote>
  <w:footnote w:id="402">
    <w:p w14:paraId="0162499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הצעת חוק שירותי רווחה (מענק הסתגלות לנשים ששהו במקלט לנשים מוכות) (תיקון מס' 2) (זכויות נשים ששהו במקלט לנשים מוכות), התשע"ז-2017, ה"ח הכנסת - 708, כ"ו באייר התשע"ז, 22.5.17, </w:t>
      </w:r>
      <w:r w:rsidRPr="00956B0F">
        <w:rPr>
          <w:rFonts w:hint="eastAsia"/>
          <w:rtl/>
        </w:rPr>
        <w:t>עמ</w:t>
      </w:r>
      <w:r w:rsidRPr="00956B0F">
        <w:rPr>
          <w:rtl/>
        </w:rPr>
        <w:t>' 180.</w:t>
      </w:r>
    </w:p>
  </w:footnote>
  <w:footnote w:id="403">
    <w:p w14:paraId="32AEABB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ענת בן-פורת, </w:t>
      </w:r>
      <w:r w:rsidRPr="00956B0F">
        <w:rPr>
          <w:rFonts w:hint="cs"/>
          <w:b/>
          <w:bCs/>
          <w:rtl/>
        </w:rPr>
        <w:t>מחקר מעקב: דף חדש לנשים נפגעות אלימות וילדיהן בקהילה: פעימה שנייה</w:t>
      </w:r>
      <w:r w:rsidRPr="00956B0F">
        <w:rPr>
          <w:rFonts w:hint="cs"/>
          <w:rtl/>
        </w:rPr>
        <w:t xml:space="preserve"> (2023), עמ' 45.</w:t>
      </w:r>
    </w:p>
  </w:footnote>
  <w:footnote w:id="404">
    <w:p w14:paraId="71FF0F6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חוק שירותי רווחה (זכויות נשים ששהו במקלט לנשים מוכות) (תיקון מס' 4), התשפ"ד-2024, ס"ח 3163, י"ג באדר א' התשפ"ד, 22.2.24, עמ' 556 והצעת חוק שירותי רווחה (מענק הסתגלות לנשים ששהו במקלט לנשים מוכות) (תיקון מס' 5) (הגדלת מענק ההסתגלות ושינוי מועד התשלום), התשפ"ג-2023, ה"ח הכנסת - 967, ט"ז בתמוז התשפ"ג, 5.7.23, עמ' 108.</w:t>
      </w:r>
    </w:p>
  </w:footnote>
  <w:footnote w:id="405">
    <w:p w14:paraId="60FEAD6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יש לציין כי העלייה בהיקף התקציב שהוקצה לטובת הפעלת התוכנית "דף חדש" בשנת 2023 נובעת מהרחבת התוכנית אך גם מתשלום רטרואקטיבי של הפרשי הצמדה למדד של סכום מענק ההסתגלות (כ-700 אלפי ש"ח), וכן הגדלת תעריף השירותים בעקבות כניסתו לתוקף של הסכם העובדים הסוציאליים והשינוי בשכרם של העובדים הסוציאליים. </w:t>
      </w:r>
    </w:p>
  </w:footnote>
  <w:footnote w:id="406">
    <w:p w14:paraId="254E6B6F"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ענת בן-פורת, </w:t>
      </w:r>
      <w:r w:rsidRPr="00956B0F">
        <w:rPr>
          <w:rFonts w:hint="cs"/>
          <w:b/>
          <w:bCs/>
          <w:rtl/>
        </w:rPr>
        <w:t>מחקר מעקב: דף חדש לנשים נפגעות אלימות וילדיהן בקהילה: פעימה שנייה</w:t>
      </w:r>
      <w:r w:rsidRPr="00956B0F">
        <w:rPr>
          <w:rFonts w:hint="cs"/>
          <w:rtl/>
        </w:rPr>
        <w:t xml:space="preserve"> (2023), עמ' 45.</w:t>
      </w:r>
    </w:p>
  </w:footnote>
  <w:footnote w:id="407">
    <w:p w14:paraId="4C7C4B3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משרד הרווחה החל לממן את סל השירותים ה"גמיש" שלו אחראיות הרשויות המקומיות במהלך תקופת הקורונה לפי החלטת </w:t>
      </w:r>
      <w:r w:rsidRPr="00956B0F">
        <w:rPr>
          <w:rFonts w:hint="eastAsia"/>
          <w:rtl/>
        </w:rPr>
        <w:t>ה</w:t>
      </w:r>
      <w:r w:rsidRPr="00956B0F">
        <w:rPr>
          <w:rFonts w:hint="cs"/>
          <w:rtl/>
        </w:rPr>
        <w:t>ממשלה 326, "אישור עדכון התכנית המפורטת בהתאם לחוק יסוד</w:t>
      </w:r>
      <w:r w:rsidRPr="00956B0F">
        <w:rPr>
          <w:rtl/>
        </w:rPr>
        <w:t>:</w:t>
      </w:r>
      <w:r w:rsidRPr="00956B0F">
        <w:rPr>
          <w:rFonts w:hint="cs"/>
          <w:rtl/>
        </w:rPr>
        <w:t xml:space="preserve"> משק המדינה (תיקון מס' 10 והוראת שעה לשנת 2020)" (16.8.20). </w:t>
      </w:r>
    </w:p>
  </w:footnote>
  <w:footnote w:id="408">
    <w:p w14:paraId="575DE77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נתוני הקצאת התקציב וניצול התקציב בפועל מתייחסים לכלל התקציבים, לרבות תקציבים שהועמדו לטובת הפעלת התוכניות הייחודיות וסל השירותים ה"גמיש" על ידי נותני שירותים חיצוניים והארגון הפילנתרופי.</w:t>
      </w:r>
    </w:p>
  </w:footnote>
  <w:footnote w:id="409">
    <w:p w14:paraId="4886082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נוסף על סיוע בשכירת דירה משרד הבינוי והשיכון </w:t>
      </w:r>
      <w:r w:rsidRPr="00956B0F">
        <w:rPr>
          <w:rtl/>
        </w:rPr>
        <w:t xml:space="preserve">מסייע לחסרי דיור </w:t>
      </w:r>
      <w:r w:rsidRPr="00956B0F">
        <w:rPr>
          <w:rFonts w:hint="cs"/>
          <w:rtl/>
        </w:rPr>
        <w:t>גם בדרך של</w:t>
      </w:r>
      <w:r w:rsidRPr="00956B0F">
        <w:rPr>
          <w:rtl/>
        </w:rPr>
        <w:t xml:space="preserve"> השכרת דיור ציבורי </w:t>
      </w:r>
      <w:r w:rsidRPr="00956B0F">
        <w:rPr>
          <w:rFonts w:hint="cs"/>
          <w:rtl/>
        </w:rPr>
        <w:t>בסבסוד או</w:t>
      </w:r>
      <w:r w:rsidRPr="00956B0F">
        <w:rPr>
          <w:rtl/>
        </w:rPr>
        <w:t xml:space="preserve"> </w:t>
      </w:r>
      <w:r w:rsidRPr="00956B0F">
        <w:rPr>
          <w:rFonts w:hint="cs"/>
          <w:rtl/>
        </w:rPr>
        <w:t>ב</w:t>
      </w:r>
      <w:r w:rsidRPr="00956B0F">
        <w:rPr>
          <w:rtl/>
        </w:rPr>
        <w:t>מת</w:t>
      </w:r>
      <w:r w:rsidRPr="00956B0F">
        <w:rPr>
          <w:rFonts w:hint="cs"/>
          <w:rtl/>
        </w:rPr>
        <w:t>ן</w:t>
      </w:r>
      <w:r w:rsidRPr="00956B0F">
        <w:rPr>
          <w:rtl/>
        </w:rPr>
        <w:t xml:space="preserve"> משכנתאות לרכישת דירה באמצעות בנקי</w:t>
      </w:r>
      <w:r w:rsidRPr="00956B0F">
        <w:rPr>
          <w:rFonts w:hint="cs"/>
          <w:rtl/>
        </w:rPr>
        <w:t>ם</w:t>
      </w:r>
      <w:r w:rsidRPr="00956B0F">
        <w:rPr>
          <w:rtl/>
        </w:rPr>
        <w:t xml:space="preserve"> למשכנתאות.</w:t>
      </w:r>
      <w:r w:rsidRPr="00956B0F">
        <w:rPr>
          <w:rFonts w:hint="cs"/>
          <w:rtl/>
        </w:rPr>
        <w:t xml:space="preserve"> </w:t>
      </w:r>
      <w:r w:rsidRPr="00956B0F">
        <w:rPr>
          <w:rFonts w:hint="eastAsia"/>
          <w:rtl/>
        </w:rPr>
        <w:t>יצוין</w:t>
      </w:r>
      <w:r w:rsidRPr="00956B0F">
        <w:rPr>
          <w:rtl/>
        </w:rPr>
        <w:t xml:space="preserve"> </w:t>
      </w:r>
      <w:r w:rsidRPr="00956B0F">
        <w:rPr>
          <w:rFonts w:hint="eastAsia"/>
          <w:rtl/>
        </w:rPr>
        <w:t>כי</w:t>
      </w:r>
      <w:r w:rsidRPr="00956B0F">
        <w:rPr>
          <w:rtl/>
        </w:rPr>
        <w:t xml:space="preserve"> </w:t>
      </w:r>
      <w:r w:rsidRPr="00956B0F">
        <w:rPr>
          <w:rFonts w:hint="eastAsia"/>
          <w:rtl/>
        </w:rPr>
        <w:t>הנוהל</w:t>
      </w:r>
      <w:r w:rsidRPr="00956B0F">
        <w:rPr>
          <w:rtl/>
        </w:rPr>
        <w:t xml:space="preserve"> </w:t>
      </w:r>
      <w:r w:rsidRPr="00956B0F">
        <w:rPr>
          <w:rFonts w:hint="eastAsia"/>
          <w:rtl/>
        </w:rPr>
        <w:t>מנוסח</w:t>
      </w:r>
      <w:r w:rsidRPr="00956B0F">
        <w:rPr>
          <w:rtl/>
        </w:rPr>
        <w:t xml:space="preserve"> </w:t>
      </w:r>
      <w:r w:rsidRPr="00956B0F">
        <w:rPr>
          <w:rFonts w:hint="eastAsia"/>
          <w:rtl/>
        </w:rPr>
        <w:t>בלשון</w:t>
      </w:r>
      <w:r w:rsidRPr="00956B0F">
        <w:rPr>
          <w:rtl/>
        </w:rPr>
        <w:t xml:space="preserve"> </w:t>
      </w:r>
      <w:r w:rsidRPr="00956B0F">
        <w:rPr>
          <w:rFonts w:hint="eastAsia"/>
          <w:rtl/>
        </w:rPr>
        <w:t>נקבה</w:t>
      </w:r>
      <w:r w:rsidRPr="00956B0F">
        <w:rPr>
          <w:rtl/>
        </w:rPr>
        <w:t xml:space="preserve"> </w:t>
      </w:r>
      <w:r w:rsidRPr="00956B0F">
        <w:rPr>
          <w:rFonts w:hint="eastAsia"/>
          <w:rtl/>
        </w:rPr>
        <w:t>ומתייחס</w:t>
      </w:r>
      <w:r w:rsidRPr="00956B0F">
        <w:rPr>
          <w:rtl/>
        </w:rPr>
        <w:t xml:space="preserve"> </w:t>
      </w:r>
      <w:r w:rsidRPr="00956B0F">
        <w:rPr>
          <w:rFonts w:hint="eastAsia"/>
          <w:rtl/>
        </w:rPr>
        <w:t>לנשים</w:t>
      </w:r>
      <w:r w:rsidRPr="00956B0F">
        <w:rPr>
          <w:rtl/>
        </w:rPr>
        <w:t xml:space="preserve"> </w:t>
      </w:r>
      <w:r w:rsidRPr="00956B0F">
        <w:rPr>
          <w:rFonts w:hint="eastAsia"/>
          <w:rtl/>
        </w:rPr>
        <w:t>נפגעות</w:t>
      </w:r>
      <w:r w:rsidRPr="00956B0F">
        <w:rPr>
          <w:rtl/>
        </w:rPr>
        <w:t xml:space="preserve"> </w:t>
      </w:r>
      <w:r w:rsidRPr="00956B0F">
        <w:rPr>
          <w:rFonts w:hint="eastAsia"/>
          <w:rtl/>
        </w:rPr>
        <w:t>אלימות</w:t>
      </w:r>
      <w:r w:rsidRPr="00956B0F">
        <w:rPr>
          <w:rtl/>
        </w:rPr>
        <w:t xml:space="preserve"> </w:t>
      </w:r>
      <w:r w:rsidRPr="00956B0F">
        <w:rPr>
          <w:rFonts w:hint="eastAsia"/>
          <w:rtl/>
        </w:rPr>
        <w:t>או</w:t>
      </w:r>
      <w:r w:rsidRPr="00956B0F">
        <w:rPr>
          <w:rtl/>
        </w:rPr>
        <w:t xml:space="preserve"> </w:t>
      </w:r>
      <w:r w:rsidRPr="00956B0F">
        <w:rPr>
          <w:rFonts w:hint="eastAsia"/>
          <w:rtl/>
        </w:rPr>
        <w:t>לנשים</w:t>
      </w:r>
      <w:r w:rsidRPr="00956B0F">
        <w:rPr>
          <w:rtl/>
        </w:rPr>
        <w:t xml:space="preserve"> </w:t>
      </w:r>
      <w:r w:rsidRPr="00956B0F">
        <w:rPr>
          <w:rFonts w:hint="eastAsia"/>
          <w:rtl/>
        </w:rPr>
        <w:t>נפגעות</w:t>
      </w:r>
      <w:r w:rsidRPr="00956B0F">
        <w:rPr>
          <w:rtl/>
        </w:rPr>
        <w:t xml:space="preserve"> </w:t>
      </w:r>
      <w:r w:rsidRPr="00956B0F">
        <w:rPr>
          <w:rFonts w:hint="eastAsia"/>
          <w:rtl/>
        </w:rPr>
        <w:t>אלימות</w:t>
      </w:r>
      <w:r w:rsidRPr="00956B0F">
        <w:rPr>
          <w:rtl/>
        </w:rPr>
        <w:t xml:space="preserve"> </w:t>
      </w:r>
      <w:r w:rsidRPr="00956B0F">
        <w:rPr>
          <w:rFonts w:hint="eastAsia"/>
          <w:rtl/>
        </w:rPr>
        <w:t>וילדיהן</w:t>
      </w:r>
      <w:r w:rsidRPr="00956B0F">
        <w:rPr>
          <w:rtl/>
        </w:rPr>
        <w:t xml:space="preserve">, </w:t>
      </w:r>
      <w:r w:rsidRPr="00956B0F">
        <w:rPr>
          <w:rFonts w:hint="eastAsia"/>
          <w:rtl/>
        </w:rPr>
        <w:t>אך</w:t>
      </w:r>
      <w:r w:rsidRPr="00956B0F">
        <w:rPr>
          <w:rtl/>
        </w:rPr>
        <w:t xml:space="preserve"> </w:t>
      </w:r>
      <w:r w:rsidRPr="00956B0F">
        <w:rPr>
          <w:rFonts w:hint="eastAsia"/>
          <w:rtl/>
        </w:rPr>
        <w:t>מתייחס</w:t>
      </w:r>
      <w:r w:rsidRPr="00956B0F">
        <w:rPr>
          <w:rtl/>
        </w:rPr>
        <w:t xml:space="preserve"> </w:t>
      </w:r>
      <w:r w:rsidRPr="00956B0F">
        <w:rPr>
          <w:rFonts w:hint="eastAsia"/>
          <w:rtl/>
        </w:rPr>
        <w:t>גם</w:t>
      </w:r>
      <w:r w:rsidRPr="00956B0F">
        <w:rPr>
          <w:rtl/>
        </w:rPr>
        <w:t xml:space="preserve"> </w:t>
      </w:r>
      <w:r w:rsidRPr="00956B0F">
        <w:rPr>
          <w:rFonts w:hint="eastAsia"/>
          <w:rtl/>
        </w:rPr>
        <w:t>לתנאי</w:t>
      </w:r>
      <w:r w:rsidRPr="00956B0F">
        <w:rPr>
          <w:rtl/>
        </w:rPr>
        <w:t xml:space="preserve"> </w:t>
      </w:r>
      <w:r w:rsidRPr="00956B0F">
        <w:rPr>
          <w:rFonts w:hint="eastAsia"/>
          <w:rtl/>
        </w:rPr>
        <w:t>הזכאות</w:t>
      </w:r>
      <w:r w:rsidRPr="00956B0F">
        <w:rPr>
          <w:rtl/>
        </w:rPr>
        <w:t xml:space="preserve"> </w:t>
      </w:r>
      <w:r w:rsidRPr="00956B0F">
        <w:rPr>
          <w:rFonts w:hint="eastAsia"/>
          <w:rtl/>
        </w:rPr>
        <w:t>של</w:t>
      </w:r>
      <w:r w:rsidRPr="00956B0F">
        <w:rPr>
          <w:rtl/>
        </w:rPr>
        <w:t xml:space="preserve"> </w:t>
      </w:r>
      <w:r w:rsidRPr="00956B0F">
        <w:rPr>
          <w:rFonts w:hint="eastAsia"/>
          <w:rtl/>
        </w:rPr>
        <w:t>גברים</w:t>
      </w:r>
      <w:r w:rsidRPr="00956B0F">
        <w:rPr>
          <w:rtl/>
        </w:rPr>
        <w:t xml:space="preserve"> </w:t>
      </w:r>
      <w:r w:rsidRPr="00956B0F">
        <w:rPr>
          <w:rFonts w:hint="eastAsia"/>
          <w:rtl/>
        </w:rPr>
        <w:t>נפגעי</w:t>
      </w:r>
      <w:r w:rsidRPr="00956B0F">
        <w:rPr>
          <w:rtl/>
        </w:rPr>
        <w:t xml:space="preserve"> </w:t>
      </w:r>
      <w:r w:rsidRPr="00956B0F">
        <w:rPr>
          <w:rFonts w:hint="eastAsia"/>
          <w:rtl/>
        </w:rPr>
        <w:t>אלימות</w:t>
      </w:r>
      <w:r w:rsidRPr="00956B0F">
        <w:rPr>
          <w:rtl/>
        </w:rPr>
        <w:t xml:space="preserve"> </w:t>
      </w:r>
      <w:r w:rsidRPr="00956B0F">
        <w:rPr>
          <w:rFonts w:hint="eastAsia"/>
          <w:rtl/>
        </w:rPr>
        <w:t>או</w:t>
      </w:r>
      <w:r w:rsidRPr="00956B0F">
        <w:rPr>
          <w:rtl/>
        </w:rPr>
        <w:t xml:space="preserve"> </w:t>
      </w:r>
      <w:r w:rsidRPr="00956B0F">
        <w:rPr>
          <w:rFonts w:hint="eastAsia"/>
          <w:rtl/>
        </w:rPr>
        <w:t>גברים</w:t>
      </w:r>
      <w:r w:rsidRPr="00956B0F">
        <w:rPr>
          <w:rtl/>
        </w:rPr>
        <w:t xml:space="preserve"> </w:t>
      </w:r>
      <w:r w:rsidRPr="00956B0F">
        <w:rPr>
          <w:rFonts w:hint="eastAsia"/>
          <w:rtl/>
        </w:rPr>
        <w:t>נפגעי</w:t>
      </w:r>
      <w:r w:rsidRPr="00956B0F">
        <w:rPr>
          <w:rtl/>
        </w:rPr>
        <w:t xml:space="preserve"> </w:t>
      </w:r>
      <w:r w:rsidRPr="00956B0F">
        <w:rPr>
          <w:rFonts w:hint="eastAsia"/>
          <w:rtl/>
        </w:rPr>
        <w:t>אלימות</w:t>
      </w:r>
      <w:r w:rsidRPr="00956B0F">
        <w:rPr>
          <w:rtl/>
        </w:rPr>
        <w:t xml:space="preserve"> </w:t>
      </w:r>
      <w:r w:rsidRPr="00956B0F">
        <w:rPr>
          <w:rFonts w:hint="eastAsia"/>
          <w:rtl/>
        </w:rPr>
        <w:t>וילדיהם</w:t>
      </w:r>
      <w:r w:rsidRPr="00956B0F">
        <w:rPr>
          <w:rtl/>
        </w:rPr>
        <w:t>.</w:t>
      </w:r>
    </w:p>
  </w:footnote>
  <w:footnote w:id="410">
    <w:p w14:paraId="58F3183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משרד מבקר המדינה העיר עוד בשנת 2011 על השחיקה בגובה הסיוע בשכר הדירה שמעניק משרד הבינוי והשיכון, וזאת לנוכח העלייה במחירי שכר הדירה בשוק החופשי. ראו: משרד מבקר המדינה, </w:t>
      </w:r>
      <w:r w:rsidRPr="00956B0F">
        <w:rPr>
          <w:rFonts w:hint="cs"/>
          <w:b/>
          <w:bCs/>
          <w:rtl/>
        </w:rPr>
        <w:t>דוח שנתי 61ב</w:t>
      </w:r>
      <w:r w:rsidRPr="00956B0F">
        <w:rPr>
          <w:rFonts w:hint="cs"/>
          <w:rtl/>
        </w:rPr>
        <w:t xml:space="preserve"> (2011), "טיפול בבקשות לסיוע בשכר דירה", עמ' 689 - 705</w:t>
      </w:r>
      <w:r w:rsidRPr="00956B0F">
        <w:rPr>
          <w:rStyle w:val="Hyperlink"/>
          <w:rFonts w:hint="cs"/>
          <w:color w:val="auto"/>
          <w:u w:val="none"/>
          <w:rtl/>
        </w:rPr>
        <w:t>.</w:t>
      </w:r>
    </w:p>
  </w:footnote>
  <w:footnote w:id="411">
    <w:p w14:paraId="00F57065"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נוהל מס' 08/25 של מינהל לסיוע בדיור במשרד הבינוי והשיכון, "נפגעי אלימות במשפחה" (12.3.23</w:t>
      </w:r>
      <w:r w:rsidRPr="00956B0F">
        <w:rPr>
          <w:rStyle w:val="Hyperlink"/>
          <w:rFonts w:hint="cs"/>
          <w:color w:val="auto"/>
          <w:u w:val="none"/>
          <w:rtl/>
        </w:rPr>
        <w:t>)</w:t>
      </w:r>
      <w:r w:rsidRPr="00956B0F">
        <w:rPr>
          <w:rFonts w:hint="cs"/>
          <w:rtl/>
        </w:rPr>
        <w:t>.</w:t>
      </w:r>
    </w:p>
  </w:footnote>
  <w:footnote w:id="412">
    <w:p w14:paraId="62E587D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זאת לנוכח המחקרים בנושא המצביעים על הקושי שבו נתקלות נשים נפגעות אלימות במציאת דיור קבוע, בפרט נשים צעירות ללא ילדים. ראו: טופורק בר ושורק, עמ' 24; הדס מור ושמוליק שיינטוך, "</w:t>
      </w:r>
      <w:r w:rsidRPr="00956B0F">
        <w:rPr>
          <w:rtl/>
        </w:rPr>
        <w:t>חסרי וחסרות בית בישראל</w:t>
      </w:r>
      <w:r w:rsidRPr="00956B0F">
        <w:rPr>
          <w:rFonts w:hint="cs"/>
          <w:rtl/>
        </w:rPr>
        <w:t xml:space="preserve"> </w:t>
      </w:r>
      <w:r w:rsidRPr="00956B0F">
        <w:rPr>
          <w:rtl/>
        </w:rPr>
        <w:t>ביום שאחרי המלחמה:</w:t>
      </w:r>
      <w:r w:rsidRPr="00956B0F">
        <w:rPr>
          <w:rFonts w:hint="cs"/>
          <w:rtl/>
        </w:rPr>
        <w:t xml:space="preserve"> </w:t>
      </w:r>
      <w:r w:rsidRPr="00956B0F">
        <w:rPr>
          <w:rtl/>
        </w:rPr>
        <w:t>הצעה לכינון תוכנית אסטרטגית</w:t>
      </w:r>
      <w:r w:rsidRPr="00956B0F">
        <w:rPr>
          <w:rFonts w:hint="cs"/>
          <w:rtl/>
        </w:rPr>
        <w:t xml:space="preserve"> </w:t>
      </w:r>
      <w:r w:rsidRPr="00956B0F">
        <w:rPr>
          <w:rtl/>
        </w:rPr>
        <w:t>להתמודדות עם חסרוּת הבית</w:t>
      </w:r>
      <w:r w:rsidRPr="00956B0F">
        <w:rPr>
          <w:rFonts w:hint="cs"/>
          <w:rtl/>
        </w:rPr>
        <w:t xml:space="preserve"> </w:t>
      </w:r>
      <w:r w:rsidRPr="00956B0F">
        <w:rPr>
          <w:rtl/>
        </w:rPr>
        <w:t>בישראל ולסיומה</w:t>
      </w:r>
      <w:r w:rsidRPr="00956B0F">
        <w:rPr>
          <w:rFonts w:hint="cs"/>
          <w:rtl/>
        </w:rPr>
        <w:t xml:space="preserve">", בתוך: מיכל אלמוג-בר, מימי אייזנשטדט וג'וני גל (עורכים), </w:t>
      </w:r>
      <w:r w:rsidRPr="00956B0F">
        <w:rPr>
          <w:rFonts w:hint="cs"/>
          <w:b/>
          <w:bCs/>
          <w:rtl/>
        </w:rPr>
        <w:t>רווחה בעקבות המלחמה</w:t>
      </w:r>
      <w:r w:rsidRPr="00956B0F">
        <w:rPr>
          <w:rFonts w:hint="cs"/>
          <w:rtl/>
        </w:rPr>
        <w:t xml:space="preserve"> (2024), עמ' 99 - 107</w:t>
      </w:r>
      <w:r w:rsidRPr="00956B0F">
        <w:rPr>
          <w:rStyle w:val="Hyperlink"/>
          <w:rFonts w:hint="cs"/>
          <w:color w:val="auto"/>
          <w:u w:val="none"/>
          <w:rtl/>
        </w:rPr>
        <w:t>.</w:t>
      </w:r>
    </w:p>
  </w:footnote>
  <w:footnote w:id="413">
    <w:p w14:paraId="1A982E7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השירות ניתן באמצעות חברות הרשמה לסיוע.</w:t>
      </w:r>
    </w:p>
  </w:footnote>
  <w:footnote w:id="414">
    <w:p w14:paraId="5B3AC8B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לפי </w:t>
      </w:r>
      <w:r w:rsidRPr="00956B0F">
        <w:rPr>
          <w:rtl/>
        </w:rPr>
        <w:t>סעיף 2(א)(10) לתקנות ההסדרים במשק המדינה (הנחה מארנונה), התשנ"ג-</w:t>
      </w:r>
      <w:r w:rsidRPr="00956B0F">
        <w:rPr>
          <w:rFonts w:hint="cs"/>
          <w:rtl/>
        </w:rPr>
        <w:t>1993</w:t>
      </w:r>
      <w:r w:rsidRPr="00956B0F">
        <w:rPr>
          <w:rStyle w:val="Hyperlink"/>
          <w:rFonts w:hint="cs"/>
          <w:color w:val="auto"/>
          <w:u w:val="none"/>
          <w:rtl/>
        </w:rPr>
        <w:t xml:space="preserve"> (</w:t>
      </w:r>
      <w:bookmarkStart w:id="2107" w:name="_Hlk202287178"/>
      <w:r w:rsidRPr="00956B0F">
        <w:rPr>
          <w:rStyle w:val="Hyperlink"/>
          <w:color w:val="auto"/>
          <w:u w:val="none"/>
          <w:rtl/>
        </w:rPr>
        <w:t xml:space="preserve">להלן - </w:t>
      </w:r>
      <w:r w:rsidRPr="00956B0F">
        <w:rPr>
          <w:rStyle w:val="Hyperlink"/>
          <w:rFonts w:hint="eastAsia"/>
          <w:color w:val="auto"/>
          <w:u w:val="none"/>
          <w:rtl/>
        </w:rPr>
        <w:t>תקנות</w:t>
      </w:r>
      <w:r w:rsidRPr="00956B0F">
        <w:rPr>
          <w:rStyle w:val="Hyperlink"/>
          <w:color w:val="auto"/>
          <w:u w:val="none"/>
          <w:rtl/>
        </w:rPr>
        <w:t xml:space="preserve"> </w:t>
      </w:r>
      <w:r w:rsidRPr="00956B0F">
        <w:rPr>
          <w:rStyle w:val="Hyperlink"/>
          <w:rFonts w:hint="eastAsia"/>
          <w:color w:val="auto"/>
          <w:u w:val="none"/>
          <w:rtl/>
        </w:rPr>
        <w:t>ההסדרים</w:t>
      </w:r>
      <w:r w:rsidRPr="00956B0F">
        <w:rPr>
          <w:rStyle w:val="Hyperlink"/>
          <w:color w:val="auto"/>
          <w:u w:val="none"/>
          <w:rtl/>
        </w:rPr>
        <w:t xml:space="preserve"> [הנחה </w:t>
      </w:r>
      <w:r w:rsidRPr="00956B0F">
        <w:rPr>
          <w:rStyle w:val="Hyperlink"/>
          <w:rFonts w:hint="eastAsia"/>
          <w:color w:val="auto"/>
          <w:u w:val="none"/>
          <w:rtl/>
        </w:rPr>
        <w:t>מארנונה</w:t>
      </w:r>
      <w:r w:rsidRPr="00956B0F">
        <w:rPr>
          <w:rStyle w:val="Hyperlink"/>
          <w:color w:val="auto"/>
          <w:u w:val="none"/>
          <w:rtl/>
        </w:rPr>
        <w:t>]</w:t>
      </w:r>
      <w:bookmarkEnd w:id="2107"/>
      <w:r w:rsidRPr="00956B0F">
        <w:rPr>
          <w:rStyle w:val="Hyperlink"/>
          <w:color w:val="auto"/>
          <w:u w:val="none"/>
          <w:rtl/>
        </w:rPr>
        <w:t>),</w:t>
      </w:r>
      <w:r w:rsidRPr="00956B0F">
        <w:rPr>
          <w:rFonts w:hint="cs"/>
          <w:rtl/>
        </w:rPr>
        <w:t xml:space="preserve"> הזכאות להנחה בארנונה תינתן ל"הורה יחיד" </w:t>
      </w:r>
      <w:r w:rsidRPr="00956B0F">
        <w:rPr>
          <w:rtl/>
        </w:rPr>
        <w:t>כהגדרתו ב</w:t>
      </w:r>
      <w:r w:rsidRPr="00956B0F">
        <w:rPr>
          <w:rFonts w:hint="cs"/>
          <w:rtl/>
        </w:rPr>
        <w:t>חוק סיוע למשפחות שבראשן הורה עצמאי, התשנ"ב-1992 (</w:t>
      </w:r>
      <w:r w:rsidRPr="00956B0F">
        <w:rPr>
          <w:rFonts w:hint="eastAsia"/>
          <w:rtl/>
        </w:rPr>
        <w:t>בחוק</w:t>
      </w:r>
      <w:r w:rsidRPr="00956B0F">
        <w:rPr>
          <w:rtl/>
        </w:rPr>
        <w:t xml:space="preserve"> </w:t>
      </w:r>
      <w:r w:rsidRPr="00956B0F">
        <w:rPr>
          <w:rFonts w:hint="eastAsia"/>
          <w:rtl/>
        </w:rPr>
        <w:t>ההפניה</w:t>
      </w:r>
      <w:r w:rsidRPr="00956B0F">
        <w:rPr>
          <w:rtl/>
        </w:rPr>
        <w:t xml:space="preserve"> </w:t>
      </w:r>
      <w:r w:rsidRPr="00956B0F">
        <w:rPr>
          <w:rFonts w:hint="eastAsia"/>
          <w:rtl/>
        </w:rPr>
        <w:t>היא</w:t>
      </w:r>
      <w:r w:rsidRPr="00956B0F">
        <w:rPr>
          <w:rtl/>
        </w:rPr>
        <w:t xml:space="preserve"> </w:t>
      </w:r>
      <w:r w:rsidRPr="00956B0F">
        <w:rPr>
          <w:rFonts w:hint="eastAsia"/>
          <w:rtl/>
        </w:rPr>
        <w:t>להגדרה</w:t>
      </w:r>
      <w:r w:rsidRPr="00956B0F">
        <w:rPr>
          <w:rtl/>
        </w:rPr>
        <w:t xml:space="preserve"> </w:t>
      </w:r>
      <w:r w:rsidRPr="00956B0F">
        <w:rPr>
          <w:rFonts w:hint="eastAsia"/>
          <w:rtl/>
        </w:rPr>
        <w:t>שב</w:t>
      </w:r>
      <w:r w:rsidRPr="00956B0F">
        <w:rPr>
          <w:rtl/>
        </w:rPr>
        <w:t xml:space="preserve">חוק משפחות חד-הוריות, </w:t>
      </w:r>
      <w:r w:rsidRPr="00956B0F">
        <w:rPr>
          <w:rFonts w:hint="eastAsia"/>
          <w:rtl/>
        </w:rPr>
        <w:t>ה</w:t>
      </w:r>
      <w:r w:rsidRPr="00956B0F">
        <w:rPr>
          <w:rtl/>
        </w:rPr>
        <w:t xml:space="preserve">תשנ"ב-1992, אשר </w:t>
      </w:r>
      <w:r w:rsidRPr="00956B0F">
        <w:rPr>
          <w:rFonts w:hint="eastAsia"/>
          <w:rtl/>
        </w:rPr>
        <w:t>שמו</w:t>
      </w:r>
      <w:r w:rsidRPr="00956B0F">
        <w:rPr>
          <w:rtl/>
        </w:rPr>
        <w:t xml:space="preserve"> </w:t>
      </w:r>
      <w:r w:rsidRPr="00956B0F">
        <w:rPr>
          <w:rFonts w:hint="eastAsia"/>
          <w:rtl/>
        </w:rPr>
        <w:t>שונה</w:t>
      </w:r>
      <w:r w:rsidRPr="00956B0F">
        <w:rPr>
          <w:rtl/>
        </w:rPr>
        <w:t xml:space="preserve"> </w:t>
      </w:r>
      <w:r w:rsidRPr="00956B0F">
        <w:rPr>
          <w:rFonts w:hint="eastAsia"/>
          <w:rtl/>
        </w:rPr>
        <w:t>לחוק</w:t>
      </w:r>
      <w:r w:rsidRPr="00956B0F">
        <w:rPr>
          <w:rtl/>
        </w:rPr>
        <w:t xml:space="preserve"> </w:t>
      </w:r>
      <w:r w:rsidRPr="00956B0F">
        <w:rPr>
          <w:rFonts w:hint="eastAsia"/>
          <w:rtl/>
        </w:rPr>
        <w:t>סיוע</w:t>
      </w:r>
      <w:r w:rsidRPr="00956B0F">
        <w:rPr>
          <w:rtl/>
        </w:rPr>
        <w:t xml:space="preserve"> </w:t>
      </w:r>
      <w:r w:rsidRPr="00956B0F">
        <w:rPr>
          <w:rFonts w:hint="eastAsia"/>
          <w:rtl/>
        </w:rPr>
        <w:t>למשפחות</w:t>
      </w:r>
      <w:r w:rsidRPr="00956B0F">
        <w:rPr>
          <w:rtl/>
        </w:rPr>
        <w:t xml:space="preserve"> </w:t>
      </w:r>
      <w:r w:rsidRPr="00956B0F">
        <w:rPr>
          <w:rFonts w:hint="eastAsia"/>
          <w:rtl/>
        </w:rPr>
        <w:t>שבראשן</w:t>
      </w:r>
      <w:r w:rsidRPr="00956B0F">
        <w:rPr>
          <w:rtl/>
        </w:rPr>
        <w:t xml:space="preserve"> </w:t>
      </w:r>
      <w:r w:rsidRPr="00956B0F">
        <w:rPr>
          <w:rFonts w:hint="eastAsia"/>
          <w:rtl/>
        </w:rPr>
        <w:t>הורה</w:t>
      </w:r>
      <w:r w:rsidRPr="00956B0F">
        <w:rPr>
          <w:rtl/>
        </w:rPr>
        <w:t xml:space="preserve"> </w:t>
      </w:r>
      <w:r w:rsidRPr="00956B0F">
        <w:rPr>
          <w:rFonts w:hint="eastAsia"/>
          <w:rtl/>
        </w:rPr>
        <w:t>עצמאי</w:t>
      </w:r>
      <w:r w:rsidRPr="00956B0F">
        <w:rPr>
          <w:rFonts w:hint="cs"/>
          <w:rtl/>
        </w:rPr>
        <w:t xml:space="preserve">). הגדרתו של "הורה יחיד" לפי סעיף 1(2)(ג) לחוק זה כוללת גם נשים יוצאות מקלט. </w:t>
      </w:r>
      <w:r w:rsidRPr="00956B0F">
        <w:rPr>
          <w:rFonts w:hint="eastAsia"/>
          <w:rtl/>
        </w:rPr>
        <w:t>ההנחה</w:t>
      </w:r>
      <w:r w:rsidRPr="00956B0F">
        <w:rPr>
          <w:rtl/>
        </w:rPr>
        <w:t xml:space="preserve"> </w:t>
      </w:r>
      <w:r w:rsidRPr="00956B0F">
        <w:rPr>
          <w:rFonts w:hint="eastAsia"/>
          <w:rtl/>
        </w:rPr>
        <w:t>תינתן</w:t>
      </w:r>
      <w:r w:rsidRPr="00956B0F">
        <w:rPr>
          <w:rtl/>
        </w:rPr>
        <w:t xml:space="preserve"> </w:t>
      </w:r>
      <w:r w:rsidRPr="00956B0F">
        <w:rPr>
          <w:rFonts w:hint="eastAsia"/>
          <w:rtl/>
        </w:rPr>
        <w:t>עד</w:t>
      </w:r>
      <w:r w:rsidRPr="00956B0F">
        <w:rPr>
          <w:rtl/>
        </w:rPr>
        <w:t xml:space="preserve"> </w:t>
      </w:r>
      <w:r w:rsidRPr="00956B0F">
        <w:rPr>
          <w:rFonts w:hint="eastAsia"/>
          <w:rtl/>
        </w:rPr>
        <w:t>לגובה</w:t>
      </w:r>
      <w:r w:rsidRPr="00956B0F">
        <w:rPr>
          <w:rtl/>
        </w:rPr>
        <w:t xml:space="preserve"> </w:t>
      </w:r>
      <w:r w:rsidRPr="00956B0F">
        <w:rPr>
          <w:rFonts w:hint="eastAsia"/>
          <w:rtl/>
        </w:rPr>
        <w:t>של</w:t>
      </w:r>
      <w:r w:rsidRPr="00956B0F">
        <w:rPr>
          <w:rtl/>
        </w:rPr>
        <w:t xml:space="preserve"> 20% </w:t>
      </w:r>
      <w:r w:rsidRPr="00956B0F">
        <w:rPr>
          <w:rFonts w:hint="eastAsia"/>
          <w:rtl/>
        </w:rPr>
        <w:t>מתשלום</w:t>
      </w:r>
      <w:r w:rsidRPr="00956B0F">
        <w:rPr>
          <w:rtl/>
        </w:rPr>
        <w:t xml:space="preserve"> </w:t>
      </w:r>
      <w:r w:rsidRPr="00956B0F">
        <w:rPr>
          <w:rFonts w:hint="eastAsia"/>
          <w:rtl/>
        </w:rPr>
        <w:t>הארנונה</w:t>
      </w:r>
      <w:r w:rsidRPr="00956B0F">
        <w:rPr>
          <w:rtl/>
        </w:rPr>
        <w:t xml:space="preserve">. </w:t>
      </w:r>
      <w:r w:rsidRPr="00956B0F">
        <w:rPr>
          <w:rFonts w:hint="eastAsia"/>
          <w:rtl/>
        </w:rPr>
        <w:t>לפי</w:t>
      </w:r>
      <w:r w:rsidRPr="00956B0F">
        <w:rPr>
          <w:rtl/>
        </w:rPr>
        <w:t xml:space="preserve"> </w:t>
      </w:r>
      <w:r w:rsidRPr="00956B0F">
        <w:rPr>
          <w:rFonts w:hint="eastAsia"/>
          <w:rtl/>
        </w:rPr>
        <w:t>תקנה</w:t>
      </w:r>
      <w:r w:rsidRPr="00956B0F">
        <w:rPr>
          <w:rtl/>
        </w:rPr>
        <w:t xml:space="preserve"> 2א </w:t>
      </w:r>
      <w:r w:rsidRPr="00956B0F">
        <w:rPr>
          <w:rFonts w:hint="eastAsia"/>
          <w:rtl/>
        </w:rPr>
        <w:t>לתקנות</w:t>
      </w:r>
      <w:r w:rsidRPr="00956B0F">
        <w:rPr>
          <w:rtl/>
        </w:rPr>
        <w:t xml:space="preserve"> </w:t>
      </w:r>
      <w:r w:rsidRPr="00956B0F">
        <w:rPr>
          <w:rFonts w:hint="eastAsia"/>
          <w:rtl/>
        </w:rPr>
        <w:t>ההסדרים</w:t>
      </w:r>
      <w:r w:rsidRPr="00956B0F">
        <w:rPr>
          <w:rtl/>
        </w:rPr>
        <w:t xml:space="preserve"> (הנחה </w:t>
      </w:r>
      <w:r w:rsidRPr="00956B0F">
        <w:rPr>
          <w:rFonts w:hint="eastAsia"/>
          <w:rtl/>
        </w:rPr>
        <w:t>מארנונה</w:t>
      </w:r>
      <w:r w:rsidRPr="00956B0F">
        <w:rPr>
          <w:rtl/>
        </w:rPr>
        <w:t xml:space="preserve">), </w:t>
      </w:r>
      <w:r w:rsidRPr="00956B0F">
        <w:rPr>
          <w:rFonts w:hint="eastAsia"/>
          <w:rtl/>
        </w:rPr>
        <w:t>שעה</w:t>
      </w:r>
      <w:r w:rsidRPr="00956B0F">
        <w:rPr>
          <w:rtl/>
        </w:rPr>
        <w:t xml:space="preserve"> </w:t>
      </w:r>
      <w:r w:rsidRPr="00956B0F">
        <w:rPr>
          <w:rFonts w:hint="eastAsia"/>
          <w:rtl/>
        </w:rPr>
        <w:t>שמועצת</w:t>
      </w:r>
      <w:r w:rsidRPr="00956B0F">
        <w:rPr>
          <w:rtl/>
        </w:rPr>
        <w:t xml:space="preserve"> </w:t>
      </w:r>
      <w:r w:rsidRPr="00956B0F">
        <w:rPr>
          <w:rFonts w:hint="eastAsia"/>
          <w:rtl/>
        </w:rPr>
        <w:t>הרשות</w:t>
      </w:r>
      <w:r w:rsidRPr="00956B0F">
        <w:rPr>
          <w:rtl/>
        </w:rPr>
        <w:t xml:space="preserve"> </w:t>
      </w:r>
      <w:r w:rsidRPr="00956B0F">
        <w:rPr>
          <w:rFonts w:hint="eastAsia"/>
          <w:rtl/>
        </w:rPr>
        <w:t>המקומית</w:t>
      </w:r>
      <w:r w:rsidRPr="00956B0F">
        <w:rPr>
          <w:rtl/>
        </w:rPr>
        <w:t xml:space="preserve"> </w:t>
      </w:r>
      <w:r w:rsidRPr="00956B0F">
        <w:rPr>
          <w:rFonts w:hint="eastAsia"/>
          <w:rtl/>
        </w:rPr>
        <w:t>החליטה</w:t>
      </w:r>
      <w:r w:rsidRPr="00956B0F">
        <w:rPr>
          <w:rtl/>
        </w:rPr>
        <w:t xml:space="preserve"> </w:t>
      </w:r>
      <w:r w:rsidRPr="00956B0F">
        <w:rPr>
          <w:rFonts w:hint="eastAsia"/>
          <w:rtl/>
        </w:rPr>
        <w:t>על</w:t>
      </w:r>
      <w:r w:rsidRPr="00956B0F">
        <w:rPr>
          <w:rtl/>
        </w:rPr>
        <w:t xml:space="preserve"> </w:t>
      </w:r>
      <w:r w:rsidRPr="00956B0F">
        <w:rPr>
          <w:rFonts w:hint="eastAsia"/>
          <w:rtl/>
        </w:rPr>
        <w:t>מתן</w:t>
      </w:r>
      <w:r w:rsidRPr="00956B0F">
        <w:rPr>
          <w:rtl/>
        </w:rPr>
        <w:t xml:space="preserve"> </w:t>
      </w:r>
      <w:r w:rsidRPr="00956B0F">
        <w:rPr>
          <w:rFonts w:hint="eastAsia"/>
          <w:rtl/>
        </w:rPr>
        <w:t>הנחה</w:t>
      </w:r>
      <w:r w:rsidRPr="00956B0F">
        <w:rPr>
          <w:rtl/>
        </w:rPr>
        <w:t xml:space="preserve"> </w:t>
      </w:r>
      <w:r w:rsidRPr="00956B0F">
        <w:rPr>
          <w:rFonts w:hint="eastAsia"/>
          <w:rtl/>
        </w:rPr>
        <w:t>כאמור</w:t>
      </w:r>
      <w:r w:rsidRPr="00956B0F">
        <w:rPr>
          <w:rtl/>
        </w:rPr>
        <w:t xml:space="preserve">, </w:t>
      </w:r>
      <w:r w:rsidRPr="00956B0F">
        <w:rPr>
          <w:rFonts w:hint="eastAsia"/>
          <w:rtl/>
        </w:rPr>
        <w:t>נתונה</w:t>
      </w:r>
      <w:r w:rsidRPr="00956B0F">
        <w:rPr>
          <w:rtl/>
        </w:rPr>
        <w:t xml:space="preserve"> </w:t>
      </w:r>
      <w:r w:rsidRPr="00956B0F">
        <w:rPr>
          <w:rFonts w:hint="eastAsia"/>
          <w:rtl/>
        </w:rPr>
        <w:t>לה</w:t>
      </w:r>
      <w:r w:rsidRPr="00956B0F">
        <w:rPr>
          <w:rtl/>
        </w:rPr>
        <w:t xml:space="preserve"> </w:t>
      </w:r>
      <w:r w:rsidRPr="00956B0F">
        <w:rPr>
          <w:rFonts w:hint="eastAsia"/>
          <w:rtl/>
        </w:rPr>
        <w:t>בדין</w:t>
      </w:r>
      <w:r w:rsidRPr="00956B0F">
        <w:rPr>
          <w:rtl/>
        </w:rPr>
        <w:t xml:space="preserve"> </w:t>
      </w:r>
      <w:r w:rsidRPr="00956B0F">
        <w:rPr>
          <w:rFonts w:hint="eastAsia"/>
          <w:rtl/>
        </w:rPr>
        <w:t>הסמכות</w:t>
      </w:r>
      <w:r w:rsidRPr="00956B0F">
        <w:rPr>
          <w:rtl/>
        </w:rPr>
        <w:t xml:space="preserve"> </w:t>
      </w:r>
      <w:r w:rsidRPr="00956B0F">
        <w:rPr>
          <w:rFonts w:hint="eastAsia"/>
          <w:rtl/>
        </w:rPr>
        <w:t>להחליט</w:t>
      </w:r>
      <w:r w:rsidRPr="00956B0F">
        <w:rPr>
          <w:rtl/>
        </w:rPr>
        <w:t xml:space="preserve"> </w:t>
      </w:r>
      <w:r w:rsidRPr="00956B0F">
        <w:rPr>
          <w:rFonts w:hint="eastAsia"/>
          <w:rtl/>
        </w:rPr>
        <w:t>גם</w:t>
      </w:r>
      <w:r w:rsidRPr="00956B0F">
        <w:rPr>
          <w:rtl/>
        </w:rPr>
        <w:t xml:space="preserve"> </w:t>
      </w:r>
      <w:r w:rsidRPr="00956B0F">
        <w:rPr>
          <w:rFonts w:hint="eastAsia"/>
          <w:rtl/>
        </w:rPr>
        <w:t>על</w:t>
      </w:r>
      <w:r w:rsidRPr="00956B0F">
        <w:rPr>
          <w:rtl/>
        </w:rPr>
        <w:t xml:space="preserve"> </w:t>
      </w:r>
      <w:r w:rsidRPr="00956B0F">
        <w:rPr>
          <w:rFonts w:hint="eastAsia"/>
          <w:rtl/>
        </w:rPr>
        <w:t>תנאים</w:t>
      </w:r>
      <w:r w:rsidRPr="00956B0F">
        <w:rPr>
          <w:rtl/>
        </w:rPr>
        <w:t xml:space="preserve"> </w:t>
      </w:r>
      <w:r w:rsidRPr="00956B0F">
        <w:rPr>
          <w:rFonts w:hint="eastAsia"/>
          <w:rtl/>
        </w:rPr>
        <w:t>ומבחני</w:t>
      </w:r>
      <w:r w:rsidRPr="00956B0F">
        <w:rPr>
          <w:rtl/>
        </w:rPr>
        <w:t xml:space="preserve"> </w:t>
      </w:r>
      <w:r w:rsidRPr="00956B0F">
        <w:rPr>
          <w:rFonts w:hint="eastAsia"/>
          <w:rtl/>
        </w:rPr>
        <w:t>משנה</w:t>
      </w:r>
      <w:r w:rsidRPr="00956B0F">
        <w:rPr>
          <w:rtl/>
        </w:rPr>
        <w:t xml:space="preserve"> </w:t>
      </w:r>
      <w:r w:rsidRPr="00956B0F">
        <w:rPr>
          <w:rFonts w:hint="eastAsia"/>
          <w:rtl/>
        </w:rPr>
        <w:t>לקביעת</w:t>
      </w:r>
      <w:r w:rsidRPr="00956B0F">
        <w:rPr>
          <w:rtl/>
        </w:rPr>
        <w:t xml:space="preserve"> </w:t>
      </w:r>
      <w:r w:rsidRPr="00956B0F">
        <w:rPr>
          <w:rFonts w:hint="eastAsia"/>
          <w:rtl/>
        </w:rPr>
        <w:t>הזכאות</w:t>
      </w:r>
      <w:r w:rsidRPr="00956B0F">
        <w:rPr>
          <w:rtl/>
        </w:rPr>
        <w:t xml:space="preserve"> </w:t>
      </w:r>
      <w:r w:rsidRPr="00956B0F">
        <w:rPr>
          <w:rFonts w:hint="eastAsia"/>
          <w:rtl/>
        </w:rPr>
        <w:t>להנחה</w:t>
      </w:r>
      <w:r w:rsidRPr="00956B0F">
        <w:rPr>
          <w:rtl/>
        </w:rPr>
        <w:t xml:space="preserve"> </w:t>
      </w:r>
      <w:r w:rsidRPr="00956B0F">
        <w:rPr>
          <w:rFonts w:hint="eastAsia"/>
          <w:rtl/>
        </w:rPr>
        <w:t>בהתחשב</w:t>
      </w:r>
      <w:r w:rsidRPr="00956B0F">
        <w:rPr>
          <w:rtl/>
        </w:rPr>
        <w:t xml:space="preserve"> </w:t>
      </w:r>
      <w:r w:rsidRPr="00956B0F">
        <w:rPr>
          <w:rFonts w:hint="eastAsia"/>
          <w:rtl/>
        </w:rPr>
        <w:t>במצבו</w:t>
      </w:r>
      <w:r w:rsidRPr="00956B0F">
        <w:rPr>
          <w:rtl/>
        </w:rPr>
        <w:t xml:space="preserve"> </w:t>
      </w:r>
      <w:r w:rsidRPr="00956B0F">
        <w:rPr>
          <w:rFonts w:hint="eastAsia"/>
          <w:rtl/>
        </w:rPr>
        <w:t>החומרי</w:t>
      </w:r>
      <w:r w:rsidRPr="00956B0F">
        <w:rPr>
          <w:rtl/>
        </w:rPr>
        <w:t xml:space="preserve"> </w:t>
      </w:r>
      <w:r w:rsidRPr="00956B0F">
        <w:rPr>
          <w:rFonts w:hint="eastAsia"/>
          <w:rtl/>
        </w:rPr>
        <w:t>של</w:t>
      </w:r>
      <w:r w:rsidRPr="00956B0F">
        <w:rPr>
          <w:rtl/>
        </w:rPr>
        <w:t xml:space="preserve"> </w:t>
      </w:r>
      <w:r w:rsidRPr="00956B0F">
        <w:rPr>
          <w:rFonts w:hint="eastAsia"/>
          <w:rtl/>
        </w:rPr>
        <w:t>המחזיק</w:t>
      </w:r>
      <w:r w:rsidRPr="00956B0F">
        <w:rPr>
          <w:rtl/>
        </w:rPr>
        <w:t xml:space="preserve"> </w:t>
      </w:r>
      <w:r w:rsidRPr="00956B0F">
        <w:rPr>
          <w:rFonts w:hint="eastAsia"/>
          <w:rtl/>
        </w:rPr>
        <w:t>בנכס</w:t>
      </w:r>
      <w:r w:rsidRPr="00956B0F">
        <w:rPr>
          <w:rtl/>
        </w:rPr>
        <w:t xml:space="preserve">. על ההבחנה בין הנחות חובה המעוגנות בדין ובין הנחות שאין </w:t>
      </w:r>
      <w:r w:rsidRPr="00956B0F">
        <w:rPr>
          <w:rFonts w:hint="cs"/>
          <w:rtl/>
        </w:rPr>
        <w:t>ח</w:t>
      </w:r>
      <w:r w:rsidRPr="00956B0F">
        <w:rPr>
          <w:rtl/>
        </w:rPr>
        <w:t xml:space="preserve">ובה על פי דין לתיתן ראו: </w:t>
      </w:r>
      <w:r w:rsidRPr="00956B0F">
        <w:rPr>
          <w:rFonts w:hint="eastAsia"/>
          <w:rtl/>
        </w:rPr>
        <w:t>מבקר</w:t>
      </w:r>
      <w:r w:rsidRPr="00956B0F">
        <w:rPr>
          <w:rtl/>
        </w:rPr>
        <w:t xml:space="preserve"> המדינה, </w:t>
      </w:r>
      <w:r w:rsidRPr="00956B0F">
        <w:rPr>
          <w:rFonts w:hint="eastAsia"/>
          <w:b/>
          <w:bCs/>
          <w:rtl/>
        </w:rPr>
        <w:t>דוח</w:t>
      </w:r>
      <w:r w:rsidRPr="00956B0F">
        <w:rPr>
          <w:b/>
          <w:bCs/>
          <w:rtl/>
        </w:rPr>
        <w:t xml:space="preserve"> </w:t>
      </w:r>
      <w:r w:rsidRPr="00956B0F">
        <w:rPr>
          <w:rFonts w:hint="eastAsia"/>
          <w:b/>
          <w:bCs/>
          <w:rtl/>
        </w:rPr>
        <w:t>על</w:t>
      </w:r>
      <w:r w:rsidRPr="00956B0F">
        <w:rPr>
          <w:b/>
          <w:bCs/>
          <w:rtl/>
        </w:rPr>
        <w:t xml:space="preserve"> </w:t>
      </w:r>
      <w:r w:rsidRPr="00956B0F">
        <w:rPr>
          <w:rFonts w:hint="eastAsia"/>
          <w:b/>
          <w:bCs/>
          <w:rtl/>
        </w:rPr>
        <w:t>הביקורת</w:t>
      </w:r>
      <w:r w:rsidRPr="00956B0F">
        <w:rPr>
          <w:b/>
          <w:bCs/>
          <w:rtl/>
        </w:rPr>
        <w:t xml:space="preserve"> </w:t>
      </w:r>
      <w:r w:rsidRPr="00956B0F">
        <w:rPr>
          <w:rFonts w:hint="eastAsia"/>
          <w:b/>
          <w:bCs/>
          <w:rtl/>
        </w:rPr>
        <w:t>בשלטון</w:t>
      </w:r>
      <w:r w:rsidRPr="00956B0F">
        <w:rPr>
          <w:b/>
          <w:bCs/>
          <w:rtl/>
        </w:rPr>
        <w:t xml:space="preserve"> </w:t>
      </w:r>
      <w:r w:rsidRPr="00956B0F">
        <w:rPr>
          <w:rFonts w:hint="eastAsia"/>
          <w:b/>
          <w:bCs/>
          <w:rtl/>
        </w:rPr>
        <w:t>המקומי</w:t>
      </w:r>
      <w:r w:rsidRPr="00956B0F">
        <w:rPr>
          <w:rtl/>
        </w:rPr>
        <w:t xml:space="preserve"> (2023), "ארנונה ברשויות המקומיות - אסדרה, הטלה ומתן הנחות", עמ' 307.</w:t>
      </w:r>
    </w:p>
  </w:footnote>
  <w:footnote w:id="415">
    <w:p w14:paraId="7932231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כמה מבין הרשויות המקומיות שנבדקו ציינו בשאלון שאינן מעניקות הנחה בארנונה, אך מבדיקת צו הארנונה שפרסמו באתר המרשתת שלהן לשנת 2024 עלה כי הן מעניקות את ההנחה.</w:t>
      </w:r>
    </w:p>
  </w:footnote>
  <w:footnote w:id="416">
    <w:p w14:paraId="1379F03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שתי רשויות מקומיות נוספות אומנם לא פרסמו את המידע במרשתת, אך בטופס הגשת הבקשה להנחה בתשלום הארנונה הופיעה התייחסות לזכאות להנחה בנסיבות אלו (עיריית חדרה והמועצה האזורית מטה יהודה).</w:t>
      </w:r>
    </w:p>
  </w:footnote>
  <w:footnote w:id="417">
    <w:p w14:paraId="48006DE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דוח סוציאלי הוא מסמך הנכתב על ידי עובד סוציאלי ומתאר את מצבו של פרט או משפחה לצורך קבלת סיוע או שירותים מגופים ציבוריים שונים.</w:t>
      </w:r>
    </w:p>
  </w:footnote>
  <w:footnote w:id="418">
    <w:p w14:paraId="53860D0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סעיפים 1.2 ו-8.1 להוראת תע"ס 3.37. כך לדוגמה ציין בית המשפט העליון כי "</w:t>
      </w:r>
      <w:r w:rsidRPr="00956B0F">
        <w:rPr>
          <w:rtl/>
        </w:rPr>
        <w:t>ניצול תקופת המעצר לצורך הליך שיקומי ראויה ורצויה לא רק מבחינת הנאשם, המבקש לצאת ממעגל העבריינות ולזכות בהקלה בעונש, אלא גם מבחינת האינטרס הציבורי, אשר בראש מעיניו החזרת עבריינים למוטב ושילובם בחברה הנורמטיבית, ומבחינת בני משפחתו וחוג מכריו, המעוניינים בקשר תקין ונורמטיבי עימו</w:t>
      </w:r>
      <w:r w:rsidRPr="00956B0F">
        <w:rPr>
          <w:rFonts w:hint="cs"/>
          <w:rtl/>
        </w:rPr>
        <w:t xml:space="preserve">". ראו: </w:t>
      </w:r>
      <w:r w:rsidRPr="00956B0F">
        <w:rPr>
          <w:rtl/>
        </w:rPr>
        <w:t>בש</w:t>
      </w:r>
      <w:r w:rsidRPr="00956B0F">
        <w:rPr>
          <w:rFonts w:hint="cs"/>
          <w:rtl/>
        </w:rPr>
        <w:t>"</w:t>
      </w:r>
      <w:r w:rsidRPr="00956B0F">
        <w:rPr>
          <w:rtl/>
        </w:rPr>
        <w:t xml:space="preserve">פ 1878/23 </w:t>
      </w:r>
      <w:r w:rsidRPr="00956B0F">
        <w:rPr>
          <w:b/>
          <w:bCs/>
          <w:rtl/>
        </w:rPr>
        <w:t>עידן אברהם נ' מדינת ישראל</w:t>
      </w:r>
      <w:r w:rsidRPr="00956B0F">
        <w:rPr>
          <w:rFonts w:hint="cs"/>
          <w:rtl/>
        </w:rPr>
        <w:t>, פס' 7 לפסק הדין (פורסם במאגר ממוחשב, 20.3.23).</w:t>
      </w:r>
    </w:p>
  </w:footnote>
  <w:footnote w:id="419">
    <w:p w14:paraId="58AF20B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ועדת בן-שלום (1998), עמ' 9.</w:t>
      </w:r>
    </w:p>
  </w:footnote>
  <w:footnote w:id="420">
    <w:p w14:paraId="5186A50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2א לחוק למניעת אלימות במשפחה.</w:t>
      </w:r>
    </w:p>
  </w:footnote>
  <w:footnote w:id="421">
    <w:p w14:paraId="3576FA1B"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פרוטוקול מס' 186 של הוועדה לקידום מעמד האישה בכנסת בנושא "</w:t>
      </w:r>
      <w:r w:rsidRPr="00956B0F">
        <w:rPr>
          <w:rFonts w:hint="eastAsia"/>
          <w:rtl/>
        </w:rPr>
        <w:t>כישלון</w:t>
      </w:r>
      <w:r w:rsidRPr="00956B0F">
        <w:rPr>
          <w:rtl/>
        </w:rPr>
        <w:t xml:space="preserve"> </w:t>
      </w:r>
      <w:r w:rsidRPr="00956B0F">
        <w:rPr>
          <w:rFonts w:hint="eastAsia"/>
          <w:rtl/>
        </w:rPr>
        <w:t>המדינה</w:t>
      </w:r>
      <w:r w:rsidRPr="00956B0F">
        <w:rPr>
          <w:rtl/>
        </w:rPr>
        <w:t xml:space="preserve"> </w:t>
      </w:r>
      <w:r w:rsidRPr="00956B0F">
        <w:rPr>
          <w:rFonts w:hint="eastAsia"/>
          <w:rtl/>
        </w:rPr>
        <w:t>בטיפול</w:t>
      </w:r>
      <w:r w:rsidRPr="00956B0F">
        <w:rPr>
          <w:rtl/>
        </w:rPr>
        <w:t xml:space="preserve"> </w:t>
      </w:r>
      <w:r w:rsidRPr="00956B0F">
        <w:rPr>
          <w:rFonts w:hint="eastAsia"/>
          <w:rtl/>
        </w:rPr>
        <w:t>בגברים</w:t>
      </w:r>
      <w:r w:rsidRPr="00956B0F">
        <w:rPr>
          <w:rtl/>
        </w:rPr>
        <w:t xml:space="preserve"> </w:t>
      </w:r>
      <w:r w:rsidRPr="00956B0F">
        <w:rPr>
          <w:rFonts w:hint="eastAsia"/>
          <w:rtl/>
        </w:rPr>
        <w:t>אלימים</w:t>
      </w:r>
      <w:r w:rsidRPr="00956B0F">
        <w:rPr>
          <w:rFonts w:hint="cs"/>
          <w:rtl/>
        </w:rPr>
        <w:t xml:space="preserve">" (24.7.17), עמ' 17 - 18. יצוין כי עוד קודם לקביעת הסמכות להפנות את האדם שכנגדו הוצא צו הגנה להליך טיפולי בקהילה, המליצה ועדת קרפ בשנת 1989 לקבוע את נושא האלימות במשפחה, על כל היבטיו, כנושא קבע להשתלמות שופטים. ראו: דין וחשבון ועדת בן-שלום </w:t>
      </w:r>
      <w:r w:rsidRPr="00956B0F">
        <w:rPr>
          <w:rtl/>
        </w:rPr>
        <w:t>(1998)</w:t>
      </w:r>
      <w:r w:rsidRPr="00956B0F">
        <w:rPr>
          <w:rFonts w:hint="cs"/>
          <w:rtl/>
        </w:rPr>
        <w:t>, עמ' 12.</w:t>
      </w:r>
    </w:p>
  </w:footnote>
  <w:footnote w:id="422">
    <w:p w14:paraId="3065A67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מספרם הממוצע של השופטים שכיהנו בכל שנה בשנים 2015 - 2019.</w:t>
      </w:r>
    </w:p>
  </w:footnote>
  <w:footnote w:id="423">
    <w:p w14:paraId="46B0EA9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 xml:space="preserve">בשנת 2015 </w:t>
      </w:r>
      <w:r w:rsidRPr="00956B0F">
        <w:rPr>
          <w:rFonts w:hint="cs"/>
          <w:rtl/>
        </w:rPr>
        <w:t>התקיימו</w:t>
      </w:r>
      <w:r w:rsidRPr="00956B0F">
        <w:rPr>
          <w:rtl/>
        </w:rPr>
        <w:t xml:space="preserve"> שלושה ימי עיון בנושא אלימות במשפחה </w:t>
      </w:r>
      <w:r w:rsidRPr="00956B0F">
        <w:rPr>
          <w:rFonts w:hint="cs"/>
          <w:rtl/>
        </w:rPr>
        <w:t>ובהם</w:t>
      </w:r>
      <w:r w:rsidRPr="00956B0F">
        <w:rPr>
          <w:rtl/>
        </w:rPr>
        <w:t xml:space="preserve"> השתתפו 45 שופטים</w:t>
      </w:r>
      <w:r w:rsidRPr="00956B0F">
        <w:rPr>
          <w:rFonts w:hint="cs"/>
          <w:rtl/>
        </w:rPr>
        <w:t>;</w:t>
      </w:r>
      <w:r w:rsidRPr="00956B0F">
        <w:rPr>
          <w:rtl/>
        </w:rPr>
        <w:t xml:space="preserve"> בשנת 2016 </w:t>
      </w:r>
      <w:r w:rsidRPr="00956B0F">
        <w:rPr>
          <w:rFonts w:hint="cs"/>
          <w:rtl/>
        </w:rPr>
        <w:t>התקיימו</w:t>
      </w:r>
      <w:r w:rsidRPr="00956B0F">
        <w:rPr>
          <w:rtl/>
        </w:rPr>
        <w:t xml:space="preserve"> שלושה ימי עיון בנושא אלימות נגד נשים במשפחה והשתתפו בהם 20 שופטים</w:t>
      </w:r>
      <w:r w:rsidRPr="00956B0F">
        <w:rPr>
          <w:rFonts w:hint="cs"/>
          <w:rtl/>
        </w:rPr>
        <w:t>;</w:t>
      </w:r>
      <w:r w:rsidRPr="00956B0F">
        <w:t xml:space="preserve"> </w:t>
      </w:r>
      <w:r w:rsidRPr="00956B0F">
        <w:rPr>
          <w:rtl/>
        </w:rPr>
        <w:t xml:space="preserve">בשנים </w:t>
      </w:r>
      <w:r w:rsidRPr="00956B0F">
        <w:rPr>
          <w:rFonts w:hint="cs"/>
          <w:rtl/>
        </w:rPr>
        <w:t>2017 ו-2018</w:t>
      </w:r>
      <w:r w:rsidRPr="00956B0F">
        <w:rPr>
          <w:rtl/>
        </w:rPr>
        <w:t xml:space="preserve"> לא </w:t>
      </w:r>
      <w:r w:rsidRPr="00956B0F">
        <w:rPr>
          <w:rFonts w:hint="cs"/>
          <w:rtl/>
        </w:rPr>
        <w:t>התקיימו</w:t>
      </w:r>
      <w:r w:rsidRPr="00956B0F">
        <w:rPr>
          <w:rtl/>
        </w:rPr>
        <w:t xml:space="preserve"> השתלמויות </w:t>
      </w:r>
      <w:r w:rsidRPr="00956B0F">
        <w:rPr>
          <w:rFonts w:hint="cs"/>
          <w:rtl/>
        </w:rPr>
        <w:t>בנושא</w:t>
      </w:r>
      <w:r w:rsidRPr="00956B0F">
        <w:rPr>
          <w:rtl/>
        </w:rPr>
        <w:t xml:space="preserve"> זה כלל</w:t>
      </w:r>
      <w:r w:rsidRPr="00956B0F">
        <w:rPr>
          <w:rFonts w:hint="cs"/>
          <w:rtl/>
        </w:rPr>
        <w:t>;</w:t>
      </w:r>
      <w:r w:rsidRPr="00956B0F">
        <w:rPr>
          <w:rtl/>
        </w:rPr>
        <w:t xml:space="preserve"> ובשנת 2019 </w:t>
      </w:r>
      <w:r w:rsidRPr="00956B0F">
        <w:rPr>
          <w:rFonts w:hint="cs"/>
          <w:rtl/>
        </w:rPr>
        <w:t>התקיים</w:t>
      </w:r>
      <w:r w:rsidRPr="00956B0F">
        <w:rPr>
          <w:rtl/>
        </w:rPr>
        <w:t xml:space="preserve"> יום עיון אחד בנושא אלימות במשפחה </w:t>
      </w:r>
      <w:r w:rsidRPr="00956B0F">
        <w:rPr>
          <w:rFonts w:hint="cs"/>
          <w:rtl/>
        </w:rPr>
        <w:t>ו</w:t>
      </w:r>
      <w:r w:rsidRPr="00956B0F">
        <w:rPr>
          <w:rtl/>
        </w:rPr>
        <w:t>בו השתתפו 34 שופטים. בשנת 2020</w:t>
      </w:r>
      <w:r w:rsidRPr="00956B0F">
        <w:rPr>
          <w:rFonts w:hint="cs"/>
          <w:rtl/>
        </w:rPr>
        <w:t>,</w:t>
      </w:r>
      <w:r w:rsidRPr="00956B0F">
        <w:rPr>
          <w:rtl/>
        </w:rPr>
        <w:t xml:space="preserve"> בעקבות משבר הקורונה</w:t>
      </w:r>
      <w:r w:rsidRPr="00956B0F">
        <w:rPr>
          <w:rFonts w:hint="cs"/>
          <w:rtl/>
        </w:rPr>
        <w:t>,</w:t>
      </w:r>
      <w:r w:rsidRPr="00956B0F">
        <w:rPr>
          <w:rtl/>
        </w:rPr>
        <w:t xml:space="preserve"> בוטלו מרבית ההשתלמויות</w:t>
      </w:r>
      <w:r w:rsidRPr="00956B0F">
        <w:rPr>
          <w:rFonts w:hint="cs"/>
          <w:rtl/>
        </w:rPr>
        <w:t>,</w:t>
      </w:r>
      <w:r w:rsidRPr="00956B0F">
        <w:rPr>
          <w:rtl/>
        </w:rPr>
        <w:t xml:space="preserve"> </w:t>
      </w:r>
      <w:r w:rsidRPr="00956B0F">
        <w:rPr>
          <w:rFonts w:hint="cs"/>
          <w:rtl/>
        </w:rPr>
        <w:t>ובהן</w:t>
      </w:r>
      <w:r w:rsidRPr="00956B0F">
        <w:rPr>
          <w:rtl/>
        </w:rPr>
        <w:t xml:space="preserve"> יום עיון בנושא אלימות במשפחה.</w:t>
      </w:r>
    </w:p>
  </w:footnote>
  <w:footnote w:id="424">
    <w:p w14:paraId="0C24934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חוק</w:t>
      </w:r>
      <w:r w:rsidRPr="00956B0F">
        <w:rPr>
          <w:rtl/>
        </w:rPr>
        <w:t xml:space="preserve"> </w:t>
      </w:r>
      <w:r w:rsidRPr="00956B0F">
        <w:rPr>
          <w:rFonts w:hint="eastAsia"/>
          <w:rtl/>
        </w:rPr>
        <w:t>למניעת</w:t>
      </w:r>
      <w:r w:rsidRPr="00956B0F">
        <w:rPr>
          <w:rtl/>
        </w:rPr>
        <w:t xml:space="preserve"> </w:t>
      </w:r>
      <w:r w:rsidRPr="00956B0F">
        <w:rPr>
          <w:rFonts w:hint="eastAsia"/>
          <w:rtl/>
        </w:rPr>
        <w:t>אלימות</w:t>
      </w:r>
      <w:r w:rsidRPr="00956B0F">
        <w:rPr>
          <w:rtl/>
        </w:rPr>
        <w:t xml:space="preserve"> </w:t>
      </w:r>
      <w:r w:rsidRPr="00956B0F">
        <w:rPr>
          <w:rFonts w:hint="eastAsia"/>
          <w:rtl/>
        </w:rPr>
        <w:t>במשפחה</w:t>
      </w:r>
      <w:r w:rsidRPr="00956B0F">
        <w:rPr>
          <w:rtl/>
        </w:rPr>
        <w:t xml:space="preserve"> (תיקון </w:t>
      </w:r>
      <w:r w:rsidRPr="00956B0F">
        <w:rPr>
          <w:rFonts w:hint="eastAsia"/>
          <w:rtl/>
        </w:rPr>
        <w:t>מס</w:t>
      </w:r>
      <w:r w:rsidRPr="00956B0F">
        <w:rPr>
          <w:rtl/>
        </w:rPr>
        <w:t xml:space="preserve">' 18 - </w:t>
      </w:r>
      <w:r w:rsidRPr="00956B0F">
        <w:rPr>
          <w:rFonts w:hint="eastAsia"/>
          <w:rtl/>
        </w:rPr>
        <w:t>הוראת</w:t>
      </w:r>
      <w:r w:rsidRPr="00956B0F">
        <w:rPr>
          <w:rtl/>
        </w:rPr>
        <w:t xml:space="preserve"> </w:t>
      </w:r>
      <w:r w:rsidRPr="00956B0F">
        <w:rPr>
          <w:rFonts w:hint="eastAsia"/>
          <w:rtl/>
        </w:rPr>
        <w:t>שעה</w:t>
      </w:r>
      <w:r w:rsidRPr="00956B0F">
        <w:rPr>
          <w:rtl/>
        </w:rPr>
        <w:t xml:space="preserve">), </w:t>
      </w:r>
      <w:r w:rsidRPr="00956B0F">
        <w:rPr>
          <w:rFonts w:hint="eastAsia"/>
          <w:rtl/>
        </w:rPr>
        <w:t>התשפ</w:t>
      </w:r>
      <w:r w:rsidRPr="00956B0F">
        <w:rPr>
          <w:rtl/>
        </w:rPr>
        <w:t xml:space="preserve">"ב-2021, </w:t>
      </w:r>
      <w:r w:rsidRPr="00956B0F">
        <w:rPr>
          <w:rFonts w:hint="eastAsia"/>
          <w:rtl/>
        </w:rPr>
        <w:t>ספר</w:t>
      </w:r>
      <w:r w:rsidRPr="00956B0F">
        <w:rPr>
          <w:rtl/>
        </w:rPr>
        <w:t xml:space="preserve"> </w:t>
      </w:r>
      <w:r w:rsidRPr="00956B0F">
        <w:rPr>
          <w:rFonts w:hint="eastAsia"/>
          <w:rtl/>
        </w:rPr>
        <w:t>החוקים</w:t>
      </w:r>
      <w:r w:rsidRPr="00956B0F">
        <w:rPr>
          <w:rtl/>
        </w:rPr>
        <w:t xml:space="preserve"> 474</w:t>
      </w:r>
      <w:r w:rsidRPr="00956B0F">
        <w:rPr>
          <w:rFonts w:hint="cs"/>
          <w:rtl/>
        </w:rPr>
        <w:t>. ההסדר נקבע כהוראת שעה לתקופה של חמש שנים מיום התחילה (היינו, מ-15.8.22 עד ה-15.8.27) כדי לאפשר בחינה שלו בתקופת זמן מוגבלת (במתכונת של פיילוט) ובהתאם לכך לעגן אותו כהסדר קבע. ראו: פרוטוקול מס' 75 מישיבת הוועדה לקידום מעמד האישה בכנסת בנושא "</w:t>
      </w:r>
      <w:r w:rsidRPr="00956B0F">
        <w:rPr>
          <w:rtl/>
        </w:rPr>
        <w:t>הצעת חוק למניעת אלימות במשפחה (תיקון - התחייבות לקבלת טיפול), התש"ף-2020, של ח"כ עאידה תומא סלימאן</w:t>
      </w:r>
      <w:r w:rsidRPr="00956B0F">
        <w:rPr>
          <w:rFonts w:hint="cs"/>
          <w:rtl/>
        </w:rPr>
        <w:t>" מ-16.12.20.</w:t>
      </w:r>
    </w:p>
  </w:footnote>
  <w:footnote w:id="425">
    <w:p w14:paraId="7231C36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הצעת חוק למניעת אלימות במשפחה (תיקון מס' 19 - הוראת שעה) (הוראה לקבלת טיפול), התשפ"א-2020, ה"ח הכנסת - 864, ו' בטבת התשפ"א, 21.12.20, עמ' 48.</w:t>
      </w:r>
    </w:p>
  </w:footnote>
  <w:footnote w:id="426">
    <w:p w14:paraId="7A225FB8"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סעיף 2א(ד)(8) לחוק למניעת אלימות במשפחה.</w:t>
      </w:r>
    </w:p>
  </w:footnote>
  <w:footnote w:id="427">
    <w:p w14:paraId="13BF0843" w14:textId="77777777" w:rsidR="00F769CC" w:rsidRPr="00956B0F" w:rsidRDefault="00F769CC" w:rsidP="00817399">
      <w:pPr>
        <w:pStyle w:val="af7"/>
      </w:pPr>
      <w:r w:rsidRPr="00956B0F">
        <w:rPr>
          <w:rStyle w:val="af9"/>
        </w:rPr>
        <w:footnoteRef/>
      </w:r>
      <w:r w:rsidRPr="00956B0F">
        <w:rPr>
          <w:rFonts w:hint="cs"/>
          <w:rtl/>
        </w:rPr>
        <w:t xml:space="preserve"> </w:t>
      </w:r>
      <w:r w:rsidRPr="00956B0F">
        <w:rPr>
          <w:rtl/>
        </w:rPr>
        <w:tab/>
      </w:r>
      <w:r w:rsidRPr="00956B0F">
        <w:rPr>
          <w:rFonts w:hint="eastAsia"/>
          <w:rtl/>
        </w:rPr>
        <w:t>צו</w:t>
      </w:r>
      <w:r w:rsidRPr="00956B0F">
        <w:rPr>
          <w:rtl/>
        </w:rPr>
        <w:t xml:space="preserve"> למניעת אלימות </w:t>
      </w:r>
      <w:r w:rsidRPr="00956B0F">
        <w:rPr>
          <w:rFonts w:hint="eastAsia"/>
          <w:rtl/>
        </w:rPr>
        <w:t>במשפחה</w:t>
      </w:r>
      <w:r w:rsidRPr="00956B0F">
        <w:rPr>
          <w:rtl/>
        </w:rPr>
        <w:t xml:space="preserve"> (תיקון </w:t>
      </w:r>
      <w:r w:rsidRPr="00956B0F">
        <w:rPr>
          <w:rFonts w:hint="eastAsia"/>
          <w:rtl/>
        </w:rPr>
        <w:t>מס</w:t>
      </w:r>
      <w:r w:rsidRPr="00956B0F">
        <w:rPr>
          <w:rtl/>
        </w:rPr>
        <w:t xml:space="preserve">' 18 - </w:t>
      </w:r>
      <w:r w:rsidRPr="00956B0F">
        <w:rPr>
          <w:rFonts w:hint="eastAsia"/>
          <w:rtl/>
        </w:rPr>
        <w:t>הוראת</w:t>
      </w:r>
      <w:r w:rsidRPr="00956B0F">
        <w:rPr>
          <w:rtl/>
        </w:rPr>
        <w:t xml:space="preserve"> </w:t>
      </w:r>
      <w:r w:rsidRPr="00956B0F">
        <w:rPr>
          <w:rFonts w:hint="eastAsia"/>
          <w:rtl/>
        </w:rPr>
        <w:t>שעה</w:t>
      </w:r>
      <w:r w:rsidRPr="00956B0F">
        <w:rPr>
          <w:rtl/>
        </w:rPr>
        <w:t xml:space="preserve">) (דחיית </w:t>
      </w:r>
      <w:r w:rsidRPr="00956B0F">
        <w:rPr>
          <w:rFonts w:hint="eastAsia"/>
          <w:rtl/>
        </w:rPr>
        <w:t>יום</w:t>
      </w:r>
      <w:r w:rsidRPr="00956B0F">
        <w:rPr>
          <w:rtl/>
        </w:rPr>
        <w:t xml:space="preserve"> </w:t>
      </w:r>
      <w:r w:rsidRPr="00956B0F">
        <w:rPr>
          <w:rFonts w:hint="eastAsia"/>
          <w:rtl/>
        </w:rPr>
        <w:t>התחילה</w:t>
      </w:r>
      <w:r w:rsidRPr="00956B0F">
        <w:rPr>
          <w:rtl/>
        </w:rPr>
        <w:t xml:space="preserve">), </w:t>
      </w:r>
      <w:r w:rsidRPr="00956B0F">
        <w:rPr>
          <w:rFonts w:hint="eastAsia"/>
          <w:rtl/>
        </w:rPr>
        <w:t>התשפ</w:t>
      </w:r>
      <w:r w:rsidRPr="00956B0F">
        <w:rPr>
          <w:rtl/>
        </w:rPr>
        <w:t xml:space="preserve">"ב-2022, </w:t>
      </w:r>
      <w:r w:rsidRPr="00956B0F">
        <w:rPr>
          <w:rFonts w:hint="eastAsia"/>
          <w:rtl/>
        </w:rPr>
        <w:t>ק</w:t>
      </w:r>
      <w:r w:rsidRPr="00956B0F">
        <w:rPr>
          <w:rtl/>
        </w:rPr>
        <w:t>"ת</w:t>
      </w:r>
      <w:r w:rsidRPr="00956B0F">
        <w:rPr>
          <w:rFonts w:hint="cs"/>
          <w:rtl/>
        </w:rPr>
        <w:t xml:space="preserve"> </w:t>
      </w:r>
      <w:r w:rsidRPr="00956B0F">
        <w:rPr>
          <w:rtl/>
        </w:rPr>
        <w:t>3396, ו' בתמוז התשפ"ב, 5.7.22</w:t>
      </w:r>
      <w:r w:rsidRPr="00956B0F">
        <w:rPr>
          <w:rStyle w:val="Hyperlink"/>
          <w:color w:val="auto"/>
          <w:u w:val="none"/>
          <w:rtl/>
        </w:rPr>
        <w:t>.</w:t>
      </w:r>
    </w:p>
  </w:footnote>
  <w:footnote w:id="428">
    <w:p w14:paraId="22ACB3E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יש לציין כי בשנים 2021 - 2024 קיימה הנהלת בתי המשפט עשרות הכשרות נוספות שכללו התייחסות מסוימת לנושא האלימות במשפחה (להלן - הכשרות לא-ייעודיות), רובן הגדול הכשרות חובה (50 מתוך 72).</w:t>
      </w:r>
    </w:p>
  </w:footnote>
  <w:footnote w:id="429">
    <w:p w14:paraId="567E7C4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במחקר משנת 2021 של מרכז המחקר והמידע של הכנסת הועלה כי </w:t>
      </w:r>
      <w:r w:rsidRPr="00956B0F">
        <w:rPr>
          <w:rtl/>
        </w:rPr>
        <w:t>לא היו מצויים בידי הנהלת בתי המשפט</w:t>
      </w:r>
      <w:r w:rsidRPr="00956B0F">
        <w:rPr>
          <w:rFonts w:hint="cs"/>
          <w:rtl/>
        </w:rPr>
        <w:t xml:space="preserve"> </w:t>
      </w:r>
      <w:r w:rsidRPr="00956B0F">
        <w:rPr>
          <w:rtl/>
        </w:rPr>
        <w:t xml:space="preserve">נתונים </w:t>
      </w:r>
      <w:r w:rsidRPr="00956B0F">
        <w:rPr>
          <w:rFonts w:hint="cs"/>
          <w:rtl/>
        </w:rPr>
        <w:t>נוספים, כגון לגבי קבלת הצו או דחייתו</w:t>
      </w:r>
      <w:r w:rsidRPr="00956B0F">
        <w:rPr>
          <w:rtl/>
        </w:rPr>
        <w:t>; האיסורים שנקבעו בצו; תיקי חקירה שנפתחו במשטרת ישראל בגין הפרת הצו; וכן מספר הצווים הקודמים שהוצאו לאותו אדם</w:t>
      </w:r>
      <w:r w:rsidRPr="00956B0F">
        <w:rPr>
          <w:rFonts w:hint="cs"/>
          <w:rtl/>
        </w:rPr>
        <w:t xml:space="preserve">. ראו: עדו אבגר, </w:t>
      </w:r>
      <w:r w:rsidRPr="00956B0F">
        <w:rPr>
          <w:rFonts w:hint="cs"/>
          <w:b/>
          <w:bCs/>
          <w:rtl/>
        </w:rPr>
        <w:t>נתונים על בקשות להוצאת צווי הגנה והפרתם</w:t>
      </w:r>
      <w:r w:rsidRPr="00956B0F">
        <w:rPr>
          <w:rFonts w:hint="cs"/>
          <w:rtl/>
        </w:rPr>
        <w:t xml:space="preserve"> (2021).</w:t>
      </w:r>
    </w:p>
  </w:footnote>
  <w:footnote w:id="430">
    <w:p w14:paraId="4D72CE6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התקיימו שלושה דיונים בוועדה לקידום מעמד האישה בכנסת ובוועדת העבודה והרווחה של הכנסת בעקבות כניסתו של תיקון 18 לחוק ולנוכח העיכוב בתחילת יישומו (ב-20.6.22, ב-8.2.23 וב-11.7.23).</w:t>
      </w:r>
    </w:p>
  </w:footnote>
  <w:footnote w:id="431">
    <w:p w14:paraId="4865A6C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בתי המשפט בטבריה, קריית גת, באר שבע ואשדוד.</w:t>
      </w:r>
    </w:p>
  </w:footnote>
  <w:footnote w:id="432">
    <w:p w14:paraId="7EBCEEB2"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לפי </w:t>
      </w:r>
      <w:r w:rsidRPr="00956B0F">
        <w:rPr>
          <w:rFonts w:hint="eastAsia"/>
          <w:rtl/>
        </w:rPr>
        <w:t>סעיף</w:t>
      </w:r>
      <w:r w:rsidRPr="00956B0F">
        <w:rPr>
          <w:rtl/>
        </w:rPr>
        <w:t xml:space="preserve"> 37 </w:t>
      </w:r>
      <w:r w:rsidRPr="00956B0F">
        <w:rPr>
          <w:rFonts w:hint="eastAsia"/>
          <w:rtl/>
        </w:rPr>
        <w:t>לחוק</w:t>
      </w:r>
      <w:r w:rsidRPr="00956B0F">
        <w:rPr>
          <w:rtl/>
        </w:rPr>
        <w:t xml:space="preserve"> </w:t>
      </w:r>
      <w:r w:rsidRPr="00956B0F">
        <w:rPr>
          <w:rFonts w:hint="eastAsia"/>
          <w:rtl/>
        </w:rPr>
        <w:t>העונשין</w:t>
      </w:r>
      <w:r w:rsidRPr="00956B0F">
        <w:rPr>
          <w:rtl/>
        </w:rPr>
        <w:t xml:space="preserve"> (לעניין בחינת חלופה לעונש) ו</w:t>
      </w:r>
      <w:r w:rsidRPr="00956B0F">
        <w:rPr>
          <w:rFonts w:hint="eastAsia"/>
          <w:rtl/>
        </w:rPr>
        <w:t>סעיף</w:t>
      </w:r>
      <w:r w:rsidRPr="00956B0F">
        <w:rPr>
          <w:rtl/>
        </w:rPr>
        <w:t xml:space="preserve"> 21א </w:t>
      </w:r>
      <w:r w:rsidRPr="00956B0F">
        <w:rPr>
          <w:rFonts w:hint="eastAsia"/>
          <w:rtl/>
        </w:rPr>
        <w:t>לחוק</w:t>
      </w:r>
      <w:r w:rsidRPr="00956B0F">
        <w:rPr>
          <w:rtl/>
        </w:rPr>
        <w:t xml:space="preserve"> </w:t>
      </w:r>
      <w:r w:rsidRPr="00956B0F">
        <w:rPr>
          <w:rFonts w:hint="eastAsia"/>
          <w:rtl/>
        </w:rPr>
        <w:t>סדר</w:t>
      </w:r>
      <w:r w:rsidRPr="00956B0F">
        <w:rPr>
          <w:rtl/>
        </w:rPr>
        <w:t xml:space="preserve"> </w:t>
      </w:r>
      <w:r w:rsidRPr="00956B0F">
        <w:rPr>
          <w:rFonts w:hint="eastAsia"/>
          <w:rtl/>
        </w:rPr>
        <w:t>הדין</w:t>
      </w:r>
      <w:r w:rsidRPr="00956B0F">
        <w:rPr>
          <w:rtl/>
        </w:rPr>
        <w:t xml:space="preserve"> </w:t>
      </w:r>
      <w:r w:rsidRPr="00956B0F">
        <w:rPr>
          <w:rFonts w:hint="eastAsia"/>
          <w:rtl/>
        </w:rPr>
        <w:t>הפלילי</w:t>
      </w:r>
      <w:r w:rsidRPr="00956B0F">
        <w:rPr>
          <w:rtl/>
        </w:rPr>
        <w:t xml:space="preserve"> (סמכויות </w:t>
      </w:r>
      <w:r w:rsidRPr="00956B0F">
        <w:rPr>
          <w:rFonts w:hint="eastAsia"/>
          <w:rtl/>
        </w:rPr>
        <w:t>אכיפה</w:t>
      </w:r>
      <w:r w:rsidRPr="00956B0F">
        <w:rPr>
          <w:rtl/>
        </w:rPr>
        <w:t xml:space="preserve"> - </w:t>
      </w:r>
      <w:r w:rsidRPr="00956B0F">
        <w:rPr>
          <w:rFonts w:hint="eastAsia"/>
          <w:rtl/>
        </w:rPr>
        <w:t>מעצרים</w:t>
      </w:r>
      <w:r w:rsidRPr="00956B0F">
        <w:rPr>
          <w:rtl/>
        </w:rPr>
        <w:t xml:space="preserve">) (לעניין בחינת חלופה למעצר). שירות המבחן הוא גוף ממלכתי הפועל מכוח </w:t>
      </w:r>
      <w:r w:rsidRPr="00956B0F">
        <w:rPr>
          <w:rFonts w:hint="eastAsia"/>
          <w:rtl/>
        </w:rPr>
        <w:t>פקודת</w:t>
      </w:r>
      <w:r w:rsidRPr="00956B0F">
        <w:rPr>
          <w:rtl/>
        </w:rPr>
        <w:t xml:space="preserve"> </w:t>
      </w:r>
      <w:r w:rsidRPr="00956B0F">
        <w:rPr>
          <w:rFonts w:hint="eastAsia"/>
          <w:rtl/>
        </w:rPr>
        <w:t>המבחן</w:t>
      </w:r>
      <w:r w:rsidRPr="00956B0F">
        <w:rPr>
          <w:rtl/>
        </w:rPr>
        <w:t xml:space="preserve"> תחת משרד הרווחה. ראו: </w:t>
      </w:r>
      <w:r w:rsidRPr="00956B0F">
        <w:rPr>
          <w:b/>
          <w:bCs/>
          <w:rtl/>
        </w:rPr>
        <w:t>הוועדה הציבורית לבחינת מדיניות הענישה והטיפול בעבריינים</w:t>
      </w:r>
      <w:r w:rsidRPr="00956B0F">
        <w:rPr>
          <w:rtl/>
        </w:rPr>
        <w:t xml:space="preserve"> (2015), </w:t>
      </w:r>
      <w:r w:rsidRPr="00956B0F">
        <w:rPr>
          <w:rFonts w:hint="eastAsia"/>
          <w:rtl/>
        </w:rPr>
        <w:t>עמ</w:t>
      </w:r>
      <w:r w:rsidRPr="00956B0F">
        <w:rPr>
          <w:rtl/>
        </w:rPr>
        <w:t xml:space="preserve">' 11 - 15. יצוין כי תסקיר שירות המבחן עשוי להיערך גם בהוראת היועץ המשפטי לממשלה לפי </w:t>
      </w:r>
      <w:r w:rsidRPr="00956B0F">
        <w:rPr>
          <w:rFonts w:hint="eastAsia"/>
          <w:rtl/>
        </w:rPr>
        <w:t>תקנה</w:t>
      </w:r>
      <w:r w:rsidRPr="00956B0F">
        <w:rPr>
          <w:rtl/>
        </w:rPr>
        <w:t xml:space="preserve"> 4 </w:t>
      </w:r>
      <w:r w:rsidRPr="00956B0F">
        <w:rPr>
          <w:rFonts w:hint="eastAsia"/>
          <w:rtl/>
        </w:rPr>
        <w:t>לתקנות</w:t>
      </w:r>
      <w:r w:rsidRPr="00956B0F">
        <w:rPr>
          <w:rtl/>
        </w:rPr>
        <w:t xml:space="preserve"> </w:t>
      </w:r>
      <w:r w:rsidRPr="00956B0F">
        <w:rPr>
          <w:rFonts w:hint="eastAsia"/>
          <w:rtl/>
        </w:rPr>
        <w:t>המבחן</w:t>
      </w:r>
      <w:r w:rsidRPr="00956B0F">
        <w:rPr>
          <w:rtl/>
        </w:rPr>
        <w:t xml:space="preserve"> (תסקיר </w:t>
      </w:r>
      <w:r w:rsidRPr="00956B0F">
        <w:rPr>
          <w:rFonts w:hint="eastAsia"/>
          <w:rtl/>
        </w:rPr>
        <w:t>קצין</w:t>
      </w:r>
      <w:r w:rsidRPr="00956B0F">
        <w:rPr>
          <w:rtl/>
        </w:rPr>
        <w:t xml:space="preserve"> </w:t>
      </w:r>
      <w:r w:rsidRPr="00956B0F">
        <w:rPr>
          <w:rFonts w:hint="eastAsia"/>
          <w:rtl/>
        </w:rPr>
        <w:t>מבחן</w:t>
      </w:r>
      <w:r w:rsidRPr="00956B0F">
        <w:rPr>
          <w:rtl/>
        </w:rPr>
        <w:t xml:space="preserve">), </w:t>
      </w:r>
      <w:r w:rsidRPr="00956B0F">
        <w:rPr>
          <w:rFonts w:hint="eastAsia"/>
          <w:rtl/>
        </w:rPr>
        <w:t>התשס</w:t>
      </w:r>
      <w:r w:rsidRPr="00956B0F">
        <w:rPr>
          <w:rtl/>
        </w:rPr>
        <w:t>"ז-2006.</w:t>
      </w:r>
    </w:p>
  </w:footnote>
  <w:footnote w:id="433">
    <w:p w14:paraId="311E15E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עידית וייס, "'מודל המבחן' המאפיין את שירות המבחן למבוגרים בישראל", </w:t>
      </w:r>
      <w:r w:rsidRPr="00956B0F">
        <w:rPr>
          <w:b/>
          <w:bCs/>
          <w:rtl/>
        </w:rPr>
        <w:t>מגמות בקרימינולוגיה</w:t>
      </w:r>
      <w:r w:rsidRPr="00956B0F">
        <w:rPr>
          <w:rFonts w:hint="cs"/>
          <w:b/>
          <w:bCs/>
          <w:rtl/>
        </w:rPr>
        <w:t xml:space="preserve">: תאוריה, מדיניות ויישום </w:t>
      </w:r>
      <w:r w:rsidRPr="00956B0F">
        <w:rPr>
          <w:rFonts w:hint="cs"/>
          <w:rtl/>
        </w:rPr>
        <w:t xml:space="preserve">127 </w:t>
      </w:r>
      <w:r w:rsidRPr="00956B0F">
        <w:rPr>
          <w:rtl/>
        </w:rPr>
        <w:t>(</w:t>
      </w:r>
      <w:r w:rsidRPr="00956B0F">
        <w:rPr>
          <w:rFonts w:hint="cs"/>
          <w:rtl/>
        </w:rPr>
        <w:t>2003</w:t>
      </w:r>
      <w:r w:rsidRPr="00956B0F">
        <w:rPr>
          <w:rtl/>
        </w:rPr>
        <w:t>)</w:t>
      </w:r>
      <w:r w:rsidRPr="00956B0F">
        <w:rPr>
          <w:rFonts w:hint="cs"/>
          <w:rtl/>
        </w:rPr>
        <w:t xml:space="preserve">; ד"ר מאיר חובב, </w:t>
      </w:r>
      <w:r w:rsidRPr="00956B0F">
        <w:rPr>
          <w:rFonts w:hint="cs"/>
          <w:b/>
          <w:bCs/>
          <w:rtl/>
        </w:rPr>
        <w:t>הסדרה חוקית וארגונית של שירותי המבחן בישראל</w:t>
      </w:r>
      <w:r w:rsidRPr="00956B0F">
        <w:rPr>
          <w:rFonts w:hint="cs"/>
          <w:rtl/>
        </w:rPr>
        <w:t xml:space="preserve"> (2012), עמ' 24</w:t>
      </w:r>
      <w:r w:rsidRPr="00956B0F">
        <w:rPr>
          <w:rStyle w:val="Hyperlink"/>
          <w:rFonts w:hint="cs"/>
          <w:color w:val="auto"/>
          <w:u w:val="none"/>
          <w:rtl/>
        </w:rPr>
        <w:t>.</w:t>
      </w:r>
      <w:r w:rsidRPr="00956B0F">
        <w:rPr>
          <w:rFonts w:hint="cs"/>
          <w:rtl/>
        </w:rPr>
        <w:t xml:space="preserve"> נוסף על תסקיר שירות המבחן לצורך בחינת חלופת מעצר, לבית המשפט מסור שיקול דעת להפנות נאשם בהליך פלילי לצורך עריכת תסקיר שירות המבחן לאחר הכרעת הדין בעניינו ולקראת מתן גזר הדין, כדי לסייע לבית המשפט בקביעת העונש שיושת על הנאשם. קצין מבחן הוא עובד סוציאלי המתמחה בטיפול בעוברי חוק שמונה לפי פקודת המבחן ותקנות המבחן (שירותי המבחן), התשי"ט-1959.</w:t>
      </w:r>
    </w:p>
  </w:footnote>
  <w:footnote w:id="434">
    <w:p w14:paraId="6A3B26D7"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Style w:val="Hyperlink"/>
          <w:rFonts w:hint="eastAsia"/>
          <w:color w:val="auto"/>
          <w:u w:val="none"/>
          <w:rtl/>
        </w:rPr>
        <w:t>משרד</w:t>
      </w:r>
      <w:r w:rsidRPr="00956B0F">
        <w:rPr>
          <w:rStyle w:val="Hyperlink"/>
          <w:color w:val="auto"/>
          <w:u w:val="none"/>
          <w:rtl/>
        </w:rPr>
        <w:t xml:space="preserve"> המשפטים, </w:t>
      </w:r>
      <w:r w:rsidRPr="00956B0F">
        <w:rPr>
          <w:b/>
          <w:bCs/>
          <w:rtl/>
        </w:rPr>
        <w:t>הוועדה הציבורית לבחינת מדיניות הענישה והטיפול בעבריינים</w:t>
      </w:r>
      <w:r w:rsidRPr="00956B0F">
        <w:rPr>
          <w:rtl/>
        </w:rPr>
        <w:t xml:space="preserve"> (2015)</w:t>
      </w:r>
      <w:r w:rsidRPr="00956B0F">
        <w:rPr>
          <w:rFonts w:hint="cs"/>
          <w:rtl/>
        </w:rPr>
        <w:t>, עמ' 26 - 28.</w:t>
      </w:r>
    </w:p>
  </w:footnote>
  <w:footnote w:id="435">
    <w:p w14:paraId="7A4E03D5"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לפי סעיף 86 לחוק העונשין.</w:t>
      </w:r>
    </w:p>
  </w:footnote>
  <w:footnote w:id="436">
    <w:p w14:paraId="1DF5FAA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מסלול הוסטל, מסלול מרכז יום, מסלול משולב, מסלול מרכז ערב ומסלול בוגרים.</w:t>
      </w:r>
    </w:p>
  </w:footnote>
  <w:footnote w:id="437">
    <w:p w14:paraId="009D2D9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בשנת 2019 כ-16% מעוברי החוק השתלבו בתוכניות שיקום של שירות המבחן (417 מתוך 2,627).</w:t>
      </w:r>
    </w:p>
  </w:footnote>
  <w:footnote w:id="438">
    <w:p w14:paraId="28EA9C5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בשנת</w:t>
      </w:r>
      <w:r w:rsidRPr="00956B0F">
        <w:rPr>
          <w:rtl/>
        </w:rPr>
        <w:t xml:space="preserve"> 2017 שולבו בבתי נועם שבעה מטופלים מהמגזר הערבי, בשנת 2018 </w:t>
      </w:r>
      <w:r w:rsidRPr="00956B0F">
        <w:rPr>
          <w:rFonts w:hint="eastAsia"/>
          <w:rtl/>
        </w:rPr>
        <w:t>שולבו</w:t>
      </w:r>
      <w:r w:rsidRPr="00956B0F">
        <w:rPr>
          <w:rtl/>
        </w:rPr>
        <w:t xml:space="preserve"> </w:t>
      </w:r>
      <w:r w:rsidRPr="00956B0F">
        <w:rPr>
          <w:rFonts w:hint="eastAsia"/>
          <w:rtl/>
        </w:rPr>
        <w:t>עשרה</w:t>
      </w:r>
      <w:r w:rsidRPr="00956B0F">
        <w:rPr>
          <w:rFonts w:hint="cs"/>
          <w:rtl/>
        </w:rPr>
        <w:t>,</w:t>
      </w:r>
      <w:r w:rsidRPr="00956B0F">
        <w:rPr>
          <w:rtl/>
        </w:rPr>
        <w:t xml:space="preserve"> ובשנת 2019 טופלו 13 גברים ערבים בבית נועם שבמרכז הארץ ושבעה נוספים בבית נועם שבדרום הארץ.</w:t>
      </w:r>
    </w:p>
  </w:footnote>
  <w:footnote w:id="439">
    <w:p w14:paraId="4B7BE4E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t>בשנת 2019 היו שתי הפניות בלבד לבתי נועם מהמרכזים לטיפול ומניעת</w:t>
      </w:r>
      <w:r w:rsidRPr="00956B0F">
        <w:rPr>
          <w:rFonts w:hint="cs"/>
          <w:rtl/>
        </w:rPr>
        <w:t xml:space="preserve"> </w:t>
      </w:r>
      <w:r w:rsidRPr="00956B0F">
        <w:rPr>
          <w:rtl/>
        </w:rPr>
        <w:t>אלימות במשפחה ולא היו כלל הפניות אליהם מהרשות לשיקום האסיר, בשנת 2018 היו</w:t>
      </w:r>
      <w:r w:rsidRPr="00956B0F">
        <w:rPr>
          <w:rFonts w:hint="cs"/>
          <w:rtl/>
        </w:rPr>
        <w:t xml:space="preserve"> </w:t>
      </w:r>
      <w:r w:rsidRPr="00956B0F">
        <w:rPr>
          <w:rtl/>
        </w:rPr>
        <w:t>ארבע הפניות מהמרכזים לטיפול ומניעת אלימות במשפחה ושלוש הפניות נוספות מהרשות</w:t>
      </w:r>
      <w:r w:rsidRPr="00956B0F">
        <w:rPr>
          <w:rFonts w:hint="cs"/>
          <w:rtl/>
        </w:rPr>
        <w:t xml:space="preserve"> </w:t>
      </w:r>
      <w:r w:rsidRPr="00956B0F">
        <w:rPr>
          <w:rtl/>
        </w:rPr>
        <w:t>לשיקום האסיר, ובשנת 2017 היו שלוש הפניות מהמרכזים לטיפול ומניעת אלימות</w:t>
      </w:r>
      <w:r w:rsidRPr="00956B0F">
        <w:rPr>
          <w:rFonts w:hint="cs"/>
          <w:rtl/>
        </w:rPr>
        <w:t xml:space="preserve"> </w:t>
      </w:r>
      <w:r w:rsidRPr="00956B0F">
        <w:rPr>
          <w:rtl/>
        </w:rPr>
        <w:t xml:space="preserve">במשפחה ושתי הפניות מהרשות לשיקום האסיר. </w:t>
      </w:r>
    </w:p>
  </w:footnote>
  <w:footnote w:id="440">
    <w:p w14:paraId="6B098BEE"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בן פורת, דקל וגילבר [2], עמ' 7.</w:t>
      </w:r>
    </w:p>
  </w:footnote>
  <w:footnote w:id="441">
    <w:p w14:paraId="684A2457"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בהקשר זה ראו תת-הפרק בנושא "עומס העבודה המוטל על העובדים הסוציאליים במרכזים".</w:t>
      </w:r>
      <w:r w:rsidRPr="00956B0F">
        <w:rPr>
          <w:rtl/>
        </w:rPr>
        <w:t xml:space="preserve"> </w:t>
      </w:r>
    </w:p>
  </w:footnote>
  <w:footnote w:id="442">
    <w:p w14:paraId="7F61199C"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דברי</w:t>
      </w:r>
      <w:r w:rsidRPr="00956B0F">
        <w:rPr>
          <w:rtl/>
        </w:rPr>
        <w:t xml:space="preserve"> ההסבר להצעת חוק סדר הדין הפלילי (תיקון מס' 91 והוראת שעה) (בתי משפט קהילתיים), התשפ"ב-2021, ה"ח הממשלה - 226, </w:t>
      </w:r>
      <w:r w:rsidRPr="00956B0F">
        <w:rPr>
          <w:rFonts w:hint="eastAsia"/>
          <w:rtl/>
        </w:rPr>
        <w:t>עמ</w:t>
      </w:r>
      <w:r w:rsidRPr="00956B0F">
        <w:rPr>
          <w:rtl/>
        </w:rPr>
        <w:t>' 228 - 229.</w:t>
      </w:r>
    </w:p>
  </w:footnote>
  <w:footnote w:id="443">
    <w:p w14:paraId="4B20671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ד"ר טלי גל וד"ר הדר דנציג-רוזנברג, </w:t>
      </w:r>
      <w:r w:rsidRPr="00956B0F">
        <w:rPr>
          <w:rFonts w:hint="eastAsia"/>
          <w:b/>
          <w:bCs/>
          <w:rtl/>
        </w:rPr>
        <w:t>בתי</w:t>
      </w:r>
      <w:r w:rsidRPr="00956B0F">
        <w:rPr>
          <w:b/>
          <w:bCs/>
          <w:rtl/>
        </w:rPr>
        <w:t xml:space="preserve"> </w:t>
      </w:r>
      <w:r w:rsidRPr="00956B0F">
        <w:rPr>
          <w:rFonts w:hint="eastAsia"/>
          <w:b/>
          <w:bCs/>
          <w:rtl/>
        </w:rPr>
        <w:t>משפט</w:t>
      </w:r>
      <w:r w:rsidRPr="00956B0F">
        <w:rPr>
          <w:b/>
          <w:bCs/>
          <w:rtl/>
        </w:rPr>
        <w:t xml:space="preserve"> </w:t>
      </w:r>
      <w:r w:rsidRPr="00956B0F">
        <w:rPr>
          <w:rFonts w:hint="eastAsia"/>
          <w:b/>
          <w:bCs/>
          <w:rtl/>
        </w:rPr>
        <w:t>קהילתיים</w:t>
      </w:r>
      <w:r w:rsidRPr="00956B0F">
        <w:rPr>
          <w:b/>
          <w:bCs/>
          <w:rtl/>
        </w:rPr>
        <w:t xml:space="preserve"> </w:t>
      </w:r>
      <w:r w:rsidRPr="00956B0F">
        <w:rPr>
          <w:rFonts w:hint="eastAsia"/>
          <w:b/>
          <w:bCs/>
          <w:rtl/>
        </w:rPr>
        <w:t>בישראל</w:t>
      </w:r>
      <w:r w:rsidRPr="00956B0F">
        <w:rPr>
          <w:rFonts w:hint="cs"/>
          <w:b/>
          <w:bCs/>
          <w:rtl/>
        </w:rPr>
        <w:t>:</w:t>
      </w:r>
      <w:r w:rsidRPr="00956B0F">
        <w:rPr>
          <w:b/>
          <w:bCs/>
          <w:rtl/>
        </w:rPr>
        <w:t xml:space="preserve"> </w:t>
      </w:r>
      <w:r w:rsidRPr="00956B0F">
        <w:rPr>
          <w:rFonts w:hint="eastAsia"/>
          <w:b/>
          <w:bCs/>
          <w:rtl/>
        </w:rPr>
        <w:t>מחקר</w:t>
      </w:r>
      <w:r w:rsidRPr="00956B0F">
        <w:rPr>
          <w:b/>
          <w:bCs/>
          <w:rtl/>
        </w:rPr>
        <w:t xml:space="preserve"> </w:t>
      </w:r>
      <w:r w:rsidRPr="00956B0F">
        <w:rPr>
          <w:rFonts w:hint="eastAsia"/>
          <w:b/>
          <w:bCs/>
          <w:rtl/>
        </w:rPr>
        <w:t>מלווה</w:t>
      </w:r>
      <w:r w:rsidRPr="00956B0F">
        <w:rPr>
          <w:rFonts w:hint="cs"/>
          <w:rtl/>
        </w:rPr>
        <w:t xml:space="preserve"> (יולי 2017), עמ' 13. תופעת העבריינות החוזרת מובילה להטלת עונשים מחמירים יותר, המעמיקים את דפוסי העבריינות של עוברי החוק ומגדילים את הניתוק שלהם ממסגרות תמיכה קהילתיות נורמטיביות. בד בבד גובר העומס על מערכות אכיפת החוק והענישה העמוסות ממילא.</w:t>
      </w:r>
    </w:p>
  </w:footnote>
  <w:footnote w:id="444">
    <w:p w14:paraId="35209DA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ד"ר טלי גל וד"ר הדר דנציג-רוזנברג, </w:t>
      </w:r>
      <w:r w:rsidRPr="00956B0F">
        <w:rPr>
          <w:rFonts w:hint="eastAsia"/>
          <w:b/>
          <w:bCs/>
          <w:rtl/>
        </w:rPr>
        <w:t>בתי</w:t>
      </w:r>
      <w:r w:rsidRPr="00956B0F">
        <w:rPr>
          <w:b/>
          <w:bCs/>
          <w:rtl/>
        </w:rPr>
        <w:t xml:space="preserve"> </w:t>
      </w:r>
      <w:r w:rsidRPr="00956B0F">
        <w:rPr>
          <w:rFonts w:hint="eastAsia"/>
          <w:b/>
          <w:bCs/>
          <w:rtl/>
        </w:rPr>
        <w:t>משפט</w:t>
      </w:r>
      <w:r w:rsidRPr="00956B0F">
        <w:rPr>
          <w:b/>
          <w:bCs/>
          <w:rtl/>
        </w:rPr>
        <w:t xml:space="preserve"> </w:t>
      </w:r>
      <w:r w:rsidRPr="00956B0F">
        <w:rPr>
          <w:rFonts w:hint="eastAsia"/>
          <w:b/>
          <w:bCs/>
          <w:rtl/>
        </w:rPr>
        <w:t>קהילתיים</w:t>
      </w:r>
      <w:r w:rsidRPr="00956B0F">
        <w:rPr>
          <w:b/>
          <w:bCs/>
          <w:rtl/>
        </w:rPr>
        <w:t xml:space="preserve"> </w:t>
      </w:r>
      <w:r w:rsidRPr="00956B0F">
        <w:rPr>
          <w:rFonts w:hint="eastAsia"/>
          <w:b/>
          <w:bCs/>
          <w:rtl/>
        </w:rPr>
        <w:t>בישראל</w:t>
      </w:r>
      <w:r w:rsidRPr="00956B0F">
        <w:rPr>
          <w:rFonts w:hint="cs"/>
          <w:b/>
          <w:bCs/>
          <w:rtl/>
        </w:rPr>
        <w:t>:</w:t>
      </w:r>
      <w:r w:rsidRPr="00956B0F">
        <w:rPr>
          <w:b/>
          <w:bCs/>
          <w:rtl/>
        </w:rPr>
        <w:t xml:space="preserve"> </w:t>
      </w:r>
      <w:r w:rsidRPr="00956B0F">
        <w:rPr>
          <w:rFonts w:hint="eastAsia"/>
          <w:b/>
          <w:bCs/>
          <w:rtl/>
        </w:rPr>
        <w:t>מחקר</w:t>
      </w:r>
      <w:r w:rsidRPr="00956B0F">
        <w:rPr>
          <w:b/>
          <w:bCs/>
          <w:rtl/>
        </w:rPr>
        <w:t xml:space="preserve"> </w:t>
      </w:r>
      <w:r w:rsidRPr="00956B0F">
        <w:rPr>
          <w:rFonts w:hint="eastAsia"/>
          <w:b/>
          <w:bCs/>
          <w:rtl/>
        </w:rPr>
        <w:t>מלווה</w:t>
      </w:r>
      <w:r w:rsidRPr="00956B0F">
        <w:rPr>
          <w:rFonts w:hint="cs"/>
          <w:rtl/>
        </w:rPr>
        <w:t xml:space="preserve"> (יולי 2017), עמ' 13; דברי ההסבר להצעת חוק סדר הדין הפלילי (תיקון מס' 91 והוראת שעה) (בתי משפט קהילתיים), התשפ"ב-2021, ה"ח הממשלה, עמ' 226.</w:t>
      </w:r>
    </w:p>
  </w:footnote>
  <w:footnote w:id="445">
    <w:p w14:paraId="3F4DBD0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תוכנית ניסיונית (פיילוט) של בתי משפט קהילתיים בישראל החלה לפעול בנובמבר 2014 בבית משפט השלום בבאר שבע. בשנת 2015 החלה לפעול התוכנית גם ברמלה. התוכנית הורחבה בשנת 2016 מכוח החלטת הממשלה 1840, "ייעול מדיניות הענישה ושיקום האסירים בישראל" (11.8.16), וזאת "במטרה לצמצם ענישה בדרך של מאסר". במועד סיום הביקורת הקודמת פעלו בתי משפט במחוזות השיפוט באר שבע, חיפה, ירושלים, נצרת, רמלה ותל אביב.</w:t>
      </w:r>
    </w:p>
  </w:footnote>
  <w:footnote w:id="446">
    <w:p w14:paraId="2459A4D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הנתונים על שיעור ה</w:t>
      </w:r>
      <w:r w:rsidRPr="00956B0F">
        <w:rPr>
          <w:rtl/>
        </w:rPr>
        <w:t xml:space="preserve">מוּעדוּת </w:t>
      </w:r>
      <w:r w:rsidRPr="00956B0F">
        <w:rPr>
          <w:rFonts w:hint="cs"/>
          <w:rtl/>
        </w:rPr>
        <w:t xml:space="preserve">בקרב מסיימי תוכנית בתי המשפט הקהילתיים היוו אינדיקציה ראשונית בלבד, מאחר שבמועד סיום הביקורת טרם הסתיימה התקופה לבדיקת </w:t>
      </w:r>
      <w:r w:rsidRPr="00956B0F">
        <w:rPr>
          <w:rFonts w:hint="eastAsia"/>
          <w:rtl/>
        </w:rPr>
        <w:t>המו</w:t>
      </w:r>
      <w:r w:rsidRPr="00956B0F">
        <w:rPr>
          <w:rFonts w:hint="cs"/>
          <w:rtl/>
        </w:rPr>
        <w:t>ּ</w:t>
      </w:r>
      <w:r w:rsidRPr="00956B0F">
        <w:rPr>
          <w:rFonts w:hint="eastAsia"/>
          <w:rtl/>
        </w:rPr>
        <w:t>עדות</w:t>
      </w:r>
      <w:r w:rsidRPr="00956B0F">
        <w:rPr>
          <w:rFonts w:hint="cs"/>
          <w:rtl/>
        </w:rPr>
        <w:t xml:space="preserve">; ראו: </w:t>
      </w:r>
      <w:r w:rsidRPr="00956B0F">
        <w:rPr>
          <w:rFonts w:hint="eastAsia"/>
          <w:rtl/>
        </w:rPr>
        <w:t>דוח</w:t>
      </w:r>
      <w:r w:rsidRPr="00956B0F">
        <w:rPr>
          <w:rtl/>
        </w:rPr>
        <w:t xml:space="preserve"> </w:t>
      </w:r>
      <w:r w:rsidRPr="00956B0F">
        <w:rPr>
          <w:rFonts w:hint="eastAsia"/>
          <w:rtl/>
        </w:rPr>
        <w:t>סיכום</w:t>
      </w:r>
      <w:r w:rsidRPr="00956B0F">
        <w:rPr>
          <w:rtl/>
        </w:rPr>
        <w:t xml:space="preserve"> </w:t>
      </w:r>
      <w:r w:rsidRPr="00956B0F">
        <w:rPr>
          <w:rFonts w:hint="eastAsia"/>
          <w:rtl/>
        </w:rPr>
        <w:t>שנת</w:t>
      </w:r>
      <w:r w:rsidRPr="00956B0F">
        <w:rPr>
          <w:rtl/>
        </w:rPr>
        <w:t xml:space="preserve"> </w:t>
      </w:r>
      <w:r w:rsidRPr="00956B0F">
        <w:rPr>
          <w:rFonts w:hint="eastAsia"/>
          <w:rtl/>
        </w:rPr>
        <w:t>תשע</w:t>
      </w:r>
      <w:r w:rsidRPr="00956B0F">
        <w:rPr>
          <w:rtl/>
        </w:rPr>
        <w:t>"ט</w:t>
      </w:r>
      <w:r w:rsidRPr="00956B0F">
        <w:rPr>
          <w:rFonts w:hint="cs"/>
          <w:rtl/>
        </w:rPr>
        <w:t xml:space="preserve"> על פעילות</w:t>
      </w:r>
      <w:r w:rsidRPr="00956B0F">
        <w:rPr>
          <w:rtl/>
        </w:rPr>
        <w:t xml:space="preserve"> </w:t>
      </w:r>
      <w:r w:rsidRPr="00956B0F">
        <w:rPr>
          <w:rFonts w:hint="eastAsia"/>
          <w:rtl/>
        </w:rPr>
        <w:t>בתי</w:t>
      </w:r>
      <w:r w:rsidRPr="00956B0F">
        <w:rPr>
          <w:rtl/>
        </w:rPr>
        <w:t xml:space="preserve"> </w:t>
      </w:r>
      <w:r w:rsidRPr="00956B0F">
        <w:rPr>
          <w:rFonts w:hint="eastAsia"/>
          <w:rtl/>
        </w:rPr>
        <w:t>המשפט</w:t>
      </w:r>
      <w:r w:rsidRPr="00956B0F">
        <w:rPr>
          <w:rtl/>
        </w:rPr>
        <w:t xml:space="preserve"> </w:t>
      </w:r>
      <w:r w:rsidRPr="00956B0F">
        <w:rPr>
          <w:rFonts w:hint="eastAsia"/>
          <w:rtl/>
        </w:rPr>
        <w:t>הקהילתיים</w:t>
      </w:r>
      <w:r w:rsidRPr="00956B0F">
        <w:rPr>
          <w:rFonts w:hint="cs"/>
          <w:rtl/>
        </w:rPr>
        <w:t>, עמ' 11. בקרב המשתתפים שביצעו עבירות אלימות במשפחה עמד שיעור זה על כ-43%.</w:t>
      </w:r>
    </w:p>
  </w:footnote>
  <w:footnote w:id="447">
    <w:p w14:paraId="1E148F4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חוק סדר הדין הפלילי (תיקון מס' 92 - הוראת שעה), התשפ"ב-2022, ס"ח 1016; צו סדר הדין הפלילי (הסמכת בתי משפט קהילתיים) (הוראת שעה), התשפ"ב-2022. ההסדר נקבע כהוראת שעה לתקופה של חמש שנים מ-1.8.22 עד ה-1.8.27 (סעיף 220כ לחוק סדר הדין הפלילי). </w:t>
      </w:r>
    </w:p>
  </w:footnote>
  <w:footnote w:id="448">
    <w:p w14:paraId="15C9C78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בעכו ובכפר סבא.</w:t>
      </w:r>
    </w:p>
  </w:footnote>
  <w:footnote w:id="449">
    <w:p w14:paraId="78F9328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לפי נתוני שירות המבחן למבוגרים, שיעור המשתתפים על רקע אלימות בין בני זוג בשנת 2024 (נכון לסוף אוגוסט) נותר דומה ועמד על כ-8% (26 מתוך 326 משתתפים חדשים). לפי נתוני הנהלת בתי המשפט, סך כל המשתתפים על רקע אלימות במשפחה בשנת 2023 עמד על 32 משתתפים (כ-9%). ראו: הנהלת בתי המשפטי - חטיבת תכנון, פיתוח ותקציבים, מחלקת כלכלה וסטטיסטיקה, </w:t>
      </w:r>
      <w:r w:rsidRPr="00956B0F">
        <w:rPr>
          <w:rFonts w:hint="cs"/>
          <w:b/>
          <w:bCs/>
          <w:rtl/>
        </w:rPr>
        <w:t xml:space="preserve">דוח שנתי 2023 </w:t>
      </w:r>
      <w:r w:rsidRPr="00956B0F">
        <w:rPr>
          <w:rFonts w:hint="cs"/>
          <w:rtl/>
        </w:rPr>
        <w:t>(2024).</w:t>
      </w:r>
    </w:p>
  </w:footnote>
  <w:footnote w:id="450">
    <w:p w14:paraId="0B13673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בקרב המשתתפים שביצעו עבירות אלימות במשפחה עמד שיעור זה על כ-43%.</w:t>
      </w:r>
    </w:p>
  </w:footnote>
  <w:footnote w:id="451">
    <w:p w14:paraId="026C6A0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בחינת התאמתם של מופנים לתוכנית נעשית תוך התייחסות למקום מגוריהם ולאזור השיפוט שבו מופעלת התוכנית; לסיכויי ההשתקמות של עובר החוק, להתאמתו ולנכונותו להשתלב בתוכנית טיפול עצימה. הירידה במספר המשתתפים בתוכנית בשנת 2023 עשויה להיות קשורה למלחמת חרבות ברזל ולהשפעתה על פעילותה של מערכת המשפט.</w:t>
      </w:r>
    </w:p>
  </w:footnote>
  <w:footnote w:id="452">
    <w:p w14:paraId="142D34DD"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סיום התוכנית בהצלחה משמעו כי המשתתף השלים את כל שלבי התוכנית במלואם. מסד הנתונים שעליו התבסס המחקר כלל 1,130 משתתפים בתוכנית החל משנת 2014 ועד סוף אוגוסט 2021.</w:t>
      </w:r>
    </w:p>
  </w:footnote>
  <w:footnote w:id="453">
    <w:p w14:paraId="2551C859"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b/>
          <w:bCs/>
          <w:rtl/>
        </w:rPr>
        <w:t>דין וחשבון מסכם: מחקר הערכה לתוכנית בתי משפט קהילתיים</w:t>
      </w:r>
      <w:r w:rsidRPr="00956B0F">
        <w:rPr>
          <w:rFonts w:hint="cs"/>
          <w:rtl/>
        </w:rPr>
        <w:t xml:space="preserve"> (2023), עמ' 40, 66 ו-74. עם זאת צוין כי ממצאי המחקר אינם מאפשרים להפריד בין תרומת התוכנית בצמצום העבריינות החוזרת לבין תרומתן האפשרית של תכונות המסיימים בהצלחה את התוכנית, שייתכן שיסבירו את שיעור העבריינות החוזרת הנמוך יותר בהשוואה לקבוצת הביקורת במחקר (קבוצת הביקורת כללה נאשמים שעניינם נדון בדיון רגיל בבתי משפט שלום).</w:t>
      </w:r>
    </w:p>
  </w:footnote>
  <w:footnote w:id="454">
    <w:p w14:paraId="4D7FC27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b/>
          <w:bCs/>
          <w:rtl/>
        </w:rPr>
        <w:t>דין וחשבון מסכם: מחקר הערכה לתוכנית בתי משפט קהילתיים</w:t>
      </w:r>
      <w:r w:rsidRPr="00956B0F">
        <w:rPr>
          <w:rFonts w:hint="cs"/>
          <w:rtl/>
        </w:rPr>
        <w:t xml:space="preserve"> (2023), עמ' 178.</w:t>
      </w:r>
    </w:p>
  </w:footnote>
  <w:footnote w:id="455">
    <w:p w14:paraId="3953472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יהושע וייס, "בין ביטחון לטיפול: הקונפליקט הבסיסי בתפקידיהם של אנשי שב"ס - היבטים רגשיים ומערכתיים", </w:t>
      </w:r>
      <w:r w:rsidRPr="00956B0F">
        <w:rPr>
          <w:rFonts w:hint="cs"/>
          <w:b/>
          <w:bCs/>
          <w:rtl/>
        </w:rPr>
        <w:t>צוהר לבית סוהר</w:t>
      </w:r>
      <w:r w:rsidRPr="00956B0F">
        <w:rPr>
          <w:rFonts w:hint="cs"/>
          <w:rtl/>
        </w:rPr>
        <w:t xml:space="preserve"> 18 </w:t>
      </w:r>
      <w:r w:rsidRPr="00956B0F">
        <w:rPr>
          <w:rtl/>
        </w:rPr>
        <w:t>10</w:t>
      </w:r>
      <w:r w:rsidRPr="00956B0F">
        <w:rPr>
          <w:rFonts w:hint="cs"/>
          <w:rtl/>
        </w:rPr>
        <w:t xml:space="preserve"> (2017).</w:t>
      </w:r>
    </w:p>
  </w:footnote>
  <w:footnote w:id="456">
    <w:p w14:paraId="4ADDCF2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לפי</w:t>
      </w:r>
      <w:r w:rsidRPr="00956B0F">
        <w:rPr>
          <w:rtl/>
        </w:rPr>
        <w:t xml:space="preserve"> פרק ב' </w:t>
      </w:r>
      <w:r w:rsidRPr="00956B0F">
        <w:rPr>
          <w:rFonts w:hint="eastAsia"/>
          <w:rtl/>
        </w:rPr>
        <w:t>סימן</w:t>
      </w:r>
      <w:r w:rsidRPr="00956B0F">
        <w:rPr>
          <w:rtl/>
        </w:rPr>
        <w:t xml:space="preserve"> </w:t>
      </w:r>
      <w:r w:rsidRPr="00956B0F">
        <w:rPr>
          <w:rFonts w:hint="eastAsia"/>
          <w:rtl/>
        </w:rPr>
        <w:t>ט</w:t>
      </w:r>
      <w:r w:rsidRPr="00956B0F">
        <w:rPr>
          <w:rtl/>
        </w:rPr>
        <w:t xml:space="preserve">'1 </w:t>
      </w:r>
      <w:r w:rsidRPr="00956B0F">
        <w:rPr>
          <w:rFonts w:hint="eastAsia"/>
          <w:rtl/>
        </w:rPr>
        <w:t>לפקודת</w:t>
      </w:r>
      <w:r w:rsidRPr="00956B0F">
        <w:rPr>
          <w:rtl/>
        </w:rPr>
        <w:t xml:space="preserve"> </w:t>
      </w:r>
      <w:r w:rsidRPr="00956B0F">
        <w:rPr>
          <w:rFonts w:hint="eastAsia"/>
          <w:rtl/>
        </w:rPr>
        <w:t>בתי</w:t>
      </w:r>
      <w:r w:rsidRPr="00956B0F">
        <w:rPr>
          <w:rtl/>
        </w:rPr>
        <w:t xml:space="preserve"> </w:t>
      </w:r>
      <w:r w:rsidRPr="00956B0F">
        <w:rPr>
          <w:rFonts w:hint="eastAsia"/>
          <w:rtl/>
        </w:rPr>
        <w:t>הסוהר</w:t>
      </w:r>
      <w:r w:rsidRPr="00956B0F">
        <w:rPr>
          <w:rFonts w:hint="cs"/>
          <w:rtl/>
        </w:rPr>
        <w:t>.</w:t>
      </w:r>
    </w:p>
  </w:footnote>
  <w:footnote w:id="457">
    <w:p w14:paraId="3A5FF9A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מרכז מחקר ומידע של הכנסת, </w:t>
      </w:r>
      <w:r w:rsidRPr="00956B0F">
        <w:rPr>
          <w:rFonts w:hint="eastAsia"/>
          <w:b/>
          <w:bCs/>
          <w:rtl/>
        </w:rPr>
        <w:t>שחרור</w:t>
      </w:r>
      <w:r w:rsidRPr="00956B0F">
        <w:rPr>
          <w:b/>
          <w:bCs/>
          <w:rtl/>
        </w:rPr>
        <w:t xml:space="preserve"> </w:t>
      </w:r>
      <w:r w:rsidRPr="00956B0F">
        <w:rPr>
          <w:rFonts w:hint="eastAsia"/>
          <w:b/>
          <w:bCs/>
          <w:rtl/>
        </w:rPr>
        <w:t>אסירים</w:t>
      </w:r>
      <w:r w:rsidRPr="00956B0F">
        <w:rPr>
          <w:b/>
          <w:bCs/>
          <w:rtl/>
        </w:rPr>
        <w:t xml:space="preserve"> </w:t>
      </w:r>
      <w:r w:rsidRPr="00956B0F">
        <w:rPr>
          <w:rFonts w:hint="eastAsia"/>
          <w:b/>
          <w:bCs/>
          <w:rtl/>
        </w:rPr>
        <w:t>שנכלאו</w:t>
      </w:r>
      <w:r w:rsidRPr="00956B0F">
        <w:rPr>
          <w:b/>
          <w:bCs/>
          <w:rtl/>
        </w:rPr>
        <w:t xml:space="preserve"> </w:t>
      </w:r>
      <w:r w:rsidRPr="00956B0F">
        <w:rPr>
          <w:rFonts w:hint="eastAsia"/>
          <w:b/>
          <w:bCs/>
          <w:rtl/>
        </w:rPr>
        <w:t>בשל</w:t>
      </w:r>
      <w:r w:rsidRPr="00956B0F">
        <w:rPr>
          <w:b/>
          <w:bCs/>
          <w:rtl/>
        </w:rPr>
        <w:t xml:space="preserve"> </w:t>
      </w:r>
      <w:r w:rsidRPr="00956B0F">
        <w:rPr>
          <w:rFonts w:hint="eastAsia"/>
          <w:b/>
          <w:bCs/>
          <w:rtl/>
        </w:rPr>
        <w:t>עבירות</w:t>
      </w:r>
      <w:r w:rsidRPr="00956B0F">
        <w:rPr>
          <w:b/>
          <w:bCs/>
          <w:rtl/>
        </w:rPr>
        <w:t xml:space="preserve"> </w:t>
      </w:r>
      <w:r w:rsidRPr="00956B0F">
        <w:rPr>
          <w:rFonts w:hint="eastAsia"/>
          <w:b/>
          <w:bCs/>
          <w:rtl/>
        </w:rPr>
        <w:t>אלימות</w:t>
      </w:r>
      <w:r w:rsidRPr="00956B0F">
        <w:rPr>
          <w:b/>
          <w:bCs/>
          <w:rtl/>
        </w:rPr>
        <w:t xml:space="preserve"> </w:t>
      </w:r>
      <w:r w:rsidRPr="00956B0F">
        <w:rPr>
          <w:rFonts w:hint="eastAsia"/>
          <w:b/>
          <w:bCs/>
          <w:rtl/>
        </w:rPr>
        <w:t>במשפחה</w:t>
      </w:r>
      <w:r w:rsidRPr="00956B0F">
        <w:rPr>
          <w:b/>
          <w:bCs/>
          <w:rtl/>
        </w:rPr>
        <w:t xml:space="preserve"> - </w:t>
      </w:r>
      <w:r w:rsidRPr="00956B0F">
        <w:rPr>
          <w:rFonts w:hint="eastAsia"/>
          <w:b/>
          <w:bCs/>
          <w:rtl/>
        </w:rPr>
        <w:t>היבטים</w:t>
      </w:r>
      <w:r w:rsidRPr="00956B0F">
        <w:rPr>
          <w:b/>
          <w:bCs/>
          <w:rtl/>
        </w:rPr>
        <w:t xml:space="preserve"> </w:t>
      </w:r>
      <w:r w:rsidRPr="00956B0F">
        <w:rPr>
          <w:rFonts w:hint="eastAsia"/>
          <w:b/>
          <w:bCs/>
          <w:rtl/>
        </w:rPr>
        <w:t>בהיערכות</w:t>
      </w:r>
      <w:r w:rsidRPr="00956B0F">
        <w:rPr>
          <w:b/>
          <w:bCs/>
          <w:rtl/>
        </w:rPr>
        <w:t xml:space="preserve"> </w:t>
      </w:r>
      <w:r w:rsidRPr="00956B0F">
        <w:rPr>
          <w:rFonts w:hint="eastAsia"/>
          <w:b/>
          <w:bCs/>
          <w:rtl/>
        </w:rPr>
        <w:t>הרשויות</w:t>
      </w:r>
      <w:r w:rsidRPr="00956B0F">
        <w:rPr>
          <w:rtl/>
        </w:rPr>
        <w:t>" (17.8.20), עמ' 7.</w:t>
      </w:r>
      <w:r w:rsidRPr="00956B0F">
        <w:rPr>
          <w:rFonts w:hint="cs"/>
          <w:rtl/>
        </w:rPr>
        <w:t xml:space="preserve"> ראו גם את תת-הפרק "רתימה להליך טיפולי-שיקומי בקהילה".</w:t>
      </w:r>
    </w:p>
  </w:footnote>
  <w:footnote w:id="458">
    <w:p w14:paraId="0EF9859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שירות בתי הסוהר מפעיל ארבע מחלקות שיקומיות ייעודיות לטיפול באסירים המרצים מאסר בגין עבירות אלימות במשפחה; שש מחלקות ייעודיות לטיפול באסירים המרצים מאסר בגין עבירות אלימות כללית; וכן תוכנית לטיפול באסירי עולם לא קצובים. משך הטיפול הממוצע הוא שישה עד 24 חודשים.</w:t>
      </w:r>
    </w:p>
  </w:footnote>
  <w:footnote w:id="459">
    <w:p w14:paraId="15879AE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באדי חסייסי, אפרת שהם, דיויד וייסבורד, נעם חביב וענת זליג, "פתח תקווה: השפעה של 'החבילה הטיפולית' בתכניות אלימות במשפחה בבתי סוהר על רצידיביזם: המקרה של 'בית התקווה' בכלא 'חרמון'", </w:t>
      </w:r>
      <w:r w:rsidRPr="00956B0F">
        <w:rPr>
          <w:rFonts w:hint="cs"/>
          <w:b/>
          <w:bCs/>
          <w:rtl/>
        </w:rPr>
        <w:t>צוהר לבית סוהר</w:t>
      </w:r>
      <w:r w:rsidRPr="00956B0F">
        <w:rPr>
          <w:rFonts w:hint="cs"/>
          <w:rtl/>
        </w:rPr>
        <w:t xml:space="preserve"> 18, </w:t>
      </w:r>
      <w:r w:rsidRPr="00956B0F">
        <w:rPr>
          <w:rtl/>
        </w:rPr>
        <w:t>32</w:t>
      </w:r>
      <w:r w:rsidRPr="00956B0F">
        <w:rPr>
          <w:rFonts w:hint="cs"/>
          <w:rtl/>
        </w:rPr>
        <w:t xml:space="preserve"> (2017), עמ' 43 (להלן - חסייסי, שהם, וייסבורד, חביב וזליג).</w:t>
      </w:r>
    </w:p>
  </w:footnote>
  <w:footnote w:id="460">
    <w:p w14:paraId="0E4D37C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חסייסי, שהם, וייסבורד, חביב וזליג, עמ' 47.</w:t>
      </w:r>
    </w:p>
  </w:footnote>
  <w:footnote w:id="461">
    <w:p w14:paraId="43609951"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הנתון מתייחס</w:t>
      </w:r>
      <w:r w:rsidRPr="00956B0F">
        <w:rPr>
          <w:rtl/>
        </w:rPr>
        <w:t xml:space="preserve"> לתקופת המאסר </w:t>
      </w:r>
      <w:r w:rsidRPr="00956B0F">
        <w:rPr>
          <w:rFonts w:hint="cs"/>
          <w:rtl/>
        </w:rPr>
        <w:t xml:space="preserve">של אסירים שריצו מאסר בגין עבירות אלימות במשפחה (אלמ"ב לפי חוק) או </w:t>
      </w:r>
      <w:r w:rsidRPr="00956B0F">
        <w:rPr>
          <w:rtl/>
        </w:rPr>
        <w:t xml:space="preserve">שהוגדרו כבעלי מוּעדות לבעיית אלימות במשפחה </w:t>
      </w:r>
      <w:r w:rsidRPr="00956B0F">
        <w:rPr>
          <w:rFonts w:hint="cs"/>
          <w:rtl/>
        </w:rPr>
        <w:t>(</w:t>
      </w:r>
      <w:r w:rsidRPr="00956B0F">
        <w:rPr>
          <w:rtl/>
        </w:rPr>
        <w:t>פרופיל אלמ"ב</w:t>
      </w:r>
      <w:r w:rsidRPr="00956B0F">
        <w:rPr>
          <w:rFonts w:hint="cs"/>
          <w:rtl/>
        </w:rPr>
        <w:t>)</w:t>
      </w:r>
      <w:r w:rsidRPr="00956B0F">
        <w:rPr>
          <w:rtl/>
        </w:rPr>
        <w:t>.</w:t>
      </w:r>
      <w:r w:rsidRPr="00956B0F">
        <w:rPr>
          <w:rFonts w:hint="cs"/>
          <w:rtl/>
        </w:rPr>
        <w:t xml:space="preserve"> לעניין משכי המאסר הקצרים של אסירים המרצים מאסר בגין עבירות אלימות במשפחה ראו גם: ענת פירסט ומיכל אגמון-גונן, "המכונית שווה יותר?! - הענישה בעבירות אלימות נגד בנות זוג", </w:t>
      </w:r>
      <w:r w:rsidRPr="00956B0F">
        <w:rPr>
          <w:rFonts w:hint="cs"/>
          <w:b/>
          <w:bCs/>
          <w:rtl/>
        </w:rPr>
        <w:t>עיונים במשפט, מגדר ופמיניזם</w:t>
      </w:r>
      <w:r w:rsidRPr="00956B0F">
        <w:rPr>
          <w:rFonts w:hint="cs"/>
          <w:rtl/>
        </w:rPr>
        <w:t xml:space="preserve"> 545 (התשס"ז); עירית נגבי ותמר ברנבלום, "מבט פמינסטי ביקורתי על הישגי הרפורמות החקיקתיות בדיני האונס", </w:t>
      </w:r>
      <w:r w:rsidRPr="00956B0F">
        <w:rPr>
          <w:rFonts w:hint="cs"/>
          <w:b/>
          <w:bCs/>
          <w:rtl/>
        </w:rPr>
        <w:t xml:space="preserve">המשפט </w:t>
      </w:r>
      <w:r w:rsidRPr="00956B0F">
        <w:rPr>
          <w:rFonts w:hint="cs"/>
          <w:rtl/>
        </w:rPr>
        <w:t>טז 209 (התשע"א)</w:t>
      </w:r>
      <w:r w:rsidRPr="00956B0F">
        <w:rPr>
          <w:rStyle w:val="Hyperlink"/>
          <w:color w:val="auto"/>
          <w:u w:val="none"/>
          <w:rtl/>
        </w:rPr>
        <w:t>,</w:t>
      </w:r>
      <w:r w:rsidRPr="00956B0F">
        <w:rPr>
          <w:rtl/>
        </w:rPr>
        <w:t xml:space="preserve"> </w:t>
      </w:r>
      <w:r w:rsidRPr="00956B0F">
        <w:rPr>
          <w:rStyle w:val="Hyperlink"/>
          <w:rFonts w:hint="eastAsia"/>
          <w:color w:val="auto"/>
          <w:u w:val="none"/>
          <w:rtl/>
        </w:rPr>
        <w:t>עמ</w:t>
      </w:r>
      <w:r w:rsidRPr="00956B0F">
        <w:rPr>
          <w:rStyle w:val="Hyperlink"/>
          <w:color w:val="auto"/>
          <w:u w:val="none"/>
          <w:rtl/>
        </w:rPr>
        <w:t>' 209.</w:t>
      </w:r>
    </w:p>
  </w:footnote>
  <w:footnote w:id="462">
    <w:p w14:paraId="6BE686B9"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אסיר המרצה מאסר עשוי להשתלב ביותר מתוכנית שיקומית אחת במהלך מאסרו. הנתונים מתייחסים לאסירים ששולבו בלפחות תוכנית שיקומית אחת.</w:t>
      </w:r>
    </w:p>
  </w:footnote>
  <w:footnote w:id="463">
    <w:p w14:paraId="05CB604C" w14:textId="77777777" w:rsidR="00F769CC" w:rsidRPr="00956B0F" w:rsidRDefault="00F769CC" w:rsidP="00817399">
      <w:pPr>
        <w:pStyle w:val="af7"/>
      </w:pPr>
      <w:r w:rsidRPr="00956B0F">
        <w:rPr>
          <w:rStyle w:val="af9"/>
        </w:rPr>
        <w:footnoteRef/>
      </w:r>
      <w:r w:rsidRPr="00956B0F">
        <w:rPr>
          <w:rtl/>
        </w:rPr>
        <w:t xml:space="preserve"> </w:t>
      </w:r>
      <w:r w:rsidRPr="00956B0F">
        <w:rPr>
          <w:rtl/>
        </w:rPr>
        <w:tab/>
        <w:t>הנתונים על שילוב בפועל של אסירים בתוכניות שיקומיות אינו מביא בחשבון אסירים שהטיפול בהם הסתיים</w:t>
      </w:r>
      <w:r w:rsidRPr="00956B0F">
        <w:rPr>
          <w:rFonts w:hint="cs"/>
          <w:rtl/>
        </w:rPr>
        <w:t>, לרבות בשל נשירה מטיפול,</w:t>
      </w:r>
      <w:r w:rsidRPr="00956B0F">
        <w:rPr>
          <w:rtl/>
        </w:rPr>
        <w:t xml:space="preserve"> או </w:t>
      </w:r>
      <w:r w:rsidRPr="00956B0F">
        <w:rPr>
          <w:rFonts w:hint="cs"/>
          <w:rtl/>
        </w:rPr>
        <w:t xml:space="preserve">שהטיפול בהם </w:t>
      </w:r>
      <w:r w:rsidRPr="00956B0F">
        <w:rPr>
          <w:rtl/>
        </w:rPr>
        <w:t>טרם החל.</w:t>
      </w:r>
    </w:p>
  </w:footnote>
  <w:footnote w:id="464">
    <w:p w14:paraId="6639E51A"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אסירים </w:t>
      </w:r>
      <w:r w:rsidRPr="00956B0F">
        <w:rPr>
          <w:rtl/>
        </w:rPr>
        <w:t>ששוחררו ממאסר בגין עבירות אלימות במשפחה לאחר תקופה של עד 12 חודשים מתוך כלל האסירים ששוחררו ממאסר בגין עבירות אלימות במשפחה</w:t>
      </w:r>
      <w:r w:rsidRPr="00956B0F">
        <w:rPr>
          <w:rFonts w:hint="cs"/>
          <w:rtl/>
        </w:rPr>
        <w:t xml:space="preserve">. בשנת 2021 עמד שיעור זה על כ-66% (772 מתוך 1,175); בשנת 2022 עמד שיעור זה על כ-67% (596 מתוך 896); בשנת 2023 עמד שיעור זה על כ-61% (669 מתוך 1,101). </w:t>
      </w:r>
    </w:p>
  </w:footnote>
  <w:footnote w:id="465">
    <w:p w14:paraId="5616F7B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סעיף 3(2) לח</w:t>
      </w:r>
      <w:r w:rsidRPr="00956B0F">
        <w:rPr>
          <w:rtl/>
        </w:rPr>
        <w:t>וק הרשות לשיקום האסיר</w:t>
      </w:r>
      <w:r w:rsidRPr="00956B0F">
        <w:rPr>
          <w:rStyle w:val="Hyperlink"/>
          <w:color w:val="auto"/>
          <w:u w:val="none"/>
          <w:rtl/>
        </w:rPr>
        <w:t>.</w:t>
      </w:r>
    </w:p>
  </w:footnote>
  <w:footnote w:id="466">
    <w:p w14:paraId="4A298563"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eastAsia"/>
          <w:rtl/>
        </w:rPr>
        <w:t>סעיף</w:t>
      </w:r>
      <w:r w:rsidRPr="00956B0F">
        <w:rPr>
          <w:rtl/>
        </w:rPr>
        <w:t xml:space="preserve"> 11(א) </w:t>
      </w:r>
      <w:r w:rsidRPr="00956B0F">
        <w:rPr>
          <w:rFonts w:hint="eastAsia"/>
          <w:rtl/>
        </w:rPr>
        <w:t>לתקנות</w:t>
      </w:r>
      <w:r w:rsidRPr="00956B0F">
        <w:rPr>
          <w:rtl/>
        </w:rPr>
        <w:t xml:space="preserve"> </w:t>
      </w:r>
      <w:r w:rsidRPr="00956B0F">
        <w:rPr>
          <w:rFonts w:hint="cs"/>
          <w:rtl/>
        </w:rPr>
        <w:t>הוועדה להכנת תוכניות שיקום</w:t>
      </w:r>
    </w:p>
  </w:footnote>
  <w:footnote w:id="467">
    <w:p w14:paraId="35EF0E5E" w14:textId="77777777" w:rsidR="00F769CC" w:rsidRPr="00956B0F" w:rsidRDefault="00F769CC" w:rsidP="00817399">
      <w:pPr>
        <w:pStyle w:val="af7"/>
        <w:rPr>
          <w:rtl/>
        </w:rPr>
      </w:pPr>
      <w:r w:rsidRPr="00956B0F">
        <w:rPr>
          <w:rStyle w:val="af9"/>
        </w:rPr>
        <w:footnoteRef/>
      </w:r>
      <w:r w:rsidRPr="00956B0F">
        <w:rPr>
          <w:rFonts w:hint="cs"/>
          <w:rtl/>
        </w:rPr>
        <w:t xml:space="preserve"> </w:t>
      </w:r>
      <w:r w:rsidRPr="00956B0F">
        <w:rPr>
          <w:rtl/>
        </w:rPr>
        <w:tab/>
      </w:r>
      <w:r w:rsidRPr="00956B0F">
        <w:rPr>
          <w:rFonts w:hint="cs"/>
          <w:rtl/>
        </w:rPr>
        <w:t>סעיפים</w:t>
      </w:r>
      <w:r w:rsidRPr="00956B0F">
        <w:rPr>
          <w:rtl/>
        </w:rPr>
        <w:t xml:space="preserve"> 5 </w:t>
      </w:r>
      <w:r w:rsidRPr="00956B0F">
        <w:rPr>
          <w:rFonts w:hint="eastAsia"/>
          <w:rtl/>
        </w:rPr>
        <w:t>ו</w:t>
      </w:r>
      <w:r w:rsidRPr="00956B0F">
        <w:rPr>
          <w:rtl/>
        </w:rPr>
        <w:t xml:space="preserve">-7 </w:t>
      </w:r>
      <w:r w:rsidRPr="00956B0F">
        <w:rPr>
          <w:rFonts w:hint="eastAsia"/>
          <w:rtl/>
        </w:rPr>
        <w:t>לתקנות</w:t>
      </w:r>
      <w:r w:rsidRPr="00956B0F">
        <w:rPr>
          <w:rtl/>
        </w:rPr>
        <w:t xml:space="preserve"> </w:t>
      </w:r>
      <w:r w:rsidRPr="00956B0F">
        <w:rPr>
          <w:rFonts w:hint="cs"/>
          <w:rtl/>
        </w:rPr>
        <w:t>הוועדה להכנת תוכניות שיקום</w:t>
      </w:r>
      <w:r w:rsidRPr="00956B0F">
        <w:rPr>
          <w:rtl/>
        </w:rPr>
        <w:t>.</w:t>
      </w:r>
      <w:r w:rsidRPr="00956B0F">
        <w:rPr>
          <w:rFonts w:hint="cs"/>
          <w:rtl/>
        </w:rPr>
        <w:t xml:space="preserve"> לגבי אסירות חלה חובה להכין תוכנית שיקום גם אם משך מאסרן אינו עולה על שישה חודשים, ובלבד שהועברו לרשות לשיקום האסיר טופס הפנייה חתום בידי האסירה ודוח סוציאלי בעניינה. יצוין כי אף שלא חלה חובה בתקנות להכין תוכנית שיקום עבור אסירים השפוטים למאסרים קצרים כאמור, הרשות לשיקום האסיר מכינה תוכניות שיקום גם בנסיבות אלו, והתוכניות הללו מועברות להחלטתה של היחידה למאסרים קצרים.</w:t>
      </w:r>
    </w:p>
  </w:footnote>
  <w:footnote w:id="468">
    <w:p w14:paraId="2F06F91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סעיפים 3(2) ו-3(3) לח</w:t>
      </w:r>
      <w:r w:rsidRPr="00956B0F">
        <w:rPr>
          <w:rtl/>
        </w:rPr>
        <w:t>וק הרשות לשיקום האסיר</w:t>
      </w:r>
      <w:r w:rsidRPr="00956B0F">
        <w:rPr>
          <w:rStyle w:val="Hyperlink"/>
          <w:rFonts w:hint="cs"/>
          <w:color w:val="auto"/>
          <w:u w:val="none"/>
          <w:rtl/>
        </w:rPr>
        <w:t>.</w:t>
      </w:r>
    </w:p>
  </w:footnote>
  <w:footnote w:id="469">
    <w:p w14:paraId="398F22D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שער-אפודי ודגן, עמ' 120</w:t>
      </w:r>
      <w:bookmarkStart w:id="2341" w:name="_Hlk202342891"/>
      <w:r w:rsidRPr="00956B0F">
        <w:rPr>
          <w:rFonts w:hint="cs"/>
          <w:rtl/>
        </w:rPr>
        <w:t>.</w:t>
      </w:r>
      <w:bookmarkEnd w:id="2341"/>
    </w:p>
  </w:footnote>
  <w:footnote w:id="470">
    <w:p w14:paraId="4337E453" w14:textId="77777777" w:rsidR="00F769CC" w:rsidRPr="00956B0F" w:rsidRDefault="00F769CC" w:rsidP="00817399">
      <w:pPr>
        <w:pStyle w:val="af7"/>
        <w:rPr>
          <w:rtl/>
        </w:rPr>
      </w:pPr>
      <w:r w:rsidRPr="00956B0F">
        <w:rPr>
          <w:rStyle w:val="af9"/>
        </w:rPr>
        <w:footnoteRef/>
      </w:r>
      <w:r w:rsidRPr="00956B0F">
        <w:rPr>
          <w:rtl/>
        </w:rPr>
        <w:t xml:space="preserve"> </w:t>
      </w:r>
      <w:r w:rsidRPr="00956B0F">
        <w:tab/>
      </w:r>
      <w:r w:rsidRPr="00956B0F">
        <w:rPr>
          <w:rFonts w:hint="cs"/>
          <w:rtl/>
        </w:rPr>
        <w:t>סעיפים 3 ו-9 לחוק שחרור על תנאי ממאסר, התשס"א-2001.</w:t>
      </w:r>
      <w:r w:rsidRPr="00956B0F">
        <w:rPr>
          <w:rtl/>
        </w:rPr>
        <w:t xml:space="preserve"> </w:t>
      </w:r>
      <w:r w:rsidRPr="00956B0F">
        <w:rPr>
          <w:rFonts w:hint="cs"/>
          <w:rtl/>
        </w:rPr>
        <w:t>ראו גם: שער-אפודי ודגן, עמ' 124. יצוין כי עניינם של אסירים המרצים מאסר של עד שישה חודשים בגין עבירת אלימות במשפחה מובא בפני ועדות מסוכנוּת הפועלות בשירות בתי הסוהר לפי פקודת נציבות שירות בתי הסוהר 04.54.03, "</w:t>
      </w:r>
      <w:r w:rsidRPr="00956B0F">
        <w:rPr>
          <w:rFonts w:hint="eastAsia"/>
          <w:rtl/>
        </w:rPr>
        <w:t>אופן</w:t>
      </w:r>
      <w:r w:rsidRPr="00956B0F">
        <w:rPr>
          <w:rtl/>
        </w:rPr>
        <w:t xml:space="preserve"> </w:t>
      </w:r>
      <w:r w:rsidRPr="00956B0F">
        <w:rPr>
          <w:rFonts w:hint="eastAsia"/>
          <w:rtl/>
        </w:rPr>
        <w:t>עבודת</w:t>
      </w:r>
      <w:r w:rsidRPr="00956B0F">
        <w:rPr>
          <w:rtl/>
        </w:rPr>
        <w:t xml:space="preserve"> </w:t>
      </w:r>
      <w:r w:rsidRPr="00956B0F">
        <w:rPr>
          <w:rFonts w:hint="eastAsia"/>
          <w:rtl/>
        </w:rPr>
        <w:t>ועדות</w:t>
      </w:r>
      <w:r w:rsidRPr="00956B0F">
        <w:rPr>
          <w:rtl/>
        </w:rPr>
        <w:t xml:space="preserve"> </w:t>
      </w:r>
      <w:r w:rsidRPr="00956B0F">
        <w:rPr>
          <w:rFonts w:hint="eastAsia"/>
          <w:rtl/>
        </w:rPr>
        <w:t>משרדיות</w:t>
      </w:r>
      <w:r w:rsidRPr="00956B0F">
        <w:rPr>
          <w:rtl/>
        </w:rPr>
        <w:t xml:space="preserve"> </w:t>
      </w:r>
      <w:r w:rsidRPr="00956B0F">
        <w:rPr>
          <w:rFonts w:hint="eastAsia"/>
          <w:rtl/>
        </w:rPr>
        <w:t>ובין</w:t>
      </w:r>
      <w:r w:rsidRPr="00956B0F">
        <w:rPr>
          <w:rFonts w:hint="cs"/>
          <w:rtl/>
        </w:rPr>
        <w:t>-</w:t>
      </w:r>
      <w:r w:rsidRPr="00956B0F">
        <w:rPr>
          <w:rFonts w:hint="eastAsia"/>
          <w:rtl/>
        </w:rPr>
        <w:t>משרדיות</w:t>
      </w:r>
      <w:r w:rsidRPr="00956B0F">
        <w:rPr>
          <w:rtl/>
        </w:rPr>
        <w:t xml:space="preserve"> </w:t>
      </w:r>
      <w:r w:rsidRPr="00956B0F">
        <w:rPr>
          <w:rFonts w:hint="eastAsia"/>
          <w:rtl/>
        </w:rPr>
        <w:t>לעבירות</w:t>
      </w:r>
      <w:r w:rsidRPr="00956B0F">
        <w:rPr>
          <w:rtl/>
        </w:rPr>
        <w:t xml:space="preserve"> </w:t>
      </w:r>
      <w:r w:rsidRPr="00956B0F">
        <w:rPr>
          <w:rFonts w:hint="eastAsia"/>
          <w:rtl/>
        </w:rPr>
        <w:t>במשפחה</w:t>
      </w:r>
      <w:r w:rsidRPr="00956B0F">
        <w:rPr>
          <w:rtl/>
        </w:rPr>
        <w:t xml:space="preserve"> - </w:t>
      </w:r>
      <w:r w:rsidRPr="00956B0F">
        <w:rPr>
          <w:rFonts w:hint="eastAsia"/>
          <w:rtl/>
        </w:rPr>
        <w:t>אלימות</w:t>
      </w:r>
      <w:r w:rsidRPr="00956B0F">
        <w:rPr>
          <w:rtl/>
        </w:rPr>
        <w:t xml:space="preserve"> </w:t>
      </w:r>
      <w:r w:rsidRPr="00956B0F">
        <w:rPr>
          <w:rFonts w:hint="eastAsia"/>
          <w:rtl/>
        </w:rPr>
        <w:t>וגילוי</w:t>
      </w:r>
      <w:r w:rsidRPr="00956B0F">
        <w:rPr>
          <w:rtl/>
        </w:rPr>
        <w:t xml:space="preserve"> </w:t>
      </w:r>
      <w:r w:rsidRPr="00956B0F">
        <w:rPr>
          <w:rFonts w:hint="eastAsia"/>
          <w:rtl/>
        </w:rPr>
        <w:t>עריות</w:t>
      </w:r>
      <w:r w:rsidRPr="00956B0F">
        <w:rPr>
          <w:rFonts w:hint="cs"/>
          <w:rtl/>
        </w:rPr>
        <w:t xml:space="preserve">" </w:t>
      </w:r>
      <w:r w:rsidRPr="00956B0F">
        <w:rPr>
          <w:rtl/>
        </w:rPr>
        <w:t>(28.7.15</w:t>
      </w:r>
      <w:r w:rsidRPr="00956B0F">
        <w:rPr>
          <w:rFonts w:hint="cs"/>
          <w:rtl/>
        </w:rPr>
        <w:t>) (עדכון אחרון: 5.1.17).</w:t>
      </w:r>
    </w:p>
  </w:footnote>
  <w:footnote w:id="471">
    <w:p w14:paraId="523F1EAA" w14:textId="77777777" w:rsidR="00F769CC" w:rsidRPr="00956B0F" w:rsidRDefault="00F769CC" w:rsidP="00817399">
      <w:pPr>
        <w:pStyle w:val="af7"/>
        <w:rPr>
          <w:rtl/>
        </w:rPr>
      </w:pPr>
      <w:r w:rsidRPr="00956B0F">
        <w:rPr>
          <w:rStyle w:val="af9"/>
        </w:rPr>
        <w:footnoteRef/>
      </w:r>
      <w:r w:rsidRPr="00956B0F">
        <w:rPr>
          <w:rtl/>
        </w:rPr>
        <w:t xml:space="preserve"> </w:t>
      </w:r>
      <w:r w:rsidRPr="00956B0F">
        <w:tab/>
      </w:r>
      <w:r w:rsidRPr="00956B0F">
        <w:rPr>
          <w:rFonts w:hint="cs"/>
          <w:rtl/>
        </w:rPr>
        <w:t>סעיף 11 לחוק שחרור על תנאי ממאסר, התשס"א-2001.</w:t>
      </w:r>
    </w:p>
  </w:footnote>
  <w:footnote w:id="472">
    <w:p w14:paraId="5A8849C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הנתון מתייחס לכלל השחרורים, לרבות אסירים ששוחררו במהלך התקופה האמורה וחזרו למאסר נוסף בתוך תקופה זו. </w:t>
      </w:r>
    </w:p>
  </w:footnote>
  <w:footnote w:id="473">
    <w:p w14:paraId="3983585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מקרב כלל האסירים הפליליים, לרבות אסירים שריצו מאסר בגין עבירות שאינן בתחום האלימות במשפחה, שיעור זה נמוך יותר ועמד בשנת 2023 על כ-73% (7,803 מתוך 10,629 אסירים פליליים ששוחררו בשנת 2023). ראו: תהילה שחר ונורית יכימוביץ-כהן, </w:t>
      </w:r>
      <w:r w:rsidRPr="00956B0F">
        <w:rPr>
          <w:rFonts w:hint="cs"/>
          <w:b/>
          <w:bCs/>
          <w:rtl/>
        </w:rPr>
        <w:t>שחרורים על-תנאי ממאסר</w:t>
      </w:r>
      <w:r w:rsidRPr="00956B0F">
        <w:rPr>
          <w:rFonts w:hint="cs"/>
          <w:rtl/>
        </w:rPr>
        <w:t xml:space="preserve"> (2024), עמ' 11.</w:t>
      </w:r>
    </w:p>
  </w:footnote>
  <w:footnote w:id="474">
    <w:p w14:paraId="7EE0136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מקרב כלל האסירים הפליליים, לרבות אסירים שריצו מאסר בגין עבירות שאינן בתחום האלימות במשפחה, שיעור זה היה גבוה יותר ועמד על כ-14% מהמשוחררים שחרור מוקדם בשנת 2023 (1,444 מתוך 9,247 אסירים פליליים ששוחררו שחרור מינהלי או שחרור על תנאי בשנת 2023). ראו: תהילה שחר ונורית יכימוביץ-כהן, </w:t>
      </w:r>
      <w:r w:rsidRPr="00956B0F">
        <w:rPr>
          <w:rFonts w:hint="cs"/>
          <w:b/>
          <w:bCs/>
          <w:rtl/>
        </w:rPr>
        <w:t>שחרורים על-תנאי ממאסר</w:t>
      </w:r>
      <w:r w:rsidRPr="00956B0F">
        <w:rPr>
          <w:rFonts w:hint="cs"/>
          <w:rtl/>
        </w:rPr>
        <w:t xml:space="preserve"> (2024), עמ' 9 ו-11.</w:t>
      </w:r>
    </w:p>
  </w:footnote>
  <w:footnote w:id="475">
    <w:p w14:paraId="75548F62"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שער-אפודי ודגן, עמ' 133 - 134.</w:t>
      </w:r>
    </w:p>
  </w:footnote>
  <w:footnote w:id="476">
    <w:p w14:paraId="480D9B5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 xml:space="preserve">משך השהות הממוצעת בהוסטל היה כ-15 חודשים, והוא נועד לתת מענה טיפולי בתנאי דיירות עבור עד 14 אסירים משוחררים בכל רגע נתון. ראו גם: </w:t>
      </w:r>
      <w:r w:rsidRPr="00956B0F">
        <w:rPr>
          <w:rFonts w:hint="eastAsia"/>
          <w:rtl/>
        </w:rPr>
        <w:t>עדנה</w:t>
      </w:r>
      <w:r w:rsidRPr="00956B0F">
        <w:rPr>
          <w:rtl/>
        </w:rPr>
        <w:t xml:space="preserve"> פכט ואיילת גינדי, "לא עוד המין החלש: העצמת בנות זוג של גברים אלימים בהוסטל "מפתחות", </w:t>
      </w:r>
      <w:r w:rsidRPr="00956B0F">
        <w:rPr>
          <w:rFonts w:hint="eastAsia"/>
          <w:b/>
          <w:bCs/>
          <w:rtl/>
        </w:rPr>
        <w:t>צוהר</w:t>
      </w:r>
      <w:r w:rsidRPr="00956B0F">
        <w:rPr>
          <w:rtl/>
        </w:rPr>
        <w:t xml:space="preserve"> </w:t>
      </w:r>
      <w:r w:rsidRPr="00956B0F">
        <w:rPr>
          <w:rFonts w:hint="eastAsia"/>
          <w:b/>
          <w:bCs/>
          <w:rtl/>
        </w:rPr>
        <w:t>לבית</w:t>
      </w:r>
      <w:r w:rsidRPr="00956B0F">
        <w:rPr>
          <w:rtl/>
        </w:rPr>
        <w:t xml:space="preserve"> </w:t>
      </w:r>
      <w:r w:rsidRPr="00956B0F">
        <w:rPr>
          <w:rFonts w:hint="eastAsia"/>
          <w:b/>
          <w:bCs/>
          <w:rtl/>
        </w:rPr>
        <w:t>סוהר</w:t>
      </w:r>
      <w:r w:rsidRPr="00956B0F">
        <w:rPr>
          <w:rtl/>
        </w:rPr>
        <w:t xml:space="preserve"> 18, 94 (2017), </w:t>
      </w:r>
      <w:r w:rsidRPr="00956B0F">
        <w:rPr>
          <w:rFonts w:hint="eastAsia"/>
          <w:rtl/>
        </w:rPr>
        <w:t>עמ</w:t>
      </w:r>
      <w:r w:rsidRPr="00956B0F">
        <w:rPr>
          <w:rtl/>
        </w:rPr>
        <w:t>' 99</w:t>
      </w:r>
      <w:r w:rsidRPr="00956B0F">
        <w:rPr>
          <w:rStyle w:val="Hyperlink"/>
          <w:color w:val="auto"/>
          <w:u w:val="none"/>
          <w:rtl/>
        </w:rPr>
        <w:t>.</w:t>
      </w:r>
    </w:p>
  </w:footnote>
  <w:footnote w:id="477">
    <w:p w14:paraId="4D0C1784"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נוסף על האסירים טופלו במהלך השנים הללו בהוסטל "מפתחות" גם 168 מבני משפחותיהם של האסירים.</w:t>
      </w:r>
    </w:p>
  </w:footnote>
  <w:footnote w:id="478">
    <w:p w14:paraId="63EEF96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במרכז הרב-תחומי "קמה" מתקיימות התערבויות זוגיות או משפחתיות קצרות טווח ולא טיפולים זוגיים או משפחתיים. עם זאת, המסגרת מצויה בהליך חיפוש אחר איש מקצוע מתאים לצורך מתן השירותים הללו.</w:t>
      </w:r>
    </w:p>
  </w:footnote>
  <w:footnote w:id="479">
    <w:p w14:paraId="61E36F3C"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"רתימה להליך טיפולי-שיקומי בקהילה".</w:t>
      </w:r>
    </w:p>
  </w:footnote>
  <w:footnote w:id="480">
    <w:p w14:paraId="6D2F4A2E"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בביקורת הקודמת נושא זה נכלל בתת-הפרק "ועדות מחוזיות לעבירות במשפחה", עמ' 549 - 550 ובתת-הפרק "שחרור מוקדם", עמ' 550 - 551.</w:t>
      </w:r>
    </w:p>
  </w:footnote>
  <w:footnote w:id="481">
    <w:p w14:paraId="4A3DAA71"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לפי</w:t>
      </w:r>
      <w:r w:rsidRPr="00956B0F">
        <w:rPr>
          <w:rtl/>
        </w:rPr>
        <w:t xml:space="preserve"> </w:t>
      </w:r>
      <w:r w:rsidRPr="00956B0F">
        <w:rPr>
          <w:rFonts w:hint="eastAsia"/>
          <w:rtl/>
        </w:rPr>
        <w:t>סעיף</w:t>
      </w:r>
      <w:r w:rsidRPr="00956B0F">
        <w:rPr>
          <w:rtl/>
        </w:rPr>
        <w:t xml:space="preserve"> 68א </w:t>
      </w:r>
      <w:r w:rsidRPr="00956B0F">
        <w:rPr>
          <w:rFonts w:hint="eastAsia"/>
          <w:rtl/>
        </w:rPr>
        <w:t>לפקודת</w:t>
      </w:r>
      <w:r w:rsidRPr="00956B0F">
        <w:rPr>
          <w:rtl/>
        </w:rPr>
        <w:t xml:space="preserve"> </w:t>
      </w:r>
      <w:r w:rsidRPr="00956B0F">
        <w:rPr>
          <w:rFonts w:hint="eastAsia"/>
          <w:rtl/>
        </w:rPr>
        <w:t>בתי</w:t>
      </w:r>
      <w:r w:rsidRPr="00956B0F">
        <w:rPr>
          <w:rtl/>
        </w:rPr>
        <w:t xml:space="preserve"> </w:t>
      </w:r>
      <w:r w:rsidRPr="00956B0F">
        <w:rPr>
          <w:rFonts w:hint="eastAsia"/>
          <w:rtl/>
        </w:rPr>
        <w:t>הסוהר</w:t>
      </w:r>
      <w:r w:rsidRPr="00956B0F">
        <w:rPr>
          <w:rtl/>
        </w:rPr>
        <w:t xml:space="preserve">, </w:t>
      </w:r>
      <w:r w:rsidRPr="00956B0F">
        <w:rPr>
          <w:rFonts w:hint="cs"/>
          <w:rtl/>
        </w:rPr>
        <w:t xml:space="preserve">בנוסחו במועד סיומה של הביקורת הקודמת, </w:t>
      </w:r>
      <w:r w:rsidRPr="00956B0F">
        <w:rPr>
          <w:rFonts w:hint="eastAsia"/>
          <w:rtl/>
        </w:rPr>
        <w:t>אסירים</w:t>
      </w:r>
      <w:r w:rsidRPr="00956B0F">
        <w:rPr>
          <w:rtl/>
        </w:rPr>
        <w:t xml:space="preserve"> </w:t>
      </w:r>
      <w:r w:rsidRPr="00956B0F">
        <w:rPr>
          <w:rFonts w:hint="cs"/>
          <w:rtl/>
        </w:rPr>
        <w:t xml:space="preserve">שהיו </w:t>
      </w:r>
      <w:r w:rsidRPr="00956B0F">
        <w:rPr>
          <w:rFonts w:hint="eastAsia"/>
          <w:rtl/>
        </w:rPr>
        <w:t>שפוטים</w:t>
      </w:r>
      <w:r w:rsidRPr="00956B0F">
        <w:rPr>
          <w:rtl/>
        </w:rPr>
        <w:t xml:space="preserve"> לתקופת מאסר העולה על </w:t>
      </w:r>
      <w:r w:rsidRPr="00956B0F">
        <w:rPr>
          <w:rFonts w:hint="cs"/>
          <w:rtl/>
        </w:rPr>
        <w:t>ארבע</w:t>
      </w:r>
      <w:r w:rsidRPr="00956B0F">
        <w:rPr>
          <w:rtl/>
        </w:rPr>
        <w:t xml:space="preserve"> שנים שוחררו שחרור מינהלי רק בכפוף לקבלת החלטה על שחרור על תנאי ממאסר בעניינם</w:t>
      </w:r>
      <w:r w:rsidRPr="00956B0F">
        <w:rPr>
          <w:rFonts w:hint="cs"/>
          <w:rtl/>
        </w:rPr>
        <w:t xml:space="preserve">. במסגרת תיקון מס' </w:t>
      </w:r>
      <w:r w:rsidRPr="00956B0F">
        <w:rPr>
          <w:rtl/>
        </w:rPr>
        <w:t>57</w:t>
      </w:r>
      <w:r w:rsidRPr="00956B0F">
        <w:rPr>
          <w:rFonts w:hint="cs"/>
          <w:rtl/>
        </w:rPr>
        <w:t xml:space="preserve"> לפקודת בתי הסוהר קוצרה תקופת המאסר שבגינה ניתן לשחרר ממאסר שחרור מינהלי שלא בכפוף להחלטה על שחרור על תנאי ממאסר לתקופה של שלוש שנים (</w:t>
      </w:r>
      <w:r w:rsidRPr="00956B0F">
        <w:rPr>
          <w:rFonts w:hint="eastAsia"/>
          <w:rtl/>
        </w:rPr>
        <w:t>חוק</w:t>
      </w:r>
      <w:r w:rsidRPr="00956B0F">
        <w:rPr>
          <w:rtl/>
        </w:rPr>
        <w:t xml:space="preserve"> </w:t>
      </w:r>
      <w:r w:rsidRPr="00956B0F">
        <w:rPr>
          <w:rFonts w:hint="eastAsia"/>
          <w:rtl/>
        </w:rPr>
        <w:t>לתיקון</w:t>
      </w:r>
      <w:r w:rsidRPr="00956B0F">
        <w:rPr>
          <w:rtl/>
        </w:rPr>
        <w:t xml:space="preserve"> </w:t>
      </w:r>
      <w:r w:rsidRPr="00956B0F">
        <w:rPr>
          <w:rFonts w:hint="eastAsia"/>
          <w:rtl/>
        </w:rPr>
        <w:t>פקודת</w:t>
      </w:r>
      <w:r w:rsidRPr="00956B0F">
        <w:rPr>
          <w:rtl/>
        </w:rPr>
        <w:t xml:space="preserve"> </w:t>
      </w:r>
      <w:r w:rsidRPr="00956B0F">
        <w:rPr>
          <w:rFonts w:hint="eastAsia"/>
          <w:rtl/>
        </w:rPr>
        <w:t>בתי</w:t>
      </w:r>
      <w:r w:rsidRPr="00956B0F">
        <w:rPr>
          <w:rtl/>
        </w:rPr>
        <w:t xml:space="preserve"> </w:t>
      </w:r>
      <w:r w:rsidRPr="00956B0F">
        <w:rPr>
          <w:rFonts w:hint="eastAsia"/>
          <w:rtl/>
        </w:rPr>
        <w:t>הסוהר</w:t>
      </w:r>
      <w:r w:rsidRPr="00956B0F">
        <w:rPr>
          <w:rtl/>
        </w:rPr>
        <w:t xml:space="preserve"> [מס' 57 והוראת שעה], </w:t>
      </w:r>
      <w:r w:rsidRPr="00956B0F">
        <w:rPr>
          <w:rFonts w:hint="eastAsia"/>
          <w:rtl/>
        </w:rPr>
        <w:t>התשפ</w:t>
      </w:r>
      <w:r w:rsidRPr="00956B0F">
        <w:rPr>
          <w:rtl/>
        </w:rPr>
        <w:t xml:space="preserve">"ב -2021, </w:t>
      </w:r>
      <w:r w:rsidRPr="00956B0F">
        <w:rPr>
          <w:rFonts w:hint="eastAsia"/>
          <w:rtl/>
        </w:rPr>
        <w:t>ס</w:t>
      </w:r>
      <w:r w:rsidRPr="00956B0F">
        <w:rPr>
          <w:rtl/>
        </w:rPr>
        <w:t>"ח 480</w:t>
      </w:r>
      <w:r w:rsidRPr="00956B0F">
        <w:rPr>
          <w:rFonts w:hint="cs"/>
          <w:rtl/>
        </w:rPr>
        <w:t>)</w:t>
      </w:r>
      <w:r w:rsidRPr="00956B0F">
        <w:rPr>
          <w:rtl/>
        </w:rPr>
        <w:t>.</w:t>
      </w:r>
    </w:p>
  </w:footnote>
  <w:footnote w:id="482">
    <w:p w14:paraId="3AC081E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eastAsia"/>
          <w:rtl/>
        </w:rPr>
        <w:t>סעיף</w:t>
      </w:r>
      <w:r w:rsidRPr="00956B0F">
        <w:rPr>
          <w:rtl/>
        </w:rPr>
        <w:t xml:space="preserve"> 8(א) </w:t>
      </w:r>
      <w:r w:rsidRPr="00956B0F">
        <w:rPr>
          <w:rFonts w:hint="eastAsia"/>
          <w:rtl/>
        </w:rPr>
        <w:t>ו</w:t>
      </w:r>
      <w:r w:rsidRPr="00956B0F">
        <w:rPr>
          <w:rtl/>
        </w:rPr>
        <w:t xml:space="preserve">-8(ח) </w:t>
      </w:r>
      <w:r w:rsidRPr="00956B0F">
        <w:rPr>
          <w:rFonts w:hint="eastAsia"/>
          <w:rtl/>
        </w:rPr>
        <w:t>לפקודת</w:t>
      </w:r>
      <w:r w:rsidRPr="00956B0F">
        <w:rPr>
          <w:rtl/>
        </w:rPr>
        <w:t xml:space="preserve"> </w:t>
      </w:r>
      <w:r w:rsidRPr="00956B0F">
        <w:rPr>
          <w:rFonts w:hint="eastAsia"/>
          <w:rtl/>
        </w:rPr>
        <w:t>נציבות</w:t>
      </w:r>
      <w:r w:rsidRPr="00956B0F">
        <w:rPr>
          <w:rtl/>
        </w:rPr>
        <w:t xml:space="preserve"> </w:t>
      </w:r>
      <w:r w:rsidRPr="00956B0F">
        <w:rPr>
          <w:rFonts w:hint="eastAsia"/>
          <w:rtl/>
        </w:rPr>
        <w:t>שירות</w:t>
      </w:r>
      <w:r w:rsidRPr="00956B0F">
        <w:rPr>
          <w:rtl/>
        </w:rPr>
        <w:t xml:space="preserve"> </w:t>
      </w:r>
      <w:r w:rsidRPr="00956B0F">
        <w:rPr>
          <w:rFonts w:hint="eastAsia"/>
          <w:rtl/>
        </w:rPr>
        <w:t>בתי</w:t>
      </w:r>
      <w:r w:rsidRPr="00956B0F">
        <w:rPr>
          <w:rtl/>
        </w:rPr>
        <w:t xml:space="preserve"> </w:t>
      </w:r>
      <w:r w:rsidRPr="00956B0F">
        <w:rPr>
          <w:rFonts w:hint="eastAsia"/>
          <w:rtl/>
        </w:rPr>
        <w:t>הסוהר</w:t>
      </w:r>
      <w:r w:rsidRPr="00956B0F">
        <w:rPr>
          <w:rtl/>
        </w:rPr>
        <w:t xml:space="preserve"> 04.54.03,</w:t>
      </w:r>
      <w:r w:rsidRPr="00956B0F">
        <w:rPr>
          <w:rFonts w:hint="cs"/>
          <w:rtl/>
        </w:rPr>
        <w:t xml:space="preserve"> </w:t>
      </w:r>
      <w:r w:rsidRPr="00956B0F">
        <w:rPr>
          <w:rtl/>
        </w:rPr>
        <w:t>"</w:t>
      </w:r>
      <w:r w:rsidRPr="00956B0F">
        <w:rPr>
          <w:rFonts w:hint="eastAsia"/>
          <w:rtl/>
        </w:rPr>
        <w:t>אופן</w:t>
      </w:r>
      <w:r w:rsidRPr="00956B0F">
        <w:rPr>
          <w:rtl/>
        </w:rPr>
        <w:t xml:space="preserve"> </w:t>
      </w:r>
      <w:r w:rsidRPr="00956B0F">
        <w:rPr>
          <w:rFonts w:hint="eastAsia"/>
          <w:rtl/>
        </w:rPr>
        <w:t>עבודת</w:t>
      </w:r>
      <w:r w:rsidRPr="00956B0F">
        <w:rPr>
          <w:rtl/>
        </w:rPr>
        <w:t xml:space="preserve"> </w:t>
      </w:r>
      <w:r w:rsidRPr="00956B0F">
        <w:rPr>
          <w:rFonts w:hint="eastAsia"/>
          <w:rtl/>
        </w:rPr>
        <w:t>ועדות</w:t>
      </w:r>
      <w:r w:rsidRPr="00956B0F">
        <w:rPr>
          <w:rtl/>
        </w:rPr>
        <w:t xml:space="preserve"> </w:t>
      </w:r>
      <w:r w:rsidRPr="00956B0F">
        <w:rPr>
          <w:rFonts w:hint="eastAsia"/>
          <w:rtl/>
        </w:rPr>
        <w:t>משרדיות</w:t>
      </w:r>
      <w:r w:rsidRPr="00956B0F">
        <w:rPr>
          <w:rtl/>
        </w:rPr>
        <w:t xml:space="preserve"> </w:t>
      </w:r>
      <w:r w:rsidRPr="00956B0F">
        <w:rPr>
          <w:rFonts w:hint="eastAsia"/>
          <w:rtl/>
        </w:rPr>
        <w:t>ובין</w:t>
      </w:r>
      <w:r w:rsidRPr="00956B0F">
        <w:rPr>
          <w:rtl/>
        </w:rPr>
        <w:t>-</w:t>
      </w:r>
      <w:r w:rsidRPr="00956B0F">
        <w:rPr>
          <w:rFonts w:hint="eastAsia"/>
          <w:rtl/>
        </w:rPr>
        <w:t>משרדיות</w:t>
      </w:r>
      <w:r w:rsidRPr="00956B0F">
        <w:rPr>
          <w:rtl/>
        </w:rPr>
        <w:t xml:space="preserve"> </w:t>
      </w:r>
      <w:r w:rsidRPr="00956B0F">
        <w:rPr>
          <w:rFonts w:hint="eastAsia"/>
          <w:rtl/>
        </w:rPr>
        <w:t>לעבירות</w:t>
      </w:r>
      <w:r w:rsidRPr="00956B0F">
        <w:rPr>
          <w:rtl/>
        </w:rPr>
        <w:t xml:space="preserve"> </w:t>
      </w:r>
      <w:r w:rsidRPr="00956B0F">
        <w:rPr>
          <w:rFonts w:hint="eastAsia"/>
          <w:rtl/>
        </w:rPr>
        <w:t>במשפחה</w:t>
      </w:r>
      <w:r w:rsidRPr="00956B0F">
        <w:rPr>
          <w:rtl/>
        </w:rPr>
        <w:t xml:space="preserve"> - </w:t>
      </w:r>
      <w:r w:rsidRPr="00956B0F">
        <w:rPr>
          <w:rFonts w:hint="eastAsia"/>
          <w:rtl/>
        </w:rPr>
        <w:t>אלימות</w:t>
      </w:r>
      <w:r w:rsidRPr="00956B0F">
        <w:rPr>
          <w:rtl/>
        </w:rPr>
        <w:t xml:space="preserve"> </w:t>
      </w:r>
      <w:r w:rsidRPr="00956B0F">
        <w:rPr>
          <w:rFonts w:hint="eastAsia"/>
          <w:rtl/>
        </w:rPr>
        <w:t>וגילוי</w:t>
      </w:r>
      <w:r w:rsidRPr="00956B0F">
        <w:rPr>
          <w:rtl/>
        </w:rPr>
        <w:t xml:space="preserve"> </w:t>
      </w:r>
      <w:r w:rsidRPr="00956B0F">
        <w:rPr>
          <w:rFonts w:hint="eastAsia"/>
          <w:rtl/>
        </w:rPr>
        <w:t>עריות</w:t>
      </w:r>
      <w:r w:rsidRPr="00956B0F">
        <w:rPr>
          <w:rtl/>
        </w:rPr>
        <w:t>" (28.7.15) (עדכון אחרון: 5.1.17).</w:t>
      </w:r>
      <w:r w:rsidRPr="00956B0F">
        <w:rPr>
          <w:rFonts w:hint="cs"/>
          <w:rtl/>
        </w:rPr>
        <w:t xml:space="preserve"> יש לציין כי מסירת מידע על מהלך מאסרו של מי שנגזר דינו בגין עבירת אלימות במשפחה או שנאשם בעבירה זו מוסדרת גם בסעיף 10 ובתוספת הרביעית לחוק זכויות נפגעי עבירה, התשס"א-2001, המתייחסים לזכותם של נפגעי עבירות מין או אלימות לקבל מידע. עם זאת, מסירת המידע לפי הסדר זה מותנית בכך שנפגע העבירה ביקש שהמידע יימסר לו. נוסף על כך, בהנחיה פנימית של משטרת ישראל נקבעה חובתה למסור לנפגעי העבירה הודעה על שחרורו הצפוי של כל אסיר שריצה מאסר בגין עבירות אלימות במשפחה, על פי מידע שמועבר אליה משירות בתי הסוהר (הנחיה בנושא "היערכות לקראת שחרור אסיר אלמ"ב - הנחיה מעודכנת - 2023" [30.3.23]). יש לציין כי בהנחיה הובהר שחובת מסירת ההודעה שהוחלה על משטרת ישראל אינה באה במקום חובת מסירת ההודעה שחלה לפי דין על שירות בתי הסוהר.</w:t>
      </w:r>
    </w:p>
  </w:footnote>
  <w:footnote w:id="483">
    <w:p w14:paraId="06442E0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סעיף 9.3 להוראת תע"ס 3.37.</w:t>
      </w:r>
    </w:p>
  </w:footnote>
  <w:footnote w:id="484">
    <w:p w14:paraId="00A64B04"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יש לציין כי בפברואר 2023 אושר תיקון לפקודת בתי הסוהר, המסמיך את נציב שירות בתי הסוהר לעכב את שחרורו של אסיר לצורך יידוע נפגע עבירת מין או אלימות שביקש זאת לפי חוק זכויות נפגעי עבירה, אך הוא אינו מתייחס לעצם חובת ההודעה על שחרורו הצפוי של האסיר לנפגע העבירה או לגורמי הטיפול (</w:t>
      </w:r>
      <w:r w:rsidRPr="00956B0F">
        <w:rPr>
          <w:rFonts w:hint="eastAsia"/>
          <w:rtl/>
        </w:rPr>
        <w:t>חוק</w:t>
      </w:r>
      <w:r w:rsidRPr="00956B0F">
        <w:rPr>
          <w:rtl/>
        </w:rPr>
        <w:t xml:space="preserve"> לתיקון פקודת בתי הסוהר [מס' 61 והוראת שעה], התשפ"ג-2023, </w:t>
      </w:r>
      <w:r w:rsidRPr="00956B0F">
        <w:rPr>
          <w:rFonts w:hint="eastAsia"/>
          <w:rtl/>
        </w:rPr>
        <w:t>ס</w:t>
      </w:r>
      <w:r w:rsidRPr="00956B0F">
        <w:rPr>
          <w:rtl/>
        </w:rPr>
        <w:t>"ח 28</w:t>
      </w:r>
      <w:r w:rsidRPr="00956B0F">
        <w:rPr>
          <w:rFonts w:hint="cs"/>
          <w:rtl/>
        </w:rPr>
        <w:t xml:space="preserve">). </w:t>
      </w:r>
      <w:r w:rsidRPr="00956B0F">
        <w:rPr>
          <w:rFonts w:hint="eastAsia"/>
          <w:rtl/>
        </w:rPr>
        <w:t>במאי</w:t>
      </w:r>
      <w:r w:rsidRPr="00956B0F">
        <w:rPr>
          <w:rtl/>
        </w:rPr>
        <w:t xml:space="preserve"> 2023 </w:t>
      </w:r>
      <w:r w:rsidRPr="00956B0F">
        <w:rPr>
          <w:rFonts w:hint="eastAsia"/>
          <w:rtl/>
        </w:rPr>
        <w:t>פורסמה</w:t>
      </w:r>
      <w:r w:rsidRPr="00956B0F">
        <w:rPr>
          <w:rtl/>
        </w:rPr>
        <w:t xml:space="preserve"> </w:t>
      </w:r>
      <w:r w:rsidRPr="00956B0F">
        <w:rPr>
          <w:rFonts w:hint="eastAsia"/>
          <w:rtl/>
        </w:rPr>
        <w:t>פקודת</w:t>
      </w:r>
      <w:r w:rsidRPr="00956B0F">
        <w:rPr>
          <w:rFonts w:hint="cs"/>
          <w:rtl/>
        </w:rPr>
        <w:t xml:space="preserve"> נציבות שירות בתי הסוהר הקובעת הוראות </w:t>
      </w:r>
      <w:r w:rsidRPr="00956B0F">
        <w:rPr>
          <w:rtl/>
        </w:rPr>
        <w:t xml:space="preserve">לעניין אופן יישום סמכות </w:t>
      </w:r>
      <w:r w:rsidRPr="00956B0F">
        <w:rPr>
          <w:rFonts w:hint="cs"/>
          <w:rtl/>
        </w:rPr>
        <w:t>העיכוב, אך גם היא אינה מתייחסת לעצם חובת ההודעה על השחרור הצפוי (פקודת נציבות שירות בתי הסוהר 04.74.00, "</w:t>
      </w:r>
      <w:r w:rsidRPr="00956B0F">
        <w:rPr>
          <w:rtl/>
        </w:rPr>
        <w:t>סמכות נציב לעיכוב שחרור מנהלי של אסיר לצורך יידוע נפגע עבירת מין</w:t>
      </w:r>
      <w:r w:rsidRPr="00956B0F">
        <w:rPr>
          <w:rFonts w:hint="cs"/>
          <w:rtl/>
        </w:rPr>
        <w:t xml:space="preserve"> </w:t>
      </w:r>
      <w:r w:rsidRPr="00956B0F">
        <w:rPr>
          <w:rtl/>
        </w:rPr>
        <w:t>או אלימות שביקש זאת</w:t>
      </w:r>
      <w:r w:rsidRPr="00956B0F">
        <w:rPr>
          <w:rFonts w:hint="cs"/>
          <w:rtl/>
        </w:rPr>
        <w:t xml:space="preserve">" [11.5.23]). </w:t>
      </w:r>
    </w:p>
  </w:footnote>
  <w:footnote w:id="485">
    <w:p w14:paraId="069879BA"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תת-הפרק "אכיפת צווי הגנה באמצעים טכנולוגיים".</w:t>
      </w:r>
    </w:p>
  </w:footnote>
  <w:footnote w:id="486">
    <w:p w14:paraId="22827A90"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תפקיד עו"ס נפגעי עבירות מין במחלקות לשירותים חברתיים נקבע בסעיף 13 להחלטת הממשלה 1889,"</w:t>
      </w:r>
      <w:r w:rsidRPr="00956B0F">
        <w:rPr>
          <w:rtl/>
        </w:rPr>
        <w:t>קידום זכויות נפגעי עבירה בהליכים משפטיים ושיפור המענה הממשלתי</w:t>
      </w:r>
      <w:r w:rsidRPr="00956B0F">
        <w:rPr>
          <w:rFonts w:hint="cs"/>
          <w:rtl/>
        </w:rPr>
        <w:t xml:space="preserve">" (2.10.22). החלטת ממשלה זו התקבלה </w:t>
      </w:r>
      <w:r w:rsidRPr="00956B0F">
        <w:rPr>
          <w:rtl/>
        </w:rPr>
        <w:t xml:space="preserve">בהמשך לעבודת הוועדה הבין-משרדית לבחינת הטיפול בנפגעי עבירות מין בהליך הפלילי בראשות השופטת (בדימוס) דבורה ברלינר ולפרסום המלצותיה </w:t>
      </w:r>
      <w:r w:rsidRPr="00956B0F">
        <w:rPr>
          <w:rFonts w:hint="cs"/>
          <w:rtl/>
        </w:rPr>
        <w:t>בשנת</w:t>
      </w:r>
      <w:r w:rsidRPr="00956B0F">
        <w:rPr>
          <w:rtl/>
        </w:rPr>
        <w:t xml:space="preserve"> 2019</w:t>
      </w:r>
      <w:r w:rsidRPr="00956B0F">
        <w:rPr>
          <w:rFonts w:hint="cs"/>
          <w:rtl/>
        </w:rPr>
        <w:t>.</w:t>
      </w:r>
    </w:p>
  </w:footnote>
  <w:footnote w:id="487">
    <w:p w14:paraId="02A4A8D0"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סעיף 68ג(ג)(3) לפקודת בתי הסוהר [נוסח חדש], התשל"ב-1971</w:t>
      </w:r>
      <w:r w:rsidRPr="00956B0F">
        <w:rPr>
          <w:rStyle w:val="Hyperlink"/>
          <w:color w:val="auto"/>
          <w:u w:val="none"/>
          <w:rtl/>
        </w:rPr>
        <w:t>,</w:t>
      </w:r>
      <w:r w:rsidRPr="00956B0F">
        <w:rPr>
          <w:rStyle w:val="Hyperlink"/>
          <w:rFonts w:hint="cs"/>
          <w:color w:val="auto"/>
          <w:u w:val="none"/>
          <w:rtl/>
        </w:rPr>
        <w:t xml:space="preserve"> </w:t>
      </w:r>
      <w:r w:rsidRPr="00956B0F">
        <w:rPr>
          <w:rFonts w:hint="cs"/>
          <w:rtl/>
        </w:rPr>
        <w:t xml:space="preserve">ופרט 1 לתוספת לחוק שחרור על-תנאי ממאסר, התשס"א-2001. </w:t>
      </w:r>
    </w:p>
  </w:footnote>
  <w:footnote w:id="488">
    <w:p w14:paraId="01ECD41F" w14:textId="77777777" w:rsidR="00F769CC" w:rsidRPr="00956B0F" w:rsidRDefault="00F769CC" w:rsidP="00817399">
      <w:pPr>
        <w:pStyle w:val="af7"/>
      </w:pPr>
      <w:r w:rsidRPr="00956B0F">
        <w:rPr>
          <w:rStyle w:val="af9"/>
        </w:rPr>
        <w:footnoteRef/>
      </w:r>
      <w:r w:rsidRPr="00956B0F">
        <w:rPr>
          <w:rtl/>
        </w:rPr>
        <w:t xml:space="preserve"> </w:t>
      </w:r>
      <w:r w:rsidRPr="00956B0F">
        <w:rPr>
          <w:rtl/>
        </w:rPr>
        <w:tab/>
      </w:r>
      <w:r w:rsidRPr="00956B0F">
        <w:rPr>
          <w:rFonts w:hint="cs"/>
          <w:rtl/>
        </w:rPr>
        <w:t>ראו דברי ההסבר להצעת חוק לתיקון פקודת בתי הסוהר (מס' 55 והוראות שעה), התשפ"א-2021, הצ"ח ממשלה 344, 349.</w:t>
      </w:r>
    </w:p>
  </w:footnote>
  <w:footnote w:id="489">
    <w:p w14:paraId="75926CF5"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ראו דברי השופט מני מזוז </w:t>
      </w:r>
      <w:r w:rsidRPr="00956B0F">
        <w:rPr>
          <w:rFonts w:hint="eastAsia"/>
          <w:rtl/>
        </w:rPr>
        <w:t>ברע</w:t>
      </w:r>
      <w:r w:rsidRPr="00956B0F">
        <w:rPr>
          <w:rtl/>
        </w:rPr>
        <w:t xml:space="preserve">"ב 3450/18 </w:t>
      </w:r>
      <w:r w:rsidRPr="00956B0F">
        <w:rPr>
          <w:rFonts w:hint="eastAsia"/>
          <w:b/>
          <w:bCs/>
          <w:rtl/>
        </w:rPr>
        <w:t>פלוני</w:t>
      </w:r>
      <w:r w:rsidRPr="00956B0F">
        <w:rPr>
          <w:b/>
          <w:bCs/>
          <w:rtl/>
        </w:rPr>
        <w:t xml:space="preserve"> </w:t>
      </w:r>
      <w:r w:rsidRPr="00956B0F">
        <w:rPr>
          <w:rFonts w:hint="eastAsia"/>
          <w:b/>
          <w:bCs/>
          <w:rtl/>
        </w:rPr>
        <w:t>נ</w:t>
      </w:r>
      <w:r w:rsidRPr="00956B0F">
        <w:rPr>
          <w:b/>
          <w:bCs/>
          <w:rtl/>
        </w:rPr>
        <w:t xml:space="preserve">' </w:t>
      </w:r>
      <w:r w:rsidRPr="00956B0F">
        <w:rPr>
          <w:rFonts w:hint="eastAsia"/>
          <w:b/>
          <w:bCs/>
          <w:rtl/>
        </w:rPr>
        <w:t>מדינת</w:t>
      </w:r>
      <w:r w:rsidRPr="00956B0F">
        <w:rPr>
          <w:b/>
          <w:bCs/>
          <w:rtl/>
        </w:rPr>
        <w:t xml:space="preserve"> </w:t>
      </w:r>
      <w:r w:rsidRPr="00956B0F">
        <w:rPr>
          <w:rFonts w:hint="eastAsia"/>
          <w:b/>
          <w:bCs/>
          <w:rtl/>
        </w:rPr>
        <w:t>ישראל</w:t>
      </w:r>
      <w:r w:rsidRPr="00956B0F">
        <w:rPr>
          <w:rtl/>
        </w:rPr>
        <w:t xml:space="preserve">, פס' 18 לפסק הדין (פורסם במאגר </w:t>
      </w:r>
      <w:r w:rsidRPr="00956B0F">
        <w:rPr>
          <w:rFonts w:hint="eastAsia"/>
          <w:rtl/>
        </w:rPr>
        <w:t>ממוחשב</w:t>
      </w:r>
      <w:r w:rsidRPr="00956B0F">
        <w:rPr>
          <w:rtl/>
        </w:rPr>
        <w:t>, 12.8.18).</w:t>
      </w:r>
      <w:r w:rsidRPr="00956B0F">
        <w:rPr>
          <w:rFonts w:hint="cs"/>
          <w:rtl/>
        </w:rPr>
        <w:t xml:space="preserve"> </w:t>
      </w:r>
    </w:p>
  </w:footnote>
  <w:footnote w:id="490">
    <w:p w14:paraId="0D6AFB5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"מעורבותם של גורמי הטיפול והאכיפה בקהילה בהיערכות לקראת שחרורם הצפוי של עצורים או אסירים שרמת מסוכנותם גבוהה".</w:t>
      </w:r>
    </w:p>
  </w:footnote>
  <w:footnote w:id="491">
    <w:p w14:paraId="5C38BDED"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ראו תת-הפרק "טיפול ושיקום בין כותלי בית הסוהר".</w:t>
      </w:r>
    </w:p>
  </w:footnote>
  <w:footnote w:id="492">
    <w:p w14:paraId="07DB02F8"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b/>
          <w:bCs/>
          <w:rtl/>
        </w:rPr>
        <w:t>צוות טיפול בגברים עוברי חוק בתחום אלימות במשפחה ובנפגעי העבירה: סיכום ההמלצות</w:t>
      </w:r>
      <w:r w:rsidRPr="00956B0F">
        <w:rPr>
          <w:rFonts w:hint="cs"/>
          <w:rtl/>
        </w:rPr>
        <w:t xml:space="preserve"> (אוקטובר 2020), סעיפים 4 - 5 לדוח.</w:t>
      </w:r>
    </w:p>
  </w:footnote>
  <w:footnote w:id="493">
    <w:p w14:paraId="780D9DB6"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 xml:space="preserve">הרשות למאבק באלימות, בסמים ובאלכוהול (כיום: הרשות לביטחון קהילתי), </w:t>
      </w:r>
      <w:r w:rsidRPr="00956B0F">
        <w:rPr>
          <w:rFonts w:hint="eastAsia"/>
          <w:b/>
          <w:bCs/>
          <w:rtl/>
        </w:rPr>
        <w:t>ספר</w:t>
      </w:r>
      <w:r w:rsidRPr="00956B0F">
        <w:rPr>
          <w:b/>
          <w:bCs/>
          <w:rtl/>
        </w:rPr>
        <w:t xml:space="preserve"> </w:t>
      </w:r>
      <w:r w:rsidRPr="00956B0F">
        <w:rPr>
          <w:rFonts w:hint="eastAsia"/>
          <w:b/>
          <w:bCs/>
          <w:rtl/>
        </w:rPr>
        <w:t>תכניות</w:t>
      </w:r>
      <w:r w:rsidRPr="00956B0F">
        <w:rPr>
          <w:b/>
          <w:bCs/>
          <w:rtl/>
        </w:rPr>
        <w:t xml:space="preserve"> </w:t>
      </w:r>
      <w:r w:rsidRPr="00956B0F">
        <w:rPr>
          <w:rFonts w:hint="eastAsia"/>
          <w:b/>
          <w:bCs/>
          <w:rtl/>
        </w:rPr>
        <w:t>לרשויות</w:t>
      </w:r>
      <w:r w:rsidRPr="00956B0F">
        <w:rPr>
          <w:b/>
          <w:bCs/>
          <w:rtl/>
        </w:rPr>
        <w:t xml:space="preserve"> </w:t>
      </w:r>
      <w:r w:rsidRPr="00956B0F">
        <w:rPr>
          <w:rFonts w:hint="eastAsia"/>
          <w:b/>
          <w:bCs/>
          <w:rtl/>
        </w:rPr>
        <w:t>מקומיות</w:t>
      </w:r>
      <w:r w:rsidRPr="00956B0F">
        <w:rPr>
          <w:rFonts w:hint="cs"/>
          <w:rtl/>
        </w:rPr>
        <w:t xml:space="preserve"> (לא צוין תאריך הפרסום), עמ' 53 - 54.</w:t>
      </w:r>
    </w:p>
  </w:footnote>
  <w:footnote w:id="494">
    <w:p w14:paraId="3D68431B" w14:textId="77777777" w:rsidR="00F769CC" w:rsidRPr="00956B0F" w:rsidRDefault="00F769CC" w:rsidP="00817399">
      <w:pPr>
        <w:pStyle w:val="af7"/>
        <w:rPr>
          <w:rtl/>
        </w:rPr>
      </w:pPr>
      <w:r w:rsidRPr="00956B0F">
        <w:rPr>
          <w:rStyle w:val="af9"/>
        </w:rPr>
        <w:footnoteRef/>
      </w:r>
      <w:r w:rsidRPr="00956B0F">
        <w:rPr>
          <w:rtl/>
        </w:rPr>
        <w:t xml:space="preserve"> </w:t>
      </w:r>
      <w:r w:rsidRPr="00956B0F">
        <w:rPr>
          <w:rtl/>
        </w:rPr>
        <w:tab/>
      </w:r>
      <w:r w:rsidRPr="00956B0F">
        <w:rPr>
          <w:rFonts w:hint="cs"/>
          <w:rtl/>
        </w:rPr>
        <w:t>עדכונים על מהלך מאסרו של האסירים כוללים את תאריך תחילת ריצוי העונש, מתקן הכליאה שבו מרצה האסיר את עונשו, תאריך סיום ריצוי העונש, מועדי היציאה לחופשות ותנאיהן, בקשות שהוגשו לוועדת השחרורים או בקשות חנינה וכן תנאי השחרור - אם השחרור נעשה בהחלטת ועדת השחרורים.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A622" w14:textId="77777777" w:rsidR="00F769CC" w:rsidRPr="0062451B" w:rsidRDefault="00F769CC" w:rsidP="00512A2D">
    <w:pPr>
      <w:pStyle w:val="af1"/>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1312" behindDoc="0" locked="0" layoutInCell="1" allowOverlap="1" wp14:anchorId="19ABC29C" wp14:editId="6D558AB3">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E9114" id="מחבר ישר 4"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WJPen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0" locked="0" layoutInCell="1" allowOverlap="1" wp14:anchorId="05B6DF6E" wp14:editId="53A62FBD">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5205" cy="285750"/>
                      </a:xfrm>
                      <a:prstGeom prst="rect">
                        <a:avLst/>
                      </a:prstGeom>
                      <a:noFill/>
                      <a:ln w="9525">
                        <a:noFill/>
                        <a:miter lim="800000"/>
                        <a:headEnd/>
                        <a:tailEnd/>
                      </a:ln>
                    </wps:spPr>
                    <wps:txbx>
                      <w:txbxContent>
                        <w:p w14:paraId="20A2F215" w14:textId="77777777" w:rsidR="00F769CC" w:rsidRPr="001E204F" w:rsidRDefault="00F769CC" w:rsidP="0099692E">
                          <w:pPr>
                            <w:ind w:left="460"/>
                            <w:rPr>
                              <w:rFonts w:ascii="Calibri" w:hAnsi="Calibri" w:cs="Calibri"/>
                              <w:color w:val="002060"/>
                              <w:szCs w:val="20"/>
                              <w:rtl/>
                            </w:rPr>
                          </w:pPr>
                          <w:r>
                            <w:rPr>
                              <w:rFonts w:ascii="Calibri" w:hAnsi="Calibri" w:cs="Calibri" w:hint="cs"/>
                              <w:color w:val="002060"/>
                              <w:szCs w:val="20"/>
                              <w:rtl/>
                            </w:rPr>
                            <w:t>שם המטלה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6DF6E" id="_x0000_t202" coordsize="21600,21600" o:spt="202" path="m,l,21600r21600,l21600,xe">
              <v:stroke joinstyle="miter"/>
              <v:path gradientshapeok="t" o:connecttype="rect"/>
            </v:shapetype>
            <v:shape id="תיבת טקסט 2" o:spid="_x0000_s1026" type="#_x0000_t202" style="position:absolute;margin-left:199.75pt;margin-top:17.05pt;width:279.15pt;height:22.5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" filled="f" stroked="f">
              <v:textbox>
                <w:txbxContent>
                  <w:p w14:paraId="20A2F215" w14:textId="77777777" w:rsidR="00F769CC" w:rsidRPr="001E204F" w:rsidRDefault="00F769CC" w:rsidP="0099692E">
                    <w:pPr>
                      <w:ind w:left="460"/>
                      <w:rPr>
                        <w:rFonts w:ascii="Calibri" w:hAnsi="Calibri" w:cs="Calibri"/>
                        <w:color w:val="002060"/>
                        <w:szCs w:val="20"/>
                        <w:rtl/>
                      </w:rPr>
                    </w:pPr>
                    <w:r>
                      <w:rPr>
                        <w:rFonts w:ascii="Calibri" w:hAnsi="Calibri" w:cs="Calibri" w:hint="cs"/>
                        <w:color w:val="002060"/>
                        <w:szCs w:val="20"/>
                        <w:rtl/>
                      </w:rPr>
                      <w:t>שם המטלה</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3360" behindDoc="0" locked="0" layoutInCell="1" allowOverlap="1" wp14:anchorId="29824904" wp14:editId="0637F2C0">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453DED7F" w14:textId="77777777" w:rsidR="00F769CC" w:rsidRPr="0062451B" w:rsidRDefault="00F769CC"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4904" id="_x0000_s1027" type="#_x0000_t202" style="position:absolute;margin-left:230.75pt;margin-top:-7.95pt;width:249.15pt;height:22.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14:paraId="453DED7F" w14:textId="77777777" w:rsidR="00F769CC" w:rsidRPr="0062451B" w:rsidRDefault="00F769CC"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1" locked="0" layoutInCell="1" allowOverlap="1" wp14:anchorId="2B68707D" wp14:editId="60B042DA">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1AD90E14" w14:textId="77777777" w:rsidR="00F769CC" w:rsidRPr="0062451B" w:rsidRDefault="00F769CC" w:rsidP="0062451B">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8707D" id="_x0000_s1028" type="#_x0000_t202" style="position:absolute;margin-left:49.05pt;margin-top:18.55pt;width:249.15pt;height:22.5pt;flip:x;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14:paraId="1AD90E14" w14:textId="77777777" w:rsidR="00F769CC" w:rsidRPr="0062451B" w:rsidRDefault="00F769CC" w:rsidP="0062451B">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8AA4" w14:textId="77777777" w:rsidR="00F769CC" w:rsidRDefault="00F769CC">
    <w:pPr>
      <w:pStyle w:val="af1"/>
    </w:pPr>
    <w:r>
      <w:rPr>
        <w:noProof/>
      </w:rPr>
      <mc:AlternateContent>
        <mc:Choice Requires="wpg">
          <w:drawing>
            <wp:anchor distT="0" distB="0" distL="114300" distR="114300" simplePos="0" relativeHeight="251660288" behindDoc="0" locked="0" layoutInCell="1" allowOverlap="1" wp14:anchorId="65017E0F" wp14:editId="054DEFA0">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14:paraId="0DF345B1" w14:textId="77777777" w:rsidR="00F769CC" w:rsidRPr="00CE3828" w:rsidRDefault="00F769CC"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48C56201" w14:textId="77777777" w:rsidR="00F769CC" w:rsidRPr="00CE3828" w:rsidRDefault="00F769CC"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57AE6839" w14:textId="77777777" w:rsidR="00F769CC" w:rsidRPr="00A92970" w:rsidRDefault="00F769CC"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sidRPr="00A92970">
                                <w:rPr>
                                  <w:rFonts w:asciiTheme="minorHAnsi" w:hAnsiTheme="minorHAnsi" w:cstheme="minorHAnsi" w:hint="cs"/>
                                  <w:color w:val="002060"/>
                                  <w:spacing w:val="20"/>
                                  <w:sz w:val="22"/>
                                  <w:szCs w:val="22"/>
                                  <w:rtl/>
                                </w:rPr>
                                <w:t>ה</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017E0F" id="קבוצה 52" o:spid="_x0000_s1029" style="position:absolute;left:0;text-align:left;margin-left:96.45pt;margin-top:-81.2pt;width:233pt;height:886.7pt;z-index:251660288;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">
              <v:group id="קבוצה 53" o:spid="_x0000_s1030"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DF345B1" w14:textId="77777777" w:rsidR="00F769CC" w:rsidRPr="00CE3828" w:rsidRDefault="00F769CC"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48C56201" w14:textId="77777777" w:rsidR="00F769CC" w:rsidRPr="00CE3828" w:rsidRDefault="00F769CC" w:rsidP="0062451B">
                        <w:pPr>
                          <w:jc w:val="center"/>
                          <w:rPr>
                            <w:rFonts w:ascii="Calibri" w:hAnsi="Calibri" w:cs="Calibri"/>
                            <w:color w:val="002060"/>
                            <w:spacing w:val="80"/>
                            <w:sz w:val="28"/>
                            <w:szCs w:val="36"/>
                          </w:rPr>
                        </w:pP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57AE6839" w14:textId="77777777" w:rsidR="00F769CC" w:rsidRPr="00A92970" w:rsidRDefault="00F769CC"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sidRPr="00A92970">
                          <w:rPr>
                            <w:rFonts w:asciiTheme="minorHAnsi" w:hAnsiTheme="minorHAnsi" w:cstheme="minorHAnsi" w:hint="cs"/>
                            <w:color w:val="002060"/>
                            <w:spacing w:val="20"/>
                            <w:sz w:val="22"/>
                            <w:szCs w:val="22"/>
                            <w:rtl/>
                          </w:rPr>
                          <w:t>ה</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r>
      <w:rPr>
        <w:noProof/>
      </w:rPr>
      <mc:AlternateContent>
        <mc:Choice Requires="wps">
          <w:drawing>
            <wp:anchor distT="0" distB="0" distL="114300" distR="114300" simplePos="0" relativeHeight="251676672" behindDoc="0" locked="0" layoutInCell="1" allowOverlap="1" wp14:anchorId="19EE8F5D" wp14:editId="6FFEAC23">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E710A4" id="מחבר ישר 12"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79744" behindDoc="0" locked="0" layoutInCell="1" allowOverlap="1" wp14:anchorId="181EB440" wp14:editId="6CF5C6B3">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14:paraId="55A1388D" w14:textId="77777777" w:rsidR="00F769CC" w:rsidRPr="00CE3828" w:rsidRDefault="00F769CC"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EB440" id="תיבת טקסט 14" o:spid="_x0000_s1039" type="#_x0000_t202" style="position:absolute;left:0;text-align:left;margin-left:142.8pt;margin-top:167.75pt;width:150.1pt;height: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14:paraId="55A1388D" w14:textId="77777777" w:rsidR="00F769CC" w:rsidRPr="00CE3828" w:rsidRDefault="00F769CC"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BD4BDDC" wp14:editId="1B846C14">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14:paraId="0C5CB590" w14:textId="77777777" w:rsidR="00F769CC" w:rsidRPr="00CE3828" w:rsidRDefault="00F769CC"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5BAE1EE4" w14:textId="77777777" w:rsidR="00F769CC" w:rsidRPr="00CE3828" w:rsidRDefault="00F769CC"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D4BDDC" id="תיבת טקסט 13" o:spid="_x0000_s1040" type="#_x0000_t202" style="position:absolute;left:0;text-align:left;margin-left:119.7pt;margin-top:-81.5pt;width:233pt;height:35.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14:paraId="0C5CB590" w14:textId="77777777" w:rsidR="00F769CC" w:rsidRPr="00CE3828" w:rsidRDefault="00F769CC"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5BAE1EE4" w14:textId="77777777" w:rsidR="00F769CC" w:rsidRPr="00CE3828" w:rsidRDefault="00F769CC"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232F5DC" wp14:editId="380ED469">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4E8DF" id="מחבר ישר 1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3600" behindDoc="0" locked="0" layoutInCell="1" allowOverlap="1" wp14:anchorId="2BF791AB" wp14:editId="539C1893">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2F6CC" id="מחבר ישר 1"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D0437" w14:textId="77777777" w:rsidR="00F769CC" w:rsidRPr="00E51497" w:rsidRDefault="00F769CC" w:rsidP="00E51497">
    <w:pPr>
      <w:pStyle w:val="af1"/>
      <w:spacing w:after="240"/>
      <w:ind w:left="-1418"/>
      <w:jc w:val="center"/>
      <w:rPr>
        <w:rtl/>
      </w:rPr>
    </w:pPr>
    <w:r>
      <w:rPr>
        <w:rFonts w:asciiTheme="minorHAnsi" w:hAnsiTheme="minorHAnsi" w:cstheme="minorHAnsi" w:hint="cs"/>
        <w:noProof/>
        <w:color w:val="002060"/>
        <w:szCs w:val="20"/>
        <w:rtl/>
        <w:lang w:val="he-IL"/>
      </w:rPr>
      <mc:AlternateContent>
        <mc:Choice Requires="wpg">
          <w:drawing>
            <wp:inline distT="0" distB="0" distL="0" distR="0" wp14:anchorId="4400E490" wp14:editId="313D65AE">
              <wp:extent cx="6555105" cy="619125"/>
              <wp:effectExtent l="0" t="0" r="0" b="0"/>
              <wp:docPr id="2052771018" name="קבוצה 2052771018"/>
              <wp:cNvGraphicFramePr/>
              <a:graphic xmlns:a="http://schemas.openxmlformats.org/drawingml/2006/main">
                <a:graphicData uri="http://schemas.microsoft.com/office/word/2010/wordprocessingGroup">
                  <wpg:wgp>
                    <wpg:cNvGrpSpPr/>
                    <wpg:grpSpPr>
                      <a:xfrm>
                        <a:off x="0" y="0"/>
                        <a:ext cx="6555105" cy="619125"/>
                        <a:chOff x="0" y="0"/>
                        <a:chExt cx="6555105" cy="619125"/>
                      </a:xfrm>
                    </wpg:grpSpPr>
                    <wpg:grpSp>
                      <wpg:cNvPr id="2052771019" name="קבוצה 2052771019"/>
                      <wpg:cNvGrpSpPr/>
                      <wpg:grpSpPr>
                        <a:xfrm>
                          <a:off x="0" y="0"/>
                          <a:ext cx="6555105" cy="619125"/>
                          <a:chOff x="0" y="0"/>
                          <a:chExt cx="6555105" cy="619125"/>
                        </a:xfrm>
                      </wpg:grpSpPr>
                      <wps:wsp>
                        <wps:cNvPr id="2052771020" name="מחבר ישר 2052771020"/>
                        <wps:cNvCnPr/>
                        <wps:spPr>
                          <a:xfrm flipV="1">
                            <a:off x="142875" y="30480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2771021" name="תיבת טקסט 2"/>
                        <wps:cNvSpPr txBox="1">
                          <a:spLocks noChangeArrowheads="1"/>
                        </wps:cNvSpPr>
                        <wps:spPr bwMode="auto">
                          <a:xfrm flipH="1">
                            <a:off x="3390900" y="0"/>
                            <a:ext cx="3164205" cy="285750"/>
                          </a:xfrm>
                          <a:prstGeom prst="rect">
                            <a:avLst/>
                          </a:prstGeom>
                          <a:noFill/>
                          <a:ln w="9525">
                            <a:noFill/>
                            <a:miter lim="800000"/>
                            <a:headEnd/>
                            <a:tailEnd/>
                          </a:ln>
                        </wps:spPr>
                        <wps:txbx>
                          <w:txbxContent>
                            <w:p w14:paraId="37326EF7"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wps:wsp>
                        <wps:cNvPr id="2052771022" name="תיבת טקסט 2"/>
                        <wps:cNvSpPr txBox="1">
                          <a:spLocks noChangeArrowheads="1"/>
                        </wps:cNvSpPr>
                        <wps:spPr bwMode="auto">
                          <a:xfrm flipH="1">
                            <a:off x="0" y="333375"/>
                            <a:ext cx="3164205" cy="285750"/>
                          </a:xfrm>
                          <a:prstGeom prst="rect">
                            <a:avLst/>
                          </a:prstGeom>
                          <a:noFill/>
                          <a:ln w="9525">
                            <a:noFill/>
                            <a:miter lim="800000"/>
                            <a:headEnd/>
                            <a:tailEnd/>
                          </a:ln>
                        </wps:spPr>
                        <wps:txbx>
                          <w:txbxContent>
                            <w:p w14:paraId="052F89D4"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2052771023" name="תיבת טקסט 2"/>
                        <wps:cNvSpPr txBox="1">
                          <a:spLocks noChangeArrowheads="1"/>
                        </wps:cNvSpPr>
                        <wps:spPr bwMode="auto">
                          <a:xfrm flipH="1">
                            <a:off x="2743200" y="333375"/>
                            <a:ext cx="3545205" cy="285750"/>
                          </a:xfrm>
                          <a:prstGeom prst="rect">
                            <a:avLst/>
                          </a:prstGeom>
                          <a:noFill/>
                          <a:ln w="9525">
                            <a:noFill/>
                            <a:miter lim="800000"/>
                            <a:headEnd/>
                            <a:tailEnd/>
                          </a:ln>
                        </wps:spPr>
                        <wps:txbx>
                          <w:txbxContent>
                            <w:p w14:paraId="64D17189"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wps:txbx>
                        <wps:bodyPr rot="0" vert="horz" wrap="square" lIns="91440" tIns="45720" rIns="91440" bIns="45720" anchor="t" anchorCtr="0">
                          <a:noAutofit/>
                        </wps:bodyPr>
                      </wps:wsp>
                    </wpg:grpSp>
                    <wps:wsp>
                      <wps:cNvPr id="2052771024" name="מלבן 2052771024"/>
                      <wps:cNvSpPr/>
                      <wps:spPr>
                        <a:xfrm>
                          <a:off x="28575" y="76200"/>
                          <a:ext cx="324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AEF78"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w14:anchorId="4400E490" id="קבוצה 2052771018" o:spid="_x0000_s1042" style="width:516.15pt;height:48.75pt;mso-position-horizontal-relative:char;mso-position-vertical-relative:line" coordsize="6555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">
              <v:group id="קבוצה 2052771019" o:spid="_x0000_s1043" style="position:absolute;width:65551;height:6191" coordsize="655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">
                <v:line id="מחבר ישר 2052771020" o:spid="_x0000_s1044" style="position:absolute;flip:y;visibility:visible;mso-wrap-style:square" from="1428,3048" to="6210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" strokecolor="#4579b8 [3044]"/>
                <v:shapetype id="_x0000_t202" coordsize="21600,21600" o:spt="202" path="m,l,21600r21600,l21600,xe">
                  <v:stroke joinstyle="miter"/>
                  <v:path gradientshapeok="t" o:connecttype="rect"/>
                </v:shapetype>
                <v:shape id="_x0000_s1045" type="#_x0000_t202" style="position:absolute;left:33909;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" filled="f" stroked="f">
                  <v:textbox>
                    <w:txbxContent>
                      <w:p w14:paraId="37326EF7"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v:shape>
                <v:shape id="_x0000_s1046" type="#_x0000_t202" style="position:absolute;top:3333;width:3164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" filled="f" stroked="f">
                  <v:textbox>
                    <w:txbxContent>
                      <w:p w14:paraId="052F89D4"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v:shape>
                <v:shape id="_x0000_s1047" type="#_x0000_t202" style="position:absolute;left:27432;top:3333;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" filled="f" stroked="f">
                  <v:textbox>
                    <w:txbxContent>
                      <w:p w14:paraId="64D17189"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v:textbox>
                </v:shape>
              </v:group>
              <v:rect id="מלבן 2052771024" o:spid="_x0000_s1048" style="position:absolute;left:285;top:762;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" filled="f" stroked="f" strokeweight="2pt">
                <v:textbox inset="0,0,0,0">
                  <w:txbxContent>
                    <w:p w14:paraId="108AEF78"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v:textbox>
              </v:rect>
              <w10:wrap anchorx="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37C1F" w14:textId="77777777" w:rsidR="00F769CC" w:rsidRPr="001A5151" w:rsidRDefault="00F769CC" w:rsidP="00E51497">
    <w:pPr>
      <w:pStyle w:val="af1"/>
      <w:spacing w:after="240"/>
      <w:ind w:left="-1418"/>
    </w:pPr>
    <w:r>
      <w:rPr>
        <w:rFonts w:asciiTheme="minorHAnsi" w:hAnsiTheme="minorHAnsi" w:cstheme="minorHAnsi" w:hint="cs"/>
        <w:noProof/>
        <w:color w:val="002060"/>
        <w:szCs w:val="20"/>
        <w:rtl/>
        <w:lang w:val="he-IL"/>
      </w:rPr>
      <mc:AlternateContent>
        <mc:Choice Requires="wpg">
          <w:drawing>
            <wp:inline distT="0" distB="0" distL="0" distR="0" wp14:anchorId="3B266CE5" wp14:editId="5C9C0147">
              <wp:extent cx="6555105" cy="619125"/>
              <wp:effectExtent l="0" t="0" r="0" b="0"/>
              <wp:docPr id="108" name="קבוצה 108"/>
              <wp:cNvGraphicFramePr/>
              <a:graphic xmlns:a="http://schemas.openxmlformats.org/drawingml/2006/main">
                <a:graphicData uri="http://schemas.microsoft.com/office/word/2010/wordprocessingGroup">
                  <wpg:wgp>
                    <wpg:cNvGrpSpPr/>
                    <wpg:grpSpPr>
                      <a:xfrm>
                        <a:off x="0" y="0"/>
                        <a:ext cx="6555105" cy="619125"/>
                        <a:chOff x="0" y="0"/>
                        <a:chExt cx="6555105" cy="619125"/>
                      </a:xfrm>
                    </wpg:grpSpPr>
                    <wpg:grpSp>
                      <wpg:cNvPr id="109" name="קבוצה 109"/>
                      <wpg:cNvGrpSpPr/>
                      <wpg:grpSpPr>
                        <a:xfrm>
                          <a:off x="0" y="0"/>
                          <a:ext cx="6555105" cy="619125"/>
                          <a:chOff x="0" y="0"/>
                          <a:chExt cx="6555105" cy="619125"/>
                        </a:xfrm>
                      </wpg:grpSpPr>
                      <wps:wsp>
                        <wps:cNvPr id="110" name="מחבר ישר 110"/>
                        <wps:cNvCnPr/>
                        <wps:spPr>
                          <a:xfrm flipV="1">
                            <a:off x="142875" y="30480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 name="תיבת טקסט 2"/>
                        <wps:cNvSpPr txBox="1">
                          <a:spLocks noChangeArrowheads="1"/>
                        </wps:cNvSpPr>
                        <wps:spPr bwMode="auto">
                          <a:xfrm flipH="1">
                            <a:off x="3390900" y="0"/>
                            <a:ext cx="3164205" cy="285750"/>
                          </a:xfrm>
                          <a:prstGeom prst="rect">
                            <a:avLst/>
                          </a:prstGeom>
                          <a:noFill/>
                          <a:ln w="9525">
                            <a:noFill/>
                            <a:miter lim="800000"/>
                            <a:headEnd/>
                            <a:tailEnd/>
                          </a:ln>
                        </wps:spPr>
                        <wps:txbx>
                          <w:txbxContent>
                            <w:p w14:paraId="084C4929"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wps:wsp>
                        <wps:cNvPr id="113" name="תיבת טקסט 2"/>
                        <wps:cNvSpPr txBox="1">
                          <a:spLocks noChangeArrowheads="1"/>
                        </wps:cNvSpPr>
                        <wps:spPr bwMode="auto">
                          <a:xfrm flipH="1">
                            <a:off x="0" y="333375"/>
                            <a:ext cx="3164205" cy="285750"/>
                          </a:xfrm>
                          <a:prstGeom prst="rect">
                            <a:avLst/>
                          </a:prstGeom>
                          <a:noFill/>
                          <a:ln w="9525">
                            <a:noFill/>
                            <a:miter lim="800000"/>
                            <a:headEnd/>
                            <a:tailEnd/>
                          </a:ln>
                        </wps:spPr>
                        <wps:txbx>
                          <w:txbxContent>
                            <w:p w14:paraId="5E40AAB0"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g:grpSp>
                    <wps:wsp>
                      <wps:cNvPr id="116" name="מלבן 116"/>
                      <wps:cNvSpPr/>
                      <wps:spPr>
                        <a:xfrm>
                          <a:off x="28575" y="76200"/>
                          <a:ext cx="324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50C8B"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w14:anchorId="3B266CE5" id="קבוצה 108" o:spid="_x0000_s1049" style="width:516.15pt;height:48.75pt;mso-position-horizontal-relative:char;mso-position-vertical-relative:line" coordsize="6555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">
              <v:group id="קבוצה 109" o:spid="_x0000_s1050" style="position:absolute;width:65551;height:6191" coordsize="655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מחבר ישר 110" o:spid="_x0000_s1051" style="position:absolute;flip:y;visibility:visible;mso-wrap-style:square" from="1428,3048" to="6210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" strokecolor="#4579b8 [3044]"/>
                <v:shapetype id="_x0000_t202" coordsize="21600,21600" o:spt="202" path="m,l,21600r21600,l21600,xe">
                  <v:stroke joinstyle="miter"/>
                  <v:path gradientshapeok="t" o:connecttype="rect"/>
                </v:shapetype>
                <v:shape id="_x0000_s1052" type="#_x0000_t202" style="position:absolute;left:33909;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" filled="f" stroked="f">
                  <v:textbox>
                    <w:txbxContent>
                      <w:p w14:paraId="084C4929"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v:shape>
                <v:shape id="_x0000_s1053" type="#_x0000_t202" style="position:absolute;top:3333;width:3164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" filled="f" stroked="f">
                  <v:textbox>
                    <w:txbxContent>
                      <w:p w14:paraId="5E40AAB0"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v:shape>
              </v:group>
              <v:rect id="מלבן 116" o:spid="_x0000_s1054" style="position:absolute;left:285;top:762;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" filled="f" stroked="f" strokeweight="2pt">
                <v:textbox inset="0,0,0,0">
                  <w:txbxContent>
                    <w:p w14:paraId="2CC50C8B"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v:textbox>
              </v:rect>
              <w10:wrap anchorx="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9453" w14:textId="77777777" w:rsidR="00F769CC" w:rsidRDefault="00F769CC" w:rsidP="00E51497">
    <w:pPr>
      <w:pStyle w:val="af1"/>
      <w:ind w:left="-620"/>
      <w:jc w:val="center"/>
      <w:rPr>
        <w:rtl/>
      </w:rPr>
    </w:pPr>
    <w:r>
      <w:rPr>
        <w:rFonts w:asciiTheme="minorHAnsi" w:hAnsiTheme="minorHAnsi" w:cstheme="minorHAnsi" w:hint="cs"/>
        <w:noProof/>
        <w:color w:val="002060"/>
        <w:szCs w:val="20"/>
        <w:rtl/>
        <w:lang w:val="he-IL"/>
      </w:rPr>
      <mc:AlternateContent>
        <mc:Choice Requires="wpg">
          <w:drawing>
            <wp:inline distT="0" distB="0" distL="0" distR="0" wp14:anchorId="5BA5102B" wp14:editId="5FBBCC65">
              <wp:extent cx="6555105" cy="619125"/>
              <wp:effectExtent l="0" t="0" r="0" b="0"/>
              <wp:docPr id="2052771011" name="קבוצה 2052771011"/>
              <wp:cNvGraphicFramePr/>
              <a:graphic xmlns:a="http://schemas.openxmlformats.org/drawingml/2006/main">
                <a:graphicData uri="http://schemas.microsoft.com/office/word/2010/wordprocessingGroup">
                  <wpg:wgp>
                    <wpg:cNvGrpSpPr/>
                    <wpg:grpSpPr>
                      <a:xfrm>
                        <a:off x="0" y="0"/>
                        <a:ext cx="6555105" cy="619125"/>
                        <a:chOff x="0" y="0"/>
                        <a:chExt cx="6555105" cy="619125"/>
                      </a:xfrm>
                    </wpg:grpSpPr>
                    <wpg:grpSp>
                      <wpg:cNvPr id="2052771012" name="קבוצה 2052771012"/>
                      <wpg:cNvGrpSpPr/>
                      <wpg:grpSpPr>
                        <a:xfrm>
                          <a:off x="0" y="0"/>
                          <a:ext cx="6555105" cy="619125"/>
                          <a:chOff x="0" y="0"/>
                          <a:chExt cx="6555105" cy="619125"/>
                        </a:xfrm>
                      </wpg:grpSpPr>
                      <wps:wsp>
                        <wps:cNvPr id="2052771013" name="מחבר ישר 2052771013"/>
                        <wps:cNvCnPr/>
                        <wps:spPr>
                          <a:xfrm flipV="1">
                            <a:off x="142875" y="30480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2771014" name="תיבת טקסט 2"/>
                        <wps:cNvSpPr txBox="1">
                          <a:spLocks noChangeArrowheads="1"/>
                        </wps:cNvSpPr>
                        <wps:spPr bwMode="auto">
                          <a:xfrm flipH="1">
                            <a:off x="3390900" y="0"/>
                            <a:ext cx="3164205" cy="285750"/>
                          </a:xfrm>
                          <a:prstGeom prst="rect">
                            <a:avLst/>
                          </a:prstGeom>
                          <a:noFill/>
                          <a:ln w="9525">
                            <a:noFill/>
                            <a:miter lim="800000"/>
                            <a:headEnd/>
                            <a:tailEnd/>
                          </a:ln>
                        </wps:spPr>
                        <wps:txbx>
                          <w:txbxContent>
                            <w:p w14:paraId="0AE77F32"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wps:wsp>
                        <wps:cNvPr id="2052771015" name="תיבת טקסט 2"/>
                        <wps:cNvSpPr txBox="1">
                          <a:spLocks noChangeArrowheads="1"/>
                        </wps:cNvSpPr>
                        <wps:spPr bwMode="auto">
                          <a:xfrm flipH="1">
                            <a:off x="0" y="333375"/>
                            <a:ext cx="3164205" cy="285750"/>
                          </a:xfrm>
                          <a:prstGeom prst="rect">
                            <a:avLst/>
                          </a:prstGeom>
                          <a:noFill/>
                          <a:ln w="9525">
                            <a:noFill/>
                            <a:miter lim="800000"/>
                            <a:headEnd/>
                            <a:tailEnd/>
                          </a:ln>
                        </wps:spPr>
                        <wps:txbx>
                          <w:txbxContent>
                            <w:p w14:paraId="5F307293"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2052771016" name="תיבת טקסט 2"/>
                        <wps:cNvSpPr txBox="1">
                          <a:spLocks noChangeArrowheads="1"/>
                        </wps:cNvSpPr>
                        <wps:spPr bwMode="auto">
                          <a:xfrm flipH="1">
                            <a:off x="2743200" y="333375"/>
                            <a:ext cx="3545205" cy="285750"/>
                          </a:xfrm>
                          <a:prstGeom prst="rect">
                            <a:avLst/>
                          </a:prstGeom>
                          <a:noFill/>
                          <a:ln w="9525">
                            <a:noFill/>
                            <a:miter lim="800000"/>
                            <a:headEnd/>
                            <a:tailEnd/>
                          </a:ln>
                        </wps:spPr>
                        <wps:txbx>
                          <w:txbxContent>
                            <w:p w14:paraId="24ED1D07"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wps:txbx>
                        <wps:bodyPr rot="0" vert="horz" wrap="square" lIns="91440" tIns="45720" rIns="91440" bIns="45720" anchor="t" anchorCtr="0">
                          <a:noAutofit/>
                        </wps:bodyPr>
                      </wps:wsp>
                    </wpg:grpSp>
                    <wps:wsp>
                      <wps:cNvPr id="2052771017" name="מלבן 2052771017"/>
                      <wps:cNvSpPr/>
                      <wps:spPr>
                        <a:xfrm>
                          <a:off x="28575" y="76200"/>
                          <a:ext cx="324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199CD"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w14:anchorId="5BA5102B" id="קבוצה 2052771011" o:spid="_x0000_s1055" style="width:516.15pt;height:48.75pt;mso-position-horizontal-relative:char;mso-position-vertical-relative:line" coordsize="6555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">
              <v:group id="קבוצה 2052771012" o:spid="_x0000_s1056" style="position:absolute;width:65551;height:6191" coordsize="655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">
                <v:line id="מחבר ישר 2052771013" o:spid="_x0000_s1057" style="position:absolute;flip:y;visibility:visible;mso-wrap-style:square" from="1428,3048" to="6210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" strokecolor="#4579b8 [3044]"/>
                <v:shapetype id="_x0000_t202" coordsize="21600,21600" o:spt="202" path="m,l,21600r21600,l21600,xe">
                  <v:stroke joinstyle="miter"/>
                  <v:path gradientshapeok="t" o:connecttype="rect"/>
                </v:shapetype>
                <v:shape id="_x0000_s1058" type="#_x0000_t202" style="position:absolute;left:33909;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" filled="f" stroked="f">
                  <v:textbox>
                    <w:txbxContent>
                      <w:p w14:paraId="0AE77F32"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v:shape>
                <v:shape id="_x0000_s1059" type="#_x0000_t202" style="position:absolute;top:3333;width:3164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" filled="f" stroked="f">
                  <v:textbox>
                    <w:txbxContent>
                      <w:p w14:paraId="5F307293"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v:shape>
                <v:shape id="_x0000_s1060" type="#_x0000_t202" style="position:absolute;left:27432;top:3333;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" filled="f" stroked="f">
                  <v:textbox>
                    <w:txbxContent>
                      <w:p w14:paraId="24ED1D07"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v:textbox>
                </v:shape>
              </v:group>
              <v:rect id="מלבן 2052771017" o:spid="_x0000_s1061" style="position:absolute;left:285;top:762;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" filled="f" stroked="f" strokeweight="2pt">
                <v:textbox inset="0,0,0,0">
                  <w:txbxContent>
                    <w:p w14:paraId="55A199CD"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v:textbox>
              </v:rect>
              <w10:wrap anchorx="page"/>
              <w10:anchorlock/>
            </v:group>
          </w:pict>
        </mc:Fallback>
      </mc:AlternateContent>
    </w:r>
  </w:p>
  <w:p w14:paraId="7D5200E0" w14:textId="77777777" w:rsidR="00F769CC" w:rsidRPr="001A5151" w:rsidRDefault="00F769CC" w:rsidP="00E51497">
    <w:pPr>
      <w:pStyle w:val="af1"/>
      <w:ind w:left="-1277"/>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AC83" w14:textId="77777777" w:rsidR="00F769CC" w:rsidRPr="00E51497" w:rsidRDefault="00F769CC" w:rsidP="00E51497">
    <w:pPr>
      <w:pStyle w:val="af1"/>
      <w:spacing w:after="240"/>
      <w:ind w:left="-1419"/>
      <w:jc w:val="center"/>
    </w:pPr>
    <w:r>
      <w:rPr>
        <w:rFonts w:asciiTheme="minorHAnsi" w:hAnsiTheme="minorHAnsi" w:cstheme="minorHAnsi" w:hint="cs"/>
        <w:noProof/>
        <w:color w:val="002060"/>
        <w:szCs w:val="20"/>
        <w:rtl/>
        <w:lang w:val="he-IL"/>
      </w:rPr>
      <mc:AlternateContent>
        <mc:Choice Requires="wpg">
          <w:drawing>
            <wp:inline distT="0" distB="0" distL="0" distR="0" wp14:anchorId="7EB80F96" wp14:editId="3B106D58">
              <wp:extent cx="6555105" cy="619125"/>
              <wp:effectExtent l="0" t="0" r="0" b="0"/>
              <wp:docPr id="2052771033" name="קבוצה 2052771033"/>
              <wp:cNvGraphicFramePr/>
              <a:graphic xmlns:a="http://schemas.openxmlformats.org/drawingml/2006/main">
                <a:graphicData uri="http://schemas.microsoft.com/office/word/2010/wordprocessingGroup">
                  <wpg:wgp>
                    <wpg:cNvGrpSpPr/>
                    <wpg:grpSpPr>
                      <a:xfrm>
                        <a:off x="0" y="0"/>
                        <a:ext cx="6555105" cy="619125"/>
                        <a:chOff x="0" y="0"/>
                        <a:chExt cx="6555105" cy="619125"/>
                      </a:xfrm>
                    </wpg:grpSpPr>
                    <wpg:grpSp>
                      <wpg:cNvPr id="2052771034" name="קבוצה 2052771034"/>
                      <wpg:cNvGrpSpPr/>
                      <wpg:grpSpPr>
                        <a:xfrm>
                          <a:off x="0" y="0"/>
                          <a:ext cx="6555105" cy="619125"/>
                          <a:chOff x="0" y="0"/>
                          <a:chExt cx="6555105" cy="619125"/>
                        </a:xfrm>
                      </wpg:grpSpPr>
                      <wps:wsp>
                        <wps:cNvPr id="2052771035" name="מחבר ישר 2052771035"/>
                        <wps:cNvCnPr/>
                        <wps:spPr>
                          <a:xfrm flipV="1">
                            <a:off x="142875" y="30480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2771036" name="תיבת טקסט 2"/>
                        <wps:cNvSpPr txBox="1">
                          <a:spLocks noChangeArrowheads="1"/>
                        </wps:cNvSpPr>
                        <wps:spPr bwMode="auto">
                          <a:xfrm flipH="1">
                            <a:off x="3390900" y="0"/>
                            <a:ext cx="3164205" cy="285750"/>
                          </a:xfrm>
                          <a:prstGeom prst="rect">
                            <a:avLst/>
                          </a:prstGeom>
                          <a:noFill/>
                          <a:ln w="9525">
                            <a:noFill/>
                            <a:miter lim="800000"/>
                            <a:headEnd/>
                            <a:tailEnd/>
                          </a:ln>
                        </wps:spPr>
                        <wps:txbx>
                          <w:txbxContent>
                            <w:p w14:paraId="6B272649"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wps:wsp>
                        <wps:cNvPr id="2052771037" name="תיבת טקסט 2"/>
                        <wps:cNvSpPr txBox="1">
                          <a:spLocks noChangeArrowheads="1"/>
                        </wps:cNvSpPr>
                        <wps:spPr bwMode="auto">
                          <a:xfrm flipH="1">
                            <a:off x="0" y="333375"/>
                            <a:ext cx="3164205" cy="285750"/>
                          </a:xfrm>
                          <a:prstGeom prst="rect">
                            <a:avLst/>
                          </a:prstGeom>
                          <a:noFill/>
                          <a:ln w="9525">
                            <a:noFill/>
                            <a:miter lim="800000"/>
                            <a:headEnd/>
                            <a:tailEnd/>
                          </a:ln>
                        </wps:spPr>
                        <wps:txbx>
                          <w:txbxContent>
                            <w:p w14:paraId="62AEE03C"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2052771038" name="תיבת טקסט 2"/>
                        <wps:cNvSpPr txBox="1">
                          <a:spLocks noChangeArrowheads="1"/>
                        </wps:cNvSpPr>
                        <wps:spPr bwMode="auto">
                          <a:xfrm flipH="1">
                            <a:off x="2743200" y="333375"/>
                            <a:ext cx="3545205" cy="285750"/>
                          </a:xfrm>
                          <a:prstGeom prst="rect">
                            <a:avLst/>
                          </a:prstGeom>
                          <a:noFill/>
                          <a:ln w="9525">
                            <a:noFill/>
                            <a:miter lim="800000"/>
                            <a:headEnd/>
                            <a:tailEnd/>
                          </a:ln>
                        </wps:spPr>
                        <wps:txbx>
                          <w:txbxContent>
                            <w:p w14:paraId="1AD2585B"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wps:txbx>
                        <wps:bodyPr rot="0" vert="horz" wrap="square" lIns="91440" tIns="45720" rIns="91440" bIns="45720" anchor="t" anchorCtr="0">
                          <a:noAutofit/>
                        </wps:bodyPr>
                      </wps:wsp>
                    </wpg:grpSp>
                    <wps:wsp>
                      <wps:cNvPr id="2052771039" name="מלבן 2052771039"/>
                      <wps:cNvSpPr/>
                      <wps:spPr>
                        <a:xfrm>
                          <a:off x="28575" y="76200"/>
                          <a:ext cx="324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2EB23"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w14:anchorId="7EB80F96" id="קבוצה 2052771033" o:spid="_x0000_s1062" style="width:516.15pt;height:48.75pt;mso-position-horizontal-relative:char;mso-position-vertical-relative:line" coordsize="6555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">
              <v:group id="קבוצה 2052771034" o:spid="_x0000_s1063" style="position:absolute;width:65551;height:6191" coordsize="655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">
                <v:line id="מחבר ישר 2052771035" o:spid="_x0000_s1064" style="position:absolute;flip:y;visibility:visible;mso-wrap-style:square" from="1428,3048" to="6210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" strokecolor="#4579b8 [3044]"/>
                <v:shapetype id="_x0000_t202" coordsize="21600,21600" o:spt="202" path="m,l,21600r21600,l21600,xe">
                  <v:stroke joinstyle="miter"/>
                  <v:path gradientshapeok="t" o:connecttype="rect"/>
                </v:shapetype>
                <v:shape id="_x0000_s1065" type="#_x0000_t202" style="position:absolute;left:33909;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" filled="f" stroked="f">
                  <v:textbox>
                    <w:txbxContent>
                      <w:p w14:paraId="6B272649"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v:shape>
                <v:shape id="_x0000_s1066" type="#_x0000_t202" style="position:absolute;top:3333;width:3164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" filled="f" stroked="f">
                  <v:textbox>
                    <w:txbxContent>
                      <w:p w14:paraId="62AEE03C"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v:shape>
                <v:shape id="_x0000_s1067" type="#_x0000_t202" style="position:absolute;left:27432;top:3333;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" filled="f" stroked="f">
                  <v:textbox>
                    <w:txbxContent>
                      <w:p w14:paraId="1AD2585B"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v:textbox>
                </v:shape>
              </v:group>
              <v:rect id="מלבן 2052771039" o:spid="_x0000_s1068" style="position:absolute;left:285;top:762;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" filled="f" stroked="f" strokeweight="2pt">
                <v:textbox inset="0,0,0,0">
                  <w:txbxContent>
                    <w:p w14:paraId="6582EB23"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v:textbox>
              </v:rect>
              <w10:wrap anchorx="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61D61" w14:textId="77777777" w:rsidR="00F769CC" w:rsidRPr="00E51497" w:rsidRDefault="00F769CC" w:rsidP="00E51497">
    <w:pPr>
      <w:pStyle w:val="af1"/>
      <w:spacing w:after="240"/>
      <w:ind w:left="-1418"/>
      <w:jc w:val="center"/>
    </w:pPr>
    <w:r>
      <w:rPr>
        <w:rFonts w:asciiTheme="minorHAnsi" w:hAnsiTheme="minorHAnsi" w:cstheme="minorHAnsi" w:hint="cs"/>
        <w:noProof/>
        <w:color w:val="002060"/>
        <w:szCs w:val="20"/>
        <w:rtl/>
        <w:lang w:val="he-IL"/>
      </w:rPr>
      <mc:AlternateContent>
        <mc:Choice Requires="wpg">
          <w:drawing>
            <wp:inline distT="0" distB="0" distL="0" distR="0" wp14:anchorId="4CA6C408" wp14:editId="2A0B13AA">
              <wp:extent cx="6555105" cy="619125"/>
              <wp:effectExtent l="0" t="0" r="0" b="0"/>
              <wp:docPr id="2052771025" name="קבוצה 2052771025"/>
              <wp:cNvGraphicFramePr/>
              <a:graphic xmlns:a="http://schemas.openxmlformats.org/drawingml/2006/main">
                <a:graphicData uri="http://schemas.microsoft.com/office/word/2010/wordprocessingGroup">
                  <wpg:wgp>
                    <wpg:cNvGrpSpPr/>
                    <wpg:grpSpPr>
                      <a:xfrm>
                        <a:off x="0" y="0"/>
                        <a:ext cx="6555105" cy="619125"/>
                        <a:chOff x="0" y="0"/>
                        <a:chExt cx="6555105" cy="619125"/>
                      </a:xfrm>
                    </wpg:grpSpPr>
                    <wpg:grpSp>
                      <wpg:cNvPr id="2052771026" name="קבוצה 2052771026"/>
                      <wpg:cNvGrpSpPr/>
                      <wpg:grpSpPr>
                        <a:xfrm>
                          <a:off x="0" y="0"/>
                          <a:ext cx="6555105" cy="619125"/>
                          <a:chOff x="0" y="0"/>
                          <a:chExt cx="6555105" cy="619125"/>
                        </a:xfrm>
                      </wpg:grpSpPr>
                      <wps:wsp>
                        <wps:cNvPr id="2052771027" name="מחבר ישר 2052771027"/>
                        <wps:cNvCnPr/>
                        <wps:spPr>
                          <a:xfrm flipV="1">
                            <a:off x="142875" y="30480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2771028" name="תיבת טקסט 2"/>
                        <wps:cNvSpPr txBox="1">
                          <a:spLocks noChangeArrowheads="1"/>
                        </wps:cNvSpPr>
                        <wps:spPr bwMode="auto">
                          <a:xfrm flipH="1">
                            <a:off x="3390900" y="0"/>
                            <a:ext cx="3164205" cy="285750"/>
                          </a:xfrm>
                          <a:prstGeom prst="rect">
                            <a:avLst/>
                          </a:prstGeom>
                          <a:noFill/>
                          <a:ln w="9525">
                            <a:noFill/>
                            <a:miter lim="800000"/>
                            <a:headEnd/>
                            <a:tailEnd/>
                          </a:ln>
                        </wps:spPr>
                        <wps:txbx>
                          <w:txbxContent>
                            <w:p w14:paraId="0B2C8769"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wps:wsp>
                        <wps:cNvPr id="2052771029" name="תיבת טקסט 2"/>
                        <wps:cNvSpPr txBox="1">
                          <a:spLocks noChangeArrowheads="1"/>
                        </wps:cNvSpPr>
                        <wps:spPr bwMode="auto">
                          <a:xfrm flipH="1">
                            <a:off x="0" y="333375"/>
                            <a:ext cx="3164205" cy="285750"/>
                          </a:xfrm>
                          <a:prstGeom prst="rect">
                            <a:avLst/>
                          </a:prstGeom>
                          <a:noFill/>
                          <a:ln w="9525">
                            <a:noFill/>
                            <a:miter lim="800000"/>
                            <a:headEnd/>
                            <a:tailEnd/>
                          </a:ln>
                        </wps:spPr>
                        <wps:txbx>
                          <w:txbxContent>
                            <w:p w14:paraId="7AFB0BE5"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2052771030" name="תיבת טקסט 2"/>
                        <wps:cNvSpPr txBox="1">
                          <a:spLocks noChangeArrowheads="1"/>
                        </wps:cNvSpPr>
                        <wps:spPr bwMode="auto">
                          <a:xfrm flipH="1">
                            <a:off x="2743200" y="333375"/>
                            <a:ext cx="3545205" cy="285750"/>
                          </a:xfrm>
                          <a:prstGeom prst="rect">
                            <a:avLst/>
                          </a:prstGeom>
                          <a:noFill/>
                          <a:ln w="9525">
                            <a:noFill/>
                            <a:miter lim="800000"/>
                            <a:headEnd/>
                            <a:tailEnd/>
                          </a:ln>
                        </wps:spPr>
                        <wps:txbx>
                          <w:txbxContent>
                            <w:p w14:paraId="354B1F4C"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wps:txbx>
                        <wps:bodyPr rot="0" vert="horz" wrap="square" lIns="91440" tIns="45720" rIns="91440" bIns="45720" anchor="t" anchorCtr="0">
                          <a:noAutofit/>
                        </wps:bodyPr>
                      </wps:wsp>
                    </wpg:grpSp>
                    <wps:wsp>
                      <wps:cNvPr id="2052771032" name="מלבן 2052771032"/>
                      <wps:cNvSpPr/>
                      <wps:spPr>
                        <a:xfrm>
                          <a:off x="28575" y="76200"/>
                          <a:ext cx="324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00D2E"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inline>
          </w:drawing>
        </mc:Choice>
        <mc:Fallback>
          <w:pict>
            <v:group w14:anchorId="4CA6C408" id="קבוצה 2052771025" o:spid="_x0000_s1069" style="width:516.15pt;height:48.75pt;mso-position-horizontal-relative:char;mso-position-vertical-relative:line" coordsize="6555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">
              <v:group id="קבוצה 2052771026" o:spid="_x0000_s1070" style="position:absolute;width:65551;height:6191" coordsize="655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">
                <v:line id="מחבר ישר 2052771027" o:spid="_x0000_s1071" style="position:absolute;flip:y;visibility:visible;mso-wrap-style:square" from="1428,3048" to="6210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" strokecolor="#4579b8 [3044]"/>
                <v:shapetype id="_x0000_t202" coordsize="21600,21600" o:spt="202" path="m,l,21600r21600,l21600,xe">
                  <v:stroke joinstyle="miter"/>
                  <v:path gradientshapeok="t" o:connecttype="rect"/>
                </v:shapetype>
                <v:shape id="_x0000_s1072" type="#_x0000_t202" style="position:absolute;left:33909;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" filled="f" stroked="f">
                  <v:textbox>
                    <w:txbxContent>
                      <w:p w14:paraId="0B2C8769" w14:textId="77777777" w:rsidR="00F769CC" w:rsidRPr="0062451B" w:rsidRDefault="00F769CC" w:rsidP="00E5149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v:shape>
                <v:shape id="_x0000_s1073" type="#_x0000_t202" style="position:absolute;top:3333;width:3164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" filled="f" stroked="f">
                  <v:textbox>
                    <w:txbxContent>
                      <w:p w14:paraId="7AFB0BE5" w14:textId="77777777" w:rsidR="00F769CC" w:rsidRPr="0062451B" w:rsidRDefault="00F769CC" w:rsidP="00E51497">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v:shape>
                <v:shape id="_x0000_s1074" type="#_x0000_t202" style="position:absolute;left:27432;top:3333;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" filled="f" stroked="f">
                  <v:textbox>
                    <w:txbxContent>
                      <w:p w14:paraId="354B1F4C" w14:textId="77777777" w:rsidR="00F769CC" w:rsidRPr="001E204F" w:rsidRDefault="00F769CC" w:rsidP="00E51497">
                        <w:pPr>
                          <w:jc w:val="left"/>
                          <w:rPr>
                            <w:rFonts w:ascii="Calibri" w:hAnsi="Calibri" w:cs="Calibri"/>
                            <w:color w:val="002060"/>
                            <w:szCs w:val="20"/>
                            <w:rtl/>
                          </w:rPr>
                        </w:pPr>
                        <w:r w:rsidRPr="00FB7831">
                          <w:rPr>
                            <w:rFonts w:ascii="Calibri" w:hAnsi="Calibri" w:cs="Calibri"/>
                            <w:color w:val="002060"/>
                            <w:szCs w:val="20"/>
                            <w:rtl/>
                          </w:rPr>
                          <w:t>ההתמודדות עם תופעת האלימות בין בני זוג - ביקורת מעקב</w:t>
                        </w:r>
                      </w:p>
                    </w:txbxContent>
                  </v:textbox>
                </v:shape>
              </v:group>
              <v:rect id="מלבן 2052771032" o:spid="_x0000_s1075" style="position:absolute;left:285;top:762;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" filled="f" stroked="f" strokeweight="2pt">
                <v:textbox inset="0,0,0,0">
                  <w:txbxContent>
                    <w:p w14:paraId="29F00D2E" w14:textId="77777777" w:rsidR="00F769CC" w:rsidRDefault="00F769CC" w:rsidP="00E51497">
                      <w:pPr>
                        <w:jc w:val="center"/>
                      </w:pP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7</w:t>
                      </w:r>
                      <w:r w:rsidRPr="0062451B">
                        <w:rPr>
                          <w:rFonts w:asciiTheme="minorHAnsi" w:hAnsiTheme="minorHAnsi" w:cstheme="minorHAnsi"/>
                          <w:color w:val="002060"/>
                          <w:szCs w:val="20"/>
                          <w:rtl/>
                        </w:rPr>
                        <w:fldChar w:fldCharType="end"/>
                      </w:r>
                    </w:p>
                  </w:txbxContent>
                </v:textbox>
              </v:rect>
              <w10:wrap anchorx="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41.8pt;height:141.8pt" o:bullet="t">
        <v:imagedata r:id="rId1" o:title="זכוכית מגדלת5"/>
      </v:shape>
    </w:pict>
  </w:numPicBullet>
  <w:abstractNum w:abstractNumId="0" w15:restartNumberingAfterBreak="0">
    <w:nsid w:val="FFFFFF88"/>
    <w:multiLevelType w:val="singleLevel"/>
    <w:tmpl w:val="92D204C4"/>
    <w:lvl w:ilvl="0">
      <w:start w:val="1"/>
      <w:numFmt w:val="decimal"/>
      <w:pStyle w:val="a"/>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3" w15:restartNumberingAfterBreak="0">
    <w:nsid w:val="0CF4269E"/>
    <w:multiLevelType w:val="hybridMultilevel"/>
    <w:tmpl w:val="497C7FF4"/>
    <w:lvl w:ilvl="0" w:tplc="27CAD4A4">
      <w:start w:val="1"/>
      <w:numFmt w:val="decimal"/>
      <w:pStyle w:val="a0"/>
      <w:suff w:val="nothing"/>
      <w:lvlText w:val="לוח %1"/>
      <w:lvlJc w:val="left"/>
      <w:pPr>
        <w:ind w:left="360" w:hanging="360"/>
      </w:pPr>
      <w:rPr>
        <w:b w:val="0"/>
        <w:bCs w:val="0"/>
      </w:rPr>
    </w:lvl>
    <w:lvl w:ilvl="1" w:tplc="D8EED978" w:tentative="1">
      <w:start w:val="1"/>
      <w:numFmt w:val="lowerLetter"/>
      <w:lvlText w:val="%2."/>
      <w:lvlJc w:val="left"/>
      <w:pPr>
        <w:ind w:left="1440" w:hanging="360"/>
      </w:pPr>
    </w:lvl>
    <w:lvl w:ilvl="2" w:tplc="4B3A618C" w:tentative="1">
      <w:start w:val="1"/>
      <w:numFmt w:val="lowerRoman"/>
      <w:lvlText w:val="%3."/>
      <w:lvlJc w:val="right"/>
      <w:pPr>
        <w:ind w:left="2160" w:hanging="180"/>
      </w:pPr>
    </w:lvl>
    <w:lvl w:ilvl="3" w:tplc="D540B2AC" w:tentative="1">
      <w:start w:val="1"/>
      <w:numFmt w:val="decimal"/>
      <w:lvlText w:val="%4."/>
      <w:lvlJc w:val="left"/>
      <w:pPr>
        <w:ind w:left="2880" w:hanging="360"/>
      </w:pPr>
    </w:lvl>
    <w:lvl w:ilvl="4" w:tplc="E9DE9F9A" w:tentative="1">
      <w:start w:val="1"/>
      <w:numFmt w:val="lowerLetter"/>
      <w:lvlText w:val="%5."/>
      <w:lvlJc w:val="left"/>
      <w:pPr>
        <w:ind w:left="3600" w:hanging="360"/>
      </w:pPr>
    </w:lvl>
    <w:lvl w:ilvl="5" w:tplc="4D7E4A6A" w:tentative="1">
      <w:start w:val="1"/>
      <w:numFmt w:val="lowerRoman"/>
      <w:lvlText w:val="%6."/>
      <w:lvlJc w:val="right"/>
      <w:pPr>
        <w:ind w:left="4320" w:hanging="180"/>
      </w:pPr>
    </w:lvl>
    <w:lvl w:ilvl="6" w:tplc="2758A63E" w:tentative="1">
      <w:start w:val="1"/>
      <w:numFmt w:val="decimal"/>
      <w:lvlText w:val="%7."/>
      <w:lvlJc w:val="left"/>
      <w:pPr>
        <w:ind w:left="5040" w:hanging="360"/>
      </w:pPr>
    </w:lvl>
    <w:lvl w:ilvl="7" w:tplc="0EDE9810" w:tentative="1">
      <w:start w:val="1"/>
      <w:numFmt w:val="lowerLetter"/>
      <w:lvlText w:val="%8."/>
      <w:lvlJc w:val="left"/>
      <w:pPr>
        <w:ind w:left="5760" w:hanging="360"/>
      </w:pPr>
    </w:lvl>
    <w:lvl w:ilvl="8" w:tplc="27728F9C"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FB7C6422">
      <w:start w:val="1"/>
      <w:numFmt w:val="bullet"/>
      <w:pStyle w:val="71BULLETS"/>
      <w:lvlText w:val=""/>
      <w:lvlJc w:val="left"/>
      <w:pPr>
        <w:ind w:left="720" w:hanging="360"/>
      </w:pPr>
      <w:rPr>
        <w:rFonts w:ascii="Symbol" w:hAnsi="Symbol" w:hint="default"/>
      </w:rPr>
    </w:lvl>
    <w:lvl w:ilvl="1" w:tplc="0372ABA8" w:tentative="1">
      <w:start w:val="1"/>
      <w:numFmt w:val="bullet"/>
      <w:lvlText w:val="o"/>
      <w:lvlJc w:val="left"/>
      <w:pPr>
        <w:ind w:left="1440" w:hanging="360"/>
      </w:pPr>
      <w:rPr>
        <w:rFonts w:ascii="Courier New" w:hAnsi="Courier New" w:cs="Courier New" w:hint="default"/>
      </w:rPr>
    </w:lvl>
    <w:lvl w:ilvl="2" w:tplc="E0EA3412" w:tentative="1">
      <w:start w:val="1"/>
      <w:numFmt w:val="bullet"/>
      <w:lvlText w:val=""/>
      <w:lvlJc w:val="left"/>
      <w:pPr>
        <w:ind w:left="2160" w:hanging="360"/>
      </w:pPr>
      <w:rPr>
        <w:rFonts w:ascii="Wingdings" w:hAnsi="Wingdings" w:hint="default"/>
      </w:rPr>
    </w:lvl>
    <w:lvl w:ilvl="3" w:tplc="19DC55A2" w:tentative="1">
      <w:start w:val="1"/>
      <w:numFmt w:val="bullet"/>
      <w:lvlText w:val=""/>
      <w:lvlJc w:val="left"/>
      <w:pPr>
        <w:ind w:left="2880" w:hanging="360"/>
      </w:pPr>
      <w:rPr>
        <w:rFonts w:ascii="Symbol" w:hAnsi="Symbol" w:hint="default"/>
      </w:rPr>
    </w:lvl>
    <w:lvl w:ilvl="4" w:tplc="80F836D4" w:tentative="1">
      <w:start w:val="1"/>
      <w:numFmt w:val="bullet"/>
      <w:lvlText w:val="o"/>
      <w:lvlJc w:val="left"/>
      <w:pPr>
        <w:ind w:left="3600" w:hanging="360"/>
      </w:pPr>
      <w:rPr>
        <w:rFonts w:ascii="Courier New" w:hAnsi="Courier New" w:cs="Courier New" w:hint="default"/>
      </w:rPr>
    </w:lvl>
    <w:lvl w:ilvl="5" w:tplc="BFB2BD46" w:tentative="1">
      <w:start w:val="1"/>
      <w:numFmt w:val="bullet"/>
      <w:lvlText w:val=""/>
      <w:lvlJc w:val="left"/>
      <w:pPr>
        <w:ind w:left="4320" w:hanging="360"/>
      </w:pPr>
      <w:rPr>
        <w:rFonts w:ascii="Wingdings" w:hAnsi="Wingdings" w:hint="default"/>
      </w:rPr>
    </w:lvl>
    <w:lvl w:ilvl="6" w:tplc="CC7EB3E6" w:tentative="1">
      <w:start w:val="1"/>
      <w:numFmt w:val="bullet"/>
      <w:lvlText w:val=""/>
      <w:lvlJc w:val="left"/>
      <w:pPr>
        <w:ind w:left="5040" w:hanging="360"/>
      </w:pPr>
      <w:rPr>
        <w:rFonts w:ascii="Symbol" w:hAnsi="Symbol" w:hint="default"/>
      </w:rPr>
    </w:lvl>
    <w:lvl w:ilvl="7" w:tplc="EDBA93D6" w:tentative="1">
      <w:start w:val="1"/>
      <w:numFmt w:val="bullet"/>
      <w:lvlText w:val="o"/>
      <w:lvlJc w:val="left"/>
      <w:pPr>
        <w:ind w:left="5760" w:hanging="360"/>
      </w:pPr>
      <w:rPr>
        <w:rFonts w:ascii="Courier New" w:hAnsi="Courier New" w:cs="Courier New" w:hint="default"/>
      </w:rPr>
    </w:lvl>
    <w:lvl w:ilvl="8" w:tplc="F70C3FF0"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2668EA50">
      <w:start w:val="1"/>
      <w:numFmt w:val="bullet"/>
      <w:pStyle w:val="71BULLETS0"/>
      <w:lvlText w:val=""/>
      <w:lvlJc w:val="left"/>
      <w:pPr>
        <w:ind w:left="1414" w:hanging="360"/>
      </w:pPr>
      <w:rPr>
        <w:rFonts w:ascii="Symbol" w:hAnsi="Symbol" w:hint="default"/>
      </w:rPr>
    </w:lvl>
    <w:lvl w:ilvl="1" w:tplc="B74C5CB8" w:tentative="1">
      <w:start w:val="1"/>
      <w:numFmt w:val="bullet"/>
      <w:lvlText w:val="o"/>
      <w:lvlJc w:val="left"/>
      <w:pPr>
        <w:ind w:left="2134" w:hanging="360"/>
      </w:pPr>
      <w:rPr>
        <w:rFonts w:ascii="Courier New" w:hAnsi="Courier New" w:cs="Courier New" w:hint="default"/>
      </w:rPr>
    </w:lvl>
    <w:lvl w:ilvl="2" w:tplc="6226D610" w:tentative="1">
      <w:start w:val="1"/>
      <w:numFmt w:val="bullet"/>
      <w:lvlText w:val=""/>
      <w:lvlJc w:val="left"/>
      <w:pPr>
        <w:ind w:left="2854" w:hanging="360"/>
      </w:pPr>
      <w:rPr>
        <w:rFonts w:ascii="Wingdings" w:hAnsi="Wingdings" w:hint="default"/>
      </w:rPr>
    </w:lvl>
    <w:lvl w:ilvl="3" w:tplc="DF123434" w:tentative="1">
      <w:start w:val="1"/>
      <w:numFmt w:val="bullet"/>
      <w:lvlText w:val=""/>
      <w:lvlJc w:val="left"/>
      <w:pPr>
        <w:ind w:left="3574" w:hanging="360"/>
      </w:pPr>
      <w:rPr>
        <w:rFonts w:ascii="Symbol" w:hAnsi="Symbol" w:hint="default"/>
      </w:rPr>
    </w:lvl>
    <w:lvl w:ilvl="4" w:tplc="0AB048F8" w:tentative="1">
      <w:start w:val="1"/>
      <w:numFmt w:val="bullet"/>
      <w:lvlText w:val="o"/>
      <w:lvlJc w:val="left"/>
      <w:pPr>
        <w:ind w:left="4294" w:hanging="360"/>
      </w:pPr>
      <w:rPr>
        <w:rFonts w:ascii="Courier New" w:hAnsi="Courier New" w:cs="Courier New" w:hint="default"/>
      </w:rPr>
    </w:lvl>
    <w:lvl w:ilvl="5" w:tplc="9F8EB242" w:tentative="1">
      <w:start w:val="1"/>
      <w:numFmt w:val="bullet"/>
      <w:lvlText w:val=""/>
      <w:lvlJc w:val="left"/>
      <w:pPr>
        <w:ind w:left="5014" w:hanging="360"/>
      </w:pPr>
      <w:rPr>
        <w:rFonts w:ascii="Wingdings" w:hAnsi="Wingdings" w:hint="default"/>
      </w:rPr>
    </w:lvl>
    <w:lvl w:ilvl="6" w:tplc="1716F624" w:tentative="1">
      <w:start w:val="1"/>
      <w:numFmt w:val="bullet"/>
      <w:lvlText w:val=""/>
      <w:lvlJc w:val="left"/>
      <w:pPr>
        <w:ind w:left="5734" w:hanging="360"/>
      </w:pPr>
      <w:rPr>
        <w:rFonts w:ascii="Symbol" w:hAnsi="Symbol" w:hint="default"/>
      </w:rPr>
    </w:lvl>
    <w:lvl w:ilvl="7" w:tplc="8708C12A" w:tentative="1">
      <w:start w:val="1"/>
      <w:numFmt w:val="bullet"/>
      <w:lvlText w:val="o"/>
      <w:lvlJc w:val="left"/>
      <w:pPr>
        <w:ind w:left="6454" w:hanging="360"/>
      </w:pPr>
      <w:rPr>
        <w:rFonts w:ascii="Courier New" w:hAnsi="Courier New" w:cs="Courier New" w:hint="default"/>
      </w:rPr>
    </w:lvl>
    <w:lvl w:ilvl="8" w:tplc="FCC0EC52"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9C96B8E6">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CAA6C90A">
      <w:start w:val="1"/>
      <w:numFmt w:val="bullet"/>
      <w:lvlText w:val="o"/>
      <w:lvlJc w:val="left"/>
      <w:pPr>
        <w:ind w:left="2435" w:hanging="360"/>
      </w:pPr>
      <w:rPr>
        <w:rFonts w:ascii="Courier New" w:hAnsi="Courier New" w:cs="Courier New" w:hint="default"/>
      </w:rPr>
    </w:lvl>
    <w:lvl w:ilvl="2" w:tplc="1D42DE70" w:tentative="1">
      <w:start w:val="1"/>
      <w:numFmt w:val="bullet"/>
      <w:lvlText w:val=""/>
      <w:lvlJc w:val="left"/>
      <w:pPr>
        <w:ind w:left="3155" w:hanging="360"/>
      </w:pPr>
      <w:rPr>
        <w:rFonts w:ascii="Wingdings" w:hAnsi="Wingdings" w:hint="default"/>
      </w:rPr>
    </w:lvl>
    <w:lvl w:ilvl="3" w:tplc="04BAAD84" w:tentative="1">
      <w:start w:val="1"/>
      <w:numFmt w:val="bullet"/>
      <w:lvlText w:val=""/>
      <w:lvlJc w:val="left"/>
      <w:pPr>
        <w:ind w:left="3875" w:hanging="360"/>
      </w:pPr>
      <w:rPr>
        <w:rFonts w:ascii="Symbol" w:hAnsi="Symbol" w:hint="default"/>
      </w:rPr>
    </w:lvl>
    <w:lvl w:ilvl="4" w:tplc="170EFB3C" w:tentative="1">
      <w:start w:val="1"/>
      <w:numFmt w:val="bullet"/>
      <w:lvlText w:val="o"/>
      <w:lvlJc w:val="left"/>
      <w:pPr>
        <w:ind w:left="4595" w:hanging="360"/>
      </w:pPr>
      <w:rPr>
        <w:rFonts w:ascii="Courier New" w:hAnsi="Courier New" w:cs="Courier New" w:hint="default"/>
      </w:rPr>
    </w:lvl>
    <w:lvl w:ilvl="5" w:tplc="F4B8B848" w:tentative="1">
      <w:start w:val="1"/>
      <w:numFmt w:val="bullet"/>
      <w:lvlText w:val=""/>
      <w:lvlJc w:val="left"/>
      <w:pPr>
        <w:ind w:left="5315" w:hanging="360"/>
      </w:pPr>
      <w:rPr>
        <w:rFonts w:ascii="Wingdings" w:hAnsi="Wingdings" w:hint="default"/>
      </w:rPr>
    </w:lvl>
    <w:lvl w:ilvl="6" w:tplc="48B4A8DE" w:tentative="1">
      <w:start w:val="1"/>
      <w:numFmt w:val="bullet"/>
      <w:lvlText w:val=""/>
      <w:lvlJc w:val="left"/>
      <w:pPr>
        <w:ind w:left="6035" w:hanging="360"/>
      </w:pPr>
      <w:rPr>
        <w:rFonts w:ascii="Symbol" w:hAnsi="Symbol" w:hint="default"/>
      </w:rPr>
    </w:lvl>
    <w:lvl w:ilvl="7" w:tplc="BEB6DC1A" w:tentative="1">
      <w:start w:val="1"/>
      <w:numFmt w:val="bullet"/>
      <w:lvlText w:val="o"/>
      <w:lvlJc w:val="left"/>
      <w:pPr>
        <w:ind w:left="6755" w:hanging="360"/>
      </w:pPr>
      <w:rPr>
        <w:rFonts w:ascii="Courier New" w:hAnsi="Courier New" w:cs="Courier New" w:hint="default"/>
      </w:rPr>
    </w:lvl>
    <w:lvl w:ilvl="8" w:tplc="8082797C"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76226A5"/>
    <w:multiLevelType w:val="hybridMultilevel"/>
    <w:tmpl w:val="0A2A3A9A"/>
    <w:lvl w:ilvl="0" w:tplc="0B66AE08">
      <w:start w:val="1"/>
      <w:numFmt w:val="bullet"/>
      <w:pStyle w:val="TOC8"/>
      <w:lvlText w:val=""/>
      <w:lvlJc w:val="left"/>
      <w:pPr>
        <w:ind w:left="360" w:hanging="360"/>
      </w:pPr>
      <w:rPr>
        <w:rFonts w:ascii="Segoe UI Symbol" w:hAnsi="Segoe UI Symbol" w:cs="Segoe UI Symbol" w:hint="default"/>
        <w:color w:val="FFC00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9677F6F"/>
    <w:multiLevelType w:val="hybridMultilevel"/>
    <w:tmpl w:val="CB0045A4"/>
    <w:lvl w:ilvl="0" w:tplc="380C6BD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A0089E"/>
    <w:multiLevelType w:val="hybridMultilevel"/>
    <w:tmpl w:val="66369400"/>
    <w:lvl w:ilvl="0" w:tplc="39E44E22">
      <w:start w:val="1"/>
      <w:numFmt w:val="bullet"/>
      <w:pStyle w:val="TOC9"/>
      <w:lvlText w:val=""/>
      <w:lvlJc w:val="left"/>
      <w:pPr>
        <w:ind w:left="360" w:hanging="360"/>
      </w:pPr>
      <w:rPr>
        <w:rFonts w:ascii="Segoe UI Symbol" w:hAnsi="Segoe UI Symbol" w:cs="Segoe UI Symbol" w:hint="default"/>
        <w:color w:val="C0000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0D17255"/>
    <w:multiLevelType w:val="hybridMultilevel"/>
    <w:tmpl w:val="F1AE1FFC"/>
    <w:lvl w:ilvl="0" w:tplc="77603860">
      <w:start w:val="1"/>
      <w:numFmt w:val="decimal"/>
      <w:pStyle w:val="a1"/>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316B14B9"/>
    <w:multiLevelType w:val="hybridMultilevel"/>
    <w:tmpl w:val="378E9214"/>
    <w:lvl w:ilvl="0" w:tplc="998E4AB2">
      <w:start w:val="1"/>
      <w:numFmt w:val="decimal"/>
      <w:pStyle w:val="a2"/>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4" w15:restartNumberingAfterBreak="0">
    <w:nsid w:val="32EF427E"/>
    <w:multiLevelType w:val="multilevel"/>
    <w:tmpl w:val="C930C144"/>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33A86F96"/>
    <w:multiLevelType w:val="hybridMultilevel"/>
    <w:tmpl w:val="220A2AB2"/>
    <w:lvl w:ilvl="0" w:tplc="A81CBAD8">
      <w:start w:val="1"/>
      <w:numFmt w:val="decimal"/>
      <w:pStyle w:val="a3"/>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6" w15:restartNumberingAfterBreak="0">
    <w:nsid w:val="3A923526"/>
    <w:multiLevelType w:val="hybridMultilevel"/>
    <w:tmpl w:val="4E74417E"/>
    <w:lvl w:ilvl="0" w:tplc="DB807A88">
      <w:start w:val="1"/>
      <w:numFmt w:val="decimal"/>
      <w:pStyle w:val="a4"/>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7" w15:restartNumberingAfterBreak="0">
    <w:nsid w:val="3B9D3173"/>
    <w:multiLevelType w:val="hybridMultilevel"/>
    <w:tmpl w:val="D7626E58"/>
    <w:lvl w:ilvl="0" w:tplc="9D0A0E02">
      <w:start w:val="1"/>
      <w:numFmt w:val="decimal"/>
      <w:pStyle w:val="a5"/>
      <w:suff w:val="nothing"/>
      <w:lvlText w:val="תמונה %1"/>
      <w:lvlJc w:val="left"/>
      <w:pPr>
        <w:ind w:left="357" w:hanging="360"/>
      </w:pPr>
      <w:rPr>
        <w:rFonts w:hint="default"/>
        <w:b w:val="0"/>
        <w:bCs w:val="0"/>
        <w:sz w:val="24"/>
        <w:szCs w:val="24"/>
      </w:rPr>
    </w:lvl>
    <w:lvl w:ilvl="1" w:tplc="04090019" w:tentative="1">
      <w:start w:val="1"/>
      <w:numFmt w:val="lowerLetter"/>
      <w:lvlText w:val="%2."/>
      <w:lvlJc w:val="left"/>
      <w:pPr>
        <w:ind w:left="453" w:hanging="360"/>
      </w:pPr>
    </w:lvl>
    <w:lvl w:ilvl="2" w:tplc="0409001B" w:tentative="1">
      <w:start w:val="1"/>
      <w:numFmt w:val="lowerRoman"/>
      <w:lvlText w:val="%3."/>
      <w:lvlJc w:val="right"/>
      <w:pPr>
        <w:ind w:left="1173" w:hanging="180"/>
      </w:pPr>
    </w:lvl>
    <w:lvl w:ilvl="3" w:tplc="0409000F" w:tentative="1">
      <w:start w:val="1"/>
      <w:numFmt w:val="decimal"/>
      <w:lvlText w:val="%4."/>
      <w:lvlJc w:val="left"/>
      <w:pPr>
        <w:ind w:left="1893" w:hanging="360"/>
      </w:pPr>
    </w:lvl>
    <w:lvl w:ilvl="4" w:tplc="04090019" w:tentative="1">
      <w:start w:val="1"/>
      <w:numFmt w:val="lowerLetter"/>
      <w:lvlText w:val="%5."/>
      <w:lvlJc w:val="left"/>
      <w:pPr>
        <w:ind w:left="2613" w:hanging="360"/>
      </w:pPr>
    </w:lvl>
    <w:lvl w:ilvl="5" w:tplc="0409001B" w:tentative="1">
      <w:start w:val="1"/>
      <w:numFmt w:val="lowerRoman"/>
      <w:lvlText w:val="%6."/>
      <w:lvlJc w:val="right"/>
      <w:pPr>
        <w:ind w:left="3333" w:hanging="180"/>
      </w:pPr>
    </w:lvl>
    <w:lvl w:ilvl="6" w:tplc="0409000F" w:tentative="1">
      <w:start w:val="1"/>
      <w:numFmt w:val="decimal"/>
      <w:lvlText w:val="%7."/>
      <w:lvlJc w:val="left"/>
      <w:pPr>
        <w:ind w:left="4053" w:hanging="360"/>
      </w:pPr>
    </w:lvl>
    <w:lvl w:ilvl="7" w:tplc="04090019" w:tentative="1">
      <w:start w:val="1"/>
      <w:numFmt w:val="lowerLetter"/>
      <w:lvlText w:val="%8."/>
      <w:lvlJc w:val="left"/>
      <w:pPr>
        <w:ind w:left="4773" w:hanging="360"/>
      </w:pPr>
    </w:lvl>
    <w:lvl w:ilvl="8" w:tplc="0409001B" w:tentative="1">
      <w:start w:val="1"/>
      <w:numFmt w:val="lowerRoman"/>
      <w:lvlText w:val="%9."/>
      <w:lvlJc w:val="right"/>
      <w:pPr>
        <w:ind w:left="5493" w:hanging="180"/>
      </w:p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6"/>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2" w15:restartNumberingAfterBreak="0">
    <w:nsid w:val="459C2999"/>
    <w:multiLevelType w:val="multilevel"/>
    <w:tmpl w:val="065C52B0"/>
    <w:lvl w:ilvl="0">
      <w:start w:val="1"/>
      <w:numFmt w:val="hebrew1"/>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 w15:restartNumberingAfterBreak="0">
    <w:nsid w:val="4F7A3D31"/>
    <w:multiLevelType w:val="hybridMultilevel"/>
    <w:tmpl w:val="4EB25374"/>
    <w:lvl w:ilvl="0" w:tplc="117E88F6">
      <w:start w:val="1"/>
      <w:numFmt w:val="decimal"/>
      <w:pStyle w:val="a7"/>
      <w:suff w:val="nothing"/>
      <w:lvlText w:val="תמונה %1"/>
      <w:lvlJc w:val="left"/>
      <w:pPr>
        <w:ind w:left="1494" w:hanging="360"/>
      </w:pPr>
      <w:rPr>
        <w:rFonts w:hint="default"/>
        <w:b w:val="0"/>
        <w:bCs w:val="0"/>
      </w:rPr>
    </w:lvl>
    <w:lvl w:ilvl="1" w:tplc="C0C60FF2" w:tentative="1">
      <w:start w:val="1"/>
      <w:numFmt w:val="lowerLetter"/>
      <w:lvlText w:val="%2."/>
      <w:lvlJc w:val="left"/>
      <w:pPr>
        <w:ind w:left="2574" w:hanging="360"/>
      </w:pPr>
    </w:lvl>
    <w:lvl w:ilvl="2" w:tplc="3D58E77E" w:tentative="1">
      <w:start w:val="1"/>
      <w:numFmt w:val="lowerRoman"/>
      <w:lvlText w:val="%3."/>
      <w:lvlJc w:val="right"/>
      <w:pPr>
        <w:ind w:left="3294" w:hanging="180"/>
      </w:pPr>
    </w:lvl>
    <w:lvl w:ilvl="3" w:tplc="715447F0" w:tentative="1">
      <w:start w:val="1"/>
      <w:numFmt w:val="decimal"/>
      <w:lvlText w:val="%4."/>
      <w:lvlJc w:val="left"/>
      <w:pPr>
        <w:ind w:left="4014" w:hanging="360"/>
      </w:pPr>
    </w:lvl>
    <w:lvl w:ilvl="4" w:tplc="58ECAB38" w:tentative="1">
      <w:start w:val="1"/>
      <w:numFmt w:val="lowerLetter"/>
      <w:lvlText w:val="%5."/>
      <w:lvlJc w:val="left"/>
      <w:pPr>
        <w:ind w:left="4734" w:hanging="360"/>
      </w:pPr>
    </w:lvl>
    <w:lvl w:ilvl="5" w:tplc="285C9E1E" w:tentative="1">
      <w:start w:val="1"/>
      <w:numFmt w:val="lowerRoman"/>
      <w:lvlText w:val="%6."/>
      <w:lvlJc w:val="right"/>
      <w:pPr>
        <w:ind w:left="5454" w:hanging="180"/>
      </w:pPr>
    </w:lvl>
    <w:lvl w:ilvl="6" w:tplc="7CBCC1B0" w:tentative="1">
      <w:start w:val="1"/>
      <w:numFmt w:val="decimal"/>
      <w:lvlText w:val="%7."/>
      <w:lvlJc w:val="left"/>
      <w:pPr>
        <w:ind w:left="6174" w:hanging="360"/>
      </w:pPr>
    </w:lvl>
    <w:lvl w:ilvl="7" w:tplc="1F6CC250" w:tentative="1">
      <w:start w:val="1"/>
      <w:numFmt w:val="lowerLetter"/>
      <w:lvlText w:val="%8."/>
      <w:lvlJc w:val="left"/>
      <w:pPr>
        <w:ind w:left="6894" w:hanging="360"/>
      </w:pPr>
    </w:lvl>
    <w:lvl w:ilvl="8" w:tplc="F3C46978" w:tentative="1">
      <w:start w:val="1"/>
      <w:numFmt w:val="lowerRoman"/>
      <w:lvlText w:val="%9."/>
      <w:lvlJc w:val="right"/>
      <w:pPr>
        <w:ind w:left="7614" w:hanging="180"/>
      </w:pPr>
    </w:lvl>
  </w:abstractNum>
  <w:abstractNum w:abstractNumId="25" w15:restartNumberingAfterBreak="0">
    <w:nsid w:val="587A7E94"/>
    <w:multiLevelType w:val="hybridMultilevel"/>
    <w:tmpl w:val="7320F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743717"/>
    <w:multiLevelType w:val="multilevel"/>
    <w:tmpl w:val="54B40DD4"/>
    <w:lvl w:ilvl="0">
      <w:start w:val="1"/>
      <w:numFmt w:val="decimal"/>
      <w:pStyle w:val="a8"/>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67696205"/>
    <w:multiLevelType w:val="hybridMultilevel"/>
    <w:tmpl w:val="1D72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72377694"/>
    <w:multiLevelType w:val="multilevel"/>
    <w:tmpl w:val="51662B22"/>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79061F0C"/>
    <w:multiLevelType w:val="multilevel"/>
    <w:tmpl w:val="74ECE948"/>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7A51585B"/>
    <w:multiLevelType w:val="hybridMultilevel"/>
    <w:tmpl w:val="563C9F54"/>
    <w:lvl w:ilvl="0" w:tplc="F00EC81C">
      <w:start w:val="1"/>
      <w:numFmt w:val="decimal"/>
      <w:pStyle w:val="a9"/>
      <w:suff w:val="nothing"/>
      <w:lvlText w:val="תרשים %1"/>
      <w:lvlJc w:val="left"/>
      <w:pPr>
        <w:ind w:left="2203" w:hanging="360"/>
      </w:pPr>
      <w:rPr>
        <w:rFonts w:cs="David"/>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7FE4B980">
      <w:start w:val="1"/>
      <w:numFmt w:val="lowerLetter"/>
      <w:lvlText w:val="%2."/>
      <w:lvlJc w:val="left"/>
      <w:pPr>
        <w:ind w:left="3915" w:hanging="360"/>
      </w:pPr>
    </w:lvl>
    <w:lvl w:ilvl="2" w:tplc="007A936A" w:tentative="1">
      <w:start w:val="1"/>
      <w:numFmt w:val="lowerRoman"/>
      <w:lvlText w:val="%3."/>
      <w:lvlJc w:val="right"/>
      <w:pPr>
        <w:ind w:left="4635" w:hanging="180"/>
      </w:pPr>
    </w:lvl>
    <w:lvl w:ilvl="3" w:tplc="F17818FE" w:tentative="1">
      <w:start w:val="1"/>
      <w:numFmt w:val="decimal"/>
      <w:lvlText w:val="%4."/>
      <w:lvlJc w:val="left"/>
      <w:pPr>
        <w:ind w:left="5355" w:hanging="360"/>
      </w:pPr>
    </w:lvl>
    <w:lvl w:ilvl="4" w:tplc="49B626CC" w:tentative="1">
      <w:start w:val="1"/>
      <w:numFmt w:val="lowerLetter"/>
      <w:lvlText w:val="%5."/>
      <w:lvlJc w:val="left"/>
      <w:pPr>
        <w:ind w:left="6075" w:hanging="360"/>
      </w:pPr>
    </w:lvl>
    <w:lvl w:ilvl="5" w:tplc="BC28C196" w:tentative="1">
      <w:start w:val="1"/>
      <w:numFmt w:val="lowerRoman"/>
      <w:lvlText w:val="%6."/>
      <w:lvlJc w:val="right"/>
      <w:pPr>
        <w:ind w:left="6795" w:hanging="180"/>
      </w:pPr>
    </w:lvl>
    <w:lvl w:ilvl="6" w:tplc="2CE81680" w:tentative="1">
      <w:start w:val="1"/>
      <w:numFmt w:val="decimal"/>
      <w:lvlText w:val="%7."/>
      <w:lvlJc w:val="left"/>
      <w:pPr>
        <w:ind w:left="7515" w:hanging="360"/>
      </w:pPr>
    </w:lvl>
    <w:lvl w:ilvl="7" w:tplc="9BF0E640" w:tentative="1">
      <w:start w:val="1"/>
      <w:numFmt w:val="lowerLetter"/>
      <w:lvlText w:val="%8."/>
      <w:lvlJc w:val="left"/>
      <w:pPr>
        <w:ind w:left="8235" w:hanging="360"/>
      </w:pPr>
    </w:lvl>
    <w:lvl w:ilvl="8" w:tplc="A05C59E6" w:tentative="1">
      <w:start w:val="1"/>
      <w:numFmt w:val="lowerRoman"/>
      <w:lvlText w:val="%9."/>
      <w:lvlJc w:val="right"/>
      <w:pPr>
        <w:ind w:left="8955" w:hanging="180"/>
      </w:pPr>
    </w:lvl>
  </w:abstractNum>
  <w:abstractNum w:abstractNumId="33" w15:restartNumberingAfterBreak="0">
    <w:nsid w:val="7BE31170"/>
    <w:multiLevelType w:val="hybridMultilevel"/>
    <w:tmpl w:val="DA1CF0F0"/>
    <w:lvl w:ilvl="0" w:tplc="967CB928">
      <w:start w:val="1"/>
      <w:numFmt w:val="decimal"/>
      <w:pStyle w:val="aa"/>
      <w:suff w:val="nothing"/>
      <w:lvlText w:val="לוח %1"/>
      <w:lvlJc w:val="left"/>
      <w:pPr>
        <w:ind w:left="2421" w:hanging="720"/>
      </w:pPr>
      <w:rPr>
        <w:rFonts w:hint="default"/>
        <w:b w:val="0"/>
        <w:bCs w:val="0"/>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4"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5"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6" w15:restartNumberingAfterBreak="0">
    <w:nsid w:val="7EEB585B"/>
    <w:multiLevelType w:val="hybridMultilevel"/>
    <w:tmpl w:val="9B349B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23"/>
  </w:num>
  <w:num w:numId="3">
    <w:abstractNumId w:val="20"/>
  </w:num>
  <w:num w:numId="4">
    <w:abstractNumId w:val="2"/>
  </w:num>
  <w:num w:numId="5">
    <w:abstractNumId w:val="21"/>
  </w:num>
  <w:num w:numId="6">
    <w:abstractNumId w:val="27"/>
  </w:num>
  <w:num w:numId="7">
    <w:abstractNumId w:val="16"/>
  </w:num>
  <w:num w:numId="8">
    <w:abstractNumId w:val="13"/>
  </w:num>
  <w:num w:numId="9">
    <w:abstractNumId w:val="12"/>
  </w:num>
  <w:num w:numId="10">
    <w:abstractNumId w:val="15"/>
  </w:num>
  <w:num w:numId="11">
    <w:abstractNumId w:val="9"/>
  </w:num>
  <w:num w:numId="12">
    <w:abstractNumId w:val="7"/>
  </w:num>
  <w:num w:numId="13">
    <w:abstractNumId w:val="19"/>
  </w:num>
  <w:num w:numId="14">
    <w:abstractNumId w:val="29"/>
  </w:num>
  <w:num w:numId="15">
    <w:abstractNumId w:val="11"/>
  </w:num>
  <w:num w:numId="16">
    <w:abstractNumId w:val="18"/>
  </w:num>
  <w:num w:numId="17">
    <w:abstractNumId w:val="34"/>
  </w:num>
  <w:num w:numId="18">
    <w:abstractNumId w:val="1"/>
  </w:num>
  <w:num w:numId="19">
    <w:abstractNumId w:val="22"/>
  </w:num>
  <w:num w:numId="20">
    <w:abstractNumId w:val="5"/>
  </w:num>
  <w:num w:numId="21">
    <w:abstractNumId w:val="26"/>
  </w:num>
  <w:num w:numId="22">
    <w:abstractNumId w:val="4"/>
  </w:num>
  <w:num w:numId="23">
    <w:abstractNumId w:val="6"/>
  </w:num>
  <w:num w:numId="24">
    <w:abstractNumId w:val="3"/>
  </w:num>
  <w:num w:numId="25">
    <w:abstractNumId w:val="24"/>
  </w:num>
  <w:num w:numId="26">
    <w:abstractNumId w:val="0"/>
  </w:num>
  <w:num w:numId="27">
    <w:abstractNumId w:val="32"/>
  </w:num>
  <w:num w:numId="28">
    <w:abstractNumId w:val="31"/>
  </w:num>
  <w:num w:numId="29">
    <w:abstractNumId w:val="30"/>
  </w:num>
  <w:num w:numId="30">
    <w:abstractNumId w:val="14"/>
  </w:num>
  <w:num w:numId="31">
    <w:abstractNumId w:val="8"/>
  </w:num>
  <w:num w:numId="32">
    <w:abstractNumId w:val="10"/>
  </w:num>
  <w:num w:numId="33">
    <w:abstractNumId w:val="33"/>
  </w:num>
  <w:num w:numId="34">
    <w:abstractNumId w:val="17"/>
  </w:num>
  <w:num w:numId="35">
    <w:abstractNumId w:val="25"/>
  </w:num>
  <w:num w:numId="36">
    <w:abstractNumId w:val="28"/>
  </w:num>
  <w:num w:numId="37">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dirty"/>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56FDC"/>
    <w:rsid w:val="000B1102"/>
    <w:rsid w:val="000C7459"/>
    <w:rsid w:val="000E013E"/>
    <w:rsid w:val="000F5D42"/>
    <w:rsid w:val="000F7725"/>
    <w:rsid w:val="00101D0F"/>
    <w:rsid w:val="001132D6"/>
    <w:rsid w:val="00113E28"/>
    <w:rsid w:val="00114325"/>
    <w:rsid w:val="00166477"/>
    <w:rsid w:val="001730B0"/>
    <w:rsid w:val="001960B4"/>
    <w:rsid w:val="001A5151"/>
    <w:rsid w:val="001A613C"/>
    <w:rsid w:val="001B2821"/>
    <w:rsid w:val="001C057E"/>
    <w:rsid w:val="001C6185"/>
    <w:rsid w:val="001E204F"/>
    <w:rsid w:val="001E277C"/>
    <w:rsid w:val="001E31FA"/>
    <w:rsid w:val="001F39E7"/>
    <w:rsid w:val="00203604"/>
    <w:rsid w:val="002064F7"/>
    <w:rsid w:val="00240887"/>
    <w:rsid w:val="00256611"/>
    <w:rsid w:val="00263521"/>
    <w:rsid w:val="002A7D21"/>
    <w:rsid w:val="002C0FD0"/>
    <w:rsid w:val="002C1EE0"/>
    <w:rsid w:val="002C4139"/>
    <w:rsid w:val="002D6E9B"/>
    <w:rsid w:val="00301153"/>
    <w:rsid w:val="00313DEA"/>
    <w:rsid w:val="00323027"/>
    <w:rsid w:val="0037370B"/>
    <w:rsid w:val="0037752E"/>
    <w:rsid w:val="00380052"/>
    <w:rsid w:val="00386E9B"/>
    <w:rsid w:val="0039415D"/>
    <w:rsid w:val="003D61C6"/>
    <w:rsid w:val="003E58C2"/>
    <w:rsid w:val="003F102E"/>
    <w:rsid w:val="004136E8"/>
    <w:rsid w:val="004311A2"/>
    <w:rsid w:val="004779AA"/>
    <w:rsid w:val="004A0385"/>
    <w:rsid w:val="004A0C9B"/>
    <w:rsid w:val="004C7D9F"/>
    <w:rsid w:val="005006C5"/>
    <w:rsid w:val="00512A2D"/>
    <w:rsid w:val="00551B42"/>
    <w:rsid w:val="00551FF7"/>
    <w:rsid w:val="00570BDC"/>
    <w:rsid w:val="00574579"/>
    <w:rsid w:val="00580C5C"/>
    <w:rsid w:val="005A021D"/>
    <w:rsid w:val="0062451B"/>
    <w:rsid w:val="00634DAD"/>
    <w:rsid w:val="00640B60"/>
    <w:rsid w:val="006457EB"/>
    <w:rsid w:val="006531CB"/>
    <w:rsid w:val="006D4161"/>
    <w:rsid w:val="006D786C"/>
    <w:rsid w:val="006E1414"/>
    <w:rsid w:val="006F285F"/>
    <w:rsid w:val="0072219B"/>
    <w:rsid w:val="007474F0"/>
    <w:rsid w:val="00753ADE"/>
    <w:rsid w:val="00773F61"/>
    <w:rsid w:val="007A4468"/>
    <w:rsid w:val="007A4EBD"/>
    <w:rsid w:val="007A735E"/>
    <w:rsid w:val="007B112B"/>
    <w:rsid w:val="007B5B26"/>
    <w:rsid w:val="007B691A"/>
    <w:rsid w:val="007C1FF6"/>
    <w:rsid w:val="007D61B8"/>
    <w:rsid w:val="007E53C6"/>
    <w:rsid w:val="007F7FF2"/>
    <w:rsid w:val="00805B42"/>
    <w:rsid w:val="008102AD"/>
    <w:rsid w:val="00817399"/>
    <w:rsid w:val="008238B4"/>
    <w:rsid w:val="00837997"/>
    <w:rsid w:val="00867FC5"/>
    <w:rsid w:val="00892F80"/>
    <w:rsid w:val="008B4F41"/>
    <w:rsid w:val="008C6F75"/>
    <w:rsid w:val="009015B2"/>
    <w:rsid w:val="00906E90"/>
    <w:rsid w:val="0091051D"/>
    <w:rsid w:val="0093069F"/>
    <w:rsid w:val="00936F84"/>
    <w:rsid w:val="00940851"/>
    <w:rsid w:val="0094653A"/>
    <w:rsid w:val="009473DF"/>
    <w:rsid w:val="00956B0F"/>
    <w:rsid w:val="009679D9"/>
    <w:rsid w:val="0099692E"/>
    <w:rsid w:val="009C6066"/>
    <w:rsid w:val="009D73F5"/>
    <w:rsid w:val="009E1A3F"/>
    <w:rsid w:val="009E2768"/>
    <w:rsid w:val="009E53CF"/>
    <w:rsid w:val="009F0BD3"/>
    <w:rsid w:val="00A222E2"/>
    <w:rsid w:val="00A57D15"/>
    <w:rsid w:val="00A61AD5"/>
    <w:rsid w:val="00A66CAE"/>
    <w:rsid w:val="00A73038"/>
    <w:rsid w:val="00A74C4E"/>
    <w:rsid w:val="00A76C99"/>
    <w:rsid w:val="00A81EBE"/>
    <w:rsid w:val="00A92970"/>
    <w:rsid w:val="00AC6B95"/>
    <w:rsid w:val="00B00E5C"/>
    <w:rsid w:val="00B14D2A"/>
    <w:rsid w:val="00B4321D"/>
    <w:rsid w:val="00B666B9"/>
    <w:rsid w:val="00B76DC1"/>
    <w:rsid w:val="00B862C0"/>
    <w:rsid w:val="00B96230"/>
    <w:rsid w:val="00BB5E31"/>
    <w:rsid w:val="00BD51C0"/>
    <w:rsid w:val="00BE2DD8"/>
    <w:rsid w:val="00BE68F2"/>
    <w:rsid w:val="00C2305A"/>
    <w:rsid w:val="00C23CC9"/>
    <w:rsid w:val="00C30B3D"/>
    <w:rsid w:val="00C33AE2"/>
    <w:rsid w:val="00C8096C"/>
    <w:rsid w:val="00C8100B"/>
    <w:rsid w:val="00C91050"/>
    <w:rsid w:val="00CA41D2"/>
    <w:rsid w:val="00CA4F20"/>
    <w:rsid w:val="00CE3828"/>
    <w:rsid w:val="00D06E6C"/>
    <w:rsid w:val="00D22748"/>
    <w:rsid w:val="00D25C8F"/>
    <w:rsid w:val="00D26918"/>
    <w:rsid w:val="00D37121"/>
    <w:rsid w:val="00D779F7"/>
    <w:rsid w:val="00D87542"/>
    <w:rsid w:val="00D95C20"/>
    <w:rsid w:val="00D97C16"/>
    <w:rsid w:val="00DE1DAB"/>
    <w:rsid w:val="00DE20A2"/>
    <w:rsid w:val="00DF0B89"/>
    <w:rsid w:val="00E35682"/>
    <w:rsid w:val="00E46EA3"/>
    <w:rsid w:val="00E51497"/>
    <w:rsid w:val="00E51C1B"/>
    <w:rsid w:val="00E53DA7"/>
    <w:rsid w:val="00E63213"/>
    <w:rsid w:val="00EC6B44"/>
    <w:rsid w:val="00EE37A3"/>
    <w:rsid w:val="00F4385E"/>
    <w:rsid w:val="00F627EB"/>
    <w:rsid w:val="00F75A10"/>
    <w:rsid w:val="00F769CC"/>
    <w:rsid w:val="00F77276"/>
    <w:rsid w:val="00F86F27"/>
    <w:rsid w:val="00F95853"/>
    <w:rsid w:val="00FA7500"/>
    <w:rsid w:val="00FB3F26"/>
    <w:rsid w:val="00FB7831"/>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4F504"/>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0501A4"/>
    <w:pPr>
      <w:bidi/>
      <w:spacing w:after="0" w:line="312" w:lineRule="auto"/>
    </w:pPr>
  </w:style>
  <w:style w:type="paragraph" w:styleId="11">
    <w:name w:val="heading 1"/>
    <w:basedOn w:val="ab"/>
    <w:next w:val="ab"/>
    <w:link w:val="12"/>
    <w:uiPriority w:val="1"/>
    <w:qFormat/>
    <w:rsid w:val="000501A4"/>
    <w:pPr>
      <w:keepNext/>
      <w:keepLines/>
      <w:jc w:val="center"/>
      <w:outlineLvl w:val="0"/>
    </w:pPr>
    <w:rPr>
      <w:rFonts w:eastAsiaTheme="majorEastAsia"/>
      <w:bCs/>
      <w:szCs w:val="36"/>
      <w:u w:val="single"/>
    </w:rPr>
  </w:style>
  <w:style w:type="paragraph" w:styleId="20">
    <w:name w:val="heading 2"/>
    <w:basedOn w:val="ab"/>
    <w:next w:val="ab"/>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b"/>
    <w:next w:val="ab"/>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b"/>
    <w:next w:val="ab"/>
    <w:link w:val="40"/>
    <w:uiPriority w:val="1"/>
    <w:qFormat/>
    <w:rsid w:val="006D786C"/>
    <w:pPr>
      <w:keepNext/>
      <w:keepLines/>
      <w:spacing w:before="120"/>
      <w:outlineLvl w:val="3"/>
    </w:pPr>
    <w:rPr>
      <w:rFonts w:eastAsiaTheme="majorEastAsia"/>
      <w:bCs/>
      <w:szCs w:val="26"/>
    </w:rPr>
  </w:style>
  <w:style w:type="paragraph" w:styleId="50">
    <w:name w:val="heading 5"/>
    <w:basedOn w:val="ab"/>
    <w:next w:val="ab"/>
    <w:link w:val="51"/>
    <w:uiPriority w:val="1"/>
    <w:qFormat/>
    <w:rsid w:val="000501A4"/>
    <w:pPr>
      <w:keepNext/>
      <w:keepLines/>
      <w:outlineLvl w:val="4"/>
    </w:pPr>
    <w:rPr>
      <w:rFonts w:eastAsiaTheme="majorEastAsia"/>
      <w:bCs/>
      <w:spacing w:val="40"/>
    </w:rPr>
  </w:style>
  <w:style w:type="paragraph" w:styleId="6">
    <w:name w:val="heading 6"/>
    <w:basedOn w:val="ab"/>
    <w:next w:val="ab"/>
    <w:link w:val="60"/>
    <w:uiPriority w:val="1"/>
    <w:qFormat/>
    <w:rsid w:val="000501A4"/>
    <w:pPr>
      <w:keepNext/>
      <w:keepLines/>
      <w:outlineLvl w:val="5"/>
    </w:pPr>
    <w:rPr>
      <w:rFonts w:eastAsiaTheme="majorEastAsia"/>
      <w:spacing w:val="40"/>
    </w:rPr>
  </w:style>
  <w:style w:type="paragraph" w:styleId="7">
    <w:name w:val="heading 7"/>
    <w:basedOn w:val="ab"/>
    <w:next w:val="ab"/>
    <w:link w:val="70"/>
    <w:qFormat/>
    <w:rsid w:val="000501A4"/>
    <w:pPr>
      <w:keepNext/>
      <w:keepLines/>
      <w:outlineLvl w:val="6"/>
    </w:pPr>
    <w:rPr>
      <w:rFonts w:eastAsiaTheme="majorEastAsia"/>
      <w:bCs/>
      <w:spacing w:val="40"/>
    </w:rPr>
  </w:style>
  <w:style w:type="paragraph" w:styleId="8">
    <w:name w:val="heading 8"/>
    <w:basedOn w:val="ab"/>
    <w:next w:val="ab"/>
    <w:link w:val="80"/>
    <w:uiPriority w:val="1"/>
    <w:qFormat/>
    <w:rsid w:val="000501A4"/>
    <w:pPr>
      <w:keepNext/>
      <w:keepLines/>
      <w:outlineLvl w:val="7"/>
    </w:pPr>
    <w:rPr>
      <w:rFonts w:eastAsiaTheme="majorEastAsia"/>
      <w:spacing w:val="40"/>
    </w:rPr>
  </w:style>
  <w:style w:type="paragraph" w:styleId="9">
    <w:name w:val="heading 9"/>
    <w:basedOn w:val="ab"/>
    <w:next w:val="ab"/>
    <w:link w:val="92"/>
    <w:uiPriority w:val="9"/>
    <w:unhideWhenUsed/>
    <w:rsid w:val="008173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כותרת 1 תו"/>
    <w:basedOn w:val="ac"/>
    <w:link w:val="11"/>
    <w:uiPriority w:val="1"/>
    <w:rsid w:val="000501A4"/>
    <w:rPr>
      <w:rFonts w:eastAsiaTheme="majorEastAsia"/>
      <w:bCs/>
      <w:szCs w:val="36"/>
      <w:u w:val="single"/>
    </w:rPr>
  </w:style>
  <w:style w:type="character" w:customStyle="1" w:styleId="21">
    <w:name w:val="כותרת 2 תו"/>
    <w:basedOn w:val="ac"/>
    <w:link w:val="20"/>
    <w:uiPriority w:val="1"/>
    <w:rsid w:val="000501A4"/>
    <w:rPr>
      <w:rFonts w:eastAsiaTheme="majorEastAsia"/>
      <w:bCs/>
      <w:szCs w:val="32"/>
    </w:rPr>
  </w:style>
  <w:style w:type="character" w:customStyle="1" w:styleId="32">
    <w:name w:val="כותרת 3 תו"/>
    <w:basedOn w:val="ac"/>
    <w:link w:val="31"/>
    <w:uiPriority w:val="1"/>
    <w:rsid w:val="006D786C"/>
    <w:rPr>
      <w:rFonts w:eastAsiaTheme="majorEastAsia"/>
      <w:bCs/>
      <w:szCs w:val="28"/>
      <w:u w:val="single"/>
    </w:rPr>
  </w:style>
  <w:style w:type="character" w:customStyle="1" w:styleId="40">
    <w:name w:val="כותרת 4 תו"/>
    <w:basedOn w:val="ac"/>
    <w:link w:val="4"/>
    <w:uiPriority w:val="1"/>
    <w:rsid w:val="006D786C"/>
    <w:rPr>
      <w:rFonts w:eastAsiaTheme="majorEastAsia"/>
      <w:bCs/>
      <w:szCs w:val="26"/>
    </w:rPr>
  </w:style>
  <w:style w:type="character" w:customStyle="1" w:styleId="51">
    <w:name w:val="כותרת 5 תו"/>
    <w:basedOn w:val="ac"/>
    <w:link w:val="50"/>
    <w:uiPriority w:val="1"/>
    <w:rsid w:val="000501A4"/>
    <w:rPr>
      <w:rFonts w:eastAsiaTheme="majorEastAsia"/>
      <w:bCs/>
      <w:spacing w:val="40"/>
    </w:rPr>
  </w:style>
  <w:style w:type="character" w:customStyle="1" w:styleId="60">
    <w:name w:val="כותרת 6 תו"/>
    <w:basedOn w:val="ac"/>
    <w:link w:val="6"/>
    <w:uiPriority w:val="1"/>
    <w:rsid w:val="000501A4"/>
    <w:rPr>
      <w:rFonts w:eastAsiaTheme="majorEastAsia"/>
      <w:spacing w:val="40"/>
    </w:rPr>
  </w:style>
  <w:style w:type="character" w:customStyle="1" w:styleId="70">
    <w:name w:val="כותרת 7 תו"/>
    <w:basedOn w:val="ac"/>
    <w:link w:val="7"/>
    <w:uiPriority w:val="1"/>
    <w:rsid w:val="000501A4"/>
    <w:rPr>
      <w:rFonts w:eastAsiaTheme="majorEastAsia"/>
      <w:bCs/>
      <w:spacing w:val="40"/>
    </w:rPr>
  </w:style>
  <w:style w:type="character" w:customStyle="1" w:styleId="80">
    <w:name w:val="כותרת 8 תו"/>
    <w:basedOn w:val="ac"/>
    <w:link w:val="8"/>
    <w:uiPriority w:val="1"/>
    <w:rsid w:val="000501A4"/>
    <w:rPr>
      <w:rFonts w:eastAsiaTheme="majorEastAsia"/>
      <w:spacing w:val="40"/>
    </w:rPr>
  </w:style>
  <w:style w:type="paragraph" w:customStyle="1" w:styleId="af">
    <w:name w:val="נבנצאל"/>
    <w:basedOn w:val="ab"/>
    <w:next w:val="ab"/>
    <w:link w:val="af0"/>
    <w:uiPriority w:val="99"/>
    <w:rsid w:val="000501A4"/>
    <w:pPr>
      <w:ind w:left="-567"/>
    </w:pPr>
    <w:rPr>
      <w:szCs w:val="20"/>
    </w:rPr>
  </w:style>
  <w:style w:type="character" w:customStyle="1" w:styleId="af0">
    <w:name w:val="נבנצאל תו"/>
    <w:basedOn w:val="ac"/>
    <w:link w:val="af"/>
    <w:uiPriority w:val="99"/>
    <w:rsid w:val="000501A4"/>
    <w:rPr>
      <w:szCs w:val="20"/>
    </w:rPr>
  </w:style>
  <w:style w:type="paragraph" w:styleId="af1">
    <w:name w:val="header"/>
    <w:basedOn w:val="ab"/>
    <w:link w:val="af2"/>
    <w:uiPriority w:val="99"/>
    <w:unhideWhenUsed/>
    <w:rsid w:val="000501A4"/>
    <w:pPr>
      <w:tabs>
        <w:tab w:val="center" w:pos="4153"/>
        <w:tab w:val="right" w:pos="8306"/>
      </w:tabs>
      <w:spacing w:line="240" w:lineRule="auto"/>
    </w:pPr>
  </w:style>
  <w:style w:type="character" w:customStyle="1" w:styleId="af2">
    <w:name w:val="כותרת עליונה תו"/>
    <w:basedOn w:val="ac"/>
    <w:link w:val="af1"/>
    <w:uiPriority w:val="99"/>
    <w:rsid w:val="000501A4"/>
  </w:style>
  <w:style w:type="paragraph" w:styleId="af3">
    <w:name w:val="footer"/>
    <w:basedOn w:val="ab"/>
    <w:link w:val="af4"/>
    <w:unhideWhenUsed/>
    <w:rsid w:val="000501A4"/>
    <w:pPr>
      <w:tabs>
        <w:tab w:val="center" w:pos="4153"/>
        <w:tab w:val="right" w:pos="8306"/>
      </w:tabs>
      <w:spacing w:line="240" w:lineRule="auto"/>
    </w:pPr>
  </w:style>
  <w:style w:type="character" w:customStyle="1" w:styleId="af4">
    <w:name w:val="כותרת תחתונה תו"/>
    <w:basedOn w:val="ac"/>
    <w:link w:val="af3"/>
    <w:uiPriority w:val="99"/>
    <w:rsid w:val="000501A4"/>
  </w:style>
  <w:style w:type="paragraph" w:styleId="af5">
    <w:name w:val="Date"/>
    <w:basedOn w:val="ab"/>
    <w:next w:val="ab"/>
    <w:link w:val="af6"/>
    <w:uiPriority w:val="99"/>
    <w:unhideWhenUsed/>
    <w:rsid w:val="000501A4"/>
    <w:pPr>
      <w:spacing w:before="120" w:line="240" w:lineRule="auto"/>
    </w:pPr>
  </w:style>
  <w:style w:type="character" w:customStyle="1" w:styleId="af6">
    <w:name w:val="תאריך תו"/>
    <w:basedOn w:val="ac"/>
    <w:link w:val="af5"/>
    <w:uiPriority w:val="99"/>
    <w:rsid w:val="000501A4"/>
  </w:style>
  <w:style w:type="paragraph" w:styleId="af7">
    <w:name w:val="footnote text"/>
    <w:aliases w:val=" Char,Char,FOOTNOTES,Footnote Text - Sharp,Footnote Text - Sharp Char,Footnote Text - Sharp Char Char,Footnote Text Char Char Char Char Char,Footnote reference,Sharp - Footnote Text,Sharp - Footnote Text1 Char,fn,footnote text,F1"/>
    <w:basedOn w:val="ab"/>
    <w:link w:val="af8"/>
    <w:uiPriority w:val="99"/>
    <w:rsid w:val="00574579"/>
    <w:pPr>
      <w:spacing w:line="240" w:lineRule="auto"/>
      <w:ind w:left="720" w:hanging="720"/>
    </w:pPr>
    <w:rPr>
      <w:szCs w:val="20"/>
    </w:rPr>
  </w:style>
  <w:style w:type="character" w:customStyle="1" w:styleId="af8">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c"/>
    <w:link w:val="af7"/>
    <w:uiPriority w:val="99"/>
    <w:rsid w:val="00574579"/>
    <w:rPr>
      <w:szCs w:val="20"/>
    </w:rPr>
  </w:style>
  <w:style w:type="character" w:styleId="af9">
    <w:name w:val="footnote reference"/>
    <w:aliases w:val="Footnote Reference_0,Footnote Reference_0_0,Footnote Reference_0_0_0,Footnote Reference_0_0_0_0,Footnote Reference_1,Footnote Reference_2,Footnote Reference_3,Footnote Reference_3_0,Footnote Reference_4,Footnote text,fr,מ"/>
    <w:basedOn w:val="ac"/>
    <w:uiPriority w:val="99"/>
    <w:unhideWhenUsed/>
    <w:rsid w:val="000501A4"/>
    <w:rPr>
      <w:vertAlign w:val="superscript"/>
    </w:rPr>
  </w:style>
  <w:style w:type="paragraph" w:styleId="afa">
    <w:name w:val="List Paragraph"/>
    <w:aliases w:val="Bullet Number,Num Bullet 1,Use Case List Paragraph,style 2,פיסקת רשימה1"/>
    <w:basedOn w:val="ab"/>
    <w:link w:val="afb"/>
    <w:uiPriority w:val="34"/>
    <w:qFormat/>
    <w:rsid w:val="00B4321D"/>
    <w:pPr>
      <w:ind w:left="720"/>
      <w:contextualSpacing/>
    </w:pPr>
  </w:style>
  <w:style w:type="character" w:customStyle="1" w:styleId="afb">
    <w:name w:val="פיסקת רשימה תו"/>
    <w:aliases w:val="Bullet Number תו,Num Bullet 1 תו,Use Case List Paragraph תו,style 2 תו,פיסקת רשימה1 תו"/>
    <w:link w:val="afa"/>
    <w:uiPriority w:val="34"/>
    <w:rsid w:val="00B4321D"/>
  </w:style>
  <w:style w:type="table" w:styleId="afc">
    <w:name w:val="Table Grid"/>
    <w:basedOn w:val="ad"/>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b"/>
    <w:link w:val="afe"/>
    <w:uiPriority w:val="99"/>
    <w:unhideWhenUsed/>
    <w:rsid w:val="00B4321D"/>
    <w:pPr>
      <w:spacing w:line="240" w:lineRule="auto"/>
    </w:pPr>
    <w:rPr>
      <w:rFonts w:ascii="Tahoma" w:hAnsi="Tahoma" w:cs="Tahoma"/>
      <w:sz w:val="18"/>
      <w:szCs w:val="18"/>
    </w:rPr>
  </w:style>
  <w:style w:type="character" w:customStyle="1" w:styleId="afe">
    <w:name w:val="טקסט בלונים תו"/>
    <w:basedOn w:val="ac"/>
    <w:link w:val="afd"/>
    <w:uiPriority w:val="99"/>
    <w:semiHidden/>
    <w:rsid w:val="00B4321D"/>
    <w:rPr>
      <w:rFonts w:ascii="Tahoma" w:hAnsi="Tahoma" w:cs="Tahoma"/>
      <w:sz w:val="18"/>
      <w:szCs w:val="18"/>
    </w:rPr>
  </w:style>
  <w:style w:type="character" w:styleId="aff">
    <w:name w:val="annotation reference"/>
    <w:basedOn w:val="ac"/>
    <w:uiPriority w:val="99"/>
    <w:unhideWhenUsed/>
    <w:rsid w:val="00B4321D"/>
    <w:rPr>
      <w:sz w:val="16"/>
      <w:szCs w:val="16"/>
    </w:rPr>
  </w:style>
  <w:style w:type="paragraph" w:styleId="aff0">
    <w:name w:val="annotation text"/>
    <w:basedOn w:val="ab"/>
    <w:link w:val="aff1"/>
    <w:uiPriority w:val="99"/>
    <w:unhideWhenUsed/>
    <w:rsid w:val="00B4321D"/>
    <w:pPr>
      <w:spacing w:line="240" w:lineRule="auto"/>
    </w:pPr>
    <w:rPr>
      <w:szCs w:val="20"/>
    </w:rPr>
  </w:style>
  <w:style w:type="character" w:customStyle="1" w:styleId="aff1">
    <w:name w:val="טקסט הערה תו"/>
    <w:basedOn w:val="ac"/>
    <w:link w:val="aff0"/>
    <w:uiPriority w:val="99"/>
    <w:rsid w:val="00B4321D"/>
    <w:rPr>
      <w:szCs w:val="20"/>
    </w:rPr>
  </w:style>
  <w:style w:type="paragraph" w:styleId="aff2">
    <w:name w:val="annotation subject"/>
    <w:basedOn w:val="aff0"/>
    <w:next w:val="aff0"/>
    <w:link w:val="aff3"/>
    <w:uiPriority w:val="99"/>
    <w:unhideWhenUsed/>
    <w:rsid w:val="00B4321D"/>
    <w:rPr>
      <w:b/>
      <w:bCs/>
    </w:rPr>
  </w:style>
  <w:style w:type="character" w:customStyle="1" w:styleId="aff3">
    <w:name w:val="נושא הערה תו"/>
    <w:basedOn w:val="aff1"/>
    <w:link w:val="aff2"/>
    <w:uiPriority w:val="99"/>
    <w:semiHidden/>
    <w:rsid w:val="00B4321D"/>
    <w:rPr>
      <w:b/>
      <w:bCs/>
      <w:szCs w:val="20"/>
    </w:rPr>
  </w:style>
  <w:style w:type="paragraph" w:styleId="aff4">
    <w:name w:val="Revision"/>
    <w:hidden/>
    <w:uiPriority w:val="99"/>
    <w:semiHidden/>
    <w:rsid w:val="00B4321D"/>
    <w:pPr>
      <w:spacing w:after="0" w:line="240" w:lineRule="auto"/>
      <w:jc w:val="left"/>
    </w:pPr>
  </w:style>
  <w:style w:type="paragraph" w:styleId="aff5">
    <w:name w:val="No Spacing"/>
    <w:aliases w:val="מספורנוהל"/>
    <w:basedOn w:val="ab"/>
    <w:link w:val="aff6"/>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6">
    <w:name w:val="ללא מרווח תו"/>
    <w:aliases w:val="מספורנוהל תו"/>
    <w:basedOn w:val="ac"/>
    <w:link w:val="aff5"/>
    <w:uiPriority w:val="1"/>
    <w:rsid w:val="00B4321D"/>
    <w:rPr>
      <w:rFonts w:ascii="David" w:eastAsia="Times New Roman" w:hAnsi="David"/>
      <w:b/>
      <w:sz w:val="24"/>
      <w:lang w:eastAsia="he-IL"/>
    </w:rPr>
  </w:style>
  <w:style w:type="paragraph" w:styleId="NormalWeb">
    <w:name w:val="Normal (Web)"/>
    <w:basedOn w:val="ab"/>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d"/>
    <w:next w:val="afc"/>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d"/>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c"/>
    <w:uiPriority w:val="99"/>
    <w:unhideWhenUsed/>
    <w:rsid w:val="00B4321D"/>
    <w:rPr>
      <w:color w:val="0000FF" w:themeColor="hyperlink"/>
      <w:u w:val="single"/>
    </w:rPr>
  </w:style>
  <w:style w:type="paragraph" w:customStyle="1" w:styleId="75">
    <w:name w:val="75א מספור הערות שוליים"/>
    <w:basedOn w:val="ab"/>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c"/>
    <w:uiPriority w:val="99"/>
    <w:semiHidden/>
    <w:unhideWhenUsed/>
    <w:rsid w:val="00B4321D"/>
    <w:rPr>
      <w:color w:val="800080" w:themeColor="followedHyperlink"/>
      <w:u w:val="single"/>
    </w:rPr>
  </w:style>
  <w:style w:type="character" w:styleId="aff7">
    <w:name w:val="Unresolved Mention"/>
    <w:basedOn w:val="ac"/>
    <w:uiPriority w:val="99"/>
    <w:semiHidden/>
    <w:unhideWhenUsed/>
    <w:rsid w:val="00B4321D"/>
    <w:rPr>
      <w:color w:val="605E5C"/>
      <w:shd w:val="clear" w:color="auto" w:fill="E1DFDD"/>
    </w:rPr>
  </w:style>
  <w:style w:type="paragraph" w:customStyle="1" w:styleId="aff8">
    <w:name w:val="פרטי הדוח ממה"/>
    <w:basedOn w:val="ab"/>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9">
    <w:name w:val="כותרת הדוח ממה"/>
    <w:basedOn w:val="ab"/>
    <w:link w:val="affa"/>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a">
    <w:name w:val="כותרת הדוח ממה תו"/>
    <w:basedOn w:val="ac"/>
    <w:link w:val="aff9"/>
    <w:rsid w:val="00B4321D"/>
    <w:rPr>
      <w:rFonts w:ascii="Calibri" w:hAnsi="Calibri" w:cs="Calibri"/>
      <w:b/>
      <w:bCs/>
      <w:color w:val="FFFFFF" w:themeColor="background1"/>
      <w:sz w:val="60"/>
      <w:szCs w:val="60"/>
    </w:rPr>
  </w:style>
  <w:style w:type="paragraph" w:customStyle="1" w:styleId="affb">
    <w:name w:val="טקסט שם מונח ממה"/>
    <w:basedOn w:val="ab"/>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c">
    <w:name w:val="טקסט הגדרת מונח ממה"/>
    <w:link w:val="affd"/>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d">
    <w:name w:val="טקסט הגדרת מונח ממה תו"/>
    <w:basedOn w:val="ac"/>
    <w:link w:val="affc"/>
    <w:rsid w:val="00B4321D"/>
    <w:rPr>
      <w:rFonts w:ascii="Calibri" w:eastAsia="DengXian" w:hAnsi="Calibri" w:cs="Calibri"/>
      <w:color w:val="002060"/>
      <w:sz w:val="24"/>
      <w:lang w:val="en-GB"/>
    </w:rPr>
  </w:style>
  <w:style w:type="paragraph" w:customStyle="1" w:styleId="affe">
    <w:name w:val="מבוא ממה"/>
    <w:basedOn w:val="ab"/>
    <w:next w:val="ab"/>
    <w:link w:val="afff"/>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f">
    <w:name w:val="מבוא ממה תו"/>
    <w:basedOn w:val="ac"/>
    <w:link w:val="affe"/>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f0">
    <w:name w:val="מראה מקום ממה"/>
    <w:basedOn w:val="ab"/>
    <w:next w:val="ab"/>
    <w:link w:val="afff1"/>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f1">
    <w:name w:val="מראה מקום ממה תו"/>
    <w:basedOn w:val="ac"/>
    <w:link w:val="afff0"/>
    <w:rsid w:val="00B4321D"/>
    <w:rPr>
      <w:rFonts w:ascii="Calibri" w:eastAsia="Calibri" w:hAnsi="Calibri" w:cs="Calibri"/>
      <w:b/>
      <w:bCs/>
      <w:color w:val="002060"/>
      <w:sz w:val="18"/>
      <w:szCs w:val="18"/>
      <w:shd w:val="solid" w:color="F3F7FF" w:fill="auto"/>
    </w:rPr>
  </w:style>
  <w:style w:type="paragraph" w:customStyle="1" w:styleId="afff2">
    <w:name w:val="כותרת עליונה ממה"/>
    <w:basedOn w:val="ab"/>
    <w:next w:val="ab"/>
    <w:link w:val="afff3"/>
    <w:qFormat/>
    <w:rsid w:val="00B4321D"/>
    <w:pPr>
      <w:spacing w:line="240" w:lineRule="auto"/>
      <w:ind w:left="737"/>
      <w:jc w:val="left"/>
    </w:pPr>
    <w:rPr>
      <w:rFonts w:ascii="Calibri" w:eastAsia="Calibri" w:hAnsi="Calibri" w:cs="Calibri"/>
      <w:color w:val="002060"/>
      <w:sz w:val="18"/>
      <w:szCs w:val="18"/>
    </w:rPr>
  </w:style>
  <w:style w:type="character" w:customStyle="1" w:styleId="afff3">
    <w:name w:val="כותרת עליונה ממה תו"/>
    <w:basedOn w:val="ac"/>
    <w:link w:val="afff2"/>
    <w:rsid w:val="00B4321D"/>
    <w:rPr>
      <w:rFonts w:ascii="Calibri" w:eastAsia="Calibri" w:hAnsi="Calibri" w:cs="Calibri"/>
      <w:color w:val="002060"/>
      <w:sz w:val="18"/>
      <w:szCs w:val="18"/>
    </w:rPr>
  </w:style>
  <w:style w:type="paragraph" w:customStyle="1" w:styleId="10">
    <w:name w:val="כותרת 1 ממה"/>
    <w:basedOn w:val="ab"/>
    <w:next w:val="ab"/>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c"/>
    <w:link w:val="10"/>
    <w:rsid w:val="00B4321D"/>
    <w:rPr>
      <w:rFonts w:ascii="Calibri" w:eastAsia="Calibri" w:hAnsi="Calibri" w:cs="Calibri"/>
      <w:b/>
      <w:bCs/>
      <w:color w:val="002060"/>
      <w:sz w:val="40"/>
      <w:szCs w:val="40"/>
    </w:rPr>
  </w:style>
  <w:style w:type="paragraph" w:customStyle="1" w:styleId="2">
    <w:name w:val="כותרת 2 ממה"/>
    <w:basedOn w:val="ab"/>
    <w:next w:val="ab"/>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b"/>
    <w:next w:val="ab"/>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b"/>
    <w:next w:val="ab"/>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c"/>
    <w:link w:val="41"/>
    <w:rsid w:val="00B4321D"/>
    <w:rPr>
      <w:rFonts w:ascii="Calibri" w:eastAsia="Calibri" w:hAnsi="Calibri" w:cs="Calibri"/>
      <w:color w:val="002060"/>
      <w:sz w:val="28"/>
      <w:szCs w:val="28"/>
    </w:rPr>
  </w:style>
  <w:style w:type="paragraph" w:customStyle="1" w:styleId="1">
    <w:name w:val="רשימה1 ממה"/>
    <w:basedOn w:val="ab"/>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c"/>
    <w:link w:val="1"/>
    <w:rsid w:val="00B4321D"/>
    <w:rPr>
      <w:rFonts w:ascii="Calibri" w:eastAsia="Calibri" w:hAnsi="Calibri" w:cs="Calibri"/>
      <w:color w:val="002060"/>
      <w:sz w:val="24"/>
    </w:rPr>
  </w:style>
  <w:style w:type="paragraph" w:customStyle="1" w:styleId="23">
    <w:name w:val="רשימה2 ממה"/>
    <w:basedOn w:val="ab"/>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c"/>
    <w:link w:val="23"/>
    <w:rsid w:val="00B4321D"/>
    <w:rPr>
      <w:rFonts w:ascii="Calibri" w:eastAsia="Calibri" w:hAnsi="Calibri" w:cs="Calibri"/>
      <w:color w:val="002060"/>
      <w:sz w:val="24"/>
    </w:rPr>
  </w:style>
  <w:style w:type="paragraph" w:customStyle="1" w:styleId="30">
    <w:name w:val="רשימה3 ממה"/>
    <w:basedOn w:val="ab"/>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c"/>
    <w:link w:val="30"/>
    <w:rsid w:val="00B4321D"/>
    <w:rPr>
      <w:rFonts w:ascii="Calibri" w:eastAsia="Calibri" w:hAnsi="Calibri" w:cs="Calibri"/>
      <w:color w:val="002060"/>
      <w:sz w:val="24"/>
    </w:rPr>
  </w:style>
  <w:style w:type="paragraph" w:customStyle="1" w:styleId="43">
    <w:name w:val="רשימה4 ממה"/>
    <w:basedOn w:val="ab"/>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c"/>
    <w:link w:val="43"/>
    <w:rsid w:val="00B4321D"/>
    <w:rPr>
      <w:rFonts w:ascii="Calibri" w:eastAsia="Calibri" w:hAnsi="Calibri" w:cs="Calibri"/>
      <w:color w:val="002060"/>
      <w:sz w:val="24"/>
    </w:rPr>
  </w:style>
  <w:style w:type="paragraph" w:customStyle="1" w:styleId="5">
    <w:name w:val="רשימה5 ממה"/>
    <w:basedOn w:val="ab"/>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c"/>
    <w:link w:val="5"/>
    <w:rsid w:val="00B4321D"/>
    <w:rPr>
      <w:rFonts w:ascii="Calibri" w:eastAsia="Calibri" w:hAnsi="Calibri" w:cs="Calibri"/>
      <w:color w:val="002060"/>
      <w:sz w:val="24"/>
    </w:rPr>
  </w:style>
  <w:style w:type="paragraph" w:customStyle="1" w:styleId="afff4">
    <w:name w:val="הערת שוליים ממה"/>
    <w:basedOn w:val="ab"/>
    <w:link w:val="afff5"/>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f5">
    <w:name w:val="הערת שוליים ממה תו"/>
    <w:basedOn w:val="ac"/>
    <w:link w:val="afff4"/>
    <w:rsid w:val="00B4321D"/>
    <w:rPr>
      <w:rFonts w:ascii="Calibri" w:eastAsia="Calibri" w:hAnsi="Calibri" w:cs="Calibri"/>
      <w:color w:val="002060"/>
      <w:sz w:val="24"/>
      <w:szCs w:val="20"/>
    </w:rPr>
  </w:style>
  <w:style w:type="paragraph" w:customStyle="1" w:styleId="afff6">
    <w:name w:val="הערת סיום ממה"/>
    <w:basedOn w:val="ab"/>
    <w:link w:val="afff7"/>
    <w:qFormat/>
    <w:rsid w:val="00B4321D"/>
    <w:pPr>
      <w:widowControl w:val="0"/>
      <w:spacing w:line="240" w:lineRule="auto"/>
      <w:ind w:left="1134"/>
    </w:pPr>
    <w:rPr>
      <w:rFonts w:ascii="Calibri" w:eastAsia="Calibri" w:hAnsi="Calibri" w:cs="Calibri"/>
      <w:color w:val="002060"/>
      <w:sz w:val="24"/>
      <w:szCs w:val="20"/>
    </w:rPr>
  </w:style>
  <w:style w:type="character" w:customStyle="1" w:styleId="afff7">
    <w:name w:val="הערת סיום ממה תו"/>
    <w:basedOn w:val="ac"/>
    <w:link w:val="afff6"/>
    <w:rsid w:val="00B4321D"/>
    <w:rPr>
      <w:rFonts w:ascii="Calibri" w:eastAsia="Calibri" w:hAnsi="Calibri" w:cs="Calibri"/>
      <w:color w:val="002060"/>
      <w:sz w:val="24"/>
      <w:szCs w:val="20"/>
    </w:rPr>
  </w:style>
  <w:style w:type="paragraph" w:customStyle="1" w:styleId="16">
    <w:name w:val="ליקוי/ממצא חיובי/המלצה1 ממה"/>
    <w:next w:val="ab"/>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c"/>
    <w:link w:val="16"/>
    <w:rsid w:val="00B4321D"/>
    <w:rPr>
      <w:rFonts w:ascii="Calibri" w:eastAsia="Calibri" w:hAnsi="Calibri" w:cs="Calibri"/>
      <w:color w:val="002060"/>
      <w:sz w:val="24"/>
    </w:rPr>
  </w:style>
  <w:style w:type="paragraph" w:customStyle="1" w:styleId="25">
    <w:name w:val="ליקוי/ממצא חיובי/המלצה2 ממה"/>
    <w:basedOn w:val="ab"/>
    <w:next w:val="ab"/>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b"/>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c"/>
    <w:link w:val="35"/>
    <w:rsid w:val="00B4321D"/>
    <w:rPr>
      <w:rFonts w:ascii="Calibri" w:eastAsia="Calibri" w:hAnsi="Calibri" w:cs="Calibri"/>
      <w:color w:val="002060"/>
      <w:sz w:val="24"/>
    </w:rPr>
  </w:style>
  <w:style w:type="paragraph" w:customStyle="1" w:styleId="afff8">
    <w:name w:val="נבנצאל ממה"/>
    <w:basedOn w:val="ab"/>
    <w:next w:val="ab"/>
    <w:link w:val="afff9"/>
    <w:uiPriority w:val="99"/>
    <w:qFormat/>
    <w:rsid w:val="00B4321D"/>
    <w:pPr>
      <w:keepNext/>
      <w:spacing w:line="280" w:lineRule="exact"/>
      <w:jc w:val="left"/>
    </w:pPr>
    <w:rPr>
      <w:rFonts w:ascii="Calibri" w:eastAsia="Calibri" w:hAnsi="Calibri" w:cs="Calibri"/>
      <w:color w:val="002060"/>
      <w:szCs w:val="20"/>
    </w:rPr>
  </w:style>
  <w:style w:type="character" w:customStyle="1" w:styleId="afff9">
    <w:name w:val="נבנצאל ממה תו"/>
    <w:basedOn w:val="ac"/>
    <w:link w:val="afff8"/>
    <w:uiPriority w:val="99"/>
    <w:rsid w:val="00B4321D"/>
    <w:rPr>
      <w:rFonts w:ascii="Calibri" w:eastAsia="Calibri" w:hAnsi="Calibri" w:cs="Calibri"/>
      <w:color w:val="002060"/>
      <w:szCs w:val="20"/>
    </w:rPr>
  </w:style>
  <w:style w:type="paragraph" w:customStyle="1" w:styleId="afffa">
    <w:name w:val="רגיל ממה"/>
    <w:basedOn w:val="ab"/>
    <w:link w:val="afffb"/>
    <w:qFormat/>
    <w:rsid w:val="00B4321D"/>
    <w:pPr>
      <w:widowControl w:val="0"/>
      <w:spacing w:line="280" w:lineRule="exact"/>
      <w:ind w:left="1134"/>
    </w:pPr>
    <w:rPr>
      <w:rFonts w:ascii="Calibri" w:eastAsia="Calibri" w:hAnsi="Calibri" w:cs="Calibri"/>
      <w:color w:val="002060"/>
      <w:sz w:val="24"/>
    </w:rPr>
  </w:style>
  <w:style w:type="character" w:customStyle="1" w:styleId="afffb">
    <w:name w:val="רגיל ממה תו"/>
    <w:basedOn w:val="ac"/>
    <w:link w:val="afffa"/>
    <w:rsid w:val="00B4321D"/>
    <w:rPr>
      <w:rFonts w:ascii="Calibri" w:eastAsia="Calibri" w:hAnsi="Calibri" w:cs="Calibri"/>
      <w:color w:val="002060"/>
      <w:sz w:val="24"/>
    </w:rPr>
  </w:style>
  <w:style w:type="paragraph" w:customStyle="1" w:styleId="afffc">
    <w:name w:val="סיכום ממה"/>
    <w:basedOn w:val="ab"/>
    <w:next w:val="ab"/>
    <w:link w:val="afffd"/>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d">
    <w:name w:val="סיכום ממה תו"/>
    <w:basedOn w:val="ac"/>
    <w:link w:val="afffc"/>
    <w:rsid w:val="00B4321D"/>
    <w:rPr>
      <w:rFonts w:ascii="Calibri" w:eastAsia="Calibri" w:hAnsi="Calibri" w:cs="Calibri"/>
      <w:b/>
      <w:bCs/>
      <w:color w:val="FFFFFF" w:themeColor="background1"/>
      <w:sz w:val="2"/>
      <w:szCs w:val="2"/>
    </w:rPr>
  </w:style>
  <w:style w:type="paragraph" w:customStyle="1" w:styleId="afffe">
    <w:name w:val="טקסט סיכום ממה"/>
    <w:basedOn w:val="ab"/>
    <w:next w:val="ab"/>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f">
    <w:name w:val="סיכום ביניים ממה"/>
    <w:basedOn w:val="ab"/>
    <w:next w:val="ab"/>
    <w:qFormat/>
    <w:rsid w:val="00B4321D"/>
    <w:pPr>
      <w:widowControl w:val="0"/>
      <w:spacing w:before="240" w:after="240"/>
      <w:ind w:left="1134"/>
    </w:pPr>
    <w:rPr>
      <w:rFonts w:ascii="Calibri" w:eastAsia="Calibri" w:hAnsi="Calibri" w:cs="Calibri"/>
      <w:noProof/>
      <w:color w:val="002060"/>
      <w:sz w:val="24"/>
    </w:rPr>
  </w:style>
  <w:style w:type="paragraph" w:customStyle="1" w:styleId="affff0">
    <w:name w:val="טקסט סיכום ביניים ממה"/>
    <w:basedOn w:val="ab"/>
    <w:next w:val="ab"/>
    <w:qFormat/>
    <w:rsid w:val="00B4321D"/>
    <w:pPr>
      <w:widowControl w:val="0"/>
      <w:spacing w:after="240" w:line="280" w:lineRule="exact"/>
      <w:ind w:left="1134"/>
    </w:pPr>
    <w:rPr>
      <w:rFonts w:ascii="Calibri" w:eastAsia="Calibri" w:hAnsi="Calibri" w:cs="Calibri"/>
      <w:bCs/>
      <w:color w:val="002060"/>
      <w:sz w:val="24"/>
    </w:rPr>
  </w:style>
  <w:style w:type="paragraph" w:customStyle="1" w:styleId="a4">
    <w:name w:val="תרשים ממה"/>
    <w:basedOn w:val="ab"/>
    <w:next w:val="ab"/>
    <w:link w:val="affff1"/>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f1">
    <w:name w:val="תרשים ממה תו"/>
    <w:basedOn w:val="ac"/>
    <w:link w:val="a4"/>
    <w:rsid w:val="00B4321D"/>
    <w:rPr>
      <w:rFonts w:ascii="Calibri" w:eastAsia="Calibri" w:hAnsi="Calibri" w:cs="Calibri"/>
      <w:b/>
      <w:bCs/>
      <w:color w:val="002060"/>
      <w:sz w:val="24"/>
    </w:rPr>
  </w:style>
  <w:style w:type="paragraph" w:customStyle="1" w:styleId="a2">
    <w:name w:val="תמונה ממה"/>
    <w:basedOn w:val="ab"/>
    <w:next w:val="ab"/>
    <w:link w:val="affff2"/>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f2">
    <w:name w:val="תמונה ממה תו"/>
    <w:basedOn w:val="ac"/>
    <w:link w:val="a2"/>
    <w:rsid w:val="00B4321D"/>
    <w:rPr>
      <w:rFonts w:ascii="Calibri" w:eastAsia="Calibri" w:hAnsi="Calibri" w:cs="Calibri"/>
      <w:b/>
      <w:bCs/>
      <w:color w:val="002060"/>
      <w:sz w:val="24"/>
    </w:rPr>
  </w:style>
  <w:style w:type="paragraph" w:customStyle="1" w:styleId="a1">
    <w:name w:val="לוח ממה"/>
    <w:basedOn w:val="ab"/>
    <w:next w:val="ab"/>
    <w:link w:val="affff3"/>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f3">
    <w:name w:val="לוח ממה תו"/>
    <w:basedOn w:val="ac"/>
    <w:link w:val="a1"/>
    <w:rsid w:val="00B4321D"/>
    <w:rPr>
      <w:rFonts w:ascii="Calibri" w:eastAsia="Calibri" w:hAnsi="Calibri" w:cs="Calibri"/>
      <w:b/>
      <w:bCs/>
      <w:color w:val="002060"/>
      <w:sz w:val="24"/>
    </w:rPr>
  </w:style>
  <w:style w:type="paragraph" w:customStyle="1" w:styleId="a3">
    <w:name w:val="מפה ממה"/>
    <w:basedOn w:val="ab"/>
    <w:next w:val="ab"/>
    <w:link w:val="affff4"/>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f4">
    <w:name w:val="מפה ממה תו"/>
    <w:basedOn w:val="ac"/>
    <w:link w:val="a3"/>
    <w:rsid w:val="00B4321D"/>
    <w:rPr>
      <w:rFonts w:ascii="Calibri" w:eastAsia="Calibri" w:hAnsi="Calibri" w:cs="Calibri"/>
      <w:b/>
      <w:bCs/>
      <w:color w:val="002060"/>
      <w:sz w:val="24"/>
    </w:rPr>
  </w:style>
  <w:style w:type="paragraph" w:customStyle="1" w:styleId="affff5">
    <w:name w:val="מקור ממה"/>
    <w:basedOn w:val="ab"/>
    <w:next w:val="ab"/>
    <w:qFormat/>
    <w:rsid w:val="00B4321D"/>
    <w:pPr>
      <w:keepNext/>
      <w:keepLines/>
      <w:widowControl w:val="0"/>
      <w:ind w:left="1134"/>
    </w:pPr>
    <w:rPr>
      <w:rFonts w:ascii="Calibri" w:eastAsia="Calibri" w:hAnsi="Calibri" w:cs="Calibri"/>
      <w:color w:val="002060"/>
      <w:szCs w:val="20"/>
    </w:rPr>
  </w:style>
  <w:style w:type="paragraph" w:customStyle="1" w:styleId="affff6">
    <w:name w:val="אובייקט ממה"/>
    <w:basedOn w:val="ab"/>
    <w:next w:val="ab"/>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7">
    <w:name w:val="רכיבי המבוא ממה"/>
    <w:basedOn w:val="ab"/>
    <w:link w:val="affff8"/>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8">
    <w:name w:val="רכיבי המבוא ממה תו"/>
    <w:basedOn w:val="ac"/>
    <w:link w:val="affff7"/>
    <w:rsid w:val="00B4321D"/>
    <w:rPr>
      <w:rFonts w:ascii="Calibri" w:eastAsia="Calibri" w:hAnsi="Calibri" w:cs="Calibri"/>
      <w:color w:val="002060"/>
      <w:szCs w:val="20"/>
    </w:rPr>
  </w:style>
  <w:style w:type="paragraph" w:customStyle="1" w:styleId="affff9">
    <w:name w:val="אייקון במבוא ממה"/>
    <w:basedOn w:val="ab"/>
    <w:link w:val="affffa"/>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a">
    <w:name w:val="אייקון במבוא ממה תו"/>
    <w:basedOn w:val="ac"/>
    <w:link w:val="affff9"/>
    <w:rsid w:val="00B4321D"/>
    <w:rPr>
      <w:rFonts w:ascii="Calibri" w:eastAsia="Calibri" w:hAnsi="Calibri" w:cs="Calibri"/>
      <w:bCs/>
      <w:color w:val="002060"/>
      <w:sz w:val="24"/>
      <w:szCs w:val="20"/>
    </w:rPr>
  </w:style>
  <w:style w:type="paragraph" w:customStyle="1" w:styleId="739">
    <w:name w:val="73א טקסט רץ 9"/>
    <w:basedOn w:val="ab"/>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c"/>
    <w:link w:val="739"/>
    <w:rsid w:val="00B4321D"/>
    <w:rPr>
      <w:rFonts w:ascii="Tahoma" w:hAnsi="Tahoma" w:cs="Tahoma"/>
      <w:color w:val="0D0D0D" w:themeColor="text1" w:themeTint="F2"/>
      <w:sz w:val="18"/>
      <w:szCs w:val="18"/>
    </w:rPr>
  </w:style>
  <w:style w:type="character" w:customStyle="1" w:styleId="size">
    <w:name w:val="size"/>
    <w:basedOn w:val="ac"/>
    <w:rsid w:val="009E2768"/>
  </w:style>
  <w:style w:type="table" w:styleId="5-5">
    <w:name w:val="Grid Table 5 Dark Accent 5"/>
    <w:basedOn w:val="ad"/>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d"/>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b">
    <w:name w:val="Emphasis"/>
    <w:basedOn w:val="ac"/>
    <w:uiPriority w:val="20"/>
    <w:qFormat/>
    <w:rsid w:val="009E2768"/>
    <w:rPr>
      <w:i/>
      <w:iCs/>
    </w:rPr>
  </w:style>
  <w:style w:type="paragraph" w:customStyle="1" w:styleId="affffc">
    <w:name w:val="סגנון בסיס"/>
    <w:basedOn w:val="ab"/>
    <w:rsid w:val="009E2768"/>
    <w:pPr>
      <w:spacing w:line="360" w:lineRule="auto"/>
      <w:ind w:right="360"/>
    </w:pPr>
    <w:rPr>
      <w:rFonts w:eastAsia="Times New Roman" w:cs="Narkisim"/>
      <w:sz w:val="24"/>
      <w:szCs w:val="25"/>
      <w:lang w:eastAsia="he-IL"/>
    </w:rPr>
  </w:style>
  <w:style w:type="character" w:customStyle="1" w:styleId="90">
    <w:name w:val="כותרת 9 תו"/>
    <w:basedOn w:val="ac"/>
    <w:rsid w:val="00817399"/>
    <w:rPr>
      <w:rFonts w:asciiTheme="majorHAnsi" w:eastAsiaTheme="majorEastAsia" w:hAnsiTheme="majorHAnsi" w:cstheme="majorBidi"/>
      <w:i/>
      <w:iCs/>
      <w:color w:val="272727" w:themeColor="text1" w:themeTint="D8"/>
      <w:sz w:val="21"/>
      <w:szCs w:val="21"/>
    </w:rPr>
  </w:style>
  <w:style w:type="character" w:customStyle="1" w:styleId="220">
    <w:name w:val="כותרת 2 תו2"/>
    <w:basedOn w:val="ac"/>
    <w:uiPriority w:val="1"/>
    <w:rsid w:val="00817399"/>
    <w:rPr>
      <w:rFonts w:eastAsiaTheme="majorEastAsia"/>
      <w:bCs/>
      <w:szCs w:val="32"/>
    </w:rPr>
  </w:style>
  <w:style w:type="character" w:customStyle="1" w:styleId="320">
    <w:name w:val="כותרת 3 תו2"/>
    <w:basedOn w:val="ac"/>
    <w:uiPriority w:val="1"/>
    <w:rsid w:val="00817399"/>
    <w:rPr>
      <w:rFonts w:eastAsiaTheme="majorEastAsia"/>
      <w:bCs/>
      <w:szCs w:val="28"/>
      <w:u w:val="single"/>
    </w:rPr>
  </w:style>
  <w:style w:type="character" w:customStyle="1" w:styleId="410">
    <w:name w:val="כותרת 4 תו1"/>
    <w:basedOn w:val="ac"/>
    <w:uiPriority w:val="1"/>
    <w:rsid w:val="00817399"/>
    <w:rPr>
      <w:rFonts w:eastAsiaTheme="majorEastAsia"/>
      <w:bCs/>
      <w:szCs w:val="26"/>
    </w:rPr>
  </w:style>
  <w:style w:type="character" w:customStyle="1" w:styleId="61">
    <w:name w:val="כותרת 6 תו1"/>
    <w:basedOn w:val="ac"/>
    <w:uiPriority w:val="1"/>
    <w:rsid w:val="00817399"/>
    <w:rPr>
      <w:rFonts w:eastAsiaTheme="majorEastAsia"/>
      <w:spacing w:val="40"/>
    </w:rPr>
  </w:style>
  <w:style w:type="character" w:customStyle="1" w:styleId="715">
    <w:name w:val="כותרת 7 תו1"/>
    <w:basedOn w:val="ac"/>
    <w:rsid w:val="00817399"/>
    <w:rPr>
      <w:rFonts w:eastAsiaTheme="majorEastAsia"/>
      <w:bCs/>
      <w:spacing w:val="40"/>
    </w:rPr>
  </w:style>
  <w:style w:type="character" w:customStyle="1" w:styleId="18">
    <w:name w:val="כותרת עליונה תו1"/>
    <w:basedOn w:val="ac"/>
    <w:uiPriority w:val="99"/>
    <w:rsid w:val="00817399"/>
  </w:style>
  <w:style w:type="character" w:customStyle="1" w:styleId="27">
    <w:name w:val="כותרת תחתונה תו2"/>
    <w:basedOn w:val="ac"/>
    <w:rsid w:val="00817399"/>
  </w:style>
  <w:style w:type="character" w:customStyle="1" w:styleId="28">
    <w:name w:val="תאריך תו2"/>
    <w:basedOn w:val="ac"/>
    <w:uiPriority w:val="99"/>
    <w:rsid w:val="00817399"/>
  </w:style>
  <w:style w:type="paragraph" w:customStyle="1" w:styleId="affffd">
    <w:name w:val="המלצה"/>
    <w:basedOn w:val="ab"/>
    <w:next w:val="ab"/>
    <w:qFormat/>
    <w:rsid w:val="00817399"/>
    <w:rPr>
      <w:b/>
      <w:bCs/>
    </w:rPr>
  </w:style>
  <w:style w:type="character" w:customStyle="1" w:styleId="19">
    <w:name w:val="טקסט בלונים תו1"/>
    <w:basedOn w:val="ac"/>
    <w:uiPriority w:val="99"/>
    <w:rsid w:val="00817399"/>
    <w:rPr>
      <w:rFonts w:ascii="Tahoma" w:hAnsi="Tahoma" w:cs="Tahoma"/>
      <w:sz w:val="18"/>
      <w:szCs w:val="18"/>
    </w:rPr>
  </w:style>
  <w:style w:type="character" w:customStyle="1" w:styleId="1a">
    <w:name w:val="טקסט הערה תו1"/>
    <w:basedOn w:val="ac"/>
    <w:uiPriority w:val="99"/>
    <w:rsid w:val="00817399"/>
    <w:rPr>
      <w:szCs w:val="20"/>
    </w:rPr>
  </w:style>
  <w:style w:type="character" w:customStyle="1" w:styleId="29">
    <w:name w:val="נושא הערה תו2"/>
    <w:basedOn w:val="1a"/>
    <w:uiPriority w:val="99"/>
    <w:rsid w:val="00817399"/>
    <w:rPr>
      <w:b/>
      <w:bCs/>
      <w:szCs w:val="20"/>
    </w:rPr>
  </w:style>
  <w:style w:type="paragraph" w:styleId="TOC1">
    <w:name w:val="toc 1"/>
    <w:basedOn w:val="ab"/>
    <w:next w:val="ab"/>
    <w:autoRedefine/>
    <w:uiPriority w:val="39"/>
    <w:unhideWhenUsed/>
    <w:rsid w:val="00817399"/>
    <w:pPr>
      <w:tabs>
        <w:tab w:val="right" w:leader="dot" w:pos="8211"/>
      </w:tabs>
      <w:spacing w:after="100" w:line="240" w:lineRule="auto"/>
    </w:pPr>
    <w:rPr>
      <w:rFonts w:ascii="Almoni ML v5 AAA" w:hAnsi="Almoni ML v5 AAA" w:cs="Assistant"/>
      <w:noProof/>
    </w:rPr>
  </w:style>
  <w:style w:type="paragraph" w:styleId="TOC2">
    <w:name w:val="toc 2"/>
    <w:basedOn w:val="ab"/>
    <w:next w:val="ab"/>
    <w:uiPriority w:val="39"/>
    <w:unhideWhenUsed/>
    <w:rsid w:val="00817399"/>
    <w:pPr>
      <w:tabs>
        <w:tab w:val="right" w:leader="dot" w:pos="8211"/>
      </w:tabs>
      <w:spacing w:before="120" w:line="240" w:lineRule="auto"/>
    </w:pPr>
    <w:rPr>
      <w:rFonts w:ascii="Almoni ML v5 AAA" w:hAnsi="Almoni ML v5 AAA"/>
      <w:bCs/>
      <w:noProof/>
      <w:sz w:val="24"/>
      <w:szCs w:val="32"/>
    </w:rPr>
  </w:style>
  <w:style w:type="paragraph" w:styleId="TOC3">
    <w:name w:val="toc 3"/>
    <w:basedOn w:val="ab"/>
    <w:next w:val="ab"/>
    <w:autoRedefine/>
    <w:uiPriority w:val="39"/>
    <w:unhideWhenUsed/>
    <w:rsid w:val="00817399"/>
    <w:pPr>
      <w:tabs>
        <w:tab w:val="right" w:leader="dot" w:pos="8211"/>
      </w:tabs>
      <w:spacing w:before="120" w:line="240" w:lineRule="auto"/>
      <w:ind w:left="284"/>
    </w:pPr>
    <w:rPr>
      <w:rFonts w:ascii="David" w:hAnsi="David"/>
      <w:bCs/>
      <w:noProof/>
      <w:sz w:val="18"/>
      <w:szCs w:val="22"/>
    </w:rPr>
  </w:style>
  <w:style w:type="paragraph" w:customStyle="1" w:styleId="RESHET">
    <w:name w:val="RESHET"/>
    <w:basedOn w:val="ab"/>
    <w:rsid w:val="00817399"/>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b"/>
    <w:rsid w:val="00817399"/>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b"/>
    <w:rsid w:val="00817399"/>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c"/>
    <w:uiPriority w:val="1"/>
    <w:rsid w:val="0081739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b"/>
    <w:link w:val="tab-nameChar"/>
    <w:rsid w:val="00817399"/>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rsid w:val="00817399"/>
    <w:pPr>
      <w:spacing w:before="0"/>
    </w:pPr>
    <w:rPr>
      <w:sz w:val="36"/>
      <w:szCs w:val="36"/>
    </w:rPr>
  </w:style>
  <w:style w:type="paragraph" w:customStyle="1" w:styleId="text-source">
    <w:name w:val="text-source"/>
    <w:basedOn w:val="ab"/>
    <w:next w:val="ab"/>
    <w:rsid w:val="00817399"/>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d"/>
    <w:uiPriority w:val="46"/>
    <w:rsid w:val="0081739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rtejustify">
    <w:name w:val="rtejustify"/>
    <w:basedOn w:val="ab"/>
    <w:rsid w:val="00817399"/>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b"/>
    <w:rsid w:val="00817399"/>
    <w:pPr>
      <w:keepNext/>
      <w:spacing w:after="360" w:line="400" w:lineRule="exact"/>
      <w:jc w:val="center"/>
    </w:pPr>
    <w:rPr>
      <w:rFonts w:eastAsia="Times New Roman"/>
      <w:b/>
      <w:bCs/>
      <w:sz w:val="36"/>
      <w:szCs w:val="36"/>
      <w:lang w:eastAsia="he-IL"/>
    </w:rPr>
  </w:style>
  <w:style w:type="paragraph" w:styleId="affffe">
    <w:name w:val="caption"/>
    <w:basedOn w:val="ab"/>
    <w:next w:val="ab"/>
    <w:uiPriority w:val="35"/>
    <w:unhideWhenUsed/>
    <w:rsid w:val="00817399"/>
    <w:pPr>
      <w:spacing w:after="200" w:line="240" w:lineRule="auto"/>
    </w:pPr>
    <w:rPr>
      <w:i/>
      <w:iCs/>
      <w:color w:val="1F497D" w:themeColor="text2"/>
      <w:sz w:val="18"/>
      <w:szCs w:val="18"/>
    </w:rPr>
  </w:style>
  <w:style w:type="character" w:customStyle="1" w:styleId="Bodytext2">
    <w:name w:val="Body text (2)_"/>
    <w:basedOn w:val="ac"/>
    <w:link w:val="Bodytext20"/>
    <w:rsid w:val="00817399"/>
    <w:rPr>
      <w:rFonts w:eastAsia="Times New Roman" w:cs="Times New Roman"/>
      <w:sz w:val="22"/>
      <w:szCs w:val="22"/>
      <w:shd w:val="clear" w:color="auto" w:fill="FFFFFF"/>
    </w:rPr>
  </w:style>
  <w:style w:type="paragraph" w:customStyle="1" w:styleId="Bodytext20">
    <w:name w:val="Body text (2)"/>
    <w:basedOn w:val="ab"/>
    <w:link w:val="Bodytext2"/>
    <w:rsid w:val="00817399"/>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c"/>
    <w:link w:val="Bodytext70"/>
    <w:rsid w:val="00817399"/>
    <w:rPr>
      <w:rFonts w:eastAsia="Times New Roman" w:cs="Times New Roman"/>
      <w:sz w:val="22"/>
      <w:szCs w:val="22"/>
      <w:shd w:val="clear" w:color="auto" w:fill="FFFFFF"/>
    </w:rPr>
  </w:style>
  <w:style w:type="paragraph" w:customStyle="1" w:styleId="Bodytext70">
    <w:name w:val="Body text (7)"/>
    <w:basedOn w:val="ab"/>
    <w:link w:val="Bodytext7"/>
    <w:rsid w:val="00817399"/>
    <w:pPr>
      <w:widowControl w:val="0"/>
      <w:shd w:val="clear" w:color="auto" w:fill="FFFFFF"/>
      <w:spacing w:line="384" w:lineRule="exact"/>
      <w:ind w:hanging="360"/>
    </w:pPr>
    <w:rPr>
      <w:rFonts w:eastAsia="Times New Roman" w:cs="Times New Roman"/>
      <w:sz w:val="22"/>
      <w:szCs w:val="22"/>
    </w:rPr>
  </w:style>
  <w:style w:type="character" w:customStyle="1" w:styleId="Heading1">
    <w:name w:val="Heading #1"/>
    <w:basedOn w:val="ac"/>
    <w:rsid w:val="00817399"/>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c"/>
    <w:rsid w:val="00817399"/>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817399"/>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817399"/>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c"/>
    <w:link w:val="Bodytext60"/>
    <w:rsid w:val="00817399"/>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b"/>
    <w:link w:val="Bodytext6"/>
    <w:rsid w:val="00817399"/>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817399"/>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c"/>
    <w:rsid w:val="00817399"/>
  </w:style>
  <w:style w:type="paragraph" w:customStyle="1" w:styleId="running-text">
    <w:name w:val="running-text"/>
    <w:rsid w:val="00817399"/>
    <w:pPr>
      <w:spacing w:after="120" w:line="240" w:lineRule="exact"/>
      <w:ind w:right="2268"/>
    </w:pPr>
    <w:rPr>
      <w:rFonts w:ascii="Tahoma" w:eastAsiaTheme="minorEastAsia" w:hAnsi="Tahoma" w:cs="Tahoma"/>
      <w:sz w:val="17"/>
      <w:szCs w:val="18"/>
    </w:rPr>
  </w:style>
  <w:style w:type="paragraph" w:styleId="afffff">
    <w:name w:val="Body Text Indent"/>
    <w:basedOn w:val="ab"/>
    <w:link w:val="afffff0"/>
    <w:uiPriority w:val="99"/>
    <w:unhideWhenUsed/>
    <w:rsid w:val="00817399"/>
    <w:pPr>
      <w:spacing w:after="120"/>
      <w:ind w:left="340"/>
    </w:pPr>
    <w:rPr>
      <w:rFonts w:ascii="Tahoma" w:hAnsi="Tahoma" w:cs="Tahoma"/>
      <w:sz w:val="16"/>
      <w:szCs w:val="20"/>
    </w:rPr>
  </w:style>
  <w:style w:type="character" w:customStyle="1" w:styleId="afffff0">
    <w:name w:val="כניסה בגוף טקסט תו"/>
    <w:basedOn w:val="ac"/>
    <w:link w:val="afffff"/>
    <w:uiPriority w:val="99"/>
    <w:rsid w:val="00817399"/>
    <w:rPr>
      <w:rFonts w:ascii="Tahoma" w:hAnsi="Tahoma" w:cs="Tahoma"/>
      <w:sz w:val="16"/>
      <w:szCs w:val="20"/>
    </w:rPr>
  </w:style>
  <w:style w:type="paragraph" w:customStyle="1" w:styleId="121">
    <w:name w:val="כותרת 1_21"/>
    <w:basedOn w:val="tab-name"/>
    <w:link w:val="121Char"/>
    <w:rsid w:val="00817399"/>
    <w:pPr>
      <w:keepNext w:val="0"/>
      <w:spacing w:before="1440" w:after="0" w:line="312" w:lineRule="auto"/>
      <w:jc w:val="center"/>
      <w:outlineLvl w:val="0"/>
    </w:pPr>
    <w:rPr>
      <w:color w:val="2A2AA6"/>
      <w:sz w:val="42"/>
      <w:szCs w:val="42"/>
    </w:rPr>
  </w:style>
  <w:style w:type="character" w:customStyle="1" w:styleId="default">
    <w:name w:val="default"/>
    <w:rsid w:val="00817399"/>
    <w:rPr>
      <w:rFonts w:ascii="Times New Roman" w:hAnsi="Times New Roman" w:cs="Times New Roman"/>
      <w:sz w:val="26"/>
      <w:szCs w:val="26"/>
    </w:rPr>
  </w:style>
  <w:style w:type="character" w:customStyle="1" w:styleId="reference-text">
    <w:name w:val="reference-text"/>
    <w:basedOn w:val="ac"/>
    <w:rsid w:val="00817399"/>
  </w:style>
  <w:style w:type="character" w:customStyle="1" w:styleId="mw-cite-backlink">
    <w:name w:val="mw-cite-backlink"/>
    <w:basedOn w:val="ac"/>
    <w:rsid w:val="00817399"/>
  </w:style>
  <w:style w:type="character" w:customStyle="1" w:styleId="cite-accessibility-label">
    <w:name w:val="cite-accessibility-label"/>
    <w:basedOn w:val="ac"/>
    <w:rsid w:val="00817399"/>
  </w:style>
  <w:style w:type="paragraph" w:customStyle="1" w:styleId="p00">
    <w:name w:val="p00"/>
    <w:basedOn w:val="ab"/>
    <w:rsid w:val="00817399"/>
    <w:pPr>
      <w:bidi w:val="0"/>
      <w:spacing w:before="100" w:beforeAutospacing="1" w:after="100" w:afterAutospacing="1" w:line="240" w:lineRule="auto"/>
      <w:jc w:val="left"/>
    </w:pPr>
    <w:rPr>
      <w:rFonts w:eastAsia="Times New Roman" w:cs="Times New Roman"/>
      <w:sz w:val="24"/>
    </w:rPr>
  </w:style>
  <w:style w:type="character" w:customStyle="1" w:styleId="2a">
    <w:name w:val="טקסט הערת שוליים תו2"/>
    <w:uiPriority w:val="99"/>
    <w:rsid w:val="00817399"/>
    <w:rPr>
      <w:rFonts w:cs="David"/>
    </w:rPr>
  </w:style>
  <w:style w:type="paragraph" w:styleId="afffff1">
    <w:name w:val="TOC Heading"/>
    <w:basedOn w:val="11"/>
    <w:next w:val="ab"/>
    <w:uiPriority w:val="39"/>
    <w:unhideWhenUsed/>
    <w:rsid w:val="00817399"/>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b"/>
    <w:next w:val="ab"/>
    <w:autoRedefine/>
    <w:uiPriority w:val="39"/>
    <w:unhideWhenUsed/>
    <w:rsid w:val="00817399"/>
    <w:pPr>
      <w:spacing w:after="100"/>
      <w:ind w:left="1200"/>
    </w:pPr>
  </w:style>
  <w:style w:type="paragraph" w:styleId="TOC5">
    <w:name w:val="toc 5"/>
    <w:basedOn w:val="ab"/>
    <w:next w:val="ab"/>
    <w:autoRedefine/>
    <w:uiPriority w:val="39"/>
    <w:unhideWhenUsed/>
    <w:rsid w:val="00817399"/>
    <w:pPr>
      <w:spacing w:line="240" w:lineRule="auto"/>
      <w:ind w:left="799"/>
    </w:pPr>
    <w:rPr>
      <w:rFonts w:cs="Almoni ML v5 AAA Light"/>
      <w:szCs w:val="20"/>
    </w:rPr>
  </w:style>
  <w:style w:type="paragraph" w:styleId="TOC4">
    <w:name w:val="toc 4"/>
    <w:basedOn w:val="ab"/>
    <w:next w:val="ab"/>
    <w:autoRedefine/>
    <w:uiPriority w:val="39"/>
    <w:unhideWhenUsed/>
    <w:rsid w:val="00817399"/>
    <w:pPr>
      <w:tabs>
        <w:tab w:val="right" w:leader="dot" w:pos="8211"/>
      </w:tabs>
      <w:spacing w:line="240" w:lineRule="auto"/>
      <w:ind w:left="566"/>
    </w:pPr>
    <w:rPr>
      <w:rFonts w:ascii="Almoni ML v5 AAA Light" w:hAnsi="Almoni ML v5 AAA Light"/>
      <w:noProof/>
      <w:sz w:val="16"/>
      <w:szCs w:val="20"/>
    </w:rPr>
  </w:style>
  <w:style w:type="character" w:customStyle="1" w:styleId="highlightspan">
    <w:name w:val="highlightspan"/>
    <w:basedOn w:val="ac"/>
    <w:rsid w:val="00817399"/>
  </w:style>
  <w:style w:type="character" w:customStyle="1" w:styleId="1b">
    <w:name w:val="נושא הערה תו1"/>
    <w:basedOn w:val="1a"/>
    <w:uiPriority w:val="99"/>
    <w:semiHidden/>
    <w:rsid w:val="00817399"/>
    <w:rPr>
      <w:b/>
      <w:bCs/>
      <w:szCs w:val="20"/>
    </w:rPr>
  </w:style>
  <w:style w:type="paragraph" w:styleId="afffff2">
    <w:name w:val="table of figures"/>
    <w:basedOn w:val="ab"/>
    <w:next w:val="ab"/>
    <w:uiPriority w:val="99"/>
    <w:semiHidden/>
    <w:unhideWhenUsed/>
    <w:rsid w:val="00817399"/>
  </w:style>
  <w:style w:type="character" w:styleId="afffff3">
    <w:name w:val="Placeholder Text"/>
    <w:basedOn w:val="ac"/>
    <w:uiPriority w:val="99"/>
    <w:semiHidden/>
    <w:rsid w:val="00817399"/>
    <w:rPr>
      <w:color w:val="808080"/>
    </w:rPr>
  </w:style>
  <w:style w:type="paragraph" w:customStyle="1" w:styleId="71316">
    <w:name w:val="71ג כותרת 3_16"/>
    <w:basedOn w:val="31"/>
    <w:link w:val="71316Char"/>
    <w:rsid w:val="00817399"/>
    <w:pPr>
      <w:keepLines w:val="0"/>
      <w:spacing w:before="360" w:after="180" w:line="240" w:lineRule="atLeast"/>
      <w:jc w:val="left"/>
    </w:pPr>
    <w:rPr>
      <w:rFonts w:ascii="Tahoma" w:eastAsia="Times New Roman" w:hAnsi="Tahoma" w:cs="Tahoma"/>
      <w:b/>
      <w:color w:val="00305F"/>
      <w:sz w:val="32"/>
      <w:szCs w:val="32"/>
    </w:rPr>
  </w:style>
  <w:style w:type="paragraph" w:customStyle="1" w:styleId="100">
    <w:name w:val="טקסט רץ 10"/>
    <w:basedOn w:val="ab"/>
    <w:link w:val="10Char"/>
    <w:rsid w:val="00817399"/>
    <w:pPr>
      <w:spacing w:after="120"/>
    </w:pPr>
    <w:rPr>
      <w:rFonts w:ascii="Tahoma" w:hAnsi="Tahoma" w:cs="Tahoma"/>
      <w:szCs w:val="20"/>
    </w:rPr>
  </w:style>
  <w:style w:type="character" w:customStyle="1" w:styleId="71316Char">
    <w:name w:val="71ג כותרת 3_16 Char"/>
    <w:basedOn w:val="320"/>
    <w:link w:val="71316"/>
    <w:rsid w:val="00817399"/>
    <w:rPr>
      <w:rFonts w:ascii="Tahoma" w:eastAsia="Times New Roman" w:hAnsi="Tahoma" w:cs="Tahoma"/>
      <w:b/>
      <w:bCs/>
      <w:color w:val="00305F"/>
      <w:sz w:val="32"/>
      <w:szCs w:val="32"/>
      <w:u w:val="single"/>
    </w:rPr>
  </w:style>
  <w:style w:type="paragraph" w:customStyle="1" w:styleId="afffff4">
    <w:name w:val="הערות שוליים"/>
    <w:basedOn w:val="af7"/>
    <w:link w:val="afffff5"/>
    <w:rsid w:val="00817399"/>
    <w:rPr>
      <w:rFonts w:ascii="Tahoma" w:hAnsi="Tahoma"/>
      <w:color w:val="0D0D0D" w:themeColor="text1" w:themeTint="F2"/>
      <w:sz w:val="14"/>
    </w:rPr>
  </w:style>
  <w:style w:type="paragraph" w:customStyle="1" w:styleId="716">
    <w:name w:val="71ג לוחות/תרשימים/תמונות/אינפוגרפיקה/מפות"/>
    <w:basedOn w:val="ab"/>
    <w:rsid w:val="00817399"/>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0"/>
    <w:link w:val="218Char"/>
    <w:rsid w:val="00817399"/>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817399"/>
    <w:rPr>
      <w:rFonts w:ascii="Arial Bold" w:eastAsia="Times New Roman" w:hAnsi="Arial Bold" w:cs="Tahoma"/>
      <w:color w:val="365F91"/>
      <w:sz w:val="36"/>
      <w:szCs w:val="36"/>
    </w:rPr>
  </w:style>
  <w:style w:type="paragraph" w:customStyle="1" w:styleId="711">
    <w:name w:val="71ג הזחה ראשונה מספר"/>
    <w:basedOn w:val="afa"/>
    <w:link w:val="71Char"/>
    <w:rsid w:val="00817399"/>
    <w:pPr>
      <w:numPr>
        <w:numId w:val="13"/>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afffff"/>
    <w:link w:val="71Char0"/>
    <w:rsid w:val="00817399"/>
    <w:pPr>
      <w:spacing w:after="180" w:line="260" w:lineRule="exact"/>
      <w:ind w:left="794"/>
    </w:pPr>
    <w:rPr>
      <w:color w:val="0D0D0D" w:themeColor="text1" w:themeTint="F2"/>
      <w:sz w:val="18"/>
      <w:szCs w:val="18"/>
    </w:rPr>
  </w:style>
  <w:style w:type="paragraph" w:customStyle="1" w:styleId="710">
    <w:name w:val="71ג הזחה שנייה אותיות"/>
    <w:basedOn w:val="afa"/>
    <w:rsid w:val="00817399"/>
    <w:pPr>
      <w:numPr>
        <w:ilvl w:val="1"/>
        <w:numId w:val="12"/>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afffff4"/>
    <w:link w:val="71Char1"/>
    <w:rsid w:val="00817399"/>
    <w:pPr>
      <w:spacing w:before="120" w:after="240" w:line="240" w:lineRule="exact"/>
      <w:ind w:left="0" w:firstLine="0"/>
    </w:pPr>
    <w:rPr>
      <w:sz w:val="16"/>
      <w:szCs w:val="16"/>
    </w:rPr>
  </w:style>
  <w:style w:type="paragraph" w:customStyle="1" w:styleId="719">
    <w:name w:val="71ג קוביה כחולה הזחה שנייה"/>
    <w:basedOn w:val="RESHET"/>
    <w:rsid w:val="00817399"/>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rsid w:val="00817399"/>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rsid w:val="00817399"/>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2"/>
    <w:rsid w:val="00817399"/>
  </w:style>
  <w:style w:type="character" w:customStyle="1" w:styleId="71Char0">
    <w:name w:val="71ג הזחה שנייה ריק Char"/>
    <w:basedOn w:val="afffff0"/>
    <w:link w:val="717"/>
    <w:rsid w:val="00817399"/>
    <w:rPr>
      <w:rFonts w:ascii="Tahoma" w:hAnsi="Tahoma" w:cs="Tahoma"/>
      <w:color w:val="0D0D0D" w:themeColor="text1" w:themeTint="F2"/>
      <w:sz w:val="18"/>
      <w:szCs w:val="18"/>
    </w:rPr>
  </w:style>
  <w:style w:type="character" w:customStyle="1" w:styleId="71Char2">
    <w:name w:val="71ג הזחה שנייה ללא מספר Char"/>
    <w:basedOn w:val="71Char0"/>
    <w:link w:val="71b"/>
    <w:rsid w:val="00817399"/>
    <w:rPr>
      <w:rFonts w:ascii="Tahoma" w:hAnsi="Tahoma" w:cs="Tahoma"/>
      <w:color w:val="0D0D0D" w:themeColor="text1" w:themeTint="F2"/>
      <w:sz w:val="18"/>
      <w:szCs w:val="18"/>
    </w:rPr>
  </w:style>
  <w:style w:type="paragraph" w:customStyle="1" w:styleId="71c">
    <w:name w:val="71ג מספור הערות שוליים"/>
    <w:basedOn w:val="afffff4"/>
    <w:rsid w:val="00817399"/>
  </w:style>
  <w:style w:type="paragraph" w:customStyle="1" w:styleId="71R">
    <w:name w:val="71ג טבלה טקסט R"/>
    <w:basedOn w:val="ab"/>
    <w:rsid w:val="00817399"/>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b"/>
    <w:rsid w:val="00817399"/>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b"/>
    <w:rsid w:val="00817399"/>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rsid w:val="00817399"/>
  </w:style>
  <w:style w:type="paragraph" w:customStyle="1" w:styleId="a6">
    <w:name w:val="כניסה שלישית"/>
    <w:basedOn w:val="afa"/>
    <w:rsid w:val="00817399"/>
    <w:pPr>
      <w:numPr>
        <w:ilvl w:val="2"/>
        <w:numId w:val="13"/>
      </w:numPr>
      <w:spacing w:after="120"/>
    </w:pPr>
    <w:rPr>
      <w:rFonts w:ascii="Tahoma" w:hAnsi="Tahoma" w:cs="Tahoma"/>
      <w:szCs w:val="20"/>
    </w:rPr>
  </w:style>
  <w:style w:type="paragraph" w:customStyle="1" w:styleId="71d">
    <w:name w:val="71ג הזחה שלישית"/>
    <w:basedOn w:val="71b"/>
    <w:rsid w:val="00817399"/>
  </w:style>
  <w:style w:type="paragraph" w:customStyle="1" w:styleId="71e">
    <w:name w:val="71ג קוביה כחולה הזחה שלישית"/>
    <w:basedOn w:val="719"/>
    <w:rsid w:val="00817399"/>
    <w:pPr>
      <w:ind w:left="1474"/>
    </w:pPr>
  </w:style>
  <w:style w:type="paragraph" w:customStyle="1" w:styleId="71f">
    <w:name w:val="71ג הזחה ראשונה ללא מספר"/>
    <w:basedOn w:val="71b"/>
    <w:rsid w:val="00817399"/>
  </w:style>
  <w:style w:type="paragraph" w:customStyle="1" w:styleId="71f0">
    <w:name w:val="71ג קוביה רצה"/>
    <w:basedOn w:val="71a"/>
    <w:rsid w:val="00817399"/>
    <w:pPr>
      <w:ind w:left="284" w:right="227"/>
    </w:pPr>
  </w:style>
  <w:style w:type="paragraph" w:customStyle="1" w:styleId="71414">
    <w:name w:val="71ג כותרת 4_14"/>
    <w:basedOn w:val="4"/>
    <w:rsid w:val="00817399"/>
    <w:pPr>
      <w:spacing w:before="240" w:after="180" w:line="240" w:lineRule="atLeast"/>
      <w:jc w:val="left"/>
    </w:pPr>
    <w:rPr>
      <w:rFonts w:ascii="Tahoma" w:hAnsi="Tahoma" w:cs="Tahoma"/>
      <w:b/>
      <w:color w:val="00305F"/>
      <w:sz w:val="28"/>
      <w:szCs w:val="28"/>
    </w:rPr>
  </w:style>
  <w:style w:type="paragraph" w:customStyle="1" w:styleId="713">
    <w:name w:val="71ג הזחה בתוך קוביה"/>
    <w:basedOn w:val="71f0"/>
    <w:rsid w:val="00817399"/>
    <w:pPr>
      <w:numPr>
        <w:ilvl w:val="1"/>
        <w:numId w:val="14"/>
      </w:numPr>
      <w:ind w:left="624" w:hanging="284"/>
    </w:pPr>
  </w:style>
  <w:style w:type="paragraph" w:customStyle="1" w:styleId="71512">
    <w:name w:val="71ג כותרת 5_12"/>
    <w:basedOn w:val="100"/>
    <w:rsid w:val="00817399"/>
    <w:pPr>
      <w:spacing w:before="240" w:after="180" w:line="240" w:lineRule="atLeast"/>
      <w:jc w:val="left"/>
    </w:pPr>
    <w:rPr>
      <w:b/>
      <w:bCs/>
      <w:color w:val="00305F"/>
      <w:sz w:val="24"/>
      <w:szCs w:val="24"/>
    </w:rPr>
  </w:style>
  <w:style w:type="paragraph" w:customStyle="1" w:styleId="71f1">
    <w:name w:val="71ג מספרים בתוך קוביה"/>
    <w:basedOn w:val="713"/>
    <w:rsid w:val="00817399"/>
  </w:style>
  <w:style w:type="paragraph" w:customStyle="1" w:styleId="7110">
    <w:name w:val="71ג אותיות בתוך קוביה 1"/>
    <w:basedOn w:val="71f1"/>
    <w:rsid w:val="00817399"/>
    <w:pPr>
      <w:numPr>
        <w:numId w:val="13"/>
      </w:numPr>
    </w:pPr>
  </w:style>
  <w:style w:type="paragraph" w:customStyle="1" w:styleId="gmail-msolistparagraph">
    <w:name w:val="gmail-msolistparagraph"/>
    <w:basedOn w:val="ab"/>
    <w:uiPriority w:val="99"/>
    <w:rsid w:val="00817399"/>
    <w:pPr>
      <w:bidi w:val="0"/>
      <w:spacing w:before="100" w:beforeAutospacing="1" w:after="100" w:afterAutospacing="1" w:line="240" w:lineRule="auto"/>
      <w:jc w:val="left"/>
    </w:pPr>
    <w:rPr>
      <w:rFonts w:cs="Times New Roman"/>
      <w:sz w:val="24"/>
    </w:rPr>
  </w:style>
  <w:style w:type="paragraph" w:styleId="afffff6">
    <w:name w:val="Plain Text"/>
    <w:basedOn w:val="ab"/>
    <w:link w:val="afffff7"/>
    <w:uiPriority w:val="99"/>
    <w:unhideWhenUsed/>
    <w:rsid w:val="00817399"/>
    <w:pPr>
      <w:spacing w:line="240" w:lineRule="auto"/>
      <w:jc w:val="left"/>
    </w:pPr>
    <w:rPr>
      <w:rFonts w:ascii="Calibri" w:hAnsi="Calibri" w:cstheme="minorBidi"/>
      <w:sz w:val="22"/>
      <w:szCs w:val="21"/>
    </w:rPr>
  </w:style>
  <w:style w:type="character" w:customStyle="1" w:styleId="afffff7">
    <w:name w:val="טקסט רגיל תו"/>
    <w:basedOn w:val="ac"/>
    <w:link w:val="afffff6"/>
    <w:uiPriority w:val="99"/>
    <w:rsid w:val="00817399"/>
    <w:rPr>
      <w:rFonts w:ascii="Calibri" w:hAnsi="Calibri" w:cstheme="minorBidi"/>
      <w:sz w:val="22"/>
      <w:szCs w:val="21"/>
    </w:rPr>
  </w:style>
  <w:style w:type="table" w:customStyle="1" w:styleId="2b">
    <w:name w:val="רשת טבלה2"/>
    <w:basedOn w:val="ad"/>
    <w:next w:val="afc"/>
    <w:uiPriority w:val="59"/>
    <w:rsid w:val="00817399"/>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b"/>
    <w:link w:val="afffff9"/>
    <w:uiPriority w:val="99"/>
    <w:unhideWhenUsed/>
    <w:rsid w:val="00817399"/>
    <w:pPr>
      <w:spacing w:line="240" w:lineRule="auto"/>
      <w:ind w:left="720" w:hanging="720"/>
    </w:pPr>
    <w:rPr>
      <w:szCs w:val="20"/>
    </w:rPr>
  </w:style>
  <w:style w:type="character" w:customStyle="1" w:styleId="afffff9">
    <w:name w:val="טקסט הערת סיום תו"/>
    <w:basedOn w:val="ac"/>
    <w:link w:val="afffff8"/>
    <w:uiPriority w:val="99"/>
    <w:rsid w:val="00817399"/>
    <w:rPr>
      <w:szCs w:val="20"/>
    </w:rPr>
  </w:style>
  <w:style w:type="character" w:styleId="afffffa">
    <w:name w:val="endnote reference"/>
    <w:basedOn w:val="ac"/>
    <w:uiPriority w:val="99"/>
    <w:semiHidden/>
    <w:unhideWhenUsed/>
    <w:rsid w:val="00817399"/>
    <w:rPr>
      <w:vertAlign w:val="superscript"/>
    </w:rPr>
  </w:style>
  <w:style w:type="paragraph" w:customStyle="1" w:styleId="310">
    <w:name w:val="כותרת 31"/>
    <w:basedOn w:val="ab"/>
    <w:next w:val="ab"/>
    <w:uiPriority w:val="1"/>
    <w:rsid w:val="00817399"/>
    <w:pPr>
      <w:keepNext/>
      <w:keepLines/>
      <w:spacing w:before="120"/>
      <w:outlineLvl w:val="2"/>
    </w:pPr>
    <w:rPr>
      <w:rFonts w:asciiTheme="majorHAnsi" w:eastAsiaTheme="majorEastAsia" w:hAnsiTheme="majorHAnsi" w:cstheme="majorBidi"/>
      <w:color w:val="243F60" w:themeColor="accent1" w:themeShade="7F"/>
      <w:sz w:val="24"/>
    </w:rPr>
  </w:style>
  <w:style w:type="paragraph" w:customStyle="1" w:styleId="411">
    <w:name w:val="כותרת 41"/>
    <w:basedOn w:val="ab"/>
    <w:next w:val="ab"/>
    <w:uiPriority w:val="1"/>
    <w:rsid w:val="00817399"/>
    <w:pPr>
      <w:keepNext/>
      <w:keepLines/>
      <w:spacing w:before="120"/>
      <w:outlineLvl w:val="3"/>
    </w:pPr>
    <w:rPr>
      <w:rFonts w:asciiTheme="majorHAnsi" w:eastAsiaTheme="majorEastAsia" w:hAnsiTheme="majorHAnsi" w:cstheme="majorBidi"/>
      <w:i/>
      <w:iCs/>
      <w:color w:val="365F91" w:themeColor="accent1" w:themeShade="BF"/>
    </w:rPr>
  </w:style>
  <w:style w:type="paragraph" w:customStyle="1" w:styleId="610">
    <w:name w:val="כותרת 61"/>
    <w:basedOn w:val="ab"/>
    <w:next w:val="ab"/>
    <w:uiPriority w:val="1"/>
    <w:rsid w:val="00817399"/>
    <w:pPr>
      <w:keepNext/>
      <w:keepLines/>
      <w:outlineLvl w:val="5"/>
    </w:pPr>
    <w:rPr>
      <w:rFonts w:asciiTheme="majorHAnsi" w:eastAsiaTheme="majorEastAsia" w:hAnsiTheme="majorHAnsi" w:cstheme="majorBidi"/>
      <w:color w:val="243F60" w:themeColor="accent1" w:themeShade="7F"/>
    </w:rPr>
  </w:style>
  <w:style w:type="paragraph" w:customStyle="1" w:styleId="71f2">
    <w:name w:val="כותרת 71"/>
    <w:basedOn w:val="ab"/>
    <w:next w:val="ab"/>
    <w:uiPriority w:val="1"/>
    <w:rsid w:val="00817399"/>
    <w:pPr>
      <w:keepNext/>
      <w:keepLines/>
      <w:outlineLvl w:val="6"/>
    </w:pPr>
    <w:rPr>
      <w:rFonts w:asciiTheme="majorHAnsi" w:eastAsiaTheme="majorEastAsia" w:hAnsiTheme="majorHAnsi" w:cstheme="majorBidi"/>
      <w:i/>
      <w:iCs/>
      <w:color w:val="243F60" w:themeColor="accent1" w:themeShade="7F"/>
    </w:rPr>
  </w:style>
  <w:style w:type="paragraph" w:customStyle="1" w:styleId="81">
    <w:name w:val="כותרת 81"/>
    <w:basedOn w:val="ab"/>
    <w:next w:val="ab"/>
    <w:uiPriority w:val="1"/>
    <w:rsid w:val="00817399"/>
    <w:pPr>
      <w:keepNext/>
      <w:keepLines/>
      <w:outlineLvl w:val="7"/>
    </w:pPr>
    <w:rPr>
      <w:rFonts w:asciiTheme="majorHAnsi" w:eastAsiaTheme="majorEastAsia" w:hAnsiTheme="majorHAnsi" w:cstheme="majorBidi"/>
      <w:color w:val="272727" w:themeColor="text1" w:themeTint="D8"/>
      <w:sz w:val="21"/>
      <w:szCs w:val="21"/>
    </w:rPr>
  </w:style>
  <w:style w:type="numbering" w:customStyle="1" w:styleId="1c">
    <w:name w:val="ללא רשימה1"/>
    <w:uiPriority w:val="99"/>
    <w:semiHidden/>
    <w:unhideWhenUsed/>
    <w:rsid w:val="00817399"/>
  </w:style>
  <w:style w:type="paragraph" w:customStyle="1" w:styleId="1d">
    <w:name w:val="כותרת עליונה1"/>
    <w:basedOn w:val="ab"/>
    <w:uiPriority w:val="99"/>
    <w:unhideWhenUsed/>
    <w:rsid w:val="00817399"/>
    <w:pPr>
      <w:tabs>
        <w:tab w:val="center" w:pos="4153"/>
        <w:tab w:val="right" w:pos="8306"/>
      </w:tabs>
      <w:spacing w:line="240" w:lineRule="auto"/>
    </w:pPr>
  </w:style>
  <w:style w:type="paragraph" w:customStyle="1" w:styleId="1e">
    <w:name w:val="כותרת תחתונה1"/>
    <w:basedOn w:val="ab"/>
    <w:uiPriority w:val="99"/>
    <w:unhideWhenUsed/>
    <w:rsid w:val="00817399"/>
    <w:pPr>
      <w:tabs>
        <w:tab w:val="center" w:pos="4153"/>
        <w:tab w:val="right" w:pos="8306"/>
      </w:tabs>
      <w:spacing w:line="240" w:lineRule="auto"/>
    </w:pPr>
  </w:style>
  <w:style w:type="paragraph" w:customStyle="1" w:styleId="1f">
    <w:name w:val="תאריך1"/>
    <w:basedOn w:val="ab"/>
    <w:next w:val="ab"/>
    <w:uiPriority w:val="99"/>
    <w:unhideWhenUsed/>
    <w:rsid w:val="00817399"/>
    <w:pPr>
      <w:spacing w:before="120" w:line="240" w:lineRule="auto"/>
    </w:pPr>
  </w:style>
  <w:style w:type="character" w:customStyle="1" w:styleId="1f0">
    <w:name w:val="הפניה להערת שוליים1"/>
    <w:semiHidden/>
    <w:unhideWhenUsed/>
    <w:rsid w:val="00817399"/>
    <w:rPr>
      <w:vertAlign w:val="superscript"/>
    </w:rPr>
  </w:style>
  <w:style w:type="paragraph" w:customStyle="1" w:styleId="PATIAH">
    <w:name w:val="PATIAH"/>
    <w:basedOn w:val="ab"/>
    <w:rsid w:val="00817399"/>
    <w:pPr>
      <w:spacing w:after="120" w:line="260" w:lineRule="exact"/>
    </w:pPr>
    <w:rPr>
      <w:rFonts w:eastAsia="Times New Roman"/>
      <w:lang w:eastAsia="he-IL"/>
    </w:rPr>
  </w:style>
  <w:style w:type="paragraph" w:customStyle="1" w:styleId="afffffb">
    <w:name w:val="סגנון רגיל +"/>
    <w:basedOn w:val="ab"/>
    <w:rsid w:val="00817399"/>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f1">
    <w:name w:val="טקסט בלונים1"/>
    <w:basedOn w:val="ab"/>
    <w:uiPriority w:val="99"/>
    <w:semiHidden/>
    <w:unhideWhenUsed/>
    <w:rsid w:val="00817399"/>
    <w:pPr>
      <w:spacing w:line="240" w:lineRule="auto"/>
    </w:pPr>
    <w:rPr>
      <w:rFonts w:ascii="Tahoma" w:hAnsi="Tahoma" w:cs="Tahoma"/>
      <w:sz w:val="18"/>
      <w:szCs w:val="18"/>
    </w:rPr>
  </w:style>
  <w:style w:type="paragraph" w:customStyle="1" w:styleId="1f2">
    <w:name w:val="גוף טקסט1"/>
    <w:basedOn w:val="ab"/>
    <w:link w:val="1f3"/>
    <w:uiPriority w:val="99"/>
    <w:rsid w:val="00817399"/>
    <w:pPr>
      <w:spacing w:before="180" w:after="120" w:line="230" w:lineRule="exact"/>
    </w:pPr>
    <w:rPr>
      <w:rFonts w:eastAsia="Times New Roman" w:cs="FrankRuehl"/>
      <w:sz w:val="22"/>
      <w:szCs w:val="22"/>
    </w:rPr>
  </w:style>
  <w:style w:type="character" w:customStyle="1" w:styleId="afffffc">
    <w:name w:val="גוף טקסט תו"/>
    <w:basedOn w:val="ac"/>
    <w:uiPriority w:val="99"/>
    <w:rsid w:val="00817399"/>
  </w:style>
  <w:style w:type="character" w:customStyle="1" w:styleId="1f3">
    <w:name w:val="גוף טקסט תו1"/>
    <w:link w:val="1f2"/>
    <w:uiPriority w:val="99"/>
    <w:rsid w:val="00817399"/>
    <w:rPr>
      <w:rFonts w:eastAsia="Times New Roman" w:cs="FrankRuehl"/>
      <w:sz w:val="22"/>
      <w:szCs w:val="22"/>
    </w:rPr>
  </w:style>
  <w:style w:type="character" w:customStyle="1" w:styleId="1f4">
    <w:name w:val="כותרת תחתונה תו1"/>
    <w:uiPriority w:val="99"/>
    <w:rsid w:val="00817399"/>
    <w:rPr>
      <w:rFonts w:cs="David"/>
      <w:sz w:val="24"/>
      <w:szCs w:val="24"/>
    </w:rPr>
  </w:style>
  <w:style w:type="character" w:customStyle="1" w:styleId="1f5">
    <w:name w:val="טקסט הערת שוליים תו1"/>
    <w:aliases w:val="Sharp - Footnote Text1 Char תו"/>
    <w:locked/>
    <w:rsid w:val="00817399"/>
    <w:rPr>
      <w:rFonts w:cs="David"/>
      <w:sz w:val="20"/>
      <w:szCs w:val="20"/>
      <w:lang w:bidi="he-IL"/>
    </w:rPr>
  </w:style>
  <w:style w:type="paragraph" w:customStyle="1" w:styleId="takzir">
    <w:name w:val="takzir"/>
    <w:basedOn w:val="ab"/>
    <w:rsid w:val="00817399"/>
    <w:pPr>
      <w:spacing w:after="120" w:line="240" w:lineRule="exact"/>
    </w:pPr>
    <w:rPr>
      <w:rFonts w:eastAsia="Times New Roman"/>
      <w:b/>
      <w:bCs/>
      <w:noProof/>
      <w:sz w:val="22"/>
      <w:szCs w:val="22"/>
      <w:lang w:eastAsia="he-IL"/>
    </w:rPr>
  </w:style>
  <w:style w:type="paragraph" w:customStyle="1" w:styleId="BulletList2">
    <w:name w:val="Bullet List 2"/>
    <w:basedOn w:val="ab"/>
    <w:link w:val="BulletList20"/>
    <w:rsid w:val="00817399"/>
    <w:pPr>
      <w:numPr>
        <w:numId w:val="15"/>
      </w:numPr>
      <w:snapToGrid w:val="0"/>
      <w:spacing w:before="120" w:line="320" w:lineRule="exact"/>
    </w:pPr>
    <w:rPr>
      <w:rFonts w:eastAsia="Times New Roman"/>
      <w:sz w:val="22"/>
      <w:szCs w:val="28"/>
      <w:lang w:eastAsia="he-IL"/>
    </w:rPr>
  </w:style>
  <w:style w:type="paragraph" w:customStyle="1" w:styleId="Hn1">
    <w:name w:val="Hn1"/>
    <w:basedOn w:val="ab"/>
    <w:next w:val="ab"/>
    <w:rsid w:val="00817399"/>
    <w:pPr>
      <w:keepNext/>
      <w:numPr>
        <w:numId w:val="1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b"/>
    <w:rsid w:val="00817399"/>
    <w:pPr>
      <w:numPr>
        <w:ilvl w:val="1"/>
      </w:numPr>
    </w:pPr>
    <w:rPr>
      <w:sz w:val="24"/>
      <w:szCs w:val="28"/>
    </w:rPr>
  </w:style>
  <w:style w:type="paragraph" w:customStyle="1" w:styleId="Hn5">
    <w:name w:val="Hn5"/>
    <w:basedOn w:val="ab"/>
    <w:next w:val="ab"/>
    <w:rsid w:val="00817399"/>
    <w:pPr>
      <w:numPr>
        <w:ilvl w:val="4"/>
        <w:numId w:val="1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b"/>
    <w:next w:val="ab"/>
    <w:link w:val="Hn30"/>
    <w:rsid w:val="00817399"/>
    <w:pPr>
      <w:numPr>
        <w:ilvl w:val="2"/>
        <w:numId w:val="16"/>
      </w:numPr>
      <w:snapToGrid w:val="0"/>
      <w:spacing w:before="240" w:after="120" w:line="320" w:lineRule="atLeast"/>
      <w:outlineLvl w:val="2"/>
    </w:pPr>
    <w:rPr>
      <w:rFonts w:eastAsia="Times New Roman"/>
      <w:b/>
      <w:bCs/>
      <w:sz w:val="24"/>
    </w:rPr>
  </w:style>
  <w:style w:type="paragraph" w:customStyle="1" w:styleId="Hn4">
    <w:name w:val="Hn4"/>
    <w:basedOn w:val="ab"/>
    <w:next w:val="ab"/>
    <w:rsid w:val="00817399"/>
    <w:pPr>
      <w:numPr>
        <w:ilvl w:val="3"/>
        <w:numId w:val="1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817399"/>
    <w:rPr>
      <w:rFonts w:eastAsia="Times New Roman"/>
      <w:b/>
      <w:bCs/>
      <w:sz w:val="24"/>
    </w:rPr>
  </w:style>
  <w:style w:type="character" w:customStyle="1" w:styleId="BulletList20">
    <w:name w:val="Bullet List 2 תו"/>
    <w:link w:val="BulletList2"/>
    <w:rsid w:val="00817399"/>
    <w:rPr>
      <w:rFonts w:eastAsia="Times New Roman"/>
      <w:sz w:val="22"/>
      <w:szCs w:val="28"/>
      <w:lang w:eastAsia="he-IL"/>
    </w:rPr>
  </w:style>
  <w:style w:type="table" w:customStyle="1" w:styleId="5-11">
    <w:name w:val="טבלת רשת 5 כהה - הדגשה 11"/>
    <w:basedOn w:val="ad"/>
    <w:uiPriority w:val="50"/>
    <w:rsid w:val="00817399"/>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d"/>
    <w:uiPriority w:val="48"/>
    <w:rsid w:val="00817399"/>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ad"/>
    <w:uiPriority w:val="48"/>
    <w:rsid w:val="00817399"/>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6">
    <w:name w:val="רשת טבלה בהירה1"/>
    <w:basedOn w:val="ad"/>
    <w:uiPriority w:val="40"/>
    <w:rsid w:val="00817399"/>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7">
    <w:name w:val="הפניה להערה1"/>
    <w:uiPriority w:val="99"/>
    <w:semiHidden/>
    <w:unhideWhenUsed/>
    <w:rsid w:val="00817399"/>
    <w:rPr>
      <w:sz w:val="16"/>
      <w:szCs w:val="16"/>
    </w:rPr>
  </w:style>
  <w:style w:type="paragraph" w:customStyle="1" w:styleId="1f8">
    <w:name w:val="טקסט הערה1"/>
    <w:basedOn w:val="ab"/>
    <w:uiPriority w:val="99"/>
    <w:unhideWhenUsed/>
    <w:rsid w:val="00817399"/>
    <w:pPr>
      <w:spacing w:line="240" w:lineRule="auto"/>
    </w:pPr>
    <w:rPr>
      <w:szCs w:val="20"/>
    </w:rPr>
  </w:style>
  <w:style w:type="paragraph" w:customStyle="1" w:styleId="1f9">
    <w:name w:val="נושא הערה1"/>
    <w:basedOn w:val="1f8"/>
    <w:next w:val="1f8"/>
    <w:uiPriority w:val="99"/>
    <w:semiHidden/>
    <w:unhideWhenUsed/>
    <w:rsid w:val="00817399"/>
    <w:rPr>
      <w:b/>
      <w:bCs/>
    </w:rPr>
  </w:style>
  <w:style w:type="character" w:customStyle="1" w:styleId="210">
    <w:name w:val="כותרת 2 תו1"/>
    <w:basedOn w:val="ac"/>
    <w:uiPriority w:val="1"/>
    <w:rsid w:val="00817399"/>
    <w:rPr>
      <w:rFonts w:asciiTheme="majorHAnsi" w:eastAsiaTheme="majorEastAsia" w:hAnsiTheme="majorHAnsi" w:cstheme="majorBidi"/>
      <w:color w:val="365F91" w:themeColor="accent1" w:themeShade="BF"/>
      <w:sz w:val="26"/>
      <w:szCs w:val="26"/>
    </w:rPr>
  </w:style>
  <w:style w:type="character" w:customStyle="1" w:styleId="312">
    <w:name w:val="כותרת 3 תו1"/>
    <w:basedOn w:val="ac"/>
    <w:uiPriority w:val="1"/>
    <w:rsid w:val="00817399"/>
    <w:rPr>
      <w:rFonts w:asciiTheme="majorHAnsi" w:eastAsiaTheme="majorEastAsia" w:hAnsiTheme="majorHAnsi" w:cstheme="majorBidi"/>
      <w:color w:val="243F60" w:themeColor="accent1" w:themeShade="7F"/>
      <w:sz w:val="24"/>
      <w:szCs w:val="24"/>
    </w:rPr>
  </w:style>
  <w:style w:type="character" w:customStyle="1" w:styleId="1fa">
    <w:name w:val="תאריך תו1"/>
    <w:basedOn w:val="ac"/>
    <w:uiPriority w:val="99"/>
    <w:semiHidden/>
    <w:rsid w:val="00817399"/>
    <w:rPr>
      <w:szCs w:val="24"/>
    </w:rPr>
  </w:style>
  <w:style w:type="character" w:customStyle="1" w:styleId="170">
    <w:name w:val="תו תו17"/>
    <w:semiHidden/>
    <w:locked/>
    <w:rsid w:val="00817399"/>
    <w:rPr>
      <w:b/>
      <w:spacing w:val="40"/>
      <w:sz w:val="24"/>
      <w:lang w:val="en-US" w:eastAsia="he-IL" w:bidi="he-IL"/>
    </w:rPr>
  </w:style>
  <w:style w:type="paragraph" w:customStyle="1" w:styleId="P000">
    <w:name w:val="P00"/>
    <w:link w:val="P001"/>
    <w:rsid w:val="008173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paragraph" w:customStyle="1" w:styleId="header-2">
    <w:name w:val="header-2"/>
    <w:basedOn w:val="ab"/>
    <w:rsid w:val="00817399"/>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b"/>
    <w:rsid w:val="00817399"/>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b"/>
    <w:rsid w:val="00817399"/>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b"/>
    <w:rsid w:val="00817399"/>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c"/>
    <w:rsid w:val="00817399"/>
  </w:style>
  <w:style w:type="table" w:customStyle="1" w:styleId="4-41">
    <w:name w:val="טבלת רשת 4 - הדגשה 41"/>
    <w:basedOn w:val="ad"/>
    <w:uiPriority w:val="49"/>
    <w:rsid w:val="0081739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d"/>
    <w:uiPriority w:val="46"/>
    <w:rsid w:val="0081739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d"/>
    <w:uiPriority w:val="46"/>
    <w:rsid w:val="0081739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d"/>
    <w:uiPriority w:val="49"/>
    <w:rsid w:val="0081739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0">
    <w:name w:val="טבלת רשת 1 בהירה1"/>
    <w:basedOn w:val="ad"/>
    <w:uiPriority w:val="46"/>
    <w:rsid w:val="008173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ad"/>
    <w:uiPriority w:val="45"/>
    <w:rsid w:val="008173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d"/>
    <w:uiPriority w:val="50"/>
    <w:rsid w:val="008173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ab"/>
    <w:rsid w:val="00817399"/>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rsid w:val="00817399"/>
    <w:pPr>
      <w:jc w:val="center"/>
    </w:pPr>
    <w:rPr>
      <w:rFonts w:ascii="Segoe UI Symbol" w:hAnsi="Segoe UI Symbol" w:cs="Segoe UI Symbol"/>
    </w:rPr>
  </w:style>
  <w:style w:type="paragraph" w:customStyle="1" w:styleId="714">
    <w:name w:val="71ג הזחה אותיות"/>
    <w:basedOn w:val="afa"/>
    <w:rsid w:val="00817399"/>
    <w:pPr>
      <w:numPr>
        <w:numId w:val="1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a"/>
    <w:rsid w:val="00817399"/>
    <w:pPr>
      <w:numPr>
        <w:numId w:val="1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b"/>
    <w:rsid w:val="00817399"/>
    <w:pPr>
      <w:bidi w:val="0"/>
      <w:spacing w:before="100" w:beforeAutospacing="1" w:after="100" w:afterAutospacing="1" w:line="240" w:lineRule="auto"/>
      <w:jc w:val="left"/>
    </w:pPr>
    <w:rPr>
      <w:rFonts w:eastAsia="Times New Roman" w:cs="Times New Roman"/>
      <w:sz w:val="24"/>
    </w:rPr>
  </w:style>
  <w:style w:type="paragraph" w:customStyle="1" w:styleId="afffffd">
    <w:name w:val="נבנצלים"/>
    <w:basedOn w:val="ab"/>
    <w:next w:val="ab"/>
    <w:rsid w:val="00817399"/>
    <w:pPr>
      <w:widowControl w:val="0"/>
      <w:ind w:left="-567"/>
    </w:pPr>
    <w:rPr>
      <w:rFonts w:eastAsia="Times New Roman"/>
      <w:sz w:val="24"/>
      <w:szCs w:val="20"/>
      <w:lang w:eastAsia="he-IL"/>
    </w:rPr>
  </w:style>
  <w:style w:type="paragraph" w:styleId="afffffe">
    <w:name w:val="Body Text"/>
    <w:basedOn w:val="ab"/>
    <w:link w:val="2c"/>
    <w:uiPriority w:val="99"/>
    <w:unhideWhenUsed/>
    <w:rsid w:val="00817399"/>
    <w:pPr>
      <w:spacing w:after="120"/>
    </w:pPr>
  </w:style>
  <w:style w:type="character" w:customStyle="1" w:styleId="2c">
    <w:name w:val="גוף טקסט תו2"/>
    <w:basedOn w:val="ac"/>
    <w:link w:val="afffffe"/>
    <w:uiPriority w:val="99"/>
    <w:rsid w:val="00817399"/>
  </w:style>
  <w:style w:type="character" w:customStyle="1" w:styleId="Bodytext5">
    <w:name w:val="Body text (5)_"/>
    <w:basedOn w:val="ac"/>
    <w:link w:val="Bodytext50"/>
    <w:rsid w:val="00817399"/>
    <w:rPr>
      <w:rFonts w:ascii="David" w:eastAsia="David" w:hAnsi="David"/>
      <w:sz w:val="21"/>
      <w:szCs w:val="21"/>
      <w:shd w:val="clear" w:color="auto" w:fill="FFFFFF"/>
    </w:rPr>
  </w:style>
  <w:style w:type="paragraph" w:customStyle="1" w:styleId="Bodytext50">
    <w:name w:val="Body text (5)"/>
    <w:basedOn w:val="ab"/>
    <w:link w:val="Bodytext5"/>
    <w:rsid w:val="00817399"/>
    <w:pPr>
      <w:widowControl w:val="0"/>
      <w:shd w:val="clear" w:color="auto" w:fill="FFFFFF"/>
      <w:spacing w:before="480" w:line="234" w:lineRule="exact"/>
      <w:ind w:hanging="5440"/>
      <w:jc w:val="left"/>
    </w:pPr>
    <w:rPr>
      <w:rFonts w:ascii="David" w:eastAsia="David" w:hAnsi="David"/>
      <w:sz w:val="21"/>
      <w:szCs w:val="21"/>
    </w:rPr>
  </w:style>
  <w:style w:type="paragraph" w:styleId="affffff">
    <w:name w:val="Subtitle"/>
    <w:basedOn w:val="ab"/>
    <w:next w:val="ab"/>
    <w:link w:val="affffff0"/>
    <w:rsid w:val="00817399"/>
    <w:pPr>
      <w:spacing w:after="60" w:line="240" w:lineRule="auto"/>
      <w:jc w:val="center"/>
      <w:outlineLvl w:val="1"/>
    </w:pPr>
    <w:rPr>
      <w:rFonts w:ascii="Cambria" w:eastAsia="Times New Roman" w:hAnsi="Cambria" w:cs="Times New Roman"/>
      <w:sz w:val="24"/>
      <w:lang w:val="x-none" w:eastAsia="x-none"/>
    </w:rPr>
  </w:style>
  <w:style w:type="character" w:customStyle="1" w:styleId="affffff0">
    <w:name w:val="כותרת משנה תו"/>
    <w:basedOn w:val="ac"/>
    <w:link w:val="affffff"/>
    <w:rsid w:val="00817399"/>
    <w:rPr>
      <w:rFonts w:ascii="Cambria" w:eastAsia="Times New Roman" w:hAnsi="Cambria" w:cs="Times New Roman"/>
      <w:sz w:val="24"/>
      <w:lang w:val="x-none" w:eastAsia="x-none"/>
    </w:rPr>
  </w:style>
  <w:style w:type="paragraph" w:styleId="z-">
    <w:name w:val="HTML Top of Form"/>
    <w:basedOn w:val="ab"/>
    <w:next w:val="ab"/>
    <w:link w:val="z-0"/>
    <w:hidden/>
    <w:uiPriority w:val="99"/>
    <w:semiHidden/>
    <w:unhideWhenUsed/>
    <w:rsid w:val="00817399"/>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c"/>
    <w:link w:val="z-"/>
    <w:uiPriority w:val="99"/>
    <w:semiHidden/>
    <w:rsid w:val="00817399"/>
    <w:rPr>
      <w:rFonts w:ascii="Arial" w:eastAsia="Times New Roman" w:hAnsi="Arial" w:cs="Arial"/>
      <w:vanish/>
      <w:sz w:val="16"/>
      <w:szCs w:val="16"/>
    </w:rPr>
  </w:style>
  <w:style w:type="character" w:customStyle="1" w:styleId="92">
    <w:name w:val="כותרת 9 תו2"/>
    <w:basedOn w:val="ac"/>
    <w:link w:val="9"/>
    <w:uiPriority w:val="9"/>
    <w:rsid w:val="00817399"/>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817399"/>
    <w:rPr>
      <w:rFonts w:eastAsia="Times New Roman" w:cs="FrankRuehl"/>
      <w:noProof/>
      <w:szCs w:val="26"/>
      <w:lang w:eastAsia="he-IL"/>
    </w:rPr>
  </w:style>
  <w:style w:type="paragraph" w:customStyle="1" w:styleId="HNormal">
    <w:name w:val="HNormal"/>
    <w:rsid w:val="00817399"/>
    <w:pPr>
      <w:bidi/>
      <w:spacing w:before="60" w:after="120" w:line="240" w:lineRule="auto"/>
    </w:pPr>
    <w:rPr>
      <w:rFonts w:eastAsia="Times New Roman"/>
      <w:noProof/>
      <w:lang w:eastAsia="he-IL"/>
    </w:rPr>
  </w:style>
  <w:style w:type="paragraph" w:customStyle="1" w:styleId="font2">
    <w:name w:val="font_2"/>
    <w:basedOn w:val="ab"/>
    <w:rsid w:val="00817399"/>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d"/>
    <w:uiPriority w:val="49"/>
    <w:rsid w:val="0081739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3">
    <w:name w:val="טבלת רשת 31"/>
    <w:basedOn w:val="ad"/>
    <w:uiPriority w:val="48"/>
    <w:rsid w:val="0081739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817399"/>
    <w:pPr>
      <w:tabs>
        <w:tab w:val="clear" w:pos="624"/>
        <w:tab w:val="clear" w:pos="1021"/>
      </w:tabs>
      <w:ind w:right="1021"/>
    </w:pPr>
  </w:style>
  <w:style w:type="paragraph" w:customStyle="1" w:styleId="P330">
    <w:name w:val="P33"/>
    <w:basedOn w:val="P000"/>
    <w:rsid w:val="00817399"/>
    <w:pPr>
      <w:tabs>
        <w:tab w:val="clear" w:pos="624"/>
        <w:tab w:val="clear" w:pos="1021"/>
        <w:tab w:val="clear" w:pos="1474"/>
      </w:tabs>
      <w:ind w:right="1474"/>
    </w:pPr>
  </w:style>
  <w:style w:type="table" w:customStyle="1" w:styleId="6-31">
    <w:name w:val="טבלת רשת 6 צבעונית - הדגשה 31"/>
    <w:basedOn w:val="ad"/>
    <w:uiPriority w:val="51"/>
    <w:rsid w:val="0081739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c"/>
    <w:rsid w:val="00817399"/>
  </w:style>
  <w:style w:type="paragraph" w:customStyle="1" w:styleId="CharChar">
    <w:name w:val="גופן ברירת המחדל של קטע פסקה תו Char תו Char תו"/>
    <w:basedOn w:val="ab"/>
    <w:rsid w:val="00817399"/>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c"/>
    <w:uiPriority w:val="9"/>
    <w:rsid w:val="00817399"/>
    <w:rPr>
      <w:rFonts w:asciiTheme="majorHAnsi" w:eastAsiaTheme="majorEastAsia" w:hAnsiTheme="majorHAnsi" w:cstheme="majorBidi"/>
      <w:i/>
      <w:iCs/>
      <w:color w:val="632423" w:themeColor="accent2" w:themeShade="80"/>
      <w:sz w:val="22"/>
      <w:szCs w:val="22"/>
    </w:rPr>
  </w:style>
  <w:style w:type="table" w:customStyle="1" w:styleId="412">
    <w:name w:val="טבלת רשת 41"/>
    <w:basedOn w:val="ad"/>
    <w:uiPriority w:val="49"/>
    <w:rsid w:val="0081739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ad"/>
    <w:uiPriority w:val="47"/>
    <w:rsid w:val="008173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b"/>
    <w:rsid w:val="00817399"/>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b"/>
    <w:rsid w:val="00817399"/>
    <w:pPr>
      <w:bidi w:val="0"/>
      <w:spacing w:before="100" w:beforeAutospacing="1" w:after="100" w:afterAutospacing="1" w:line="240" w:lineRule="auto"/>
      <w:jc w:val="left"/>
    </w:pPr>
    <w:rPr>
      <w:rFonts w:eastAsia="Times New Roman" w:cs="Times New Roman"/>
      <w:sz w:val="24"/>
    </w:rPr>
  </w:style>
  <w:style w:type="paragraph" w:customStyle="1" w:styleId="affffff1">
    <w:name w:val="טבלה הערות מתחת"/>
    <w:basedOn w:val="afffff4"/>
    <w:rsid w:val="00817399"/>
    <w:pPr>
      <w:spacing w:before="120"/>
    </w:pPr>
  </w:style>
  <w:style w:type="paragraph" w:customStyle="1" w:styleId="712">
    <w:name w:val="71ג אותיות רשימה א"/>
    <w:aliases w:val="ב"/>
    <w:basedOn w:val="afa"/>
    <w:rsid w:val="00817399"/>
    <w:pPr>
      <w:widowControl w:val="0"/>
      <w:numPr>
        <w:numId w:val="1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a"/>
    <w:rsid w:val="00817399"/>
    <w:pPr>
      <w:numPr>
        <w:numId w:val="2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fff2">
    <w:name w:val="אורח"/>
    <w:basedOn w:val="ab"/>
    <w:next w:val="ab"/>
    <w:rsid w:val="00817399"/>
    <w:pPr>
      <w:spacing w:line="240" w:lineRule="exact"/>
    </w:pPr>
    <w:rPr>
      <w:rFonts w:ascii="David" w:eastAsia="Times New Roman" w:hAnsi="David"/>
      <w:sz w:val="24"/>
      <w:u w:val="single"/>
    </w:rPr>
  </w:style>
  <w:style w:type="paragraph" w:customStyle="1" w:styleId="KeepWithNext">
    <w:name w:val="KeepWithNext"/>
    <w:basedOn w:val="ab"/>
    <w:next w:val="ab"/>
    <w:rsid w:val="00817399"/>
    <w:pPr>
      <w:keepNext/>
      <w:spacing w:line="240" w:lineRule="exact"/>
    </w:pPr>
    <w:rPr>
      <w:rFonts w:eastAsia="Times New Roman"/>
      <w:sz w:val="24"/>
    </w:rPr>
  </w:style>
  <w:style w:type="paragraph" w:customStyle="1" w:styleId="affffff3">
    <w:name w:val="קריאות"/>
    <w:basedOn w:val="ab"/>
    <w:next w:val="ab"/>
    <w:rsid w:val="00817399"/>
    <w:pPr>
      <w:spacing w:line="240" w:lineRule="exact"/>
    </w:pPr>
    <w:rPr>
      <w:rFonts w:ascii="David" w:eastAsia="Times New Roman" w:hAnsi="David"/>
      <w:sz w:val="24"/>
      <w:u w:val="single"/>
      <w:lang w:eastAsia="he-IL"/>
    </w:rPr>
  </w:style>
  <w:style w:type="paragraph" w:customStyle="1" w:styleId="-">
    <w:name w:val="דובר-המשך"/>
    <w:basedOn w:val="ab"/>
    <w:next w:val="ab"/>
    <w:rsid w:val="00817399"/>
    <w:pPr>
      <w:spacing w:line="240" w:lineRule="exact"/>
    </w:pPr>
    <w:rPr>
      <w:rFonts w:ascii="David" w:eastAsia="Times New Roman" w:hAnsi="David"/>
      <w:sz w:val="24"/>
      <w:u w:val="single"/>
      <w:lang w:eastAsia="he-IL"/>
    </w:rPr>
  </w:style>
  <w:style w:type="paragraph" w:customStyle="1" w:styleId="71895">
    <w:name w:val="71ג כותרת 8_9.5"/>
    <w:basedOn w:val="8"/>
    <w:rsid w:val="00817399"/>
    <w:pPr>
      <w:spacing w:after="120"/>
    </w:pPr>
    <w:rPr>
      <w:rFonts w:ascii="Tahoma" w:hAnsi="Tahoma" w:cs="Tahoma"/>
      <w:color w:val="00305F"/>
      <w:spacing w:val="20"/>
      <w:sz w:val="19"/>
      <w:szCs w:val="19"/>
    </w:rPr>
  </w:style>
  <w:style w:type="paragraph" w:customStyle="1" w:styleId="71612">
    <w:name w:val="71ג כותרת 6_12"/>
    <w:basedOn w:val="71512"/>
    <w:rsid w:val="00817399"/>
    <w:rPr>
      <w:b w:val="0"/>
      <w:bCs w:val="0"/>
    </w:rPr>
  </w:style>
  <w:style w:type="paragraph" w:styleId="TOC6">
    <w:name w:val="toc 6"/>
    <w:basedOn w:val="ab"/>
    <w:next w:val="ab"/>
    <w:autoRedefine/>
    <w:uiPriority w:val="39"/>
    <w:unhideWhenUsed/>
    <w:rsid w:val="00817399"/>
    <w:pPr>
      <w:spacing w:after="100"/>
      <w:ind w:left="1000"/>
    </w:pPr>
  </w:style>
  <w:style w:type="table" w:customStyle="1" w:styleId="5-31">
    <w:name w:val="טבלת רשת 5 כהה - הדגשה 31"/>
    <w:basedOn w:val="ad"/>
    <w:uiPriority w:val="50"/>
    <w:rsid w:val="008173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d"/>
    <w:uiPriority w:val="47"/>
    <w:rsid w:val="0081739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d"/>
    <w:uiPriority w:val="49"/>
    <w:rsid w:val="0081739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d"/>
    <w:uiPriority w:val="51"/>
    <w:rsid w:val="0081739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b">
    <w:name w:val="כותרת טקסט1"/>
    <w:basedOn w:val="ac"/>
    <w:rsid w:val="00817399"/>
  </w:style>
  <w:style w:type="paragraph" w:styleId="TOC8">
    <w:name w:val="toc 8"/>
    <w:basedOn w:val="ab"/>
    <w:next w:val="ab"/>
    <w:autoRedefine/>
    <w:uiPriority w:val="39"/>
    <w:unhideWhenUsed/>
    <w:rsid w:val="00817399"/>
    <w:pPr>
      <w:numPr>
        <w:numId w:val="31"/>
      </w:numPr>
      <w:pBdr>
        <w:bottom w:val="single" w:sz="4" w:space="1" w:color="auto"/>
      </w:pBdr>
      <w:tabs>
        <w:tab w:val="right" w:leader="dot" w:pos="8211"/>
      </w:tabs>
      <w:spacing w:after="120" w:line="240" w:lineRule="auto"/>
      <w:ind w:left="641" w:hanging="357"/>
    </w:pPr>
    <w:rPr>
      <w:rFonts w:cs="Assistant"/>
      <w:szCs w:val="16"/>
    </w:rPr>
  </w:style>
  <w:style w:type="character" w:customStyle="1" w:styleId="Heading2">
    <w:name w:val="Heading #2_"/>
    <w:basedOn w:val="ac"/>
    <w:link w:val="Heading20"/>
    <w:rsid w:val="00817399"/>
    <w:rPr>
      <w:rFonts w:ascii="David" w:eastAsia="David" w:hAnsi="David"/>
      <w:b/>
      <w:bCs/>
      <w:shd w:val="clear" w:color="auto" w:fill="FFFFFF"/>
    </w:rPr>
  </w:style>
  <w:style w:type="paragraph" w:customStyle="1" w:styleId="Heading20">
    <w:name w:val="Heading #2"/>
    <w:basedOn w:val="ab"/>
    <w:link w:val="Heading2"/>
    <w:rsid w:val="00817399"/>
    <w:pPr>
      <w:widowControl w:val="0"/>
      <w:shd w:val="clear" w:color="auto" w:fill="FFFFFF"/>
      <w:spacing w:line="706" w:lineRule="exact"/>
      <w:jc w:val="left"/>
      <w:outlineLvl w:val="1"/>
    </w:pPr>
    <w:rPr>
      <w:rFonts w:ascii="David" w:eastAsia="David" w:hAnsi="David"/>
      <w:b/>
      <w:bCs/>
    </w:rPr>
  </w:style>
  <w:style w:type="paragraph" w:styleId="TOC9">
    <w:name w:val="toc 9"/>
    <w:basedOn w:val="ab"/>
    <w:next w:val="ab"/>
    <w:autoRedefine/>
    <w:uiPriority w:val="39"/>
    <w:unhideWhenUsed/>
    <w:rsid w:val="00817399"/>
    <w:pPr>
      <w:numPr>
        <w:numId w:val="32"/>
      </w:numPr>
      <w:tabs>
        <w:tab w:val="right" w:leader="dot" w:pos="8211"/>
      </w:tabs>
      <w:spacing w:line="240" w:lineRule="auto"/>
      <w:ind w:left="641" w:hanging="357"/>
    </w:pPr>
    <w:rPr>
      <w:rFonts w:asciiTheme="minorHAnsi" w:hAnsiTheme="minorHAnsi" w:cs="Assistant"/>
      <w:sz w:val="18"/>
      <w:szCs w:val="16"/>
    </w:rPr>
  </w:style>
  <w:style w:type="paragraph" w:customStyle="1" w:styleId="listparagraph">
    <w:name w:val="listparagraph"/>
    <w:basedOn w:val="ab"/>
    <w:rsid w:val="00817399"/>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c"/>
    <w:rsid w:val="00817399"/>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8">
    <w:name w:val="כותרת סעיף"/>
    <w:basedOn w:val="ab"/>
    <w:rsid w:val="00817399"/>
    <w:pPr>
      <w:numPr>
        <w:numId w:val="2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a"/>
    <w:rsid w:val="00817399"/>
    <w:pPr>
      <w:widowControl w:val="0"/>
      <w:numPr>
        <w:numId w:val="2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rsid w:val="00817399"/>
    <w:pPr>
      <w:ind w:left="794"/>
    </w:pPr>
  </w:style>
  <w:style w:type="character" w:customStyle="1" w:styleId="EndnoteTextChar1">
    <w:name w:val="Endnote Text Char1"/>
    <w:basedOn w:val="ac"/>
    <w:uiPriority w:val="99"/>
    <w:semiHidden/>
    <w:rsid w:val="00817399"/>
    <w:rPr>
      <w:szCs w:val="20"/>
    </w:rPr>
  </w:style>
  <w:style w:type="character" w:customStyle="1" w:styleId="UnresolvedMention1">
    <w:name w:val="Unresolved Mention1"/>
    <w:basedOn w:val="ac"/>
    <w:uiPriority w:val="99"/>
    <w:semiHidden/>
    <w:unhideWhenUsed/>
    <w:rsid w:val="00817399"/>
    <w:rPr>
      <w:color w:val="605E5C"/>
      <w:shd w:val="clear" w:color="auto" w:fill="E1DFDD"/>
    </w:rPr>
  </w:style>
  <w:style w:type="character" w:customStyle="1" w:styleId="Bodytext4">
    <w:name w:val="Body text (4)_"/>
    <w:basedOn w:val="ac"/>
    <w:link w:val="Bodytext40"/>
    <w:rsid w:val="00817399"/>
    <w:rPr>
      <w:rFonts w:ascii="David" w:eastAsia="David" w:hAnsi="David"/>
      <w:b/>
      <w:bCs/>
      <w:sz w:val="22"/>
      <w:szCs w:val="22"/>
      <w:shd w:val="clear" w:color="auto" w:fill="FFFFFF"/>
    </w:rPr>
  </w:style>
  <w:style w:type="paragraph" w:customStyle="1" w:styleId="Bodytext40">
    <w:name w:val="Body text (4)"/>
    <w:basedOn w:val="ab"/>
    <w:link w:val="Bodytext4"/>
    <w:rsid w:val="00817399"/>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c"/>
    <w:rsid w:val="00817399"/>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
    <w:name w:val="ללא רשימה11"/>
    <w:next w:val="ae"/>
    <w:uiPriority w:val="99"/>
    <w:semiHidden/>
    <w:unhideWhenUsed/>
    <w:rsid w:val="00817399"/>
  </w:style>
  <w:style w:type="paragraph" w:customStyle="1" w:styleId="big-header">
    <w:name w:val="big-header"/>
    <w:basedOn w:val="ab"/>
    <w:rsid w:val="00817399"/>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b"/>
    <w:rsid w:val="00817399"/>
    <w:pPr>
      <w:keepNext/>
      <w:spacing w:after="120" w:line="260" w:lineRule="exact"/>
      <w:jc w:val="left"/>
    </w:pPr>
    <w:rPr>
      <w:rFonts w:eastAsia="Times New Roman"/>
      <w:b/>
      <w:bCs/>
      <w:sz w:val="22"/>
      <w:szCs w:val="22"/>
    </w:rPr>
  </w:style>
  <w:style w:type="character" w:customStyle="1" w:styleId="UnresolvedMention11">
    <w:name w:val="Unresolved Mention11"/>
    <w:basedOn w:val="ac"/>
    <w:uiPriority w:val="99"/>
    <w:semiHidden/>
    <w:unhideWhenUsed/>
    <w:rsid w:val="00817399"/>
    <w:rPr>
      <w:color w:val="605E5C"/>
      <w:shd w:val="clear" w:color="auto" w:fill="E1DFDD"/>
    </w:rPr>
  </w:style>
  <w:style w:type="character" w:customStyle="1" w:styleId="Bodytext7Exact">
    <w:name w:val="Body text (7) Exact"/>
    <w:basedOn w:val="Bodytext7"/>
    <w:rsid w:val="00817399"/>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817399"/>
    <w:rPr>
      <w:rFonts w:ascii="Tahoma" w:eastAsia="Tahoma" w:hAnsi="Tahoma" w:cs="Tahoma"/>
      <w:b/>
      <w:bCs/>
      <w:i w:val="0"/>
      <w:iCs w:val="0"/>
      <w:smallCaps w:val="0"/>
      <w:strike w:val="0"/>
      <w:color w:val="FFFFFF"/>
      <w:sz w:val="26"/>
      <w:szCs w:val="26"/>
      <w:u w:val="none"/>
      <w:shd w:val="clear" w:color="auto" w:fill="FFFFFF"/>
    </w:rPr>
  </w:style>
  <w:style w:type="paragraph" w:customStyle="1" w:styleId="affffff4">
    <w:name w:val="טקסט רץ"/>
    <w:basedOn w:val="100"/>
    <w:link w:val="Char"/>
    <w:rsid w:val="00817399"/>
    <w:pPr>
      <w:spacing w:after="180" w:line="260" w:lineRule="exact"/>
    </w:pPr>
    <w:rPr>
      <w:color w:val="0D0D0D"/>
      <w:szCs w:val="18"/>
    </w:rPr>
  </w:style>
  <w:style w:type="paragraph" w:customStyle="1" w:styleId="212">
    <w:name w:val="הערות שוליים 21"/>
    <w:basedOn w:val="af7"/>
    <w:link w:val="21Char"/>
    <w:rsid w:val="00817399"/>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c"/>
    <w:link w:val="100"/>
    <w:rsid w:val="00817399"/>
    <w:rPr>
      <w:rFonts w:ascii="Tahoma" w:hAnsi="Tahoma" w:cs="Tahoma"/>
      <w:szCs w:val="20"/>
    </w:rPr>
  </w:style>
  <w:style w:type="character" w:customStyle="1" w:styleId="Char">
    <w:name w:val="טקסט רץ Char"/>
    <w:basedOn w:val="10Char"/>
    <w:link w:val="affffff4"/>
    <w:rsid w:val="00817399"/>
    <w:rPr>
      <w:rFonts w:ascii="Tahoma" w:hAnsi="Tahoma" w:cs="Tahoma"/>
      <w:color w:val="0D0D0D"/>
      <w:szCs w:val="18"/>
    </w:rPr>
  </w:style>
  <w:style w:type="paragraph" w:customStyle="1" w:styleId="7190">
    <w:name w:val="71ג טקסט רץ 9"/>
    <w:basedOn w:val="affffff4"/>
    <w:link w:val="719Char"/>
    <w:rsid w:val="00817399"/>
    <w:pPr>
      <w:outlineLvl w:val="3"/>
    </w:pPr>
    <w:rPr>
      <w:color w:val="0D0D0D" w:themeColor="text1" w:themeTint="F2"/>
      <w:sz w:val="18"/>
    </w:rPr>
  </w:style>
  <w:style w:type="character" w:customStyle="1" w:styleId="21Char">
    <w:name w:val="הערות שוליים 21 Char"/>
    <w:basedOn w:val="ac"/>
    <w:link w:val="212"/>
    <w:rsid w:val="00817399"/>
    <w:rPr>
      <w:rFonts w:ascii="Tahoma" w:hAnsi="Tahoma" w:cs="Tahoma"/>
      <w:color w:val="0D0D0D" w:themeColor="text1" w:themeTint="F2"/>
      <w:sz w:val="14"/>
      <w:szCs w:val="14"/>
    </w:rPr>
  </w:style>
  <w:style w:type="paragraph" w:customStyle="1" w:styleId="22021">
    <w:name w:val="כותרת 2 תקציר 2021"/>
    <w:basedOn w:val="121"/>
    <w:link w:val="22021Char"/>
    <w:rsid w:val="00817399"/>
    <w:pPr>
      <w:spacing w:before="360" w:after="240" w:line="440" w:lineRule="exact"/>
      <w:jc w:val="left"/>
      <w:outlineLvl w:val="1"/>
    </w:pPr>
    <w:rPr>
      <w:b/>
      <w:bCs/>
      <w:color w:val="00305F"/>
      <w:sz w:val="34"/>
      <w:szCs w:val="34"/>
    </w:rPr>
  </w:style>
  <w:style w:type="character" w:customStyle="1" w:styleId="719Char">
    <w:name w:val="71ג טקסט רץ 9 Char"/>
    <w:basedOn w:val="Char"/>
    <w:link w:val="7190"/>
    <w:rsid w:val="00817399"/>
    <w:rPr>
      <w:rFonts w:ascii="Tahoma" w:hAnsi="Tahoma" w:cs="Tahoma"/>
      <w:color w:val="0D0D0D" w:themeColor="text1" w:themeTint="F2"/>
      <w:sz w:val="18"/>
      <w:szCs w:val="18"/>
    </w:rPr>
  </w:style>
  <w:style w:type="paragraph" w:customStyle="1" w:styleId="affffff5">
    <w:name w:val="אייקון טורקיז רקע"/>
    <w:basedOn w:val="121"/>
    <w:link w:val="Char0"/>
    <w:rsid w:val="00817399"/>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c"/>
    <w:link w:val="tab-name"/>
    <w:rsid w:val="00817399"/>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817399"/>
    <w:rPr>
      <w:rFonts w:ascii="Tahoma" w:eastAsiaTheme="minorEastAsia" w:hAnsi="Tahoma" w:cs="Tahoma"/>
      <w:color w:val="2A2AA6"/>
      <w:sz w:val="42"/>
      <w:szCs w:val="42"/>
    </w:rPr>
  </w:style>
  <w:style w:type="character" w:customStyle="1" w:styleId="22021Char">
    <w:name w:val="כותרת 2 תקציר 2021 Char"/>
    <w:basedOn w:val="121Char"/>
    <w:link w:val="22021"/>
    <w:rsid w:val="00817399"/>
    <w:rPr>
      <w:rFonts w:ascii="Tahoma" w:eastAsiaTheme="minorEastAsia" w:hAnsi="Tahoma" w:cs="Tahoma"/>
      <w:b/>
      <w:bCs/>
      <w:color w:val="00305F"/>
      <w:sz w:val="34"/>
      <w:szCs w:val="34"/>
    </w:rPr>
  </w:style>
  <w:style w:type="paragraph" w:customStyle="1" w:styleId="12021">
    <w:name w:val="כותרת 1   2021"/>
    <w:basedOn w:val="121"/>
    <w:link w:val="12021Char"/>
    <w:rsid w:val="00817399"/>
    <w:pPr>
      <w:spacing w:before="360" w:after="180" w:line="260" w:lineRule="exact"/>
    </w:pPr>
    <w:rPr>
      <w:b/>
      <w:bCs/>
      <w:color w:val="00305F"/>
      <w:sz w:val="34"/>
      <w:szCs w:val="34"/>
    </w:rPr>
  </w:style>
  <w:style w:type="character" w:customStyle="1" w:styleId="Char0">
    <w:name w:val="אייקון טורקיז רקע Char"/>
    <w:basedOn w:val="121Char"/>
    <w:link w:val="affffff5"/>
    <w:rsid w:val="00817399"/>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rsid w:val="00817399"/>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17399"/>
    <w:rPr>
      <w:rFonts w:ascii="Tahoma" w:eastAsiaTheme="minorEastAsia" w:hAnsi="Tahoma" w:cs="Tahoma"/>
      <w:b/>
      <w:bCs/>
      <w:color w:val="00305F"/>
      <w:sz w:val="34"/>
      <w:szCs w:val="34"/>
    </w:rPr>
  </w:style>
  <w:style w:type="paragraph" w:customStyle="1" w:styleId="20210">
    <w:name w:val="ערכים בלוח התקציר 2021"/>
    <w:basedOn w:val="121"/>
    <w:link w:val="2021Char0"/>
    <w:rsid w:val="00817399"/>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817399"/>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rsid w:val="00817399"/>
  </w:style>
  <w:style w:type="character" w:customStyle="1" w:styleId="2021Char0">
    <w:name w:val="ערכים בלוח התקציר 2021 Char"/>
    <w:basedOn w:val="121Char"/>
    <w:link w:val="20210"/>
    <w:rsid w:val="00817399"/>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817399"/>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rsid w:val="00817399"/>
    <w:rPr>
      <w:szCs w:val="32"/>
    </w:rPr>
  </w:style>
  <w:style w:type="paragraph" w:customStyle="1" w:styleId="213">
    <w:name w:val="עיקרי המלצות הביקורת 21"/>
    <w:basedOn w:val="Style2"/>
    <w:link w:val="21Char0"/>
    <w:rsid w:val="00817399"/>
    <w:pPr>
      <w:spacing w:before="0" w:after="180" w:line="240" w:lineRule="atLeast"/>
    </w:pPr>
    <w:rPr>
      <w:color w:val="002E5F"/>
    </w:rPr>
  </w:style>
  <w:style w:type="character" w:customStyle="1" w:styleId="Style2Char">
    <w:name w:val="Style2 Char"/>
    <w:basedOn w:val="22021Char"/>
    <w:link w:val="Style2"/>
    <w:rsid w:val="00817399"/>
    <w:rPr>
      <w:rFonts w:ascii="Tahoma" w:eastAsiaTheme="minorEastAsia" w:hAnsi="Tahoma" w:cs="Tahoma"/>
      <w:b/>
      <w:bCs/>
      <w:color w:val="00305F"/>
      <w:sz w:val="34"/>
      <w:szCs w:val="32"/>
    </w:rPr>
  </w:style>
  <w:style w:type="paragraph" w:customStyle="1" w:styleId="214">
    <w:name w:val="פעולות הביקורת 21"/>
    <w:basedOn w:val="Style2"/>
    <w:link w:val="21Char1"/>
    <w:rsid w:val="00817399"/>
    <w:pPr>
      <w:spacing w:before="0" w:after="180" w:line="240" w:lineRule="atLeast"/>
    </w:pPr>
    <w:rPr>
      <w:b w:val="0"/>
      <w:sz w:val="32"/>
    </w:rPr>
  </w:style>
  <w:style w:type="character" w:customStyle="1" w:styleId="21Char0">
    <w:name w:val="עיקרי המלצות הביקורת 21 Char"/>
    <w:basedOn w:val="Style2Char"/>
    <w:link w:val="213"/>
    <w:rsid w:val="00817399"/>
    <w:rPr>
      <w:rFonts w:ascii="Tahoma" w:eastAsiaTheme="minorEastAsia" w:hAnsi="Tahoma" w:cs="Tahoma"/>
      <w:b/>
      <w:bCs/>
      <w:color w:val="002E5F"/>
      <w:sz w:val="34"/>
      <w:szCs w:val="32"/>
    </w:rPr>
  </w:style>
  <w:style w:type="character" w:customStyle="1" w:styleId="21Char1">
    <w:name w:val="פעולות הביקורת 21 Char"/>
    <w:basedOn w:val="Style2Char"/>
    <w:link w:val="214"/>
    <w:rsid w:val="00817399"/>
    <w:rPr>
      <w:rFonts w:ascii="Tahoma" w:eastAsiaTheme="minorEastAsia" w:hAnsi="Tahoma" w:cs="Tahoma"/>
      <w:b w:val="0"/>
      <w:bCs/>
      <w:color w:val="00305F"/>
      <w:sz w:val="32"/>
      <w:szCs w:val="32"/>
    </w:rPr>
  </w:style>
  <w:style w:type="paragraph" w:customStyle="1" w:styleId="Style3">
    <w:name w:val="Style3"/>
    <w:basedOn w:val="7190"/>
    <w:link w:val="Style3Char"/>
    <w:rsid w:val="00817399"/>
    <w:pPr>
      <w:numPr>
        <w:numId w:val="23"/>
      </w:numPr>
      <w:ind w:left="357" w:hanging="357"/>
    </w:pPr>
  </w:style>
  <w:style w:type="paragraph" w:customStyle="1" w:styleId="215">
    <w:name w:val="פעולות הביקורת21"/>
    <w:basedOn w:val="7190"/>
    <w:link w:val="21Char2"/>
    <w:rsid w:val="00817399"/>
    <w:pPr>
      <w:ind w:left="-1"/>
    </w:pPr>
  </w:style>
  <w:style w:type="character" w:customStyle="1" w:styleId="Style3Char">
    <w:name w:val="Style3 Char"/>
    <w:basedOn w:val="719Char"/>
    <w:link w:val="Style3"/>
    <w:rsid w:val="00817399"/>
    <w:rPr>
      <w:rFonts w:ascii="Tahoma" w:hAnsi="Tahoma" w:cs="Tahoma"/>
      <w:color w:val="0D0D0D" w:themeColor="text1" w:themeTint="F2"/>
      <w:sz w:val="18"/>
      <w:szCs w:val="18"/>
    </w:rPr>
  </w:style>
  <w:style w:type="paragraph" w:customStyle="1" w:styleId="20212">
    <w:name w:val="טקסט רץ 2021"/>
    <w:basedOn w:val="Style2"/>
    <w:rsid w:val="00817399"/>
    <w:pPr>
      <w:spacing w:before="0" w:after="180" w:line="240" w:lineRule="atLeast"/>
    </w:pPr>
  </w:style>
  <w:style w:type="paragraph" w:customStyle="1" w:styleId="affffff6">
    <w:name w:val="לוחות/תרשימים/תמונות/אינפוגרפיקה/מפות"/>
    <w:basedOn w:val="ab"/>
    <w:rsid w:val="00817399"/>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rsid w:val="00817399"/>
    <w:pPr>
      <w:spacing w:after="180" w:line="260" w:lineRule="exact"/>
    </w:pPr>
    <w:rPr>
      <w:b/>
      <w:bCs/>
      <w:color w:val="00305F"/>
      <w:sz w:val="32"/>
      <w:szCs w:val="32"/>
    </w:rPr>
  </w:style>
  <w:style w:type="paragraph" w:customStyle="1" w:styleId="71f6">
    <w:name w:val="71ג תמונת המצב העולה מן הביקורת"/>
    <w:basedOn w:val="214"/>
    <w:link w:val="71Char3"/>
    <w:rsid w:val="00817399"/>
  </w:style>
  <w:style w:type="paragraph" w:customStyle="1" w:styleId="Style4">
    <w:name w:val="Style4"/>
    <w:basedOn w:val="214"/>
    <w:link w:val="Style4Char"/>
    <w:rsid w:val="00817399"/>
  </w:style>
  <w:style w:type="character" w:customStyle="1" w:styleId="71Char3">
    <w:name w:val="71ג תמונת המצב העולה מן הביקורת Char"/>
    <w:basedOn w:val="21Char1"/>
    <w:link w:val="71f6"/>
    <w:rsid w:val="00817399"/>
    <w:rPr>
      <w:rFonts w:ascii="Tahoma" w:eastAsiaTheme="minorEastAsia" w:hAnsi="Tahoma" w:cs="Tahoma"/>
      <w:b w:val="0"/>
      <w:bCs/>
      <w:color w:val="00305F"/>
      <w:sz w:val="32"/>
      <w:szCs w:val="32"/>
    </w:rPr>
  </w:style>
  <w:style w:type="character" w:customStyle="1" w:styleId="Style4Char">
    <w:name w:val="Style4 Char"/>
    <w:basedOn w:val="21Char1"/>
    <w:link w:val="Style4"/>
    <w:rsid w:val="00817399"/>
    <w:rPr>
      <w:rFonts w:ascii="Tahoma" w:eastAsiaTheme="minorEastAsia" w:hAnsi="Tahoma" w:cs="Tahoma"/>
      <w:b w:val="0"/>
      <w:bCs/>
      <w:color w:val="00305F"/>
      <w:sz w:val="32"/>
      <w:szCs w:val="32"/>
    </w:rPr>
  </w:style>
  <w:style w:type="paragraph" w:customStyle="1" w:styleId="7120">
    <w:name w:val="71ג כותרת 2"/>
    <w:basedOn w:val="ab"/>
    <w:link w:val="712Char"/>
    <w:rsid w:val="00817399"/>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ac"/>
    <w:link w:val="7120"/>
    <w:rsid w:val="00817399"/>
    <w:rPr>
      <w:rFonts w:ascii="Tahoma" w:hAnsi="Tahoma" w:cs="Tahoma"/>
      <w:b/>
      <w:bCs/>
      <w:color w:val="00305F"/>
      <w:sz w:val="40"/>
      <w:szCs w:val="40"/>
    </w:rPr>
  </w:style>
  <w:style w:type="paragraph" w:customStyle="1" w:styleId="Style5">
    <w:name w:val="Style5"/>
    <w:basedOn w:val="afffff4"/>
    <w:link w:val="Style5Char"/>
    <w:rsid w:val="00817399"/>
  </w:style>
  <w:style w:type="character" w:customStyle="1" w:styleId="afffff5">
    <w:name w:val="הערות שוליים תו"/>
    <w:basedOn w:val="ac"/>
    <w:link w:val="afffff4"/>
    <w:rsid w:val="00817399"/>
    <w:rPr>
      <w:rFonts w:ascii="Tahoma" w:hAnsi="Tahoma"/>
      <w:color w:val="0D0D0D" w:themeColor="text1" w:themeTint="F2"/>
      <w:sz w:val="14"/>
      <w:szCs w:val="20"/>
    </w:rPr>
  </w:style>
  <w:style w:type="character" w:customStyle="1" w:styleId="Style5Char">
    <w:name w:val="Style5 Char"/>
    <w:basedOn w:val="afffff5"/>
    <w:link w:val="Style5"/>
    <w:rsid w:val="00817399"/>
    <w:rPr>
      <w:rFonts w:ascii="Tahoma" w:hAnsi="Tahoma"/>
      <w:color w:val="0D0D0D" w:themeColor="text1" w:themeTint="F2"/>
      <w:sz w:val="14"/>
      <w:szCs w:val="20"/>
    </w:rPr>
  </w:style>
  <w:style w:type="paragraph" w:customStyle="1" w:styleId="7100">
    <w:name w:val="71ג מקרא לתרשים תמונה לוח רווח אחרי 0"/>
    <w:basedOn w:val="718"/>
    <w:link w:val="710Char"/>
    <w:rsid w:val="00817399"/>
    <w:pPr>
      <w:spacing w:after="0" w:line="260" w:lineRule="exact"/>
    </w:pPr>
  </w:style>
  <w:style w:type="character" w:customStyle="1" w:styleId="71Char1">
    <w:name w:val="71ג מקרא+הערות לתרשים/לוח/תמונה Char"/>
    <w:basedOn w:val="afffff5"/>
    <w:link w:val="718"/>
    <w:rsid w:val="00817399"/>
    <w:rPr>
      <w:rFonts w:ascii="Tahoma" w:hAnsi="Tahoma"/>
      <w:color w:val="0D0D0D" w:themeColor="text1" w:themeTint="F2"/>
      <w:sz w:val="16"/>
      <w:szCs w:val="16"/>
    </w:rPr>
  </w:style>
  <w:style w:type="character" w:customStyle="1" w:styleId="710Char">
    <w:name w:val="71ג מקרא לתרשים תמונה לוח רווח אחרי 0 Char"/>
    <w:basedOn w:val="71Char1"/>
    <w:link w:val="7100"/>
    <w:rsid w:val="00817399"/>
    <w:rPr>
      <w:rFonts w:ascii="Tahoma" w:hAnsi="Tahoma"/>
      <w:color w:val="0D0D0D" w:themeColor="text1" w:themeTint="F2"/>
      <w:sz w:val="16"/>
      <w:szCs w:val="16"/>
    </w:rPr>
  </w:style>
  <w:style w:type="paragraph" w:customStyle="1" w:styleId="7195">
    <w:name w:val="71ג בולד 9.5 בתוך שורה"/>
    <w:basedOn w:val="215"/>
    <w:link w:val="7195Char"/>
    <w:rsid w:val="00817399"/>
    <w:pPr>
      <w:ind w:left="397"/>
    </w:pPr>
    <w:rPr>
      <w:bCs/>
      <w:noProof/>
      <w:szCs w:val="19"/>
      <w:lang w:val="he-IL"/>
    </w:rPr>
  </w:style>
  <w:style w:type="paragraph" w:customStyle="1" w:styleId="71f7">
    <w:name w:val="71ג כותרת באותיות לבנות באדום בתקציר"/>
    <w:basedOn w:val="ab"/>
    <w:link w:val="71Char4"/>
    <w:rsid w:val="00817399"/>
    <w:pPr>
      <w:spacing w:before="120" w:line="240" w:lineRule="atLeast"/>
      <w:ind w:left="170" w:right="113"/>
      <w:jc w:val="left"/>
    </w:pPr>
    <w:rPr>
      <w:rFonts w:ascii="Tahoma" w:hAnsi="Tahoma" w:cs="Tahoma"/>
      <w:b/>
      <w:color w:val="FFFFFF" w:themeColor="background1"/>
      <w:sz w:val="22"/>
      <w:szCs w:val="22"/>
    </w:rPr>
  </w:style>
  <w:style w:type="character" w:customStyle="1" w:styleId="21Char2">
    <w:name w:val="פעולות הביקורת21 Char"/>
    <w:basedOn w:val="719Char"/>
    <w:link w:val="215"/>
    <w:rsid w:val="00817399"/>
    <w:rPr>
      <w:rFonts w:ascii="Tahoma" w:hAnsi="Tahoma" w:cs="Tahoma"/>
      <w:color w:val="0D0D0D" w:themeColor="text1" w:themeTint="F2"/>
      <w:sz w:val="18"/>
      <w:szCs w:val="18"/>
    </w:rPr>
  </w:style>
  <w:style w:type="character" w:customStyle="1" w:styleId="7195Char">
    <w:name w:val="71ג בולד 9.5 בתוך שורה Char"/>
    <w:basedOn w:val="21Char2"/>
    <w:link w:val="7195"/>
    <w:rsid w:val="00817399"/>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ac"/>
    <w:link w:val="71f7"/>
    <w:rsid w:val="00817399"/>
    <w:rPr>
      <w:rFonts w:ascii="Tahoma" w:hAnsi="Tahoma" w:cs="Tahoma"/>
      <w:b/>
      <w:color w:val="FFFFFF" w:themeColor="background1"/>
      <w:sz w:val="22"/>
      <w:szCs w:val="22"/>
    </w:rPr>
  </w:style>
  <w:style w:type="paragraph" w:customStyle="1" w:styleId="37">
    <w:name w:val="שורת רווח לפני כותרת 3 בטקסט רץ"/>
    <w:basedOn w:val="7190"/>
    <w:link w:val="3Char"/>
    <w:rsid w:val="00817399"/>
    <w:pPr>
      <w:outlineLvl w:val="2"/>
    </w:pPr>
  </w:style>
  <w:style w:type="paragraph" w:customStyle="1" w:styleId="7130">
    <w:name w:val="71ג שורת רווח לפני כותרת 3 בטקסט רץ"/>
    <w:basedOn w:val="37"/>
    <w:rsid w:val="00817399"/>
  </w:style>
  <w:style w:type="character" w:customStyle="1" w:styleId="3Char">
    <w:name w:val="שורת רווח לפני כותרת 3 בטקסט רץ Char"/>
    <w:basedOn w:val="719Char"/>
    <w:link w:val="37"/>
    <w:rsid w:val="00817399"/>
    <w:rPr>
      <w:rFonts w:ascii="Tahoma" w:hAnsi="Tahoma" w:cs="Tahoma"/>
      <w:color w:val="0D0D0D" w:themeColor="text1" w:themeTint="F2"/>
      <w:sz w:val="18"/>
      <w:szCs w:val="18"/>
    </w:rPr>
  </w:style>
  <w:style w:type="paragraph" w:customStyle="1" w:styleId="7111">
    <w:name w:val="71ג מרווח של 1 בטקס רץ"/>
    <w:basedOn w:val="7190"/>
    <w:link w:val="711Char"/>
    <w:rsid w:val="00817399"/>
    <w:rPr>
      <w:spacing w:val="20"/>
    </w:rPr>
  </w:style>
  <w:style w:type="character" w:customStyle="1" w:styleId="711Char">
    <w:name w:val="71ג מרווח של 1 בטקס רץ Char"/>
    <w:basedOn w:val="719Char"/>
    <w:link w:val="7111"/>
    <w:rsid w:val="00817399"/>
    <w:rPr>
      <w:rFonts w:ascii="Tahoma" w:hAnsi="Tahoma" w:cs="Tahoma"/>
      <w:color w:val="0D0D0D" w:themeColor="text1" w:themeTint="F2"/>
      <w:spacing w:val="20"/>
      <w:sz w:val="18"/>
      <w:szCs w:val="18"/>
    </w:rPr>
  </w:style>
  <w:style w:type="paragraph" w:customStyle="1" w:styleId="71155">
    <w:name w:val="71ג כותרת גודל 15.5"/>
    <w:basedOn w:val="71316"/>
    <w:link w:val="71155Char"/>
    <w:rsid w:val="00817399"/>
    <w:rPr>
      <w:sz w:val="31"/>
      <w:szCs w:val="31"/>
    </w:rPr>
  </w:style>
  <w:style w:type="character" w:customStyle="1" w:styleId="71155Char">
    <w:name w:val="71ג כותרת גודל 15.5 Char"/>
    <w:basedOn w:val="71316Char"/>
    <w:link w:val="71155"/>
    <w:rsid w:val="00817399"/>
    <w:rPr>
      <w:rFonts w:ascii="Tahoma" w:eastAsia="Times New Roman" w:hAnsi="Tahoma" w:cs="Tahoma"/>
      <w:b/>
      <w:bCs/>
      <w:color w:val="00305F"/>
      <w:sz w:val="31"/>
      <w:szCs w:val="31"/>
      <w:u w:val="single"/>
    </w:rPr>
  </w:style>
  <w:style w:type="paragraph" w:customStyle="1" w:styleId="affffff7">
    <w:name w:val="כותרת לבנה בתוך תבנית אדומה בתקציר"/>
    <w:basedOn w:val="ab"/>
    <w:link w:val="Char1"/>
    <w:rsid w:val="00817399"/>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fffff7"/>
    <w:link w:val="71Char5"/>
    <w:rsid w:val="00817399"/>
  </w:style>
  <w:style w:type="character" w:customStyle="1" w:styleId="Char1">
    <w:name w:val="כותרת לבנה בתוך תבנית אדומה בתקציר Char"/>
    <w:basedOn w:val="ac"/>
    <w:link w:val="affffff7"/>
    <w:rsid w:val="00817399"/>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1"/>
    <w:link w:val="71f8"/>
    <w:rsid w:val="00817399"/>
    <w:rPr>
      <w:rFonts w:ascii="Tahoma" w:hAnsi="Tahoma" w:cs="Tahoma"/>
      <w:b/>
      <w:bCs/>
      <w:color w:val="FFFFFF" w:themeColor="background1"/>
      <w:sz w:val="22"/>
      <w:szCs w:val="22"/>
    </w:rPr>
  </w:style>
  <w:style w:type="paragraph" w:customStyle="1" w:styleId="7112">
    <w:name w:val="71ג רשימה ממספר 1"/>
    <w:rsid w:val="00817399"/>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d"/>
    <w:uiPriority w:val="50"/>
    <w:rsid w:val="008173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71f9">
    <w:name w:val="71ג היפרלינק"/>
    <w:basedOn w:val="afffff4"/>
    <w:link w:val="71Char6"/>
    <w:rsid w:val="00817399"/>
    <w:pPr>
      <w:bidi w:val="0"/>
    </w:pPr>
    <w:rPr>
      <w:color w:val="0000FF"/>
      <w:u w:val="single"/>
    </w:rPr>
  </w:style>
  <w:style w:type="character" w:customStyle="1" w:styleId="71Char6">
    <w:name w:val="71ג היפרלינק Char"/>
    <w:basedOn w:val="afffff5"/>
    <w:link w:val="71f9"/>
    <w:rsid w:val="00817399"/>
    <w:rPr>
      <w:rFonts w:ascii="Tahoma" w:hAnsi="Tahoma"/>
      <w:color w:val="0000FF"/>
      <w:sz w:val="14"/>
      <w:szCs w:val="20"/>
      <w:u w:val="single"/>
    </w:rPr>
  </w:style>
  <w:style w:type="paragraph" w:customStyle="1" w:styleId="71fa">
    <w:name w:val="71ג קוביה כחולה עם מספר מוזח"/>
    <w:basedOn w:val="711"/>
    <w:link w:val="71Char7"/>
    <w:rsid w:val="00817399"/>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
    <w:name w:val="71ג הזחה ראשונה מספר Char"/>
    <w:basedOn w:val="afb"/>
    <w:link w:val="711"/>
    <w:rsid w:val="00817399"/>
    <w:rPr>
      <w:rFonts w:ascii="Tahoma" w:hAnsi="Tahoma" w:cs="Tahoma"/>
      <w:color w:val="0D0D0D" w:themeColor="text1" w:themeTint="F2"/>
      <w:sz w:val="18"/>
      <w:szCs w:val="18"/>
    </w:rPr>
  </w:style>
  <w:style w:type="character" w:customStyle="1" w:styleId="71Char7">
    <w:name w:val="71ג קוביה כחולה עם מספר מוזח Char"/>
    <w:basedOn w:val="71Char"/>
    <w:link w:val="71fa"/>
    <w:rsid w:val="00817399"/>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8"/>
    <w:rsid w:val="00817399"/>
    <w:rPr>
      <w:b/>
      <w:bCs/>
    </w:rPr>
  </w:style>
  <w:style w:type="paragraph" w:customStyle="1" w:styleId="7170">
    <w:name w:val="71ג כותרת 7 טקסט מודגש"/>
    <w:basedOn w:val="71fb"/>
    <w:link w:val="717Char"/>
    <w:rsid w:val="00817399"/>
    <w:pPr>
      <w:bidi w:val="0"/>
      <w:jc w:val="right"/>
    </w:pPr>
  </w:style>
  <w:style w:type="character" w:customStyle="1" w:styleId="71Char8">
    <w:name w:val="71ג כותרת טקסט רץ מודגשת Char"/>
    <w:basedOn w:val="719Char"/>
    <w:link w:val="71fb"/>
    <w:rsid w:val="00817399"/>
    <w:rPr>
      <w:rFonts w:ascii="Tahoma" w:hAnsi="Tahoma" w:cs="Tahoma"/>
      <w:b/>
      <w:bCs/>
      <w:color w:val="0D0D0D" w:themeColor="text1" w:themeTint="F2"/>
      <w:sz w:val="18"/>
      <w:szCs w:val="18"/>
    </w:rPr>
  </w:style>
  <w:style w:type="paragraph" w:customStyle="1" w:styleId="7171">
    <w:name w:val="71ג כותרת 7 בתוך טקסט"/>
    <w:basedOn w:val="711"/>
    <w:link w:val="717Char0"/>
    <w:rsid w:val="00817399"/>
    <w:rPr>
      <w:bCs/>
    </w:rPr>
  </w:style>
  <w:style w:type="character" w:customStyle="1" w:styleId="717Char">
    <w:name w:val="71ג כותרת 7 טקסט מודגש Char"/>
    <w:basedOn w:val="71Char8"/>
    <w:link w:val="7170"/>
    <w:rsid w:val="00817399"/>
    <w:rPr>
      <w:rFonts w:ascii="Tahoma" w:hAnsi="Tahoma" w:cs="Tahoma"/>
      <w:b/>
      <w:bCs/>
      <w:color w:val="0D0D0D" w:themeColor="text1" w:themeTint="F2"/>
      <w:sz w:val="18"/>
      <w:szCs w:val="18"/>
    </w:rPr>
  </w:style>
  <w:style w:type="character" w:customStyle="1" w:styleId="717Char0">
    <w:name w:val="71ג כותרת 7 בתוך טקסט Char"/>
    <w:basedOn w:val="71Char"/>
    <w:link w:val="7171"/>
    <w:rsid w:val="00817399"/>
    <w:rPr>
      <w:rFonts w:ascii="Tahoma" w:hAnsi="Tahoma" w:cs="Tahoma"/>
      <w:bCs/>
      <w:color w:val="0D0D0D" w:themeColor="text1" w:themeTint="F2"/>
      <w:sz w:val="18"/>
      <w:szCs w:val="18"/>
    </w:rPr>
  </w:style>
  <w:style w:type="paragraph" w:customStyle="1" w:styleId="P110">
    <w:name w:val="P11"/>
    <w:basedOn w:val="P000"/>
    <w:rsid w:val="00817399"/>
    <w:pPr>
      <w:tabs>
        <w:tab w:val="clear" w:pos="624"/>
      </w:tabs>
      <w:ind w:right="624"/>
    </w:pPr>
    <w:rPr>
      <w:rFonts w:cs="Times New Roman"/>
    </w:rPr>
  </w:style>
  <w:style w:type="paragraph" w:customStyle="1" w:styleId="affffff8">
    <w:name w:val="מלל מוצלל"/>
    <w:basedOn w:val="ab"/>
    <w:rsid w:val="00817399"/>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b"/>
    <w:link w:val="HTML0"/>
    <w:uiPriority w:val="99"/>
    <w:unhideWhenUsed/>
    <w:rsid w:val="00817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c"/>
    <w:link w:val="HTML"/>
    <w:uiPriority w:val="99"/>
    <w:rsid w:val="00817399"/>
    <w:rPr>
      <w:rFonts w:ascii="Courier New" w:eastAsia="Times New Roman" w:hAnsi="Courier New" w:cs="Courier New"/>
      <w:szCs w:val="20"/>
    </w:rPr>
  </w:style>
  <w:style w:type="paragraph" w:customStyle="1" w:styleId="Default0">
    <w:name w:val="Default"/>
    <w:rsid w:val="00817399"/>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817399"/>
    <w:pPr>
      <w:spacing w:line="180" w:lineRule="atLeast"/>
    </w:pPr>
    <w:rPr>
      <w:rFonts w:cs="David"/>
      <w:color w:val="auto"/>
    </w:rPr>
  </w:style>
  <w:style w:type="character" w:customStyle="1" w:styleId="Headerorfooter">
    <w:name w:val="Header or footer_"/>
    <w:basedOn w:val="ac"/>
    <w:link w:val="Headerorfooter0"/>
    <w:rsid w:val="00817399"/>
    <w:rPr>
      <w:rFonts w:ascii="David" w:eastAsia="David" w:hAnsi="David"/>
      <w:b/>
      <w:bCs/>
      <w:sz w:val="44"/>
      <w:szCs w:val="44"/>
      <w:shd w:val="clear" w:color="auto" w:fill="FFFFFF"/>
    </w:rPr>
  </w:style>
  <w:style w:type="character" w:customStyle="1" w:styleId="Headerorfooter18pt">
    <w:name w:val="Header or footer + 18 pt"/>
    <w:basedOn w:val="Headerorfooter"/>
    <w:rsid w:val="00817399"/>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b"/>
    <w:link w:val="Headerorfooter"/>
    <w:rsid w:val="00817399"/>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b"/>
    <w:uiPriority w:val="99"/>
    <w:rsid w:val="00817399"/>
    <w:pPr>
      <w:bidi w:val="0"/>
      <w:spacing w:before="100" w:beforeAutospacing="1" w:after="100" w:afterAutospacing="1" w:line="240" w:lineRule="auto"/>
      <w:jc w:val="left"/>
    </w:pPr>
    <w:rPr>
      <w:rFonts w:eastAsia="Times New Roman" w:cs="Times New Roman"/>
      <w:sz w:val="24"/>
    </w:rPr>
  </w:style>
  <w:style w:type="paragraph" w:styleId="affffff9">
    <w:name w:val="Document Map"/>
    <w:basedOn w:val="ab"/>
    <w:link w:val="affffffa"/>
    <w:uiPriority w:val="99"/>
    <w:semiHidden/>
    <w:unhideWhenUsed/>
    <w:rsid w:val="00817399"/>
    <w:pPr>
      <w:spacing w:line="240" w:lineRule="auto"/>
    </w:pPr>
    <w:rPr>
      <w:rFonts w:ascii="Tahoma" w:hAnsi="Tahoma" w:cs="Tahoma"/>
      <w:sz w:val="16"/>
      <w:szCs w:val="16"/>
    </w:rPr>
  </w:style>
  <w:style w:type="character" w:customStyle="1" w:styleId="affffffa">
    <w:name w:val="מפת מסמך תו"/>
    <w:basedOn w:val="ac"/>
    <w:link w:val="affffff9"/>
    <w:uiPriority w:val="99"/>
    <w:semiHidden/>
    <w:rsid w:val="00817399"/>
    <w:rPr>
      <w:rFonts w:ascii="Tahoma" w:hAnsi="Tahoma" w:cs="Tahoma"/>
      <w:sz w:val="16"/>
      <w:szCs w:val="16"/>
    </w:rPr>
  </w:style>
  <w:style w:type="paragraph" w:customStyle="1" w:styleId="1fc">
    <w:name w:val="סגנון1"/>
    <w:basedOn w:val="affffe"/>
    <w:rsid w:val="00817399"/>
    <w:pPr>
      <w:jc w:val="center"/>
    </w:pPr>
    <w:rPr>
      <w:b/>
      <w:bCs/>
      <w:iCs w:val="0"/>
      <w:color w:val="000000" w:themeColor="text1"/>
      <w:sz w:val="24"/>
      <w:szCs w:val="24"/>
    </w:rPr>
  </w:style>
  <w:style w:type="paragraph" w:customStyle="1" w:styleId="2d">
    <w:name w:val="סגנון2"/>
    <w:basedOn w:val="affffe"/>
    <w:autoRedefine/>
    <w:rsid w:val="00817399"/>
    <w:pPr>
      <w:jc w:val="center"/>
    </w:pPr>
    <w:rPr>
      <w:b/>
      <w:bCs/>
      <w:iCs w:val="0"/>
      <w:color w:val="000000" w:themeColor="text1"/>
      <w:sz w:val="24"/>
      <w:szCs w:val="24"/>
    </w:rPr>
  </w:style>
  <w:style w:type="paragraph" w:customStyle="1" w:styleId="38">
    <w:name w:val="סגנון3"/>
    <w:basedOn w:val="affffe"/>
    <w:autoRedefine/>
    <w:rsid w:val="00817399"/>
    <w:pPr>
      <w:jc w:val="center"/>
    </w:pPr>
    <w:rPr>
      <w:b/>
      <w:bCs/>
      <w:iCs w:val="0"/>
      <w:color w:val="000000" w:themeColor="text1"/>
      <w:sz w:val="24"/>
      <w:szCs w:val="24"/>
    </w:rPr>
  </w:style>
  <w:style w:type="paragraph" w:customStyle="1" w:styleId="45">
    <w:name w:val="סגנון4"/>
    <w:basedOn w:val="affffe"/>
    <w:autoRedefine/>
    <w:rsid w:val="00817399"/>
    <w:pPr>
      <w:jc w:val="center"/>
    </w:pPr>
    <w:rPr>
      <w:b/>
      <w:bCs/>
      <w:iCs w:val="0"/>
      <w:color w:val="000000" w:themeColor="text1"/>
      <w:sz w:val="24"/>
      <w:szCs w:val="24"/>
    </w:rPr>
  </w:style>
  <w:style w:type="paragraph" w:customStyle="1" w:styleId="affffffb">
    <w:name w:val="סגנון כיתוב + לא מודגש לא נטוי"/>
    <w:basedOn w:val="affffe"/>
    <w:rsid w:val="00817399"/>
    <w:pPr>
      <w:spacing w:after="0"/>
    </w:pPr>
    <w:rPr>
      <w:i w:val="0"/>
      <w:color w:val="auto"/>
      <w:sz w:val="20"/>
      <w:szCs w:val="24"/>
    </w:rPr>
  </w:style>
  <w:style w:type="paragraph" w:customStyle="1" w:styleId="-8">
    <w:name w:val="רשויות מקומיות - כותרת 8 בתוך טקסט"/>
    <w:basedOn w:val="7190"/>
    <w:link w:val="-8Char"/>
    <w:rsid w:val="00817399"/>
    <w:rPr>
      <w:color w:val="00305F"/>
      <w:spacing w:val="20"/>
    </w:rPr>
  </w:style>
  <w:style w:type="character" w:customStyle="1" w:styleId="-8Char">
    <w:name w:val="רשויות מקומיות - כותרת 8 בתוך טקסט Char"/>
    <w:basedOn w:val="719Char"/>
    <w:link w:val="-8"/>
    <w:rsid w:val="00817399"/>
    <w:rPr>
      <w:rFonts w:ascii="Tahoma" w:hAnsi="Tahoma" w:cs="Tahoma"/>
      <w:color w:val="00305F"/>
      <w:spacing w:val="20"/>
      <w:sz w:val="18"/>
      <w:szCs w:val="18"/>
    </w:rPr>
  </w:style>
  <w:style w:type="paragraph" w:customStyle="1" w:styleId="7150">
    <w:name w:val="71ג כותרת 5 בתוך טקסט מודגש"/>
    <w:basedOn w:val="7190"/>
    <w:link w:val="715Char"/>
    <w:rsid w:val="00817399"/>
    <w:rPr>
      <w:bCs/>
      <w:color w:val="00305F"/>
    </w:rPr>
  </w:style>
  <w:style w:type="character" w:customStyle="1" w:styleId="715Char">
    <w:name w:val="71ג כותרת 5 בתוך טקסט מודגש Char"/>
    <w:basedOn w:val="719Char"/>
    <w:link w:val="7150"/>
    <w:rsid w:val="00817399"/>
    <w:rPr>
      <w:rFonts w:ascii="Tahoma" w:hAnsi="Tahoma" w:cs="Tahoma"/>
      <w:bCs/>
      <w:color w:val="00305F"/>
      <w:sz w:val="18"/>
      <w:szCs w:val="18"/>
    </w:rPr>
  </w:style>
  <w:style w:type="paragraph" w:customStyle="1" w:styleId="7180">
    <w:name w:val="71ג כותרת 8 בתוך טקסט"/>
    <w:basedOn w:val="7190"/>
    <w:link w:val="718Char"/>
    <w:rsid w:val="00817399"/>
    <w:rPr>
      <w:spacing w:val="20"/>
      <w:sz w:val="19"/>
      <w:szCs w:val="19"/>
    </w:rPr>
  </w:style>
  <w:style w:type="character" w:customStyle="1" w:styleId="718Char">
    <w:name w:val="71ג כותרת 8 בתוך טקסט Char"/>
    <w:basedOn w:val="719Char"/>
    <w:link w:val="7180"/>
    <w:rsid w:val="00817399"/>
    <w:rPr>
      <w:rFonts w:ascii="Tahoma" w:hAnsi="Tahoma" w:cs="Tahoma"/>
      <w:color w:val="0D0D0D" w:themeColor="text1" w:themeTint="F2"/>
      <w:spacing w:val="20"/>
      <w:sz w:val="19"/>
      <w:szCs w:val="19"/>
    </w:rPr>
  </w:style>
  <w:style w:type="paragraph" w:customStyle="1" w:styleId="a9">
    <w:name w:val="כותרת תרשים"/>
    <w:basedOn w:val="ab"/>
    <w:next w:val="ab"/>
    <w:link w:val="affffffc"/>
    <w:qFormat/>
    <w:rsid w:val="00817399"/>
    <w:pPr>
      <w:keepNext/>
      <w:keepLines/>
      <w:numPr>
        <w:numId w:val="27"/>
      </w:numPr>
      <w:ind w:left="357" w:hanging="357"/>
      <w:contextualSpacing/>
      <w:jc w:val="center"/>
      <w:outlineLvl w:val="8"/>
    </w:pPr>
    <w:rPr>
      <w:rFonts w:ascii="David" w:hAnsi="David"/>
      <w:b/>
      <w:sz w:val="24"/>
    </w:rPr>
  </w:style>
  <w:style w:type="character" w:customStyle="1" w:styleId="affffffc">
    <w:name w:val="כותרת תרשים תו"/>
    <w:basedOn w:val="ac"/>
    <w:link w:val="a9"/>
    <w:rsid w:val="00817399"/>
    <w:rPr>
      <w:rFonts w:ascii="David" w:hAnsi="David"/>
      <w:b/>
      <w:sz w:val="24"/>
    </w:rPr>
  </w:style>
  <w:style w:type="paragraph" w:customStyle="1" w:styleId="a0">
    <w:name w:val="כותרת לוח"/>
    <w:basedOn w:val="ab"/>
    <w:next w:val="ab"/>
    <w:link w:val="affffffd"/>
    <w:qFormat/>
    <w:rsid w:val="00817399"/>
    <w:pPr>
      <w:keepNext/>
      <w:keepLines/>
      <w:numPr>
        <w:numId w:val="24"/>
      </w:numPr>
      <w:jc w:val="center"/>
      <w:outlineLvl w:val="8"/>
    </w:pPr>
    <w:rPr>
      <w:b/>
      <w:bCs/>
    </w:rPr>
  </w:style>
  <w:style w:type="character" w:customStyle="1" w:styleId="affffffd">
    <w:name w:val="כותרת לוח תו"/>
    <w:basedOn w:val="ac"/>
    <w:link w:val="a0"/>
    <w:rsid w:val="00817399"/>
    <w:rPr>
      <w:b/>
      <w:bCs/>
    </w:rPr>
  </w:style>
  <w:style w:type="paragraph" w:customStyle="1" w:styleId="a7">
    <w:name w:val="כותרת תמונה"/>
    <w:basedOn w:val="ab"/>
    <w:next w:val="ab"/>
    <w:link w:val="affffffe"/>
    <w:qFormat/>
    <w:rsid w:val="00817399"/>
    <w:pPr>
      <w:keepNext/>
      <w:keepLines/>
      <w:numPr>
        <w:numId w:val="25"/>
      </w:numPr>
      <w:ind w:left="424"/>
      <w:jc w:val="center"/>
    </w:pPr>
    <w:rPr>
      <w:b/>
      <w:bCs/>
    </w:rPr>
  </w:style>
  <w:style w:type="character" w:customStyle="1" w:styleId="affffffe">
    <w:name w:val="כותרת תמונה תו"/>
    <w:basedOn w:val="ac"/>
    <w:link w:val="a7"/>
    <w:rsid w:val="00817399"/>
    <w:rPr>
      <w:b/>
      <w:bCs/>
    </w:rPr>
  </w:style>
  <w:style w:type="paragraph" w:styleId="afffffff">
    <w:name w:val="Title"/>
    <w:basedOn w:val="ab"/>
    <w:next w:val="ab"/>
    <w:link w:val="afffffff0"/>
    <w:uiPriority w:val="10"/>
    <w:rsid w:val="00817399"/>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afffffff0">
    <w:name w:val="כותרת טקסט תו"/>
    <w:basedOn w:val="ac"/>
    <w:link w:val="afffffff"/>
    <w:uiPriority w:val="10"/>
    <w:rsid w:val="00817399"/>
    <w:rPr>
      <w:rFonts w:asciiTheme="majorHAnsi" w:eastAsiaTheme="majorEastAsia" w:hAnsiTheme="majorHAnsi" w:cstheme="majorBidi"/>
      <w:spacing w:val="-10"/>
      <w:kern w:val="28"/>
      <w:sz w:val="56"/>
      <w:szCs w:val="56"/>
    </w:rPr>
  </w:style>
  <w:style w:type="paragraph" w:customStyle="1" w:styleId="p01">
    <w:name w:val="p01"/>
    <w:basedOn w:val="ab"/>
    <w:rsid w:val="00817399"/>
    <w:pPr>
      <w:bidi w:val="0"/>
      <w:spacing w:before="100" w:beforeAutospacing="1" w:after="100" w:afterAutospacing="1" w:line="240" w:lineRule="auto"/>
      <w:jc w:val="left"/>
    </w:pPr>
    <w:rPr>
      <w:rFonts w:eastAsia="Times New Roman" w:cs="Times New Roman"/>
      <w:sz w:val="24"/>
    </w:rPr>
  </w:style>
  <w:style w:type="paragraph" w:styleId="a">
    <w:name w:val="List Number"/>
    <w:basedOn w:val="ab"/>
    <w:rsid w:val="00817399"/>
    <w:pPr>
      <w:widowControl w:val="0"/>
      <w:numPr>
        <w:numId w:val="26"/>
      </w:numPr>
      <w:ind w:right="0"/>
    </w:pPr>
    <w:rPr>
      <w:rFonts w:eastAsia="Times New Roman"/>
      <w:lang w:eastAsia="he-IL"/>
    </w:rPr>
  </w:style>
  <w:style w:type="numbering" w:customStyle="1" w:styleId="2e">
    <w:name w:val="ללא רשימה2"/>
    <w:next w:val="ae"/>
    <w:uiPriority w:val="99"/>
    <w:semiHidden/>
    <w:unhideWhenUsed/>
    <w:rsid w:val="00817399"/>
  </w:style>
  <w:style w:type="table" w:customStyle="1" w:styleId="112">
    <w:name w:val="רשת טבלה11"/>
    <w:basedOn w:val="ad"/>
    <w:next w:val="afc"/>
    <w:uiPriority w:val="59"/>
    <w:rsid w:val="00817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מקור"/>
    <w:next w:val="ab"/>
    <w:qFormat/>
    <w:rsid w:val="00817399"/>
    <w:pPr>
      <w:keepNext/>
      <w:keepLines/>
      <w:spacing w:after="0" w:line="240" w:lineRule="auto"/>
      <w:jc w:val="left"/>
    </w:pPr>
    <w:rPr>
      <w:szCs w:val="20"/>
    </w:rPr>
  </w:style>
  <w:style w:type="paragraph" w:customStyle="1" w:styleId="afffffff2">
    <w:name w:val="כותרת מידת תיקון הליקוי"/>
    <w:basedOn w:val="ab"/>
    <w:qFormat/>
    <w:rsid w:val="00817399"/>
    <w:pPr>
      <w:keepNext/>
      <w:keepLines/>
      <w:jc w:val="center"/>
      <w:outlineLvl w:val="8"/>
    </w:pPr>
    <w:rPr>
      <w:b/>
      <w:bCs/>
      <w:noProof/>
    </w:rPr>
  </w:style>
  <w:style w:type="paragraph" w:customStyle="1" w:styleId="afffffff3">
    <w:name w:val="שאלות הביקורת"/>
    <w:next w:val="ab"/>
    <w:qFormat/>
    <w:rsid w:val="00817399"/>
    <w:pPr>
      <w:spacing w:after="0"/>
      <w:outlineLvl w:val="6"/>
    </w:pPr>
    <w:rPr>
      <w:b/>
      <w:bCs/>
      <w:color w:val="0070C0"/>
    </w:rPr>
  </w:style>
  <w:style w:type="paragraph" w:customStyle="1" w:styleId="afffffff4">
    <w:name w:val="תרשים/לוח/תמונה"/>
    <w:next w:val="ab"/>
    <w:qFormat/>
    <w:rsid w:val="00817399"/>
    <w:pPr>
      <w:keepNext/>
      <w:keepLines/>
      <w:spacing w:before="60" w:after="60" w:line="240" w:lineRule="auto"/>
      <w:jc w:val="center"/>
    </w:pPr>
  </w:style>
  <w:style w:type="paragraph" w:customStyle="1" w:styleId="afffffff5">
    <w:name w:val="סיכום ביניים"/>
    <w:next w:val="ab"/>
    <w:link w:val="afffffff6"/>
    <w:qFormat/>
    <w:rsid w:val="00817399"/>
    <w:pPr>
      <w:bidi/>
      <w:spacing w:after="0"/>
      <w:jc w:val="center"/>
      <w:outlineLvl w:val="3"/>
    </w:pPr>
    <w:rPr>
      <w:rFonts w:ascii="Segoe UI Symbol" w:hAnsi="Segoe UI Symbol" w:cs="Segoe UI Symbol"/>
    </w:rPr>
  </w:style>
  <w:style w:type="character" w:customStyle="1" w:styleId="afffffff6">
    <w:name w:val="סיכום ביניים תו"/>
    <w:basedOn w:val="ac"/>
    <w:link w:val="afffffff5"/>
    <w:rsid w:val="00817399"/>
    <w:rPr>
      <w:rFonts w:ascii="Segoe UI Symbol" w:hAnsi="Segoe UI Symbol" w:cs="Segoe UI Symbol"/>
    </w:rPr>
  </w:style>
  <w:style w:type="paragraph" w:customStyle="1" w:styleId="afffffff7">
    <w:name w:val="תרשים מידת תיקון הליקוי"/>
    <w:next w:val="ab"/>
    <w:link w:val="afffffff8"/>
    <w:qFormat/>
    <w:rsid w:val="00817399"/>
    <w:pPr>
      <w:keepNext/>
      <w:keepLines/>
      <w:bidi/>
      <w:spacing w:before="120" w:after="0" w:line="240" w:lineRule="auto"/>
      <w:jc w:val="center"/>
    </w:pPr>
  </w:style>
  <w:style w:type="character" w:customStyle="1" w:styleId="afffffff8">
    <w:name w:val="תרשים מידת תיקון הליקוי תו"/>
    <w:basedOn w:val="ac"/>
    <w:link w:val="afffffff7"/>
    <w:rsid w:val="00817399"/>
  </w:style>
  <w:style w:type="character" w:customStyle="1" w:styleId="cite-bracket">
    <w:name w:val="cite-bracket"/>
    <w:basedOn w:val="ac"/>
    <w:rsid w:val="00817399"/>
  </w:style>
  <w:style w:type="paragraph" w:customStyle="1" w:styleId="afffffff9">
    <w:name w:val="פסקת ממצא"/>
    <w:basedOn w:val="ab"/>
    <w:qFormat/>
    <w:rsid w:val="00817399"/>
    <w:rPr>
      <w:b/>
      <w:bCs/>
    </w:rPr>
  </w:style>
  <w:style w:type="paragraph" w:customStyle="1" w:styleId="afffffffa">
    <w:name w:val="פסקת המלצה"/>
    <w:basedOn w:val="ab"/>
    <w:qFormat/>
    <w:rsid w:val="00817399"/>
    <w:rPr>
      <w:b/>
      <w:bCs/>
    </w:rPr>
  </w:style>
  <w:style w:type="paragraph" w:customStyle="1" w:styleId="055">
    <w:name w:val="סגנון פסקת המלצה + לפני:  0.55  ס''מ"/>
    <w:basedOn w:val="afffffffa"/>
    <w:rsid w:val="00817399"/>
    <w:pPr>
      <w:ind w:left="312"/>
      <w:outlineLvl w:val="8"/>
    </w:pPr>
    <w:rPr>
      <w:rFonts w:eastAsia="Times New Roman"/>
    </w:rPr>
  </w:style>
  <w:style w:type="paragraph" w:customStyle="1" w:styleId="aa">
    <w:name w:val="לוח"/>
    <w:basedOn w:val="ab"/>
    <w:next w:val="ab"/>
    <w:link w:val="afffffffb"/>
    <w:qFormat/>
    <w:rsid w:val="00817399"/>
    <w:pPr>
      <w:keepNext/>
      <w:keepLines/>
      <w:numPr>
        <w:numId w:val="33"/>
      </w:numPr>
      <w:ind w:left="0" w:firstLine="0"/>
      <w:jc w:val="center"/>
      <w:outlineLvl w:val="6"/>
    </w:pPr>
    <w:rPr>
      <w:b/>
      <w:bCs/>
    </w:rPr>
  </w:style>
  <w:style w:type="character" w:customStyle="1" w:styleId="afffffffb">
    <w:name w:val="לוח תו"/>
    <w:basedOn w:val="ac"/>
    <w:link w:val="aa"/>
    <w:rsid w:val="00817399"/>
    <w:rPr>
      <w:b/>
      <w:bCs/>
    </w:rPr>
  </w:style>
  <w:style w:type="character" w:styleId="afffffffc">
    <w:name w:val="Strong"/>
    <w:basedOn w:val="ac"/>
    <w:uiPriority w:val="22"/>
    <w:qFormat/>
    <w:rsid w:val="00817399"/>
    <w:rPr>
      <w:b/>
      <w:bCs/>
    </w:rPr>
  </w:style>
  <w:style w:type="character" w:customStyle="1" w:styleId="1fd">
    <w:name w:val="אזכור לא מזוהה1"/>
    <w:basedOn w:val="ac"/>
    <w:uiPriority w:val="99"/>
    <w:semiHidden/>
    <w:unhideWhenUsed/>
    <w:rsid w:val="00817399"/>
    <w:rPr>
      <w:color w:val="605E5C"/>
      <w:shd w:val="clear" w:color="auto" w:fill="E1DFDD"/>
    </w:rPr>
  </w:style>
  <w:style w:type="character" w:customStyle="1" w:styleId="2f">
    <w:name w:val="אזכור לא מזוהה2"/>
    <w:basedOn w:val="ac"/>
    <w:uiPriority w:val="99"/>
    <w:semiHidden/>
    <w:unhideWhenUsed/>
    <w:rsid w:val="00817399"/>
    <w:rPr>
      <w:color w:val="605E5C"/>
      <w:shd w:val="clear" w:color="auto" w:fill="E1DFDD"/>
    </w:rPr>
  </w:style>
  <w:style w:type="paragraph" w:customStyle="1" w:styleId="afffffffd">
    <w:name w:val="אובייקט"/>
    <w:basedOn w:val="ab"/>
    <w:qFormat/>
    <w:rsid w:val="00817399"/>
    <w:pPr>
      <w:keepNext/>
      <w:keepLines/>
      <w:spacing w:before="120" w:after="120"/>
      <w:jc w:val="center"/>
    </w:pPr>
    <w:rPr>
      <w:noProof/>
    </w:rPr>
  </w:style>
  <w:style w:type="paragraph" w:customStyle="1" w:styleId="730">
    <w:name w:val="73א הערות שוליים"/>
    <w:basedOn w:val="af7"/>
    <w:link w:val="731"/>
    <w:rsid w:val="00817399"/>
    <w:pPr>
      <w:spacing w:after="60" w:line="220" w:lineRule="exact"/>
      <w:ind w:left="397" w:hanging="397"/>
    </w:pPr>
    <w:rPr>
      <w:rFonts w:ascii="Tahoma" w:hAnsi="Tahoma" w:cs="Tahoma"/>
      <w:color w:val="0D0D0D" w:themeColor="text1" w:themeTint="F2"/>
      <w:sz w:val="14"/>
      <w:szCs w:val="14"/>
    </w:rPr>
  </w:style>
  <w:style w:type="character" w:customStyle="1" w:styleId="731">
    <w:name w:val="73א הערות שוליים תו"/>
    <w:basedOn w:val="ac"/>
    <w:link w:val="730"/>
    <w:rsid w:val="00817399"/>
    <w:rPr>
      <w:rFonts w:ascii="Tahoma" w:hAnsi="Tahoma" w:cs="Tahoma"/>
      <w:color w:val="0D0D0D" w:themeColor="text1" w:themeTint="F2"/>
      <w:sz w:val="14"/>
      <w:szCs w:val="14"/>
    </w:rPr>
  </w:style>
  <w:style w:type="paragraph" w:customStyle="1" w:styleId="71fc">
    <w:name w:val="71ג הערות שוליים"/>
    <w:basedOn w:val="af7"/>
    <w:link w:val="71Char9"/>
    <w:rsid w:val="00817399"/>
    <w:pPr>
      <w:spacing w:after="60" w:line="220" w:lineRule="exact"/>
      <w:ind w:left="397" w:hanging="397"/>
    </w:pPr>
    <w:rPr>
      <w:rFonts w:ascii="Tahoma" w:hAnsi="Tahoma" w:cs="Tahoma"/>
      <w:color w:val="0D0D0D" w:themeColor="text1" w:themeTint="F2"/>
      <w:sz w:val="14"/>
      <w:szCs w:val="14"/>
    </w:rPr>
  </w:style>
  <w:style w:type="character" w:customStyle="1" w:styleId="71Char9">
    <w:name w:val="71ג הערות שוליים Char"/>
    <w:basedOn w:val="ac"/>
    <w:link w:val="71fc"/>
    <w:rsid w:val="00817399"/>
    <w:rPr>
      <w:rFonts w:ascii="Tahoma" w:hAnsi="Tahoma" w:cs="Tahoma"/>
      <w:color w:val="0D0D0D" w:themeColor="text1" w:themeTint="F2"/>
      <w:sz w:val="14"/>
      <w:szCs w:val="14"/>
    </w:rPr>
  </w:style>
  <w:style w:type="paragraph" w:customStyle="1" w:styleId="afffffffe">
    <w:name w:val="כללי"/>
    <w:basedOn w:val="ab"/>
    <w:rsid w:val="00817399"/>
    <w:pPr>
      <w:overflowPunct w:val="0"/>
      <w:autoSpaceDE w:val="0"/>
      <w:autoSpaceDN w:val="0"/>
      <w:adjustRightInd w:val="0"/>
      <w:spacing w:after="240" w:line="280" w:lineRule="exact"/>
      <w:ind w:firstLine="284"/>
      <w:textAlignment w:val="baseline"/>
    </w:pPr>
    <w:rPr>
      <w:rFonts w:eastAsia="Times New Roman" w:cs="FrankRuehl"/>
      <w:lang w:eastAsia="he-IL"/>
    </w:rPr>
  </w:style>
  <w:style w:type="paragraph" w:customStyle="1" w:styleId="1fe">
    <w:name w:val="ציטוט1"/>
    <w:basedOn w:val="afffffffe"/>
    <w:rsid w:val="00817399"/>
    <w:pPr>
      <w:ind w:left="454" w:right="454" w:firstLine="0"/>
    </w:pPr>
  </w:style>
  <w:style w:type="paragraph" w:styleId="2f0">
    <w:name w:val="Body Text First Indent 2"/>
    <w:basedOn w:val="afffff"/>
    <w:link w:val="2f1"/>
    <w:uiPriority w:val="99"/>
    <w:unhideWhenUsed/>
    <w:rsid w:val="00817399"/>
    <w:pPr>
      <w:spacing w:after="0"/>
      <w:ind w:left="360" w:firstLine="360"/>
    </w:pPr>
    <w:rPr>
      <w:rFonts w:ascii="Times New Roman" w:hAnsi="Times New Roman" w:cs="David"/>
      <w:sz w:val="20"/>
      <w:szCs w:val="24"/>
    </w:rPr>
  </w:style>
  <w:style w:type="character" w:customStyle="1" w:styleId="2f1">
    <w:name w:val="כניסת שורה ראשונה בגוף טקסט 2 תו"/>
    <w:basedOn w:val="afffff0"/>
    <w:link w:val="2f0"/>
    <w:uiPriority w:val="99"/>
    <w:rsid w:val="00817399"/>
    <w:rPr>
      <w:rFonts w:ascii="Tahoma" w:hAnsi="Tahoma" w:cs="Tahoma"/>
      <w:sz w:val="16"/>
      <w:szCs w:val="20"/>
    </w:rPr>
  </w:style>
  <w:style w:type="paragraph" w:customStyle="1" w:styleId="a5">
    <w:name w:val="תמונה"/>
    <w:link w:val="affffffff"/>
    <w:qFormat/>
    <w:rsid w:val="00817399"/>
    <w:pPr>
      <w:keepNext/>
      <w:keepLines/>
      <w:numPr>
        <w:numId w:val="34"/>
      </w:numPr>
      <w:bidi/>
      <w:spacing w:after="0" w:line="312" w:lineRule="auto"/>
      <w:ind w:hanging="357"/>
      <w:jc w:val="center"/>
      <w:outlineLvl w:val="6"/>
    </w:pPr>
    <w:rPr>
      <w:rFonts w:ascii="David" w:hAnsi="David"/>
      <w:color w:val="0D0D0D" w:themeColor="text1" w:themeTint="F2"/>
      <w:sz w:val="24"/>
    </w:rPr>
  </w:style>
  <w:style w:type="character" w:customStyle="1" w:styleId="affffffff">
    <w:name w:val="תמונה תו"/>
    <w:basedOn w:val="ac"/>
    <w:link w:val="a5"/>
    <w:rsid w:val="00817399"/>
    <w:rPr>
      <w:rFonts w:ascii="David" w:hAnsi="David"/>
      <w:color w:val="0D0D0D" w:themeColor="text1" w:themeTint="F2"/>
      <w:sz w:val="24"/>
    </w:rPr>
  </w:style>
  <w:style w:type="table" w:styleId="affffffff0">
    <w:name w:val="Grid Table Light"/>
    <w:basedOn w:val="ad"/>
    <w:uiPriority w:val="40"/>
    <w:rsid w:val="008173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72">
    <w:name w:val="List Table 7 Colorful"/>
    <w:basedOn w:val="ad"/>
    <w:uiPriority w:val="52"/>
    <w:rsid w:val="00817399"/>
    <w:pPr>
      <w:spacing w:after="0" w:line="240" w:lineRule="auto"/>
      <w:jc w:val="left"/>
    </w:pPr>
    <w:rPr>
      <w:rFonts w:asciiTheme="minorHAnsi" w:hAnsiTheme="minorHAnsi" w:cstheme="minorBidi"/>
      <w:color w:val="000000" w:themeColor="text1"/>
      <w:kern w:val="2"/>
      <w:sz w:val="22"/>
      <w:szCs w:val="2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dex1">
    <w:name w:val="index 1"/>
    <w:basedOn w:val="ab"/>
    <w:next w:val="ab"/>
    <w:autoRedefine/>
    <w:uiPriority w:val="99"/>
    <w:unhideWhenUsed/>
    <w:rsid w:val="00817399"/>
    <w:pPr>
      <w:spacing w:line="240" w:lineRule="auto"/>
      <w:ind w:left="198" w:hanging="198"/>
      <w:jc w:val="left"/>
    </w:pPr>
    <w:rPr>
      <w:rFonts w:asciiTheme="minorHAnsi" w:hAnsiTheme="minorHAnsi" w:cstheme="minorHAnsi"/>
      <w:sz w:val="18"/>
      <w:szCs w:val="18"/>
    </w:rPr>
  </w:style>
  <w:style w:type="paragraph" w:styleId="Index2">
    <w:name w:val="index 2"/>
    <w:basedOn w:val="ab"/>
    <w:next w:val="ab"/>
    <w:autoRedefine/>
    <w:uiPriority w:val="99"/>
    <w:unhideWhenUsed/>
    <w:rsid w:val="00817399"/>
    <w:pPr>
      <w:spacing w:line="240" w:lineRule="auto"/>
      <w:ind w:left="400" w:hanging="200"/>
      <w:jc w:val="left"/>
    </w:pPr>
    <w:rPr>
      <w:rFonts w:asciiTheme="minorHAnsi" w:hAnsiTheme="minorHAnsi" w:cstheme="minorHAnsi"/>
      <w:sz w:val="18"/>
      <w:szCs w:val="18"/>
    </w:rPr>
  </w:style>
  <w:style w:type="paragraph" w:styleId="Index3">
    <w:name w:val="index 3"/>
    <w:basedOn w:val="ab"/>
    <w:next w:val="ab"/>
    <w:autoRedefine/>
    <w:uiPriority w:val="99"/>
    <w:unhideWhenUsed/>
    <w:rsid w:val="00817399"/>
    <w:pPr>
      <w:ind w:left="600" w:hanging="200"/>
      <w:jc w:val="left"/>
    </w:pPr>
    <w:rPr>
      <w:rFonts w:asciiTheme="minorHAnsi" w:hAnsiTheme="minorHAnsi" w:cstheme="minorHAnsi"/>
      <w:sz w:val="18"/>
      <w:szCs w:val="18"/>
    </w:rPr>
  </w:style>
  <w:style w:type="paragraph" w:styleId="Index4">
    <w:name w:val="index 4"/>
    <w:basedOn w:val="ab"/>
    <w:next w:val="ab"/>
    <w:autoRedefine/>
    <w:uiPriority w:val="99"/>
    <w:unhideWhenUsed/>
    <w:rsid w:val="00817399"/>
    <w:pPr>
      <w:ind w:left="800" w:hanging="200"/>
      <w:jc w:val="left"/>
    </w:pPr>
    <w:rPr>
      <w:rFonts w:asciiTheme="minorHAnsi" w:hAnsiTheme="minorHAnsi" w:cstheme="minorHAnsi"/>
      <w:sz w:val="18"/>
      <w:szCs w:val="18"/>
    </w:rPr>
  </w:style>
  <w:style w:type="paragraph" w:styleId="Index5">
    <w:name w:val="index 5"/>
    <w:basedOn w:val="ab"/>
    <w:next w:val="ab"/>
    <w:autoRedefine/>
    <w:uiPriority w:val="99"/>
    <w:unhideWhenUsed/>
    <w:rsid w:val="00817399"/>
    <w:pPr>
      <w:ind w:left="1000" w:hanging="200"/>
      <w:jc w:val="left"/>
    </w:pPr>
    <w:rPr>
      <w:rFonts w:asciiTheme="minorHAnsi" w:hAnsiTheme="minorHAnsi" w:cstheme="minorHAnsi"/>
      <w:sz w:val="18"/>
      <w:szCs w:val="18"/>
    </w:rPr>
  </w:style>
  <w:style w:type="paragraph" w:styleId="Index6">
    <w:name w:val="index 6"/>
    <w:basedOn w:val="ab"/>
    <w:next w:val="ab"/>
    <w:autoRedefine/>
    <w:uiPriority w:val="99"/>
    <w:unhideWhenUsed/>
    <w:rsid w:val="00817399"/>
    <w:pPr>
      <w:ind w:left="1200" w:hanging="200"/>
      <w:jc w:val="left"/>
    </w:pPr>
    <w:rPr>
      <w:rFonts w:asciiTheme="minorHAnsi" w:hAnsiTheme="minorHAnsi" w:cstheme="minorHAnsi"/>
      <w:sz w:val="18"/>
      <w:szCs w:val="18"/>
    </w:rPr>
  </w:style>
  <w:style w:type="paragraph" w:styleId="Index7">
    <w:name w:val="index 7"/>
    <w:basedOn w:val="ab"/>
    <w:next w:val="ab"/>
    <w:autoRedefine/>
    <w:uiPriority w:val="99"/>
    <w:unhideWhenUsed/>
    <w:rsid w:val="00817399"/>
    <w:pPr>
      <w:ind w:left="1400" w:hanging="200"/>
      <w:jc w:val="left"/>
    </w:pPr>
    <w:rPr>
      <w:rFonts w:asciiTheme="minorHAnsi" w:hAnsiTheme="minorHAnsi" w:cstheme="minorHAnsi"/>
      <w:sz w:val="18"/>
      <w:szCs w:val="18"/>
    </w:rPr>
  </w:style>
  <w:style w:type="paragraph" w:styleId="Index8">
    <w:name w:val="index 8"/>
    <w:basedOn w:val="ab"/>
    <w:next w:val="ab"/>
    <w:autoRedefine/>
    <w:uiPriority w:val="99"/>
    <w:unhideWhenUsed/>
    <w:rsid w:val="00817399"/>
    <w:pPr>
      <w:ind w:left="1600" w:hanging="200"/>
      <w:jc w:val="left"/>
    </w:pPr>
    <w:rPr>
      <w:rFonts w:asciiTheme="minorHAnsi" w:hAnsiTheme="minorHAnsi" w:cstheme="minorHAnsi"/>
      <w:sz w:val="18"/>
      <w:szCs w:val="18"/>
    </w:rPr>
  </w:style>
  <w:style w:type="paragraph" w:styleId="Index9">
    <w:name w:val="index 9"/>
    <w:basedOn w:val="ab"/>
    <w:next w:val="ab"/>
    <w:autoRedefine/>
    <w:uiPriority w:val="99"/>
    <w:unhideWhenUsed/>
    <w:rsid w:val="00817399"/>
    <w:pPr>
      <w:ind w:left="1800" w:hanging="200"/>
      <w:jc w:val="left"/>
    </w:pPr>
    <w:rPr>
      <w:rFonts w:asciiTheme="minorHAnsi" w:hAnsiTheme="minorHAnsi" w:cstheme="minorHAnsi"/>
      <w:sz w:val="18"/>
      <w:szCs w:val="18"/>
    </w:rPr>
  </w:style>
  <w:style w:type="paragraph" w:styleId="affffffff1">
    <w:name w:val="index heading"/>
    <w:basedOn w:val="ab"/>
    <w:next w:val="Index1"/>
    <w:uiPriority w:val="99"/>
    <w:unhideWhenUsed/>
    <w:rsid w:val="00817399"/>
    <w:pPr>
      <w:pBdr>
        <w:bottom w:val="single" w:sz="4" w:space="1" w:color="auto"/>
      </w:pBdr>
      <w:spacing w:before="240" w:line="240" w:lineRule="auto"/>
      <w:jc w:val="left"/>
    </w:pPr>
    <w:rPr>
      <w:rFonts w:asciiTheme="majorHAnsi" w:hAnsiTheme="majorHAnsi" w:cs="Calibri"/>
      <w:b/>
      <w:bCs/>
      <w:sz w:val="28"/>
    </w:rPr>
  </w:style>
  <w:style w:type="paragraph" w:customStyle="1" w:styleId="affffffff2">
    <w:name w:val="ליקוי"/>
    <w:next w:val="ab"/>
    <w:link w:val="affffffff3"/>
    <w:qFormat/>
    <w:rsid w:val="00817399"/>
    <w:pPr>
      <w:bidi/>
      <w:spacing w:after="0" w:line="312" w:lineRule="auto"/>
    </w:pPr>
    <w:rPr>
      <w:b/>
      <w:bCs/>
    </w:rPr>
  </w:style>
  <w:style w:type="paragraph" w:customStyle="1" w:styleId="affffffff4">
    <w:name w:val="רקע"/>
    <w:next w:val="ab"/>
    <w:link w:val="affffffff5"/>
    <w:qFormat/>
    <w:rsid w:val="00817399"/>
    <w:pPr>
      <w:bidi/>
      <w:spacing w:after="0" w:line="312" w:lineRule="auto"/>
    </w:pPr>
  </w:style>
  <w:style w:type="character" w:customStyle="1" w:styleId="affffffff3">
    <w:name w:val="ליקוי תו"/>
    <w:basedOn w:val="ac"/>
    <w:link w:val="affffffff2"/>
    <w:rsid w:val="00817399"/>
    <w:rPr>
      <w:b/>
      <w:bCs/>
    </w:rPr>
  </w:style>
  <w:style w:type="character" w:customStyle="1" w:styleId="affffffff5">
    <w:name w:val="רקע תו"/>
    <w:basedOn w:val="ac"/>
    <w:link w:val="affffffff4"/>
    <w:rsid w:val="00817399"/>
  </w:style>
  <w:style w:type="paragraph" w:customStyle="1" w:styleId="affffffff6">
    <w:name w:val="תשובה"/>
    <w:basedOn w:val="ab"/>
    <w:qFormat/>
    <w:rsid w:val="00817399"/>
  </w:style>
  <w:style w:type="paragraph" w:customStyle="1" w:styleId="affffffff7">
    <w:name w:val="סגנון כותרת נדירה"/>
    <w:next w:val="ab"/>
    <w:link w:val="affffffff8"/>
    <w:qFormat/>
    <w:rsid w:val="00817399"/>
    <w:pPr>
      <w:spacing w:line="269" w:lineRule="auto"/>
    </w:pPr>
    <w:rPr>
      <w:b/>
      <w:bCs/>
    </w:rPr>
  </w:style>
  <w:style w:type="paragraph" w:customStyle="1" w:styleId="affffffff9">
    <w:name w:val="סגנון כותרת נדירה מאוד"/>
    <w:next w:val="ab"/>
    <w:link w:val="affffffffa"/>
    <w:qFormat/>
    <w:rsid w:val="00817399"/>
  </w:style>
  <w:style w:type="character" w:customStyle="1" w:styleId="affffffff8">
    <w:name w:val="סגנון כותרת נדירה תו"/>
    <w:basedOn w:val="ac"/>
    <w:link w:val="affffffff7"/>
    <w:rsid w:val="00817399"/>
    <w:rPr>
      <w:b/>
      <w:bCs/>
    </w:rPr>
  </w:style>
  <w:style w:type="character" w:customStyle="1" w:styleId="affffffffa">
    <w:name w:val="סגנון כותרת נדירה מאוד תו"/>
    <w:basedOn w:val="ac"/>
    <w:link w:val="affffffff9"/>
    <w:rsid w:val="00817399"/>
  </w:style>
  <w:style w:type="paragraph" w:customStyle="1" w:styleId="1ff">
    <w:name w:val="נדירה 1"/>
    <w:next w:val="ab"/>
    <w:link w:val="1ff0"/>
    <w:qFormat/>
    <w:rsid w:val="00817399"/>
    <w:pPr>
      <w:spacing w:after="0" w:line="312" w:lineRule="auto"/>
      <w:outlineLvl w:val="6"/>
    </w:pPr>
    <w:rPr>
      <w:b/>
      <w:bCs/>
      <w:u w:val="single"/>
    </w:rPr>
  </w:style>
  <w:style w:type="paragraph" w:customStyle="1" w:styleId="2f2">
    <w:name w:val="נדירה 2"/>
    <w:basedOn w:val="affffffff9"/>
    <w:next w:val="ab"/>
    <w:link w:val="2f3"/>
    <w:qFormat/>
    <w:rsid w:val="00817399"/>
    <w:pPr>
      <w:bidi/>
      <w:outlineLvl w:val="7"/>
    </w:pPr>
    <w:rPr>
      <w:u w:val="single"/>
    </w:rPr>
  </w:style>
  <w:style w:type="character" w:customStyle="1" w:styleId="1ff0">
    <w:name w:val="נדירה 1 תו"/>
    <w:basedOn w:val="ac"/>
    <w:link w:val="1ff"/>
    <w:rsid w:val="00817399"/>
    <w:rPr>
      <w:b/>
      <w:bCs/>
      <w:u w:val="single"/>
    </w:rPr>
  </w:style>
  <w:style w:type="character" w:customStyle="1" w:styleId="2f3">
    <w:name w:val="נדירה 2 תו"/>
    <w:basedOn w:val="affffffffa"/>
    <w:link w:val="2f2"/>
    <w:rsid w:val="00817399"/>
    <w:rPr>
      <w:u w:val="single"/>
    </w:rPr>
  </w:style>
  <w:style w:type="paragraph" w:customStyle="1" w:styleId="TOC20112">
    <w:name w:val="סגנון TOC 2 + לפני:  0  נק' מרווח בין שורות:  מרובה 1.12 שו"/>
    <w:basedOn w:val="TOC2"/>
    <w:rsid w:val="00817399"/>
    <w:pPr>
      <w:spacing w:line="269" w:lineRule="auto"/>
    </w:pPr>
    <w:rPr>
      <w:rFonts w:eastAsia="Times New Roman"/>
    </w:rPr>
  </w:style>
  <w:style w:type="paragraph" w:customStyle="1" w:styleId="TOC30">
    <w:name w:val="סגנון TOC 3 +"/>
    <w:basedOn w:val="TOC3"/>
    <w:rsid w:val="00817399"/>
    <w:rPr>
      <w:rFonts w:eastAsia="Times New Roman"/>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jpeg"/><Relationship Id="rId11" Type="http://schemas.openxmlformats.org/officeDocument/2006/relationships/header" Target="header3.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eader" Target="header5.xm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5B9009B-0DAD-4A25-8DED-F73C7A7D23F4}">
  <ds:schemaRefs>
    <ds:schemaRef ds:uri="http://schemas.openxmlformats.org/officeDocument/2006/bibliography"/>
  </ds:schemaRefs>
</ds:datastoreItem>
</file>

<file path=customXml/itemProps2.xml><?xml version="1.0" encoding="utf-8"?>
<ds:datastoreItem xmlns:ds="http://schemas.openxmlformats.org/officeDocument/2006/customXml" ds:itemID="{342A9FC6-08BA-4A67-832D-12E3E76BD700}"/>
</file>

<file path=customXml/itemProps3.xml><?xml version="1.0" encoding="utf-8"?>
<ds:datastoreItem xmlns:ds="http://schemas.openxmlformats.org/officeDocument/2006/customXml" ds:itemID="{532754B1-A1B5-4A0C-89D0-36FC096CA46C}"/>
</file>

<file path=customXml/itemProps4.xml><?xml version="1.0" encoding="utf-8"?>
<ds:datastoreItem xmlns:ds="http://schemas.openxmlformats.org/officeDocument/2006/customXml" ds:itemID="{F45098EC-A98E-4E5E-BC63-8DD33FB1A076}"/>
</file>

<file path=docProps/app.xml><?xml version="1.0" encoding="utf-8"?>
<Properties xmlns="http://schemas.openxmlformats.org/officeDocument/2006/extended-properties" xmlns:vt="http://schemas.openxmlformats.org/officeDocument/2006/docPropsVTypes">
  <Template>Normal</Template>
  <TotalTime>31</TotalTime>
  <Pages>205</Pages>
  <Words>78315</Words>
  <Characters>391576</Characters>
  <Application>Microsoft Office Word</Application>
  <DocSecurity>0</DocSecurity>
  <Lines>3263</Lines>
  <Paragraphs>937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468954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אילת רייכמן-עמית</cp:lastModifiedBy>
  <cp:revision>6</cp:revision>
  <cp:lastPrinted>2025-07-15T13:11:00Z</cp:lastPrinted>
  <dcterms:created xsi:type="dcterms:W3CDTF">2025-07-15T12:40:00Z</dcterms:created>
  <dcterms:modified xsi:type="dcterms:W3CDTF">2025-07-15T13:12:00Z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