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6E1414" w:rsidP="0026369E">
      <w:pPr>
        <w:spacing w:before="3480" w:after="2040" w:line="800" w:lineRule="exact"/>
        <w:ind w:left="-285"/>
        <w:jc w:val="center"/>
        <w:rPr>
          <w:rFonts w:ascii="Calibri" w:hAnsi="Calibri" w:cs="Calibri"/>
          <w:b/>
          <w:bCs/>
          <w:color w:val="002060"/>
          <w:sz w:val="80"/>
          <w:szCs w:val="80"/>
          <w:rtl/>
        </w:rPr>
      </w:pPr>
      <w:r w:rsidRPr="00D25F98">
        <w:rPr>
          <w:rFonts w:ascii="Calibri" w:hAnsi="Calibri" w:cs="Calibri"/>
          <w:b/>
          <w:bCs/>
          <w:color w:val="002060"/>
          <w:sz w:val="80"/>
          <w:szCs w:val="80"/>
          <w:rtl/>
        </w:rPr>
        <w:t xml:space="preserve">מערכות מידע ואבטחת מידע וסייבר במשרד החוץ </w:t>
      </w:r>
    </w:p>
    <w:p w:rsidR="006E1414">
      <w:pPr>
        <w:bidi w:val="0"/>
        <w:spacing w:after="200" w:line="276" w:lineRule="auto"/>
        <w:rPr>
          <w:rFonts w:ascii="Calibri" w:hAnsi="Calibri" w:cs="Calibri"/>
          <w:b/>
          <w:bCs/>
          <w:color w:val="002060"/>
          <w:sz w:val="80"/>
          <w:szCs w:val="80"/>
        </w:rPr>
      </w:pPr>
      <w:r>
        <w:rPr>
          <w:rFonts w:ascii="Calibri" w:hAnsi="Calibri" w:cs="Times New Roman"/>
          <w:b/>
          <w:bCs/>
          <w:color w:val="002060"/>
          <w:sz w:val="80"/>
          <w:szCs w:val="80"/>
          <w:rtl/>
        </w:rPr>
        <w:br w:type="page"/>
      </w:r>
    </w:p>
    <w:p w:rsidR="00F954E4" w:rsidP="00F954E4">
      <w:pPr>
        <w:bidi w:val="0"/>
        <w:spacing w:after="200" w:line="276" w:lineRule="auto"/>
        <w:rPr>
          <w:rFonts w:ascii="Calibri" w:hAnsi="Calibri" w:cs="Calibri"/>
          <w:b/>
          <w:bCs/>
          <w:color w:val="002060"/>
          <w:sz w:val="80"/>
          <w:szCs w:val="80"/>
        </w:rPr>
        <w:sectPr w:rsidSect="006C2C6D">
          <w:headerReference w:type="default" r:id="rId6"/>
          <w:headerReference w:type="first" r:id="rId7"/>
          <w:footerReference w:type="first" r:id="rId8"/>
          <w:pgSz w:w="11906" w:h="16838"/>
          <w:pgMar w:top="1701" w:right="1985" w:bottom="1588" w:left="1701" w:header="709" w:footer="709" w:gutter="0"/>
          <w:cols w:space="708"/>
          <w:titlePg/>
          <w:bidi/>
          <w:rtlGutter/>
          <w:docGrid w:linePitch="360"/>
        </w:sectPr>
      </w:pPr>
    </w:p>
    <w:p w:rsidR="00F954E4" w:rsidP="00F954E4">
      <w:pPr>
        <w:bidi w:val="0"/>
        <w:spacing w:after="200" w:line="276" w:lineRule="auto"/>
        <w:rPr>
          <w:rFonts w:ascii="Calibri" w:hAnsi="Calibri" w:cs="Calibri"/>
          <w:b/>
          <w:bCs/>
          <w:color w:val="002060"/>
          <w:sz w:val="80"/>
          <w:szCs w:val="80"/>
        </w:rPr>
      </w:pPr>
    </w:p>
    <w:p w:rsidR="00C72F2C" w:rsidP="00F954E4">
      <w:pPr>
        <w:bidi w:val="0"/>
        <w:spacing w:after="200" w:line="276" w:lineRule="auto"/>
        <w:rPr>
          <w:rFonts w:ascii="Calibri" w:hAnsi="Calibri" w:cs="Calibri"/>
          <w:b/>
          <w:bCs/>
          <w:color w:val="002060"/>
          <w:sz w:val="80"/>
          <w:szCs w:val="80"/>
        </w:rPr>
        <w:sectPr w:rsidSect="006C2C6D">
          <w:headerReference w:type="default" r:id="rId9"/>
          <w:headerReference w:type="first" r:id="rId10"/>
          <w:pgSz w:w="11906" w:h="16838"/>
          <w:pgMar w:top="1701" w:right="1985" w:bottom="1588" w:left="1701" w:header="709" w:footer="709" w:gutter="0"/>
          <w:cols w:space="708"/>
          <w:titlePg/>
          <w:bidi/>
          <w:rtlGutter/>
          <w:docGrid w:linePitch="360"/>
        </w:sectPr>
      </w:pPr>
    </w:p>
    <w:tbl>
      <w:tblPr>
        <w:tblStyle w:val="TableGrid"/>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3"/>
      </w:tblGrid>
      <w:tr w:rsidTr="00E75F41">
        <w:tblPrEx>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83" w:type="dxa"/>
          </w:tcPr>
          <w:p w:rsidR="00D07985" w:rsidP="00D07985">
            <w:pPr>
              <w:spacing w:after="120" w:line="240" w:lineRule="auto"/>
              <w:jc w:val="left"/>
              <w:rPr>
                <w:rFonts w:ascii="Tahoma" w:eastAsia="Calibri" w:hAnsi="Tahoma" w:cs="Tahoma"/>
                <w:sz w:val="36"/>
                <w:szCs w:val="36"/>
                <w:rtl/>
              </w:rPr>
            </w:pPr>
            <w:r w:rsidRPr="00D25F98">
              <w:rPr>
                <w:rFonts w:ascii="Tahoma" w:eastAsia="Calibri" w:hAnsi="Tahoma" w:cs="Tahoma"/>
                <w:b/>
                <w:bCs/>
                <w:sz w:val="36"/>
                <w:szCs w:val="36"/>
                <w:rtl/>
              </w:rPr>
              <w:t xml:space="preserve">מערכות מידע ואבטחת מידע וסייבר במשרד החוץ </w:t>
            </w:r>
          </w:p>
          <w:p w:rsidR="00D25F98" w:rsidRPr="00D25F98" w:rsidP="00D07985">
            <w:pPr>
              <w:spacing w:after="120" w:line="240" w:lineRule="auto"/>
              <w:jc w:val="left"/>
              <w:rPr>
                <w:rFonts w:ascii="Tahoma" w:eastAsia="Calibri" w:hAnsi="Tahoma" w:cs="Tahoma"/>
                <w:b/>
                <w:bCs/>
                <w:sz w:val="40"/>
                <w:szCs w:val="40"/>
                <w:rtl/>
              </w:rPr>
            </w:pPr>
            <w:r w:rsidRPr="00D25F98">
              <w:rPr>
                <w:rFonts w:ascii="Tahoma" w:eastAsia="Calibri" w:hAnsi="Tahoma" w:cs="Tahoma"/>
                <w:sz w:val="36"/>
                <w:szCs w:val="36"/>
                <w:rtl/>
              </w:rPr>
              <w:t>תקציר</w:t>
            </w:r>
          </w:p>
          <w:p w:rsidR="00D25F98" w:rsidRPr="00D25F98" w:rsidP="00D25F98">
            <w:pPr>
              <w:spacing w:line="240" w:lineRule="auto"/>
              <w:ind w:left="-851"/>
              <w:rPr>
                <w:rFonts w:eastAsia="Calibri"/>
                <w:szCs w:val="20"/>
                <w:rtl/>
              </w:rPr>
            </w:pPr>
          </w:p>
        </w:tc>
      </w:tr>
    </w:tbl>
    <w:p w:rsidR="00D25F98" w:rsidRPr="00D25F98" w:rsidP="00D25F98">
      <w:pPr>
        <w:ind w:left="-851"/>
        <w:rPr>
          <w:rFonts w:eastAsia="Calibri"/>
        </w:rPr>
      </w:pPr>
    </w:p>
    <w:p w:rsidR="00D25F98" w:rsidRPr="00D25F98" w:rsidP="00D25F98">
      <w:pPr>
        <w:ind w:left="-851"/>
        <w:rPr>
          <w:rFonts w:eastAsia="Calibri"/>
          <w:rtl/>
        </w:rPr>
      </w:pPr>
      <w:r w:rsidRPr="00D25F98">
        <w:rPr>
          <w:rFonts w:ascii="Tahoma" w:eastAsia="Calibri" w:hAnsi="Tahoma" w:cs="Tahoma"/>
          <w:noProof/>
          <w:rtl/>
        </w:rPr>
        <w:drawing>
          <wp:inline distT="0" distB="0" distL="0" distR="0">
            <wp:extent cx="1638300" cy="411480"/>
            <wp:effectExtent l="0" t="0" r="0" b="762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קציר-05.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D25F98" w:rsidRPr="00D25F98" w:rsidP="0026369E">
      <w:pPr>
        <w:spacing w:after="120" w:line="288" w:lineRule="auto"/>
        <w:ind w:left="-711" w:right="-709"/>
        <w:rPr>
          <w:rFonts w:ascii="Tahoma" w:eastAsia="Calibri" w:hAnsi="Tahoma" w:cs="Tahoma"/>
          <w:sz w:val="19"/>
          <w:szCs w:val="19"/>
          <w:rtl/>
        </w:rPr>
      </w:pPr>
      <w:r w:rsidRPr="00D25F98">
        <w:rPr>
          <w:rFonts w:ascii="Tahoma" w:eastAsia="Calibri" w:hAnsi="Tahoma" w:cs="Tahoma"/>
          <w:sz w:val="19"/>
          <w:szCs w:val="19"/>
          <w:rtl/>
        </w:rPr>
        <w:t>משרד החוץ אחראי לגיבוש מדיניות החוץ של ממשלת ישראל, ביצועה והסברתה.</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פעולות המשרד מתבצעות באמצעות המשרד הראשי בירושלים ובאמצעות 109 הנציגויות הדיפלומטיות והקונסולריות בחו</w:t>
      </w:r>
      <w:r w:rsidRPr="00D25F98">
        <w:rPr>
          <w:rFonts w:ascii="Tahoma" w:eastAsia="Calibri" w:hAnsi="Tahoma" w:cs="Tahoma" w:hint="cs"/>
          <w:sz w:val="19"/>
          <w:szCs w:val="19"/>
          <w:rtl/>
        </w:rPr>
        <w:t>"ל</w:t>
      </w:r>
      <w:r w:rsidRPr="00D25F98">
        <w:rPr>
          <w:rFonts w:ascii="Tahoma" w:eastAsia="Calibri" w:hAnsi="Tahoma" w:cs="Tahoma"/>
          <w:sz w:val="19"/>
          <w:szCs w:val="19"/>
          <w:rtl/>
        </w:rPr>
        <w:t>.</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 xml:space="preserve">המערכות הממוחשבות במשרד החוץ מהוות את התשתית התפעולית של משרד החוץ, והן חיוניות לפעולתו התקינה של המשרד. גורמי המקצוע במשרד החוץ האמונים על מערכות המידע והטכנולוגיה ועל הגנת המידע במשרד הם אגף התקשוב וחטיבת </w:t>
      </w:r>
      <w:r w:rsidRPr="00D25F98">
        <w:rPr>
          <w:rFonts w:ascii="Tahoma" w:eastAsia="Calibri" w:hAnsi="Tahoma" w:cs="Tahoma" w:hint="cs"/>
          <w:sz w:val="19"/>
          <w:szCs w:val="19"/>
          <w:rtl/>
        </w:rPr>
        <w:t>ה</w:t>
      </w:r>
      <w:r w:rsidRPr="00D25F98">
        <w:rPr>
          <w:rFonts w:ascii="Tahoma" w:eastAsia="Calibri" w:hAnsi="Tahoma" w:cs="Tahoma"/>
          <w:sz w:val="19"/>
          <w:szCs w:val="19"/>
          <w:rtl/>
        </w:rPr>
        <w:t xml:space="preserve">ביטחון במשרד (בטמ"ח). </w:t>
      </w:r>
    </w:p>
    <w:p w:rsidR="00D25F98" w:rsidRPr="00D25F98" w:rsidP="0026369E">
      <w:pPr>
        <w:spacing w:after="120" w:line="288" w:lineRule="auto"/>
        <w:ind w:left="-711" w:right="-709"/>
        <w:rPr>
          <w:rFonts w:ascii="Tahoma" w:eastAsia="Calibri" w:hAnsi="Tahoma" w:cs="Tahoma"/>
          <w:sz w:val="19"/>
          <w:szCs w:val="19"/>
          <w:rtl/>
        </w:rPr>
      </w:pPr>
      <w:r w:rsidRPr="00D25F98">
        <w:rPr>
          <w:rFonts w:ascii="Tahoma" w:eastAsia="Calibri" w:hAnsi="Tahoma" w:cs="Tahoma"/>
          <w:sz w:val="19"/>
          <w:szCs w:val="19"/>
          <w:rtl/>
        </w:rPr>
        <w:t>משרד החוץ נדרש להתמודד עם אתגר מובנה וייחודי, שנגזר מהצורך לנהל מידע מדיני ודיפלומטי רגיש בין המטה לנציגויות</w:t>
      </w:r>
      <w:r w:rsidRPr="00D25F98">
        <w:rPr>
          <w:rFonts w:ascii="Tahoma" w:eastAsia="Calibri" w:hAnsi="Tahoma" w:cs="Tahoma" w:hint="cs"/>
          <w:sz w:val="19"/>
          <w:szCs w:val="19"/>
          <w:rtl/>
        </w:rPr>
        <w:t>.</w:t>
      </w:r>
      <w:r w:rsidRPr="00D25F98">
        <w:rPr>
          <w:rFonts w:eastAsia="Calibri"/>
          <w:rtl/>
        </w:rPr>
        <w:t xml:space="preserve"> </w:t>
      </w:r>
    </w:p>
    <w:p w:rsidR="00D25F98" w:rsidRPr="00D25F98" w:rsidP="00D25F98">
      <w:pPr>
        <w:rPr>
          <w:rFonts w:ascii="Tahoma" w:eastAsia="Calibri" w:hAnsi="Tahoma" w:cs="Tahoma"/>
          <w:sz w:val="19"/>
          <w:szCs w:val="19"/>
          <w:rtl/>
        </w:rPr>
      </w:pPr>
    </w:p>
    <w:p w:rsidR="00D25F98" w:rsidRPr="00D25F98" w:rsidP="00D25F98">
      <w:pPr>
        <w:jc w:val="center"/>
        <w:rPr>
          <w:rFonts w:ascii="Tahoma" w:eastAsia="Calibri" w:hAnsi="Tahoma" w:cs="Tahoma"/>
          <w:b/>
          <w:bCs/>
          <w:sz w:val="19"/>
          <w:szCs w:val="19"/>
          <w:rtl/>
        </w:rPr>
      </w:pPr>
      <w:r w:rsidRPr="00D25F98">
        <w:rPr>
          <w:rFonts w:ascii="Tahoma" w:eastAsia="Calibri" w:hAnsi="Tahoma" w:cs="Tahoma"/>
          <w:b/>
          <w:bCs/>
          <w:noProof/>
          <w:color w:val="FFFFFF"/>
          <w:sz w:val="28"/>
          <w:szCs w:val="28"/>
          <w:rtl/>
        </w:rPr>
        <w:drawing>
          <wp:anchor distT="0" distB="0" distL="114300" distR="114300" simplePos="0" relativeHeight="251663360" behindDoc="1" locked="0" layoutInCell="1" allowOverlap="1">
            <wp:simplePos x="0" y="0"/>
            <wp:positionH relativeFrom="column">
              <wp:posOffset>2051050</wp:posOffset>
            </wp:positionH>
            <wp:positionV relativeFrom="paragraph">
              <wp:posOffset>86731</wp:posOffset>
            </wp:positionV>
            <wp:extent cx="3709119" cy="499088"/>
            <wp:effectExtent l="0" t="0" r="0" b="0"/>
            <wp:wrapNone/>
            <wp:docPr id="8" name="תמונה 8"/>
            <wp:cNvGraphicFramePr/>
            <a:graphic xmlns:a="http://schemas.openxmlformats.org/drawingml/2006/main">
              <a:graphicData uri="http://schemas.openxmlformats.org/drawingml/2006/picture">
                <pic:pic xmlns:pic="http://schemas.openxmlformats.org/drawingml/2006/picture">
                  <pic:nvPicPr>
                    <pic:cNvPr id="8" name="תקציר-03.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3709119" cy="499088"/>
                    </a:xfrm>
                    <a:prstGeom prst="rect">
                      <a:avLst/>
                    </a:prstGeom>
                  </pic:spPr>
                </pic:pic>
              </a:graphicData>
            </a:graphic>
            <wp14:sizeRelH relativeFrom="page">
              <wp14:pctWidth>0</wp14:pctWidth>
            </wp14:sizeRelH>
            <wp14:sizeRelV relativeFrom="page">
              <wp14:pctHeight>0</wp14:pctHeight>
            </wp14:sizeRelV>
          </wp:anchor>
        </w:drawing>
      </w:r>
    </w:p>
    <w:p w:rsidR="00D25F98" w:rsidRPr="00D25F98" w:rsidP="00D25F98">
      <w:pPr>
        <w:ind w:left="-710"/>
        <w:jc w:val="left"/>
        <w:rPr>
          <w:rFonts w:ascii="Tahoma" w:eastAsia="Calibri" w:hAnsi="Tahoma" w:cs="Tahoma"/>
          <w:b/>
          <w:bCs/>
          <w:color w:val="FFFFFF"/>
          <w:sz w:val="22"/>
          <w:szCs w:val="22"/>
          <w:rtl/>
        </w:rPr>
      </w:pPr>
      <w:r w:rsidRPr="00D25F98">
        <w:rPr>
          <w:rFonts w:ascii="Tahoma" w:eastAsia="Calibri" w:hAnsi="Tahoma" w:cs="Tahoma"/>
          <w:b/>
          <w:bCs/>
          <w:color w:val="FFFFFF"/>
          <w:sz w:val="22"/>
          <w:szCs w:val="22"/>
          <w:rtl/>
        </w:rPr>
        <w:t>מערך התקשוב במשרד החוץ - מאפיינים ייחודיים</w:t>
      </w:r>
    </w:p>
    <w:p w:rsidR="00D25F98" w:rsidRPr="00D25F98" w:rsidP="00D25F98">
      <w:pPr>
        <w:ind w:left="-426"/>
        <w:jc w:val="left"/>
        <w:rPr>
          <w:rFonts w:ascii="Tahoma" w:eastAsia="Calibri" w:hAnsi="Tahoma" w:cs="Tahoma"/>
          <w:b/>
          <w:bCs/>
          <w:sz w:val="19"/>
          <w:szCs w:val="19"/>
          <w:rtl/>
        </w:rPr>
      </w:pPr>
    </w:p>
    <w:p w:rsidR="00D25F98" w:rsidRPr="00D25F98" w:rsidP="00D25F98">
      <w:pPr>
        <w:ind w:left="-710"/>
        <w:jc w:val="center"/>
        <w:rPr>
          <w:rFonts w:eastAsia="Calibri"/>
          <w:rtl/>
        </w:rPr>
      </w:pPr>
      <w:r w:rsidRPr="00D25F98">
        <w:rPr>
          <w:rFonts w:eastAsia="Calibri"/>
          <w:noProof/>
        </w:rPr>
        <w:drawing>
          <wp:inline distT="0" distB="0" distL="0" distR="0">
            <wp:extent cx="5028978" cy="3148642"/>
            <wp:effectExtent l="0" t="0" r="635" b="0"/>
            <wp:docPr id="16" name="תמונה 16" descr="התרשים מתאר את מערך התקשוב במשרד החוץ כמרכז המקשר בין משתמשים, עובדים, מערכות מידע ותשתיות בארץ ובעולם.&#10;&#10;במרכז התרשים מופיע &quot;מרכז מערך התקשוב במשרד החוץ&quot;. סביבו מוצגים גורמים ושירותים שונים המחוברים אליו באמצעות חצים, המייצגים זרימת מידע וקשרי עבודה.&#10;&#10;הגורמים המוצגים בתרשים הם: אלפי עובדים זרים; אלפי עובדים בנציגויות; אלפי עמדות עבודה בכ-190 נציגויות; רשת מחשוב בארץ ובחו&quot;ל; ממשקים לגופים חיצוניים; אלפי משתמשים; עבודה שוטפת עם גורמים זרים; מידע אישי-פרטי; מידע ביטחוני רגיש; מידע רגיש - דיפלומטי ומדיני; מוקד שירותי תמיכה 24/7; ושירותי אספקה ממוזגת ומוכוונ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t="3808" b="3541"/>
                    <a:stretch>
                      <a:fillRect/>
                    </a:stretch>
                  </pic:blipFill>
                  <pic:spPr bwMode="auto">
                    <a:xfrm>
                      <a:off x="0" y="0"/>
                      <a:ext cx="5029200" cy="314878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D25F98" w:rsidRPr="00D25F98" w:rsidP="0026369E">
      <w:pPr>
        <w:spacing w:after="120" w:line="288" w:lineRule="auto"/>
        <w:ind w:left="-711" w:right="-709"/>
        <w:rPr>
          <w:rFonts w:ascii="Tahoma" w:eastAsia="Calibri" w:hAnsi="Tahoma" w:cs="Tahoma"/>
          <w:sz w:val="19"/>
          <w:szCs w:val="19"/>
          <w:rtl/>
        </w:rPr>
      </w:pPr>
      <w:r w:rsidRPr="00D25F98">
        <w:rPr>
          <w:rFonts w:ascii="Tahoma" w:eastAsia="Calibri" w:hAnsi="Tahoma" w:cs="Tahoma"/>
          <w:sz w:val="19"/>
          <w:szCs w:val="19"/>
          <w:rtl/>
        </w:rPr>
        <w:t>מערך הדיגיטל הלאומי מנחה מתוקף סמכויותיו את אגף התקשוב במשרד החוץ בכל הנוגע לפעילויות ולתהליכי העבודה העיקריים שלו</w:t>
      </w:r>
      <w:r w:rsidRPr="00D25F98">
        <w:rPr>
          <w:rFonts w:ascii="Tahoma" w:eastAsia="Calibri" w:hAnsi="Tahoma" w:cs="Tahoma" w:hint="cs"/>
          <w:sz w:val="19"/>
          <w:szCs w:val="19"/>
          <w:rtl/>
        </w:rPr>
        <w:t xml:space="preserve">. באשר להגנה על המידע, </w:t>
      </w:r>
      <w:r w:rsidRPr="00D25F98">
        <w:rPr>
          <w:rFonts w:ascii="Tahoma" w:eastAsia="Calibri" w:hAnsi="Tahoma" w:cs="Tahoma"/>
          <w:sz w:val="19"/>
          <w:szCs w:val="19"/>
          <w:rtl/>
        </w:rPr>
        <w:t>יה"ב</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יחידת ההגנה בסייבר במערך הדיגיטל הלאומי</w:t>
      </w:r>
      <w:r w:rsidRPr="00D25F98">
        <w:rPr>
          <w:rFonts w:ascii="Tahoma" w:eastAsia="Calibri" w:hAnsi="Tahoma" w:cs="Tahoma" w:hint="cs"/>
          <w:sz w:val="19"/>
          <w:szCs w:val="19"/>
          <w:rtl/>
        </w:rPr>
        <w:t>)</w:t>
      </w:r>
      <w:r w:rsidRPr="00D25F98">
        <w:rPr>
          <w:rFonts w:ascii="Tahoma" w:eastAsia="Calibri" w:hAnsi="Tahoma" w:cs="Tahoma"/>
          <w:sz w:val="19"/>
          <w:szCs w:val="19"/>
          <w:rtl/>
        </w:rPr>
        <w:t xml:space="preserve"> מנחה את </w:t>
      </w:r>
      <w:r w:rsidRPr="00D25F98">
        <w:rPr>
          <w:rFonts w:ascii="Tahoma" w:eastAsia="Calibri" w:hAnsi="Tahoma" w:cs="Tahoma" w:hint="cs"/>
          <w:sz w:val="19"/>
          <w:szCs w:val="19"/>
          <w:rtl/>
        </w:rPr>
        <w:t>המשרד</w:t>
      </w:r>
      <w:r w:rsidRPr="00D25F98">
        <w:rPr>
          <w:rFonts w:ascii="Tahoma" w:eastAsia="Calibri" w:hAnsi="Tahoma" w:cs="Tahoma"/>
          <w:sz w:val="19"/>
          <w:szCs w:val="19"/>
          <w:rtl/>
        </w:rPr>
        <w:t xml:space="preserve"> </w:t>
      </w:r>
      <w:r w:rsidRPr="00D25F98">
        <w:rPr>
          <w:rFonts w:ascii="Tahoma" w:eastAsia="Calibri" w:hAnsi="Tahoma" w:cs="Tahoma" w:hint="cs"/>
          <w:sz w:val="19"/>
          <w:szCs w:val="19"/>
          <w:rtl/>
        </w:rPr>
        <w:t>לגבי</w:t>
      </w:r>
      <w:r w:rsidRPr="00D25F98">
        <w:rPr>
          <w:rFonts w:ascii="Tahoma" w:eastAsia="Calibri" w:hAnsi="Tahoma" w:cs="Tahoma"/>
          <w:sz w:val="19"/>
          <w:szCs w:val="19"/>
          <w:rtl/>
        </w:rPr>
        <w:t xml:space="preserve"> רשת הבלמ"ס, והשב"כ </w:t>
      </w:r>
      <w:r w:rsidRPr="00D25F98">
        <w:rPr>
          <w:rFonts w:ascii="Tahoma" w:eastAsia="Calibri" w:hAnsi="Tahoma" w:cs="Tahoma" w:hint="cs"/>
          <w:sz w:val="19"/>
          <w:szCs w:val="19"/>
          <w:rtl/>
        </w:rPr>
        <w:t>מנחה אותו</w:t>
      </w:r>
      <w:r w:rsidRPr="00D25F98">
        <w:rPr>
          <w:rFonts w:ascii="Tahoma" w:eastAsia="Calibri" w:hAnsi="Tahoma" w:cs="Tahoma"/>
          <w:sz w:val="19"/>
          <w:szCs w:val="19"/>
          <w:rtl/>
        </w:rPr>
        <w:t xml:space="preserve"> בכל הנוגע לרשתות </w:t>
      </w:r>
      <w:r w:rsidRPr="00D25F98">
        <w:rPr>
          <w:rFonts w:ascii="Tahoma" w:eastAsia="Calibri" w:hAnsi="Tahoma" w:cs="Tahoma" w:hint="cs"/>
          <w:sz w:val="19"/>
          <w:szCs w:val="19"/>
          <w:rtl/>
        </w:rPr>
        <w:t>מסוימות</w:t>
      </w:r>
      <w:r w:rsidRPr="00D25F98">
        <w:rPr>
          <w:rFonts w:ascii="Tahoma" w:eastAsia="Calibri" w:hAnsi="Tahoma" w:cs="Tahoma"/>
          <w:sz w:val="19"/>
          <w:szCs w:val="19"/>
          <w:rtl/>
        </w:rPr>
        <w:t xml:space="preserve"> במשרד. </w:t>
      </w:r>
    </w:p>
    <w:p w:rsidR="00D25F98" w:rsidRPr="00D25F98" w:rsidP="0026369E">
      <w:pPr>
        <w:spacing w:after="120" w:line="288" w:lineRule="auto"/>
        <w:ind w:left="-711" w:right="-709"/>
        <w:rPr>
          <w:rFonts w:ascii="Tahoma" w:eastAsia="Calibri" w:hAnsi="Tahoma" w:cs="Tahoma"/>
          <w:sz w:val="19"/>
          <w:szCs w:val="19"/>
          <w:rtl/>
        </w:rPr>
      </w:pPr>
      <w:r w:rsidRPr="00D25F98">
        <w:rPr>
          <w:rFonts w:ascii="Tahoma" w:eastAsia="Calibri" w:hAnsi="Tahoma" w:cs="Tahoma"/>
          <w:sz w:val="19"/>
          <w:szCs w:val="19"/>
          <w:rtl/>
        </w:rPr>
        <w:t xml:space="preserve">משרד החוץ הוא יעד מרכזי לתקיפות סייבר של מגוון יריבים, החל בפצחנים בודדים וכלה </w:t>
      </w:r>
      <w:r w:rsidRPr="00D25F98">
        <w:rPr>
          <w:rFonts w:ascii="Tahoma" w:eastAsia="Calibri" w:hAnsi="Tahoma" w:cs="Tahoma" w:hint="cs"/>
          <w:sz w:val="19"/>
          <w:szCs w:val="19"/>
          <w:rtl/>
        </w:rPr>
        <w:t>בגורמים מדינתיים</w:t>
      </w:r>
      <w:r w:rsidRPr="00D25F98">
        <w:rPr>
          <w:rFonts w:ascii="Tahoma" w:eastAsia="Calibri" w:hAnsi="Tahoma" w:cs="Tahoma"/>
          <w:sz w:val="19"/>
          <w:szCs w:val="19"/>
          <w:rtl/>
        </w:rPr>
        <w:t>. פעילויות סייבר שזוהו במשך השנים יוחסו לגורמים איראניים, לגורמים מח</w:t>
      </w:r>
      <w:r w:rsidRPr="00D25F98">
        <w:rPr>
          <w:rFonts w:ascii="Tahoma" w:eastAsia="Calibri" w:hAnsi="Tahoma" w:cs="Tahoma" w:hint="cs"/>
          <w:sz w:val="19"/>
          <w:szCs w:val="19"/>
          <w:rtl/>
        </w:rPr>
        <w:t>י</w:t>
      </w:r>
      <w:r w:rsidRPr="00D25F98">
        <w:rPr>
          <w:rFonts w:ascii="Tahoma" w:eastAsia="Calibri" w:hAnsi="Tahoma" w:cs="Tahoma"/>
          <w:sz w:val="19"/>
          <w:szCs w:val="19"/>
          <w:rtl/>
        </w:rPr>
        <w:t>זבאללה, מחמאס ואחרים.</w:t>
      </w:r>
      <w:r w:rsidRPr="00D25F98">
        <w:rPr>
          <w:rFonts w:eastAsia="Calibri"/>
          <w:rtl/>
        </w:rPr>
        <w:t xml:space="preserve"> </w:t>
      </w:r>
      <w:r w:rsidRPr="00D25F98">
        <w:rPr>
          <w:rFonts w:ascii="Tahoma" w:eastAsia="Calibri" w:hAnsi="Tahoma" w:cs="Tahoma"/>
          <w:sz w:val="19"/>
          <w:szCs w:val="19"/>
          <w:rtl/>
        </w:rPr>
        <w:t>בשנים 2020 - 2024 אירעו אירועי סייבר חריגים</w:t>
      </w:r>
      <w:r w:rsidRPr="00D25F98">
        <w:rPr>
          <w:rFonts w:ascii="Tahoma" w:eastAsia="Calibri" w:hAnsi="Tahoma" w:cs="Tahoma" w:hint="cs"/>
          <w:sz w:val="19"/>
          <w:szCs w:val="19"/>
          <w:rtl/>
        </w:rPr>
        <w:t xml:space="preserve"> ברשתות המחשוב של משרד החוץ. במהלך מלחמת "חרבות ברזל", חל גידול של כ-500% באירועי הגנת מידע בנציגויות ישראל בחו"ל, ואירעו מאות אירועים בשנת 2023, בהם למשל ניסיון פריצה לדואר אלקטרוני של עובד הנציגות.</w:t>
      </w:r>
    </w:p>
    <w:p w:rsidR="00D25F98" w:rsidRPr="00D25F98" w:rsidP="00D25F98">
      <w:pPr>
        <w:ind w:left="-710"/>
        <w:rPr>
          <w:rFonts w:eastAsia="Calibri"/>
          <w:rtl/>
        </w:rPr>
      </w:pPr>
    </w:p>
    <w:p w:rsidR="00D25F98" w:rsidRPr="00D25F98" w:rsidP="00D25F98">
      <w:pPr>
        <w:ind w:left="-851"/>
        <w:rPr>
          <w:rFonts w:eastAsia="Calibri"/>
          <w:rtl/>
        </w:rPr>
      </w:pPr>
      <w:r w:rsidRPr="00D25F98">
        <w:rPr>
          <w:rFonts w:ascii="Tahoma" w:eastAsia="Calibri" w:hAnsi="Tahoma" w:cs="Tahoma"/>
          <w:noProof/>
          <w:rtl/>
        </w:rPr>
        <w:drawing>
          <wp:inline distT="0" distB="0" distL="0" distR="0">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TableGrid"/>
        <w:tblpPr w:leftFromText="180" w:rightFromText="180" w:vertAnchor="text" w:tblpXSpec="center" w:tblpY="1"/>
        <w:tblOverlap w:val="never"/>
        <w:bidiVisual/>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32"/>
        <w:gridCol w:w="416"/>
        <w:gridCol w:w="2135"/>
        <w:gridCol w:w="417"/>
        <w:gridCol w:w="2135"/>
        <w:gridCol w:w="417"/>
        <w:gridCol w:w="1990"/>
      </w:tblGrid>
      <w:tr w:rsidTr="00E75F41">
        <w:tblPrEx>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3"/>
        </w:trPr>
        <w:tc>
          <w:tcPr>
            <w:tcW w:w="2132" w:type="dxa"/>
            <w:tcBorders>
              <w:bottom w:val="single" w:sz="12" w:space="0" w:color="auto"/>
            </w:tcBorders>
            <w:shd w:val="clear" w:color="auto" w:fill="auto"/>
            <w:vAlign w:val="bottom"/>
          </w:tcPr>
          <w:p w:rsidR="00D25F98" w:rsidRPr="00D25F98" w:rsidP="00D07985">
            <w:pPr>
              <w:spacing w:after="60" w:line="240" w:lineRule="auto"/>
              <w:jc w:val="left"/>
              <w:rPr>
                <w:rFonts w:ascii="Tahoma" w:eastAsia="Calibri" w:hAnsi="Tahoma" w:cs="Tahoma"/>
                <w:spacing w:val="-10"/>
                <w:sz w:val="36"/>
                <w:szCs w:val="36"/>
                <w:rtl/>
              </w:rPr>
            </w:pPr>
            <w:r w:rsidRPr="00D25F98">
              <w:rPr>
                <w:rFonts w:ascii="Tahoma" w:eastAsia="Calibri" w:hAnsi="Tahoma" w:cs="Tahoma" w:hint="cs"/>
                <w:spacing w:val="-10"/>
                <w:sz w:val="36"/>
                <w:szCs w:val="36"/>
                <w:rtl/>
              </w:rPr>
              <w:t>85.3</w:t>
            </w:r>
            <w:r w:rsidRPr="00D25F98">
              <w:rPr>
                <w:rFonts w:ascii="Tahoma" w:eastAsia="Calibri" w:hAnsi="Tahoma" w:cs="Tahoma"/>
                <w:spacing w:val="-10"/>
                <w:sz w:val="36"/>
                <w:szCs w:val="36"/>
                <w:rtl/>
              </w:rPr>
              <w:t xml:space="preserve"> </w:t>
            </w:r>
            <w:r w:rsidRPr="00D25F98">
              <w:rPr>
                <w:rFonts w:ascii="Tahoma" w:eastAsia="Calibri" w:hAnsi="Tahoma" w:cs="Tahoma"/>
                <w:spacing w:val="-10"/>
                <w:sz w:val="26"/>
                <w:szCs w:val="26"/>
                <w:rtl/>
              </w:rPr>
              <w:t>מיליון ש"ח</w:t>
            </w:r>
          </w:p>
        </w:tc>
        <w:tc>
          <w:tcPr>
            <w:tcW w:w="416" w:type="dxa"/>
          </w:tcPr>
          <w:p w:rsidR="00D25F98" w:rsidRPr="00D25F98" w:rsidP="00D07985">
            <w:pPr>
              <w:spacing w:line="240" w:lineRule="auto"/>
              <w:jc w:val="left"/>
              <w:rPr>
                <w:rFonts w:ascii="Tahoma" w:eastAsia="Calibri" w:hAnsi="Tahoma" w:cs="Tahoma"/>
                <w:spacing w:val="-10"/>
              </w:rPr>
            </w:pPr>
          </w:p>
        </w:tc>
        <w:tc>
          <w:tcPr>
            <w:tcW w:w="2135" w:type="dxa"/>
            <w:tcBorders>
              <w:bottom w:val="single" w:sz="12" w:space="0" w:color="auto"/>
            </w:tcBorders>
            <w:vAlign w:val="bottom"/>
          </w:tcPr>
          <w:p w:rsidR="00D25F98" w:rsidRPr="00D25F98" w:rsidP="00D07985">
            <w:pPr>
              <w:spacing w:after="60" w:line="240" w:lineRule="auto"/>
              <w:jc w:val="left"/>
              <w:rPr>
                <w:rFonts w:ascii="Tahoma" w:eastAsia="Calibri" w:hAnsi="Tahoma" w:cs="Tahoma"/>
                <w:spacing w:val="-10"/>
                <w:sz w:val="36"/>
                <w:szCs w:val="36"/>
                <w:rtl/>
              </w:rPr>
            </w:pPr>
            <w:r w:rsidRPr="00D25F98">
              <w:rPr>
                <w:rFonts w:ascii="Tahoma" w:eastAsia="Calibri" w:hAnsi="Tahoma" w:cs="Tahoma" w:hint="cs"/>
                <w:spacing w:val="-10"/>
                <w:sz w:val="36"/>
                <w:szCs w:val="36"/>
              </w:rPr>
              <w:t>EOL</w:t>
            </w:r>
          </w:p>
        </w:tc>
        <w:tc>
          <w:tcPr>
            <w:tcW w:w="417" w:type="dxa"/>
          </w:tcPr>
          <w:p w:rsidR="00D25F98" w:rsidRPr="00D25F98" w:rsidP="00D07985">
            <w:pPr>
              <w:spacing w:line="240" w:lineRule="auto"/>
              <w:jc w:val="left"/>
              <w:rPr>
                <w:rFonts w:ascii="Tahoma" w:eastAsia="Calibri" w:hAnsi="Tahoma" w:cs="Tahoma"/>
                <w:spacing w:val="-10"/>
              </w:rPr>
            </w:pPr>
          </w:p>
        </w:tc>
        <w:tc>
          <w:tcPr>
            <w:tcW w:w="2135" w:type="dxa"/>
            <w:tcBorders>
              <w:bottom w:val="single" w:sz="12" w:space="0" w:color="auto"/>
            </w:tcBorders>
          </w:tcPr>
          <w:p w:rsidR="00D25F98" w:rsidRPr="00D25F98" w:rsidP="00D07985">
            <w:pPr>
              <w:spacing w:line="240" w:lineRule="auto"/>
              <w:jc w:val="left"/>
              <w:rPr>
                <w:rFonts w:ascii="Tahoma" w:eastAsia="Calibri" w:hAnsi="Tahoma" w:cs="Tahoma"/>
                <w:spacing w:val="-10"/>
                <w:sz w:val="36"/>
                <w:szCs w:val="36"/>
              </w:rPr>
            </w:pPr>
            <w:r w:rsidRPr="00D25F98">
              <w:rPr>
                <w:rFonts w:ascii="Tahoma" w:eastAsia="Calibri" w:hAnsi="Tahoma" w:cs="Tahoma" w:hint="cs"/>
                <w:spacing w:val="-10"/>
                <w:sz w:val="36"/>
                <w:szCs w:val="36"/>
                <w:rtl/>
              </w:rPr>
              <w:t>מאות</w:t>
            </w:r>
          </w:p>
        </w:tc>
        <w:tc>
          <w:tcPr>
            <w:tcW w:w="417" w:type="dxa"/>
          </w:tcPr>
          <w:p w:rsidR="00D25F98" w:rsidRPr="00D25F98" w:rsidP="00D07985">
            <w:pPr>
              <w:spacing w:line="240" w:lineRule="auto"/>
              <w:jc w:val="left"/>
              <w:rPr>
                <w:rFonts w:ascii="Tahoma" w:eastAsia="Calibri" w:hAnsi="Tahoma" w:cs="Tahoma"/>
                <w:spacing w:val="-10"/>
              </w:rPr>
            </w:pPr>
          </w:p>
        </w:tc>
        <w:tc>
          <w:tcPr>
            <w:tcW w:w="1990" w:type="dxa"/>
            <w:tcBorders>
              <w:bottom w:val="single" w:sz="12" w:space="0" w:color="auto"/>
            </w:tcBorders>
            <w:vAlign w:val="center"/>
          </w:tcPr>
          <w:p w:rsidR="00D25F98" w:rsidRPr="00D25F98" w:rsidP="00D07985">
            <w:pPr>
              <w:spacing w:line="240" w:lineRule="auto"/>
              <w:jc w:val="left"/>
              <w:rPr>
                <w:rFonts w:ascii="Tahoma" w:eastAsia="Calibri" w:hAnsi="Tahoma" w:cs="Tahoma"/>
                <w:spacing w:val="-10"/>
                <w:sz w:val="36"/>
                <w:szCs w:val="36"/>
                <w:rtl/>
              </w:rPr>
            </w:pPr>
            <w:r w:rsidRPr="00D25F98">
              <w:rPr>
                <w:rFonts w:ascii="Tahoma" w:eastAsia="Calibri" w:hAnsi="Tahoma" w:cs="Tahoma" w:hint="cs"/>
                <w:spacing w:val="-10"/>
                <w:sz w:val="26"/>
                <w:szCs w:val="26"/>
                <w:rtl/>
              </w:rPr>
              <w:t>הגנה חלקית</w:t>
            </w:r>
          </w:p>
        </w:tc>
      </w:tr>
      <w:tr w:rsidTr="00E75F41">
        <w:tblPrEx>
          <w:tblW w:w="9642" w:type="dxa"/>
          <w:tblLook w:val="04A0"/>
        </w:tblPrEx>
        <w:trPr>
          <w:trHeight w:val="85"/>
        </w:trPr>
        <w:tc>
          <w:tcPr>
            <w:tcW w:w="9642" w:type="dxa"/>
            <w:gridSpan w:val="7"/>
            <w:shd w:val="clear" w:color="auto" w:fill="auto"/>
            <w:vAlign w:val="center"/>
          </w:tcPr>
          <w:p w:rsidR="00D25F98" w:rsidRPr="00D25F98" w:rsidP="00D25F98">
            <w:pPr>
              <w:rPr>
                <w:rFonts w:ascii="Tahoma" w:eastAsia="Calibri" w:hAnsi="Tahoma" w:cs="Tahoma"/>
                <w:spacing w:val="-10"/>
                <w:sz w:val="6"/>
                <w:szCs w:val="6"/>
                <w:rtl/>
              </w:rPr>
            </w:pPr>
          </w:p>
        </w:tc>
      </w:tr>
      <w:tr w:rsidTr="00E75F41">
        <w:tblPrEx>
          <w:tblW w:w="9642" w:type="dxa"/>
          <w:tblLook w:val="04A0"/>
        </w:tblPrEx>
        <w:trPr>
          <w:trHeight w:val="1155"/>
        </w:trPr>
        <w:tc>
          <w:tcPr>
            <w:tcW w:w="2132" w:type="dxa"/>
          </w:tcPr>
          <w:p w:rsidR="00D25F98" w:rsidRPr="00D25F98" w:rsidP="00D07985">
            <w:pPr>
              <w:spacing w:line="240" w:lineRule="auto"/>
              <w:ind w:right="23"/>
              <w:jc w:val="left"/>
              <w:rPr>
                <w:rFonts w:ascii="Tahoma" w:eastAsia="Calibri" w:hAnsi="Tahoma" w:cs="Tahoma"/>
                <w:sz w:val="19"/>
                <w:szCs w:val="19"/>
                <w:rtl/>
              </w:rPr>
            </w:pPr>
            <w:r w:rsidRPr="00D25F98">
              <w:rPr>
                <w:rFonts w:ascii="Tahoma" w:eastAsia="Calibri" w:hAnsi="Tahoma" w:cs="Tahoma"/>
                <w:sz w:val="19"/>
                <w:szCs w:val="19"/>
                <w:rtl/>
              </w:rPr>
              <w:t>תקציב תחום התקשוב במשרד החוץ לשנת 2024</w:t>
            </w:r>
            <w:r w:rsidRPr="00D25F98">
              <w:rPr>
                <w:rFonts w:ascii="Tahoma" w:eastAsia="Calibri" w:hAnsi="Tahoma" w:cs="Tahoma" w:hint="cs"/>
                <w:sz w:val="19"/>
                <w:szCs w:val="19"/>
                <w:rtl/>
              </w:rPr>
              <w:t>, המהווה כ-4.5% מסך תקציב המשרד (1.9 מיליארד ש"ח).</w:t>
            </w:r>
            <w:r w:rsidRPr="00D25F98">
              <w:rPr>
                <w:rFonts w:ascii="Tahoma" w:eastAsia="Calibri" w:hAnsi="Tahoma" w:cs="Tahoma"/>
                <w:sz w:val="19"/>
                <w:szCs w:val="19"/>
                <w:rtl/>
              </w:rPr>
              <w:t xml:space="preserve"> מתוכו התקציב שהוקצה לתחום הסייבר עמד על </w:t>
            </w:r>
            <w:r w:rsidRPr="00D25F98">
              <w:rPr>
                <w:rFonts w:ascii="Tahoma" w:eastAsia="Calibri" w:hAnsi="Tahoma" w:cs="Tahoma" w:hint="cs"/>
                <w:sz w:val="19"/>
                <w:szCs w:val="19"/>
                <w:rtl/>
              </w:rPr>
              <w:t>כ-13</w:t>
            </w:r>
            <w:r w:rsidRPr="00D25F98">
              <w:rPr>
                <w:rFonts w:ascii="Tahoma" w:eastAsia="Calibri" w:hAnsi="Tahoma" w:cs="Tahoma"/>
                <w:sz w:val="19"/>
                <w:szCs w:val="19"/>
                <w:rtl/>
              </w:rPr>
              <w:t xml:space="preserve"> מיליון ש"ח</w:t>
            </w:r>
          </w:p>
          <w:p w:rsidR="00D25F98" w:rsidRPr="00D25F98" w:rsidP="00D07985">
            <w:pPr>
              <w:spacing w:line="240" w:lineRule="auto"/>
              <w:ind w:right="23"/>
              <w:jc w:val="left"/>
              <w:rPr>
                <w:rFonts w:ascii="Tahoma" w:eastAsia="Calibri" w:hAnsi="Tahoma" w:cs="Tahoma"/>
                <w:sz w:val="19"/>
                <w:szCs w:val="19"/>
                <w:rtl/>
              </w:rPr>
            </w:pPr>
          </w:p>
        </w:tc>
        <w:tc>
          <w:tcPr>
            <w:tcW w:w="416" w:type="dxa"/>
          </w:tcPr>
          <w:p w:rsidR="00D25F98" w:rsidRPr="00D25F98" w:rsidP="00D07985">
            <w:pPr>
              <w:spacing w:line="240" w:lineRule="auto"/>
              <w:ind w:right="23"/>
              <w:jc w:val="left"/>
              <w:rPr>
                <w:rFonts w:ascii="Tahoma" w:eastAsia="Calibri" w:hAnsi="Tahoma" w:cs="Tahoma"/>
                <w:sz w:val="19"/>
                <w:szCs w:val="19"/>
                <w:rtl/>
              </w:rPr>
            </w:pPr>
          </w:p>
        </w:tc>
        <w:tc>
          <w:tcPr>
            <w:tcW w:w="2135" w:type="dxa"/>
          </w:tcPr>
          <w:p w:rsidR="00D25F98" w:rsidRPr="00D25F98" w:rsidP="00D07985">
            <w:pPr>
              <w:spacing w:line="240" w:lineRule="auto"/>
              <w:ind w:right="23"/>
              <w:jc w:val="left"/>
              <w:rPr>
                <w:rFonts w:ascii="Tahoma" w:eastAsia="Calibri" w:hAnsi="Tahoma" w:cs="Tahoma"/>
                <w:sz w:val="19"/>
                <w:szCs w:val="19"/>
                <w:rtl/>
              </w:rPr>
            </w:pPr>
            <w:r w:rsidRPr="00D25F98">
              <w:rPr>
                <w:rFonts w:ascii="Tahoma" w:eastAsia="Calibri" w:hAnsi="Tahoma" w:cs="Tahoma" w:hint="cs"/>
                <w:sz w:val="19"/>
                <w:szCs w:val="19"/>
                <w:rtl/>
              </w:rPr>
              <w:t>נמצאו מערכות</w:t>
            </w:r>
            <w:r w:rsidRPr="00D25F98">
              <w:rPr>
                <w:rFonts w:ascii="Tahoma" w:eastAsia="Calibri" w:hAnsi="Tahoma" w:cs="Tahoma"/>
                <w:sz w:val="19"/>
                <w:szCs w:val="19"/>
                <w:rtl/>
              </w:rPr>
              <w:t xml:space="preserve"> </w:t>
            </w:r>
            <w:r w:rsidRPr="00D25F98">
              <w:rPr>
                <w:rFonts w:ascii="Tahoma" w:eastAsia="Calibri" w:hAnsi="Tahoma" w:cs="Tahoma" w:hint="cs"/>
                <w:sz w:val="19"/>
                <w:szCs w:val="19"/>
                <w:rtl/>
              </w:rPr>
              <w:t>ש</w:t>
            </w:r>
            <w:r w:rsidRPr="00D25F98">
              <w:rPr>
                <w:rFonts w:ascii="Tahoma" w:eastAsia="Calibri" w:hAnsi="Tahoma" w:cs="Tahoma"/>
                <w:sz w:val="19"/>
                <w:szCs w:val="19"/>
                <w:rtl/>
              </w:rPr>
              <w:t>הוגדרו</w:t>
            </w:r>
            <w:r w:rsidRPr="00D25F98">
              <w:rPr>
                <w:rFonts w:ascii="Tahoma" w:eastAsia="Calibri" w:hAnsi="Tahoma" w:cs="Tahoma" w:hint="cs"/>
                <w:sz w:val="19"/>
                <w:szCs w:val="19"/>
                <w:rtl/>
              </w:rPr>
              <w:t xml:space="preserve"> כפגות תוקף</w:t>
            </w:r>
            <w:r w:rsidRPr="00D25F98">
              <w:rPr>
                <w:rFonts w:ascii="Tahoma" w:eastAsia="Calibri" w:hAnsi="Tahoma" w:cs="Tahoma"/>
                <w:sz w:val="19"/>
                <w:szCs w:val="19"/>
                <w:rtl/>
              </w:rPr>
              <w:t xml:space="preserve"> </w:t>
            </w:r>
            <w:r w:rsidRPr="00D25F98">
              <w:rPr>
                <w:rFonts w:ascii="Tahoma" w:eastAsia="Calibri" w:hAnsi="Tahoma" w:cs="Tahoma" w:hint="cs"/>
                <w:sz w:val="19"/>
                <w:szCs w:val="19"/>
                <w:rtl/>
              </w:rPr>
              <w:t>(</w:t>
            </w:r>
            <w:r>
              <w:rPr>
                <w:rFonts w:ascii="Tahoma" w:eastAsia="Calibri" w:hAnsi="Tahoma" w:cs="Tahoma"/>
                <w:sz w:val="19"/>
                <w:szCs w:val="19"/>
                <w:vertAlign w:val="superscript"/>
              </w:rPr>
              <w:footnoteReference w:id="2"/>
            </w:r>
            <w:r w:rsidRPr="00D25F98">
              <w:rPr>
                <w:rFonts w:ascii="Tahoma" w:eastAsia="Calibri" w:hAnsi="Tahoma" w:cs="Tahoma"/>
                <w:sz w:val="19"/>
                <w:szCs w:val="19"/>
              </w:rPr>
              <w:t>EOL</w:t>
            </w:r>
            <w:r w:rsidRPr="00D25F98">
              <w:rPr>
                <w:rFonts w:ascii="Tahoma" w:eastAsia="Calibri" w:hAnsi="Tahoma" w:cs="Tahoma" w:hint="cs"/>
                <w:sz w:val="19"/>
                <w:szCs w:val="19"/>
                <w:rtl/>
              </w:rPr>
              <w:t>),</w:t>
            </w:r>
            <w:r w:rsidRPr="00D25F98">
              <w:rPr>
                <w:rFonts w:ascii="Tahoma" w:eastAsia="Calibri" w:hAnsi="Tahoma" w:cs="Tahoma"/>
                <w:sz w:val="19"/>
                <w:szCs w:val="19"/>
                <w:rtl/>
              </w:rPr>
              <w:t xml:space="preserve"> או ככאלו הדורשות שדרוג או החלפה</w:t>
            </w:r>
          </w:p>
          <w:p w:rsidR="00D25F98" w:rsidRPr="00D25F98" w:rsidP="00D07985">
            <w:pPr>
              <w:spacing w:line="240" w:lineRule="auto"/>
              <w:ind w:right="23"/>
              <w:jc w:val="left"/>
              <w:rPr>
                <w:rFonts w:ascii="Tahoma" w:eastAsia="Calibri" w:hAnsi="Tahoma" w:cs="Tahoma"/>
                <w:sz w:val="19"/>
                <w:szCs w:val="19"/>
                <w:rtl/>
              </w:rPr>
            </w:pPr>
          </w:p>
        </w:tc>
        <w:tc>
          <w:tcPr>
            <w:tcW w:w="417" w:type="dxa"/>
          </w:tcPr>
          <w:p w:rsidR="00D25F98" w:rsidRPr="00D25F98" w:rsidP="00D07985">
            <w:pPr>
              <w:spacing w:line="240" w:lineRule="exact"/>
              <w:jc w:val="left"/>
              <w:rPr>
                <w:rFonts w:ascii="Tahoma" w:eastAsia="Calibri" w:hAnsi="Tahoma" w:cs="Tahoma"/>
                <w:sz w:val="19"/>
                <w:szCs w:val="19"/>
                <w:rtl/>
              </w:rPr>
            </w:pPr>
          </w:p>
        </w:tc>
        <w:tc>
          <w:tcPr>
            <w:tcW w:w="2135" w:type="dxa"/>
          </w:tcPr>
          <w:p w:rsidR="00D25F98" w:rsidRPr="00D25F98" w:rsidP="00D07985">
            <w:pPr>
              <w:spacing w:line="240" w:lineRule="auto"/>
              <w:ind w:right="23"/>
              <w:jc w:val="left"/>
              <w:rPr>
                <w:rFonts w:ascii="Tahoma" w:eastAsia="Calibri" w:hAnsi="Tahoma" w:cs="Tahoma"/>
                <w:sz w:val="19"/>
                <w:szCs w:val="19"/>
                <w:rtl/>
              </w:rPr>
            </w:pPr>
            <w:r w:rsidRPr="00D25F98">
              <w:rPr>
                <w:rFonts w:ascii="Tahoma" w:eastAsia="Calibri" w:hAnsi="Tahoma" w:cs="Tahoma" w:hint="cs"/>
                <w:sz w:val="19"/>
                <w:szCs w:val="19"/>
                <w:rtl/>
              </w:rPr>
              <w:t>אירועי הגנת מידע התרחשו ב</w:t>
            </w:r>
            <w:r w:rsidRPr="00D25F98">
              <w:rPr>
                <w:rFonts w:ascii="Tahoma" w:eastAsia="Calibri" w:hAnsi="Tahoma" w:cs="Tahoma"/>
                <w:sz w:val="19"/>
                <w:szCs w:val="19"/>
                <w:rtl/>
              </w:rPr>
              <w:t xml:space="preserve">נציגויות </w:t>
            </w:r>
            <w:r w:rsidRPr="00D25F98">
              <w:rPr>
                <w:rFonts w:ascii="Tahoma" w:eastAsia="Calibri" w:hAnsi="Tahoma" w:cs="Tahoma" w:hint="cs"/>
                <w:sz w:val="19"/>
                <w:szCs w:val="19"/>
                <w:rtl/>
              </w:rPr>
              <w:t>ישראל בחו"ל בשנת 2023</w:t>
            </w:r>
          </w:p>
        </w:tc>
        <w:tc>
          <w:tcPr>
            <w:tcW w:w="417" w:type="dxa"/>
          </w:tcPr>
          <w:p w:rsidR="00D25F98" w:rsidRPr="00D25F98" w:rsidP="00D07985">
            <w:pPr>
              <w:spacing w:line="240" w:lineRule="exact"/>
              <w:jc w:val="left"/>
              <w:rPr>
                <w:rFonts w:ascii="Tahoma" w:eastAsia="Calibri" w:hAnsi="Tahoma" w:cs="Tahoma"/>
                <w:sz w:val="19"/>
                <w:szCs w:val="19"/>
                <w:rtl/>
              </w:rPr>
            </w:pPr>
          </w:p>
        </w:tc>
        <w:tc>
          <w:tcPr>
            <w:tcW w:w="1990" w:type="dxa"/>
          </w:tcPr>
          <w:p w:rsidR="00D25F98" w:rsidRPr="00D25F98" w:rsidP="00D07985">
            <w:pPr>
              <w:spacing w:line="240" w:lineRule="auto"/>
              <w:ind w:right="23"/>
              <w:jc w:val="left"/>
              <w:rPr>
                <w:rFonts w:ascii="Tahoma" w:eastAsia="Calibri" w:hAnsi="Tahoma" w:cs="Tahoma"/>
                <w:sz w:val="19"/>
                <w:szCs w:val="19"/>
                <w:rtl/>
              </w:rPr>
            </w:pPr>
            <w:r w:rsidRPr="00D25F98">
              <w:rPr>
                <w:rFonts w:ascii="Tahoma" w:eastAsia="Calibri" w:hAnsi="Tahoma" w:cs="Tahoma"/>
                <w:sz w:val="19"/>
                <w:szCs w:val="19"/>
                <w:rtl/>
              </w:rPr>
              <w:t xml:space="preserve">רמת ההגנה על המידע ברשתות </w:t>
            </w:r>
            <w:r w:rsidRPr="00D25F98">
              <w:rPr>
                <w:rFonts w:ascii="Tahoma" w:eastAsia="Calibri" w:hAnsi="Tahoma" w:cs="Tahoma" w:hint="cs"/>
                <w:sz w:val="19"/>
                <w:szCs w:val="19"/>
                <w:rtl/>
              </w:rPr>
              <w:t>מסוימות</w:t>
            </w:r>
            <w:r w:rsidRPr="00D25F98">
              <w:rPr>
                <w:rFonts w:ascii="Tahoma" w:eastAsia="Calibri" w:hAnsi="Tahoma" w:cs="Tahoma"/>
                <w:sz w:val="19"/>
                <w:szCs w:val="19"/>
                <w:rtl/>
              </w:rPr>
              <w:t xml:space="preserve"> נמוכה מרמת ההגנה הנדרשת ואינה עומדת בדרישות הגורם המנחה</w:t>
            </w:r>
          </w:p>
        </w:tc>
      </w:tr>
      <w:tr w:rsidTr="00E75F41">
        <w:tblPrEx>
          <w:tblW w:w="9642" w:type="dxa"/>
          <w:tblLook w:val="04A0"/>
        </w:tblPrEx>
        <w:trPr>
          <w:trHeight w:val="363"/>
        </w:trPr>
        <w:tc>
          <w:tcPr>
            <w:tcW w:w="9642" w:type="dxa"/>
            <w:gridSpan w:val="7"/>
          </w:tcPr>
          <w:p w:rsidR="00D25F98" w:rsidRPr="00D25F98" w:rsidP="00D25F98">
            <w:pPr>
              <w:jc w:val="center"/>
              <w:rPr>
                <w:rFonts w:ascii="Tahoma" w:eastAsia="Calibri" w:hAnsi="Tahoma" w:cs="Tahoma"/>
                <w:sz w:val="6"/>
                <w:szCs w:val="6"/>
                <w:rtl/>
              </w:rPr>
            </w:pPr>
          </w:p>
        </w:tc>
      </w:tr>
      <w:tr w:rsidTr="00E75F41">
        <w:tblPrEx>
          <w:tblW w:w="9642" w:type="dxa"/>
          <w:tblLook w:val="04A0"/>
        </w:tblPrEx>
        <w:trPr>
          <w:trHeight w:val="227"/>
        </w:trPr>
        <w:tc>
          <w:tcPr>
            <w:tcW w:w="2132" w:type="dxa"/>
            <w:tcBorders>
              <w:bottom w:val="single" w:sz="12" w:space="0" w:color="auto"/>
            </w:tcBorders>
            <w:vAlign w:val="bottom"/>
          </w:tcPr>
          <w:p w:rsidR="00D25F98" w:rsidRPr="00D25F98" w:rsidP="00D07985">
            <w:pPr>
              <w:spacing w:after="60" w:line="240" w:lineRule="auto"/>
              <w:jc w:val="left"/>
              <w:rPr>
                <w:rFonts w:ascii="Tahoma" w:eastAsia="Calibri" w:hAnsi="Tahoma" w:cs="Tahoma"/>
                <w:spacing w:val="-10"/>
                <w:sz w:val="36"/>
                <w:szCs w:val="36"/>
              </w:rPr>
            </w:pPr>
            <w:r w:rsidRPr="00D25F98">
              <w:rPr>
                <w:rFonts w:ascii="Tahoma" w:eastAsia="Calibri" w:hAnsi="Tahoma" w:cs="Tahoma" w:hint="cs"/>
                <w:spacing w:val="-10"/>
                <w:sz w:val="26"/>
                <w:szCs w:val="26"/>
                <w:rtl/>
              </w:rPr>
              <w:t>משנת</w:t>
            </w:r>
            <w:r w:rsidRPr="00D25F98">
              <w:rPr>
                <w:rFonts w:ascii="Tahoma" w:eastAsia="Calibri" w:hAnsi="Tahoma" w:cs="Tahoma"/>
                <w:spacing w:val="-10"/>
                <w:sz w:val="36"/>
                <w:szCs w:val="36"/>
                <w:rtl/>
              </w:rPr>
              <w:t xml:space="preserve"> 201</w:t>
            </w:r>
            <w:r w:rsidRPr="00D25F98">
              <w:rPr>
                <w:rFonts w:ascii="Tahoma" w:eastAsia="Calibri" w:hAnsi="Tahoma" w:cs="Tahoma" w:hint="cs"/>
                <w:spacing w:val="-10"/>
                <w:sz w:val="36"/>
                <w:szCs w:val="36"/>
                <w:rtl/>
              </w:rPr>
              <w:t>8</w:t>
            </w:r>
          </w:p>
        </w:tc>
        <w:tc>
          <w:tcPr>
            <w:tcW w:w="416" w:type="dxa"/>
            <w:vAlign w:val="bottom"/>
          </w:tcPr>
          <w:p w:rsidR="00D25F98" w:rsidRPr="00D25F98" w:rsidP="00D07985">
            <w:pPr>
              <w:jc w:val="left"/>
              <w:rPr>
                <w:rFonts w:ascii="Tahoma" w:eastAsia="Calibri" w:hAnsi="Tahoma" w:cs="Tahoma"/>
                <w:spacing w:val="-10"/>
              </w:rPr>
            </w:pPr>
          </w:p>
        </w:tc>
        <w:tc>
          <w:tcPr>
            <w:tcW w:w="2135" w:type="dxa"/>
            <w:tcBorders>
              <w:bottom w:val="single" w:sz="12" w:space="0" w:color="auto"/>
            </w:tcBorders>
            <w:vAlign w:val="bottom"/>
          </w:tcPr>
          <w:p w:rsidR="00D25F98" w:rsidRPr="00D25F98" w:rsidP="00D07985">
            <w:pPr>
              <w:spacing w:after="60" w:line="240" w:lineRule="auto"/>
              <w:jc w:val="left"/>
              <w:rPr>
                <w:rFonts w:ascii="Tahoma" w:eastAsia="Calibri" w:hAnsi="Tahoma" w:cs="Tahoma"/>
                <w:spacing w:val="-10"/>
                <w:sz w:val="36"/>
                <w:szCs w:val="36"/>
              </w:rPr>
            </w:pPr>
            <w:r w:rsidRPr="00D25F98">
              <w:rPr>
                <w:rFonts w:ascii="Tahoma" w:eastAsia="Calibri" w:hAnsi="Tahoma" w:cs="Tahoma" w:hint="eastAsia"/>
                <w:spacing w:val="-10"/>
                <w:sz w:val="26"/>
                <w:szCs w:val="26"/>
                <w:rtl/>
              </w:rPr>
              <w:t>ספריות</w:t>
            </w:r>
            <w:r w:rsidRPr="00D25F98">
              <w:rPr>
                <w:rFonts w:ascii="Tahoma" w:eastAsia="Calibri" w:hAnsi="Tahoma" w:cs="Tahoma"/>
                <w:spacing w:val="-10"/>
                <w:sz w:val="26"/>
                <w:szCs w:val="26"/>
                <w:rtl/>
              </w:rPr>
              <w:t xml:space="preserve"> רשת משותפות</w:t>
            </w:r>
          </w:p>
        </w:tc>
        <w:tc>
          <w:tcPr>
            <w:tcW w:w="417" w:type="dxa"/>
            <w:vAlign w:val="bottom"/>
          </w:tcPr>
          <w:p w:rsidR="00D25F98" w:rsidRPr="00D25F98" w:rsidP="00D07985">
            <w:pPr>
              <w:jc w:val="left"/>
              <w:rPr>
                <w:rFonts w:ascii="Tahoma" w:eastAsia="Calibri" w:hAnsi="Tahoma" w:cs="Tahoma"/>
                <w:spacing w:val="-10"/>
              </w:rPr>
            </w:pPr>
          </w:p>
        </w:tc>
        <w:tc>
          <w:tcPr>
            <w:tcW w:w="2135" w:type="dxa"/>
            <w:tcBorders>
              <w:bottom w:val="single" w:sz="12" w:space="0" w:color="auto"/>
            </w:tcBorders>
            <w:vAlign w:val="bottom"/>
          </w:tcPr>
          <w:p w:rsidR="00D25F98" w:rsidRPr="00D25F98" w:rsidP="00D07985">
            <w:pPr>
              <w:spacing w:after="60" w:line="240" w:lineRule="auto"/>
              <w:jc w:val="left"/>
              <w:rPr>
                <w:rFonts w:ascii="Tahoma" w:eastAsia="Calibri" w:hAnsi="Tahoma" w:cs="Tahoma"/>
                <w:spacing w:val="-10"/>
                <w:sz w:val="36"/>
                <w:szCs w:val="36"/>
              </w:rPr>
            </w:pPr>
            <w:r w:rsidRPr="00D25F98">
              <w:rPr>
                <w:rFonts w:ascii="Tahoma" w:eastAsia="Calibri" w:hAnsi="Tahoma" w:cs="Tahoma"/>
                <w:spacing w:val="-10"/>
                <w:sz w:val="36"/>
                <w:szCs w:val="36"/>
                <w:rtl/>
              </w:rPr>
              <w:t xml:space="preserve"> </w:t>
            </w:r>
            <w:r w:rsidRPr="00D25F98">
              <w:rPr>
                <w:rFonts w:ascii="Tahoma" w:eastAsia="Calibri" w:hAnsi="Tahoma" w:cs="Tahoma" w:hint="eastAsia"/>
                <w:spacing w:val="-10"/>
                <w:sz w:val="26"/>
                <w:szCs w:val="26"/>
                <w:rtl/>
              </w:rPr>
              <w:t>תשתיות</w:t>
            </w:r>
            <w:r w:rsidRPr="00D25F98">
              <w:rPr>
                <w:rFonts w:ascii="Tahoma" w:eastAsia="Calibri" w:hAnsi="Tahoma" w:cs="Tahoma"/>
                <w:spacing w:val="-10"/>
                <w:sz w:val="26"/>
                <w:szCs w:val="26"/>
                <w:rtl/>
              </w:rPr>
              <w:t xml:space="preserve"> </w:t>
            </w:r>
            <w:r w:rsidRPr="00D25F98">
              <w:rPr>
                <w:rFonts w:ascii="Tahoma" w:eastAsia="Calibri" w:hAnsi="Tahoma" w:cs="Tahoma" w:hint="eastAsia"/>
                <w:spacing w:val="-10"/>
                <w:sz w:val="26"/>
                <w:szCs w:val="26"/>
                <w:rtl/>
              </w:rPr>
              <w:t>ומערכות</w:t>
            </w:r>
            <w:r w:rsidRPr="00D25F98">
              <w:rPr>
                <w:rFonts w:ascii="Tahoma" w:eastAsia="Calibri" w:hAnsi="Tahoma" w:cs="Tahoma"/>
                <w:spacing w:val="-10"/>
                <w:sz w:val="26"/>
                <w:szCs w:val="26"/>
                <w:rtl/>
              </w:rPr>
              <w:t xml:space="preserve"> </w:t>
            </w:r>
            <w:r w:rsidRPr="00D25F98">
              <w:rPr>
                <w:rFonts w:ascii="Tahoma" w:eastAsia="Calibri" w:hAnsi="Tahoma" w:cs="Tahoma" w:hint="eastAsia"/>
                <w:spacing w:val="-10"/>
                <w:sz w:val="26"/>
                <w:szCs w:val="26"/>
                <w:rtl/>
              </w:rPr>
              <w:t>מידע</w:t>
            </w:r>
          </w:p>
        </w:tc>
        <w:tc>
          <w:tcPr>
            <w:tcW w:w="417" w:type="dxa"/>
            <w:vAlign w:val="bottom"/>
          </w:tcPr>
          <w:p w:rsidR="00D25F98" w:rsidRPr="00D25F98" w:rsidP="00D07985">
            <w:pPr>
              <w:jc w:val="left"/>
              <w:rPr>
                <w:rFonts w:ascii="Tahoma" w:eastAsia="Calibri" w:hAnsi="Tahoma" w:cs="Tahoma"/>
                <w:spacing w:val="-10"/>
              </w:rPr>
            </w:pPr>
          </w:p>
        </w:tc>
        <w:tc>
          <w:tcPr>
            <w:tcW w:w="1990" w:type="dxa"/>
            <w:tcBorders>
              <w:bottom w:val="single" w:sz="12" w:space="0" w:color="auto"/>
            </w:tcBorders>
            <w:vAlign w:val="bottom"/>
          </w:tcPr>
          <w:p w:rsidR="00D25F98" w:rsidRPr="00D25F98" w:rsidP="00D07985">
            <w:pPr>
              <w:spacing w:after="60" w:line="240" w:lineRule="auto"/>
              <w:jc w:val="left"/>
              <w:rPr>
                <w:rFonts w:ascii="Tahoma" w:eastAsia="Calibri" w:hAnsi="Tahoma" w:cs="Tahoma"/>
                <w:spacing w:val="-10"/>
                <w:sz w:val="36"/>
                <w:szCs w:val="36"/>
              </w:rPr>
            </w:pPr>
            <w:r w:rsidRPr="00D25F98">
              <w:rPr>
                <w:rFonts w:ascii="Tahoma" w:eastAsia="Calibri" w:hAnsi="Tahoma" w:cs="Tahoma" w:hint="cs"/>
                <w:spacing w:val="-10"/>
                <w:sz w:val="36"/>
                <w:szCs w:val="36"/>
                <w:rtl/>
              </w:rPr>
              <w:t xml:space="preserve">15 </w:t>
            </w:r>
            <w:r w:rsidRPr="00D25F98">
              <w:rPr>
                <w:rFonts w:ascii="Tahoma" w:eastAsia="Calibri" w:hAnsi="Tahoma" w:cs="Tahoma" w:hint="cs"/>
                <w:spacing w:val="-10"/>
                <w:sz w:val="26"/>
                <w:szCs w:val="26"/>
                <w:rtl/>
              </w:rPr>
              <w:t>ממצאים</w:t>
            </w:r>
          </w:p>
        </w:tc>
      </w:tr>
      <w:tr w:rsidTr="00E75F41">
        <w:tblPrEx>
          <w:tblW w:w="9642" w:type="dxa"/>
          <w:tblLook w:val="04A0"/>
        </w:tblPrEx>
        <w:trPr>
          <w:trHeight w:val="70"/>
        </w:trPr>
        <w:tc>
          <w:tcPr>
            <w:tcW w:w="9642" w:type="dxa"/>
            <w:gridSpan w:val="7"/>
            <w:vAlign w:val="center"/>
          </w:tcPr>
          <w:p w:rsidR="00D25F98" w:rsidRPr="00D25F98" w:rsidP="00D25F98">
            <w:pPr>
              <w:rPr>
                <w:rFonts w:ascii="Tahoma" w:eastAsia="Calibri" w:hAnsi="Tahoma" w:cs="Tahoma"/>
                <w:spacing w:val="-10"/>
                <w:sz w:val="6"/>
                <w:szCs w:val="6"/>
                <w:rtl/>
              </w:rPr>
            </w:pPr>
          </w:p>
        </w:tc>
      </w:tr>
      <w:tr w:rsidTr="00E75F41">
        <w:tblPrEx>
          <w:tblW w:w="9642" w:type="dxa"/>
          <w:tblLook w:val="04A0"/>
        </w:tblPrEx>
        <w:trPr>
          <w:trHeight w:val="1153"/>
        </w:trPr>
        <w:tc>
          <w:tcPr>
            <w:tcW w:w="2132" w:type="dxa"/>
          </w:tcPr>
          <w:p w:rsidR="00D25F98" w:rsidRPr="00D25F98" w:rsidP="00D07985">
            <w:pPr>
              <w:spacing w:line="240" w:lineRule="auto"/>
              <w:ind w:right="23"/>
              <w:jc w:val="left"/>
              <w:rPr>
                <w:rFonts w:ascii="Tahoma" w:eastAsia="Calibri" w:hAnsi="Tahoma" w:cs="Tahoma"/>
                <w:sz w:val="19"/>
                <w:szCs w:val="19"/>
                <w:rtl/>
              </w:rPr>
            </w:pPr>
            <w:r w:rsidRPr="00D25F98">
              <w:rPr>
                <w:rFonts w:ascii="Tahoma" w:eastAsia="Calibri" w:hAnsi="Tahoma" w:cs="Tahoma" w:hint="cs"/>
                <w:sz w:val="19"/>
                <w:szCs w:val="19"/>
                <w:rtl/>
              </w:rPr>
              <w:t>לא עודכן</w:t>
            </w:r>
            <w:r w:rsidRPr="00D25F98">
              <w:rPr>
                <w:rFonts w:eastAsia="Calibri"/>
                <w:szCs w:val="20"/>
                <w:rtl/>
              </w:rPr>
              <w:t xml:space="preserve"> </w:t>
            </w:r>
            <w:r w:rsidRPr="00D25F98">
              <w:rPr>
                <w:rFonts w:ascii="Tahoma" w:eastAsia="Calibri" w:hAnsi="Tahoma" w:cs="Tahoma"/>
                <w:sz w:val="19"/>
                <w:szCs w:val="19"/>
                <w:rtl/>
              </w:rPr>
              <w:t>מסמך מדיניות הגנת הסייבר ואבטחת המידע במשרד החוץ</w:t>
            </w:r>
            <w:r w:rsidRPr="00D25F98">
              <w:rPr>
                <w:rFonts w:ascii="Tahoma" w:eastAsia="Calibri" w:hAnsi="Tahoma" w:cs="Tahoma" w:hint="cs"/>
                <w:sz w:val="19"/>
                <w:szCs w:val="19"/>
                <w:rtl/>
              </w:rPr>
              <w:t>. זאת אף ש</w:t>
            </w:r>
            <w:r w:rsidRPr="00D25F98">
              <w:rPr>
                <w:rFonts w:ascii="Tahoma" w:eastAsia="Calibri" w:hAnsi="Tahoma" w:cs="Tahoma"/>
                <w:sz w:val="19"/>
                <w:szCs w:val="19"/>
                <w:rtl/>
              </w:rPr>
              <w:t>חלו שינויים מהותיים במפת האיומים ובמבנה הארגוני של מערך התקשוב</w:t>
            </w:r>
          </w:p>
        </w:tc>
        <w:tc>
          <w:tcPr>
            <w:tcW w:w="416" w:type="dxa"/>
          </w:tcPr>
          <w:p w:rsidR="00D25F98" w:rsidRPr="00D25F98" w:rsidP="00D07985">
            <w:pPr>
              <w:spacing w:line="240" w:lineRule="exact"/>
              <w:jc w:val="left"/>
              <w:rPr>
                <w:rFonts w:ascii="Tahoma" w:eastAsia="Calibri" w:hAnsi="Tahoma" w:cs="Tahoma"/>
                <w:sz w:val="19"/>
                <w:szCs w:val="19"/>
                <w:rtl/>
              </w:rPr>
            </w:pPr>
          </w:p>
        </w:tc>
        <w:tc>
          <w:tcPr>
            <w:tcW w:w="2135" w:type="dxa"/>
          </w:tcPr>
          <w:p w:rsidR="00D25F98" w:rsidRPr="00D25F98" w:rsidP="00D07985">
            <w:pPr>
              <w:spacing w:line="240" w:lineRule="auto"/>
              <w:ind w:right="23"/>
              <w:jc w:val="left"/>
              <w:rPr>
                <w:rFonts w:ascii="Tahoma" w:eastAsia="Calibri" w:hAnsi="Tahoma" w:cs="Tahoma"/>
                <w:sz w:val="19"/>
                <w:szCs w:val="19"/>
                <w:rtl/>
              </w:rPr>
            </w:pPr>
            <w:r w:rsidRPr="00D25F98">
              <w:rPr>
                <w:rFonts w:ascii="Tahoma" w:eastAsia="Calibri" w:hAnsi="Tahoma" w:cs="Tahoma"/>
                <w:sz w:val="19"/>
                <w:szCs w:val="19"/>
                <w:rtl/>
              </w:rPr>
              <w:t xml:space="preserve">נמצאו ספריות </w:t>
            </w:r>
            <w:r w:rsidRPr="00D25F98">
              <w:rPr>
                <w:rFonts w:ascii="Tahoma" w:eastAsia="Calibri" w:hAnsi="Tahoma" w:cs="Tahoma" w:hint="eastAsia"/>
                <w:sz w:val="19"/>
                <w:szCs w:val="19"/>
                <w:rtl/>
              </w:rPr>
              <w:t>בחלק</w:t>
            </w:r>
            <w:r w:rsidRPr="00D25F98">
              <w:rPr>
                <w:rFonts w:ascii="Tahoma" w:eastAsia="Calibri" w:hAnsi="Tahoma" w:cs="Tahoma"/>
                <w:sz w:val="19"/>
                <w:szCs w:val="19"/>
                <w:rtl/>
              </w:rPr>
              <w:t xml:space="preserve"> מרשתות המשרד </w:t>
            </w:r>
            <w:r w:rsidRPr="00D25F98">
              <w:rPr>
                <w:rFonts w:ascii="Tahoma" w:eastAsia="Calibri" w:hAnsi="Tahoma" w:cs="Tahoma" w:hint="eastAsia"/>
                <w:sz w:val="19"/>
                <w:szCs w:val="19"/>
                <w:rtl/>
              </w:rPr>
              <w:t>שהיו</w:t>
            </w:r>
            <w:r w:rsidRPr="00D25F98">
              <w:rPr>
                <w:rFonts w:ascii="Tahoma" w:eastAsia="Calibri" w:hAnsi="Tahoma" w:cs="Tahoma"/>
                <w:sz w:val="19"/>
                <w:szCs w:val="19"/>
                <w:rtl/>
              </w:rPr>
              <w:t xml:space="preserve"> </w:t>
            </w:r>
            <w:r w:rsidRPr="00D25F98">
              <w:rPr>
                <w:rFonts w:ascii="Tahoma" w:eastAsia="Calibri" w:hAnsi="Tahoma" w:cs="Tahoma" w:hint="eastAsia"/>
                <w:sz w:val="19"/>
                <w:szCs w:val="19"/>
                <w:rtl/>
              </w:rPr>
              <w:t>פתוחות</w:t>
            </w:r>
            <w:r w:rsidRPr="00D25F98">
              <w:rPr>
                <w:rFonts w:ascii="Tahoma" w:eastAsia="Calibri" w:hAnsi="Tahoma" w:cs="Tahoma"/>
                <w:sz w:val="19"/>
                <w:szCs w:val="19"/>
                <w:rtl/>
              </w:rPr>
              <w:t xml:space="preserve"> </w:t>
            </w:r>
            <w:r w:rsidRPr="00D25F98">
              <w:rPr>
                <w:rFonts w:ascii="Tahoma" w:eastAsia="Calibri" w:hAnsi="Tahoma" w:cs="Tahoma" w:hint="eastAsia"/>
                <w:sz w:val="19"/>
                <w:szCs w:val="19"/>
                <w:rtl/>
              </w:rPr>
              <w:t>לכלל</w:t>
            </w:r>
            <w:r w:rsidRPr="00D25F98">
              <w:rPr>
                <w:rFonts w:ascii="Tahoma" w:eastAsia="Calibri" w:hAnsi="Tahoma" w:cs="Tahoma"/>
                <w:sz w:val="19"/>
                <w:szCs w:val="19"/>
                <w:rtl/>
              </w:rPr>
              <w:t xml:space="preserve"> </w:t>
            </w:r>
            <w:r w:rsidRPr="00D25F98">
              <w:rPr>
                <w:rFonts w:ascii="Tahoma" w:eastAsia="Calibri" w:hAnsi="Tahoma" w:cs="Tahoma" w:hint="eastAsia"/>
                <w:sz w:val="19"/>
                <w:szCs w:val="19"/>
                <w:rtl/>
              </w:rPr>
              <w:t>משתמשי</w:t>
            </w:r>
            <w:r w:rsidRPr="00D25F98">
              <w:rPr>
                <w:rFonts w:ascii="Tahoma" w:eastAsia="Calibri" w:hAnsi="Tahoma" w:cs="Tahoma"/>
                <w:sz w:val="19"/>
                <w:szCs w:val="19"/>
                <w:rtl/>
              </w:rPr>
              <w:t xml:space="preserve"> </w:t>
            </w:r>
            <w:r w:rsidRPr="00D25F98">
              <w:rPr>
                <w:rFonts w:ascii="Tahoma" w:eastAsia="Calibri" w:hAnsi="Tahoma" w:cs="Tahoma" w:hint="eastAsia"/>
                <w:sz w:val="19"/>
                <w:szCs w:val="19"/>
                <w:rtl/>
              </w:rPr>
              <w:t>הרשת</w:t>
            </w:r>
          </w:p>
        </w:tc>
        <w:tc>
          <w:tcPr>
            <w:tcW w:w="417" w:type="dxa"/>
          </w:tcPr>
          <w:p w:rsidR="00D25F98" w:rsidRPr="00D25F98" w:rsidP="00D07985">
            <w:pPr>
              <w:spacing w:line="240" w:lineRule="exact"/>
              <w:jc w:val="left"/>
              <w:rPr>
                <w:rFonts w:ascii="Tahoma" w:eastAsia="Calibri" w:hAnsi="Tahoma" w:cs="Tahoma"/>
                <w:sz w:val="19"/>
                <w:szCs w:val="19"/>
                <w:rtl/>
              </w:rPr>
            </w:pPr>
          </w:p>
        </w:tc>
        <w:tc>
          <w:tcPr>
            <w:tcW w:w="2135" w:type="dxa"/>
          </w:tcPr>
          <w:p w:rsidR="00D25F98" w:rsidRPr="00D25F98" w:rsidP="00D07985">
            <w:pPr>
              <w:spacing w:line="240" w:lineRule="auto"/>
              <w:ind w:right="23"/>
              <w:jc w:val="left"/>
              <w:rPr>
                <w:rFonts w:ascii="Tahoma" w:eastAsia="Calibri" w:hAnsi="Tahoma" w:cs="Tahoma"/>
                <w:sz w:val="19"/>
                <w:szCs w:val="19"/>
                <w:rtl/>
              </w:rPr>
            </w:pPr>
            <w:r w:rsidRPr="00D25F98">
              <w:rPr>
                <w:rFonts w:ascii="Tahoma" w:eastAsia="Calibri" w:hAnsi="Tahoma" w:cs="Tahoma"/>
                <w:sz w:val="19"/>
                <w:szCs w:val="19"/>
                <w:rtl/>
              </w:rPr>
              <w:t>נמצאו פערים בעדכניות תשתיות ומערכות המידע</w:t>
            </w:r>
          </w:p>
        </w:tc>
        <w:tc>
          <w:tcPr>
            <w:tcW w:w="417" w:type="dxa"/>
          </w:tcPr>
          <w:p w:rsidR="00D25F98" w:rsidRPr="00D25F98" w:rsidP="00D07985">
            <w:pPr>
              <w:spacing w:line="240" w:lineRule="exact"/>
              <w:jc w:val="left"/>
              <w:rPr>
                <w:rFonts w:ascii="Tahoma" w:eastAsia="Calibri" w:hAnsi="Tahoma" w:cs="Tahoma"/>
                <w:sz w:val="19"/>
                <w:szCs w:val="19"/>
                <w:rtl/>
              </w:rPr>
            </w:pPr>
          </w:p>
        </w:tc>
        <w:tc>
          <w:tcPr>
            <w:tcW w:w="1990" w:type="dxa"/>
          </w:tcPr>
          <w:p w:rsidR="00D25F98" w:rsidRPr="00D25F98" w:rsidP="00D07985">
            <w:pPr>
              <w:spacing w:line="240" w:lineRule="auto"/>
              <w:jc w:val="left"/>
              <w:rPr>
                <w:rFonts w:ascii="Tahoma" w:eastAsia="Calibri" w:hAnsi="Tahoma" w:cs="Tahoma"/>
                <w:sz w:val="19"/>
                <w:szCs w:val="19"/>
                <w:rtl/>
              </w:rPr>
            </w:pPr>
            <w:r w:rsidRPr="00D25F98">
              <w:rPr>
                <w:rFonts w:ascii="Tahoma" w:eastAsia="Calibri" w:hAnsi="Tahoma" w:cs="Tahoma" w:hint="cs"/>
                <w:sz w:val="19"/>
                <w:szCs w:val="19"/>
                <w:rtl/>
              </w:rPr>
              <w:t xml:space="preserve">זוהו במבדק החוסן שביצע משרד מבקר המדינה. הממצאים ברמות סיכון שונות: </w:t>
            </w:r>
            <w:r w:rsidRPr="00D25F98">
              <w:rPr>
                <w:rFonts w:ascii="Tahoma" w:eastAsia="Calibri" w:hAnsi="Tahoma" w:cs="Tahoma"/>
                <w:sz w:val="19"/>
                <w:szCs w:val="19"/>
                <w:rtl/>
              </w:rPr>
              <w:t>רמה גבוהה ביותר, רמה גבוהה, רמה בינונית ורמה נמוכה</w:t>
            </w:r>
          </w:p>
        </w:tc>
      </w:tr>
    </w:tbl>
    <w:p w:rsidR="00D25F98" w:rsidRPr="00D25F98" w:rsidP="00D25F98">
      <w:pPr>
        <w:rPr>
          <w:rFonts w:eastAsia="Calibri"/>
          <w:rtl/>
        </w:rPr>
      </w:pPr>
    </w:p>
    <w:p w:rsidR="00D25F98" w:rsidRPr="00D25F98" w:rsidP="00D25F98">
      <w:pPr>
        <w:rPr>
          <w:rFonts w:eastAsia="Calibri"/>
          <w:rtl/>
        </w:rPr>
      </w:pPr>
    </w:p>
    <w:tbl>
      <w:tblPr>
        <w:tblStyle w:val="TableGrid"/>
        <w:tblpPr w:leftFromText="180" w:rightFromText="180" w:vertAnchor="text" w:tblpXSpec="center" w:tblpY="1"/>
        <w:tblOverlap w:val="never"/>
        <w:bidiVisual/>
        <w:tblW w:w="9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10"/>
        <w:gridCol w:w="8507"/>
      </w:tblGrid>
      <w:tr w:rsidTr="00E75F41">
        <w:tblPrEx>
          <w:tblW w:w="9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5"/>
        </w:trPr>
        <w:tc>
          <w:tcPr>
            <w:tcW w:w="9617" w:type="dxa"/>
            <w:gridSpan w:val="2"/>
            <w:vAlign w:val="center"/>
          </w:tcPr>
          <w:p w:rsidR="00D25F98" w:rsidRPr="00D25F98" w:rsidP="00D25F98">
            <w:pPr>
              <w:rPr>
                <w:rFonts w:ascii="Tahoma" w:eastAsia="Calibri" w:hAnsi="Tahoma" w:cs="Tahoma"/>
                <w:sz w:val="17"/>
                <w:szCs w:val="17"/>
                <w:rtl/>
              </w:rPr>
            </w:pPr>
            <w:r w:rsidRPr="00D25F98">
              <w:rPr>
                <w:rFonts w:ascii="Tahoma" w:eastAsia="Calibri" w:hAnsi="Tahoma" w:cs="Tahoma"/>
                <w:noProof/>
              </w:rPr>
              <w:drawing>
                <wp:inline distT="0" distB="0" distL="0" distR="0">
                  <wp:extent cx="5969635" cy="498472"/>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קציר תמונה 3.3.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13954" cy="502173"/>
                          </a:xfrm>
                          <a:prstGeom prst="rect">
                            <a:avLst/>
                          </a:prstGeom>
                        </pic:spPr>
                      </pic:pic>
                    </a:graphicData>
                  </a:graphic>
                </wp:inline>
              </w:drawing>
            </w:r>
          </w:p>
        </w:tc>
      </w:tr>
      <w:tr w:rsidTr="0026369E">
        <w:tblPrEx>
          <w:tblW w:w="9617" w:type="dxa"/>
          <w:tblLook w:val="04A0"/>
        </w:tblPrEx>
        <w:trPr>
          <w:trHeight w:val="1019"/>
        </w:trPr>
        <w:tc>
          <w:tcPr>
            <w:tcW w:w="1110" w:type="dxa"/>
            <w:vAlign w:val="center"/>
          </w:tcPr>
          <w:p w:rsidR="00D25F98" w:rsidRPr="00D25F98" w:rsidP="00D25F98">
            <w:pPr>
              <w:rPr>
                <w:rFonts w:ascii="Tahoma" w:eastAsia="Calibri" w:hAnsi="Tahoma" w:cs="Tahoma"/>
                <w:sz w:val="17"/>
                <w:szCs w:val="17"/>
                <w:rtl/>
              </w:rPr>
            </w:pPr>
            <w:r w:rsidRPr="00D25F98">
              <w:rPr>
                <w:rFonts w:ascii="Tahoma" w:eastAsia="Calibri" w:hAnsi="Tahoma" w:cs="Tahoma"/>
                <w:noProof/>
              </w:rPr>
              <w:drawing>
                <wp:anchor distT="0" distB="0" distL="114300" distR="114300" simplePos="0" relativeHeight="251659264" behindDoc="0" locked="0" layoutInCell="1" allowOverlap="1">
                  <wp:simplePos x="0" y="0"/>
                  <wp:positionH relativeFrom="column">
                    <wp:posOffset>47625</wp:posOffset>
                  </wp:positionH>
                  <wp:positionV relativeFrom="paragraph">
                    <wp:posOffset>-1166495</wp:posOffset>
                  </wp:positionV>
                  <wp:extent cx="445135" cy="445135"/>
                  <wp:effectExtent l="0" t="0" r="0" b="0"/>
                  <wp:wrapNone/>
                  <wp:docPr id="32" name="תמונה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56"/>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135"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5F98">
              <w:rPr>
                <w:rFonts w:ascii="Tahoma" w:eastAsia="Calibri" w:hAnsi="Tahoma" w:cs="Tahoma"/>
                <w:noProof/>
              </w:rPr>
              <w:drawing>
                <wp:anchor distT="0" distB="0" distL="114300" distR="114300" simplePos="0" relativeHeight="251658240" behindDoc="0" locked="0" layoutInCell="1" allowOverlap="1">
                  <wp:simplePos x="0" y="0"/>
                  <wp:positionH relativeFrom="column">
                    <wp:posOffset>5289550</wp:posOffset>
                  </wp:positionH>
                  <wp:positionV relativeFrom="paragraph">
                    <wp:posOffset>-50800</wp:posOffset>
                  </wp:positionV>
                  <wp:extent cx="445135" cy="445135"/>
                  <wp:effectExtent l="0" t="0" r="0" b="0"/>
                  <wp:wrapNone/>
                  <wp:docPr id="33" name="תמונה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56"/>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135" cy="4451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7" w:type="dxa"/>
            <w:vAlign w:val="center"/>
          </w:tcPr>
          <w:p w:rsidR="00D25F98" w:rsidRPr="00D25F98" w:rsidP="0026369E">
            <w:pPr>
              <w:spacing w:after="120" w:line="288" w:lineRule="auto"/>
              <w:ind w:right="175"/>
              <w:rPr>
                <w:rFonts w:ascii="Tahoma" w:eastAsia="Calibri" w:hAnsi="Tahoma" w:cs="Tahoma"/>
                <w:sz w:val="19"/>
                <w:szCs w:val="19"/>
                <w:rtl/>
              </w:rPr>
            </w:pPr>
            <w:r w:rsidRPr="00D25F98">
              <w:rPr>
                <w:rFonts w:ascii="Tahoma" w:eastAsia="Calibri" w:hAnsi="Tahoma" w:cs="Tahoma"/>
                <w:sz w:val="19"/>
                <w:szCs w:val="19"/>
                <w:rtl/>
              </w:rPr>
              <w:t>בחודשים מרץ 2024 עד אפריל 2025, במהלך מלחמת "חרבות ברזל"</w:t>
            </w:r>
            <w:r w:rsidRPr="00D25F98">
              <w:rPr>
                <w:rFonts w:ascii="Tahoma" w:eastAsia="Calibri" w:hAnsi="Tahoma" w:cs="Tahoma" w:hint="cs"/>
                <w:sz w:val="19"/>
                <w:szCs w:val="19"/>
                <w:rtl/>
              </w:rPr>
              <w:t>,</w:t>
            </w:r>
            <w:r w:rsidRPr="00D25F98">
              <w:rPr>
                <w:rFonts w:ascii="Tahoma" w:eastAsia="Calibri" w:hAnsi="Tahoma" w:cs="Tahoma"/>
                <w:sz w:val="19"/>
                <w:szCs w:val="19"/>
                <w:rtl/>
              </w:rPr>
              <w:t xml:space="preserve"> ביצע משרד מבקר המדינה ביקורת על מערכות המידע ואבטחת המידע במשרד החוץ. הביקורת בחנה נדבכים הנוגעים לניהול ופיתוח של מערכות המידע במשרד: ממשל טכנולוגיות המידע; ניהול פרויקטים ופיתוח מערכות מידע; תוכנית התאוששות מאסון. כמו כן נבחנו נדבכים הנוגעים לאבטחת המידע והגנת הסייבר במשרד החוץ: ממשל אבטחת מידע; הגנה על המידע ברשתות המחשוב; עדכניות תשתיות ומערכות המידע; הגנה על רשת </w:t>
            </w:r>
            <w:r w:rsidRPr="00D25F98">
              <w:rPr>
                <w:rFonts w:ascii="Tahoma" w:eastAsia="Calibri" w:hAnsi="Tahoma" w:cs="Tahoma" w:hint="cs"/>
                <w:sz w:val="19"/>
                <w:szCs w:val="19"/>
                <w:rtl/>
              </w:rPr>
              <w:t>מסוימת</w:t>
            </w:r>
            <w:r w:rsidRPr="00D25F98">
              <w:rPr>
                <w:rFonts w:ascii="Tahoma" w:eastAsia="Calibri" w:hAnsi="Tahoma" w:cs="Tahoma"/>
                <w:sz w:val="19"/>
                <w:szCs w:val="19"/>
                <w:rtl/>
              </w:rPr>
              <w:t xml:space="preserve"> במשרד; הזדהות משתמשים וניהול הרשאות; הגנה על מאגרי מידע לפי חוק הגנת הפרטיות. </w:t>
            </w:r>
            <w:r w:rsidRPr="00D25F98">
              <w:rPr>
                <w:rFonts w:ascii="Tahoma" w:eastAsia="Calibri" w:hAnsi="Tahoma" w:cs="Tahoma" w:hint="cs"/>
                <w:sz w:val="19"/>
                <w:szCs w:val="19"/>
                <w:rtl/>
              </w:rPr>
              <w:t>בנוסף</w:t>
            </w:r>
            <w:r w:rsidRPr="00D25F98">
              <w:rPr>
                <w:rFonts w:ascii="Tahoma" w:eastAsia="Calibri" w:hAnsi="Tahoma" w:cs="Tahoma"/>
                <w:sz w:val="19"/>
                <w:szCs w:val="19"/>
                <w:rtl/>
              </w:rPr>
              <w:t xml:space="preserve">, במהלך חודש מרץ 2025 בוצע מבדק חוסן הכולל סקר הערכת פגיעויות ומבדק חדירה ברשת </w:t>
            </w:r>
            <w:r w:rsidRPr="00D25F98">
              <w:rPr>
                <w:rFonts w:ascii="Tahoma" w:eastAsia="Calibri" w:hAnsi="Tahoma" w:cs="Tahoma" w:hint="cs"/>
                <w:sz w:val="19"/>
                <w:szCs w:val="19"/>
                <w:rtl/>
              </w:rPr>
              <w:t>מסוימת</w:t>
            </w:r>
            <w:r w:rsidRPr="00D25F98">
              <w:rPr>
                <w:rFonts w:ascii="Tahoma" w:eastAsia="Calibri" w:hAnsi="Tahoma" w:cs="Tahoma"/>
                <w:sz w:val="19"/>
                <w:szCs w:val="19"/>
                <w:rtl/>
              </w:rPr>
              <w:t xml:space="preserve"> במשרד.</w:t>
            </w:r>
          </w:p>
          <w:p w:rsidR="00D25F98" w:rsidRPr="00D25F98" w:rsidP="0026369E">
            <w:pPr>
              <w:spacing w:after="120" w:line="288" w:lineRule="auto"/>
              <w:ind w:right="175"/>
              <w:rPr>
                <w:rFonts w:ascii="Tahoma" w:eastAsia="Calibri" w:hAnsi="Tahoma" w:cs="Tahoma"/>
                <w:sz w:val="19"/>
                <w:szCs w:val="19"/>
                <w:rtl/>
              </w:rPr>
            </w:pPr>
            <w:r w:rsidRPr="00D25F98">
              <w:rPr>
                <w:rFonts w:ascii="Tahoma" w:eastAsia="Calibri" w:hAnsi="Tahoma" w:cs="Tahoma"/>
                <w:sz w:val="19"/>
                <w:szCs w:val="19"/>
                <w:rtl/>
              </w:rPr>
              <w:t>הביקורת נערכה בעיקרה במשרד החוץ. בדיקות השלמה נעשו במערך הדיגיטל הלאומי, לרבות ביה"ב הפועלת בו, במס"ל ובשב"כ.</w:t>
            </w:r>
          </w:p>
          <w:p w:rsidR="00D25F98" w:rsidRPr="00D25F98" w:rsidP="0026369E">
            <w:pPr>
              <w:spacing w:line="288" w:lineRule="auto"/>
              <w:ind w:right="175"/>
              <w:rPr>
                <w:rFonts w:ascii="Tahoma" w:eastAsia="Calibri" w:hAnsi="Tahoma" w:cs="Tahoma"/>
                <w:sz w:val="19"/>
                <w:szCs w:val="19"/>
                <w:rtl/>
              </w:rPr>
            </w:pPr>
            <w:r w:rsidRPr="00D25F98">
              <w:rPr>
                <w:rFonts w:ascii="Tahoma" w:eastAsia="Calibri" w:hAnsi="Tahoma" w:cs="Tahoma" w:hint="cs"/>
                <w:sz w:val="19"/>
                <w:szCs w:val="19"/>
                <w:rtl/>
              </w:rPr>
              <w:t>ועדת המשנה של הוועדה לענייני ביקורת המדינה של הכנסת החליטה שלא להניח דוח זה במלואו על שולחן הכנסת אלא לפרסם רק חלקים ממנו, לשם שמירה על ביטחון המדינה, בהתאם לסעיף 17 לחוק מבקר המדינה, התשי"ח-1958 [נוסח משולב].</w:t>
            </w:r>
          </w:p>
          <w:p w:rsidR="00D25F98" w:rsidRPr="00D25F98" w:rsidP="00D25F98">
            <w:pPr>
              <w:spacing w:line="288" w:lineRule="auto"/>
              <w:rPr>
                <w:rFonts w:ascii="Tahoma" w:eastAsia="Calibri" w:hAnsi="Tahoma" w:cs="Tahoma"/>
                <w:sz w:val="19"/>
                <w:szCs w:val="19"/>
                <w:rtl/>
              </w:rPr>
            </w:pPr>
          </w:p>
        </w:tc>
      </w:tr>
    </w:tbl>
    <w:p w:rsidR="00D25F98" w:rsidRPr="00D25F98" w:rsidP="00D25F98">
      <w:pPr>
        <w:ind w:left="-710"/>
        <w:rPr>
          <w:rFonts w:ascii="Tahoma" w:eastAsia="Calibri" w:hAnsi="Tahoma" w:cs="Tahoma"/>
          <w:noProof/>
        </w:rPr>
      </w:pPr>
    </w:p>
    <w:p w:rsidR="00D25F98" w:rsidRPr="00D25F98" w:rsidP="00D25F98">
      <w:pPr>
        <w:ind w:left="-710"/>
        <w:rPr>
          <w:rFonts w:ascii="Tahoma" w:eastAsia="Calibri" w:hAnsi="Tahoma" w:cs="Tahoma"/>
          <w:noProof/>
        </w:rPr>
      </w:pPr>
    </w:p>
    <w:p w:rsidR="00D25F98" w:rsidRPr="00D25F98" w:rsidP="00D25F98">
      <w:pPr>
        <w:ind w:left="-710"/>
        <w:rPr>
          <w:rFonts w:ascii="Tahoma" w:eastAsia="Calibri" w:hAnsi="Tahoma" w:cs="Tahoma"/>
          <w:noProof/>
          <w:rtl/>
        </w:rPr>
      </w:pPr>
      <w:r w:rsidRPr="00D25F98">
        <w:rPr>
          <w:rFonts w:ascii="Tahoma" w:eastAsia="Calibri" w:hAnsi="Tahoma" w:cs="Tahoma"/>
          <w:noProof/>
        </w:rPr>
        <w:drawing>
          <wp:inline distT="0" distB="0" distL="0" distR="0">
            <wp:extent cx="6104255" cy="438829"/>
            <wp:effectExtent l="0" t="0" r="0" b="0"/>
            <wp:docPr id="36" name="תמונה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תקציר תמונה 2.2.png"/>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rsidR="00D25F98" w:rsidRPr="00D25F98" w:rsidP="00D25F98">
      <w:pPr>
        <w:spacing w:before="240" w:after="160"/>
        <w:ind w:left="-709" w:right="-567"/>
        <w:rPr>
          <w:rFonts w:eastAsia="Calibri"/>
          <w:rtl/>
        </w:rPr>
      </w:pPr>
      <w:r w:rsidRPr="00D25F98">
        <w:rPr>
          <w:rFonts w:ascii="Tahoma" w:eastAsia="Calibri" w:hAnsi="Tahoma" w:cs="Tahoma"/>
          <w:noProof/>
          <w:rtl/>
        </w:rPr>
        <w:drawing>
          <wp:inline distT="0" distB="0" distL="0" distR="0">
            <wp:extent cx="2616789" cy="200650"/>
            <wp:effectExtent l="0" t="0" r="0" b="9525"/>
            <wp:docPr id="174388241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2411" name="DISLIKE.png"/>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rsidR="00D25F98" w:rsidRPr="00D25F98" w:rsidP="00D25F98">
      <w:pPr>
        <w:ind w:left="-710" w:right="-567"/>
        <w:rPr>
          <w:rFonts w:ascii="Tahoma" w:eastAsia="Calibri" w:hAnsi="Tahoma" w:cs="Tahoma"/>
          <w:b/>
          <w:bCs/>
          <w:szCs w:val="20"/>
          <w:rtl/>
        </w:rPr>
      </w:pPr>
      <w:r w:rsidRPr="00D25F98">
        <w:rPr>
          <w:rFonts w:ascii="Tahoma" w:eastAsia="Calibri" w:hAnsi="Tahoma" w:cs="Tahoma"/>
          <w:b/>
          <w:bCs/>
          <w:szCs w:val="20"/>
          <w:rtl/>
        </w:rPr>
        <w:t>ניהול ופיתוח של מערכות המידע במשרד החוץ</w:t>
      </w:r>
    </w:p>
    <w:p w:rsidR="00D25F98" w:rsidRPr="00D25F98" w:rsidP="00A617B0">
      <w:pPr>
        <w:numPr>
          <w:ilvl w:val="0"/>
          <w:numId w:val="14"/>
        </w:numPr>
        <w:spacing w:after="200" w:line="288" w:lineRule="auto"/>
        <w:ind w:left="-142" w:right="-567" w:hanging="595"/>
        <w:rPr>
          <w:rFonts w:ascii="Tahoma" w:eastAsia="Calibri" w:hAnsi="Tahoma" w:cs="Tahoma"/>
          <w:sz w:val="19"/>
          <w:szCs w:val="19"/>
        </w:rPr>
      </w:pPr>
      <w:r w:rsidRPr="00D25F98">
        <w:rPr>
          <w:rFonts w:ascii="Tahoma" w:eastAsia="Calibri" w:hAnsi="Tahoma" w:cs="Tahoma"/>
          <w:b/>
          <w:bCs/>
          <w:sz w:val="19"/>
          <w:szCs w:val="19"/>
          <w:rtl/>
        </w:rPr>
        <w:t>הקמת ועדת היגוי משרדית לתחום התקשוב ופעילותה</w:t>
      </w:r>
      <w:r w:rsidRPr="00D25F98">
        <w:rPr>
          <w:rFonts w:ascii="Tahoma" w:eastAsia="Calibri" w:hAnsi="Tahoma" w:cs="Tahoma" w:hint="cs"/>
          <w:b/>
          <w:bCs/>
          <w:sz w:val="19"/>
          <w:szCs w:val="19"/>
          <w:rtl/>
        </w:rPr>
        <w:t xml:space="preserve"> - </w:t>
      </w:r>
      <w:r w:rsidRPr="00D25F98">
        <w:rPr>
          <w:rFonts w:ascii="Tahoma" w:eastAsia="Calibri" w:hAnsi="Tahoma" w:cs="Tahoma" w:hint="cs"/>
          <w:sz w:val="19"/>
          <w:szCs w:val="19"/>
          <w:rtl/>
        </w:rPr>
        <w:t xml:space="preserve">בניגוד להנחיות מערך הדיגיטל, </w:t>
      </w:r>
      <w:r w:rsidRPr="00D25F98">
        <w:rPr>
          <w:rFonts w:ascii="Tahoma" w:eastAsia="Calibri" w:hAnsi="Tahoma" w:cs="Tahoma"/>
          <w:sz w:val="19"/>
          <w:szCs w:val="19"/>
          <w:rtl/>
        </w:rPr>
        <w:t xml:space="preserve">ועדת ההיגוי המשרדית לתקשוב </w:t>
      </w:r>
      <w:r w:rsidRPr="00D25F98">
        <w:rPr>
          <w:rFonts w:ascii="Tahoma" w:eastAsia="Calibri" w:hAnsi="Tahoma" w:cs="Tahoma" w:hint="cs"/>
          <w:sz w:val="19"/>
          <w:szCs w:val="19"/>
          <w:rtl/>
        </w:rPr>
        <w:t xml:space="preserve">שתפקידה בין היתר לקבוע את </w:t>
      </w:r>
      <w:r w:rsidRPr="00D25F98">
        <w:rPr>
          <w:rFonts w:ascii="Tahoma" w:eastAsia="Calibri" w:hAnsi="Tahoma" w:cs="Tahoma"/>
          <w:sz w:val="19"/>
          <w:szCs w:val="19"/>
          <w:rtl/>
        </w:rPr>
        <w:t xml:space="preserve">האסטרטגיה של המשרד ומדיניותו בנושאי תקשוב; </w:t>
      </w:r>
      <w:r w:rsidRPr="00D25F98">
        <w:rPr>
          <w:rFonts w:ascii="Tahoma" w:eastAsia="Calibri" w:hAnsi="Tahoma" w:cs="Tahoma" w:hint="cs"/>
          <w:sz w:val="19"/>
          <w:szCs w:val="19"/>
          <w:rtl/>
        </w:rPr>
        <w:t>ל</w:t>
      </w:r>
      <w:r w:rsidRPr="00D25F98">
        <w:rPr>
          <w:rFonts w:ascii="Tahoma" w:eastAsia="Calibri" w:hAnsi="Tahoma" w:cs="Tahoma"/>
          <w:sz w:val="19"/>
          <w:szCs w:val="19"/>
          <w:rtl/>
        </w:rPr>
        <w:t xml:space="preserve">אשר את תוכניות העבודה והתקציבים הרב-שנתיים והשנתיים של כלל הפעילויות המתקיימות במשרד בתחומים של מערכות מידע ותקשוב; </w:t>
      </w:r>
      <w:r w:rsidRPr="00D25F98">
        <w:rPr>
          <w:rFonts w:ascii="Tahoma" w:eastAsia="Calibri" w:hAnsi="Tahoma" w:cs="Tahoma" w:hint="cs"/>
          <w:sz w:val="19"/>
          <w:szCs w:val="19"/>
          <w:rtl/>
        </w:rPr>
        <w:t>ל</w:t>
      </w:r>
      <w:r w:rsidRPr="00D25F98">
        <w:rPr>
          <w:rFonts w:ascii="Tahoma" w:eastAsia="Calibri" w:hAnsi="Tahoma" w:cs="Tahoma"/>
          <w:sz w:val="19"/>
          <w:szCs w:val="19"/>
          <w:rtl/>
        </w:rPr>
        <w:t>קב</w:t>
      </w:r>
      <w:r w:rsidRPr="00D25F98">
        <w:rPr>
          <w:rFonts w:ascii="Tahoma" w:eastAsia="Calibri" w:hAnsi="Tahoma" w:cs="Tahoma" w:hint="cs"/>
          <w:sz w:val="19"/>
          <w:szCs w:val="19"/>
          <w:rtl/>
        </w:rPr>
        <w:t>ו</w:t>
      </w:r>
      <w:r w:rsidRPr="00D25F98">
        <w:rPr>
          <w:rFonts w:ascii="Tahoma" w:eastAsia="Calibri" w:hAnsi="Tahoma" w:cs="Tahoma"/>
          <w:sz w:val="19"/>
          <w:szCs w:val="19"/>
          <w:rtl/>
        </w:rPr>
        <w:t>ע ו</w:t>
      </w:r>
      <w:r w:rsidRPr="00D25F98">
        <w:rPr>
          <w:rFonts w:ascii="Tahoma" w:eastAsia="Calibri" w:hAnsi="Tahoma" w:cs="Tahoma" w:hint="cs"/>
          <w:sz w:val="19"/>
          <w:szCs w:val="19"/>
          <w:rtl/>
        </w:rPr>
        <w:t>ל</w:t>
      </w:r>
      <w:r w:rsidRPr="00D25F98">
        <w:rPr>
          <w:rFonts w:ascii="Tahoma" w:eastAsia="Calibri" w:hAnsi="Tahoma" w:cs="Tahoma"/>
          <w:sz w:val="19"/>
          <w:szCs w:val="19"/>
          <w:rtl/>
        </w:rPr>
        <w:t xml:space="preserve">אשרר סדרי עדיפות וחלוקת משאבים; </w:t>
      </w:r>
      <w:r w:rsidRPr="00D25F98">
        <w:rPr>
          <w:rFonts w:ascii="Tahoma" w:eastAsia="Calibri" w:hAnsi="Tahoma" w:cs="Tahoma" w:hint="cs"/>
          <w:sz w:val="19"/>
          <w:szCs w:val="19"/>
          <w:rtl/>
        </w:rPr>
        <w:t>ול</w:t>
      </w:r>
      <w:r w:rsidRPr="00D25F98">
        <w:rPr>
          <w:rFonts w:ascii="Tahoma" w:eastAsia="Calibri" w:hAnsi="Tahoma" w:cs="Tahoma"/>
          <w:sz w:val="19"/>
          <w:szCs w:val="19"/>
          <w:rtl/>
        </w:rPr>
        <w:t>עקוב אחר ביצוע התוכניות ו</w:t>
      </w:r>
      <w:r w:rsidRPr="00D25F98">
        <w:rPr>
          <w:rFonts w:ascii="Tahoma" w:eastAsia="Calibri" w:hAnsi="Tahoma" w:cs="Tahoma" w:hint="cs"/>
          <w:sz w:val="19"/>
          <w:szCs w:val="19"/>
          <w:rtl/>
        </w:rPr>
        <w:t>ל</w:t>
      </w:r>
      <w:r w:rsidRPr="00D25F98">
        <w:rPr>
          <w:rFonts w:ascii="Tahoma" w:eastAsia="Calibri" w:hAnsi="Tahoma" w:cs="Tahoma"/>
          <w:sz w:val="19"/>
          <w:szCs w:val="19"/>
          <w:rtl/>
        </w:rPr>
        <w:t xml:space="preserve">וודא </w:t>
      </w:r>
      <w:r w:rsidRPr="00D25F98">
        <w:rPr>
          <w:rFonts w:ascii="Tahoma" w:eastAsia="Calibri" w:hAnsi="Tahoma" w:cs="Tahoma" w:hint="cs"/>
          <w:sz w:val="19"/>
          <w:szCs w:val="19"/>
          <w:rtl/>
        </w:rPr>
        <w:t xml:space="preserve">את </w:t>
      </w:r>
      <w:r w:rsidRPr="00D25F98">
        <w:rPr>
          <w:rFonts w:ascii="Tahoma" w:eastAsia="Calibri" w:hAnsi="Tahoma" w:cs="Tahoma"/>
          <w:sz w:val="19"/>
          <w:szCs w:val="19"/>
          <w:rtl/>
        </w:rPr>
        <w:t>מימושן</w:t>
      </w:r>
      <w:r w:rsidRPr="00D25F98">
        <w:rPr>
          <w:rFonts w:ascii="Tahoma" w:eastAsia="Calibri" w:hAnsi="Tahoma" w:cs="Tahoma" w:hint="cs"/>
          <w:sz w:val="19"/>
          <w:szCs w:val="19"/>
          <w:rtl/>
        </w:rPr>
        <w:t xml:space="preserve">, לא </w:t>
      </w:r>
      <w:r w:rsidRPr="00D25F98">
        <w:rPr>
          <w:rFonts w:ascii="Tahoma" w:eastAsia="Calibri" w:hAnsi="Tahoma" w:cs="Tahoma"/>
          <w:sz w:val="19"/>
          <w:szCs w:val="19"/>
          <w:rtl/>
        </w:rPr>
        <w:t>התכנסה במשך כשלוש שנים (2021</w:t>
      </w:r>
      <w:r w:rsidRPr="00D25F98">
        <w:rPr>
          <w:rFonts w:ascii="Tahoma" w:eastAsia="Calibri" w:hAnsi="Tahoma" w:cs="Tahoma" w:hint="cs"/>
          <w:sz w:val="19"/>
          <w:szCs w:val="19"/>
          <w:rtl/>
        </w:rPr>
        <w:t xml:space="preserve"> - </w:t>
      </w:r>
      <w:r w:rsidRPr="00D25F98">
        <w:rPr>
          <w:rFonts w:ascii="Tahoma" w:eastAsia="Calibri" w:hAnsi="Tahoma" w:cs="Tahoma"/>
          <w:sz w:val="19"/>
          <w:szCs w:val="19"/>
          <w:rtl/>
        </w:rPr>
        <w:t xml:space="preserve">2023). ועדת </w:t>
      </w:r>
      <w:r w:rsidRPr="00D25F98">
        <w:rPr>
          <w:rFonts w:ascii="Tahoma" w:eastAsia="Calibri" w:hAnsi="Tahoma" w:cs="Tahoma" w:hint="cs"/>
          <w:sz w:val="19"/>
          <w:szCs w:val="19"/>
          <w:rtl/>
        </w:rPr>
        <w:t>ה</w:t>
      </w:r>
      <w:r w:rsidRPr="00D25F98">
        <w:rPr>
          <w:rFonts w:ascii="Tahoma" w:eastAsia="Calibri" w:hAnsi="Tahoma" w:cs="Tahoma"/>
          <w:sz w:val="19"/>
          <w:szCs w:val="19"/>
          <w:rtl/>
        </w:rPr>
        <w:t>היגוי שבה והתכנסה רק באפריל 2024.</w:t>
      </w:r>
    </w:p>
    <w:p w:rsidR="00D25F98" w:rsidRPr="00D25F98" w:rsidP="00A617B0">
      <w:pPr>
        <w:numPr>
          <w:ilvl w:val="0"/>
          <w:numId w:val="14"/>
        </w:numPr>
        <w:spacing w:after="200" w:line="288" w:lineRule="auto"/>
        <w:ind w:left="-142" w:right="-567" w:hanging="595"/>
        <w:rPr>
          <w:rFonts w:ascii="Tahoma" w:eastAsia="Calibri" w:hAnsi="Tahoma" w:cs="Tahoma"/>
          <w:sz w:val="19"/>
          <w:szCs w:val="19"/>
          <w:rtl/>
        </w:rPr>
      </w:pPr>
      <w:r w:rsidRPr="00D25F98">
        <w:rPr>
          <w:rFonts w:ascii="Tahoma" w:eastAsia="Calibri" w:hAnsi="Tahoma" w:cs="Tahoma"/>
          <w:b/>
          <w:bCs/>
          <w:sz w:val="19"/>
          <w:szCs w:val="19"/>
          <w:rtl/>
        </w:rPr>
        <w:t>תקציב אגף התקשוב</w:t>
      </w:r>
      <w:r w:rsidRPr="00D25F98">
        <w:rPr>
          <w:rFonts w:ascii="Tahoma" w:eastAsia="Calibri" w:hAnsi="Tahoma" w:cs="Tahoma" w:hint="cs"/>
          <w:sz w:val="19"/>
          <w:szCs w:val="19"/>
          <w:rtl/>
        </w:rPr>
        <w:t xml:space="preserve"> - תקציב משרד החוץ לשנת 2024 עמד על כ-1.9 מיליארד ש"ח. </w:t>
      </w:r>
      <w:r w:rsidRPr="00D25F98">
        <w:rPr>
          <w:rFonts w:ascii="Tahoma" w:eastAsia="Calibri" w:hAnsi="Tahoma" w:cs="Tahoma"/>
          <w:sz w:val="19"/>
          <w:szCs w:val="19"/>
          <w:rtl/>
        </w:rPr>
        <w:t xml:space="preserve">התקציב שהוקצה לתפעול שוטף של תחום התקשוב </w:t>
      </w:r>
      <w:r w:rsidRPr="00D25F98">
        <w:rPr>
          <w:rFonts w:ascii="Tahoma" w:eastAsia="Calibri" w:hAnsi="Tahoma" w:cs="Tahoma" w:hint="cs"/>
          <w:sz w:val="19"/>
          <w:szCs w:val="19"/>
          <w:rtl/>
        </w:rPr>
        <w:t>עמד על 85.3</w:t>
      </w:r>
      <w:r w:rsidRPr="00D25F98">
        <w:rPr>
          <w:rFonts w:ascii="Tahoma" w:eastAsia="Calibri" w:hAnsi="Tahoma" w:cs="Tahoma"/>
          <w:sz w:val="19"/>
          <w:szCs w:val="19"/>
          <w:rtl/>
        </w:rPr>
        <w:t xml:space="preserve"> מיליון ש"ח</w:t>
      </w:r>
      <w:r w:rsidRPr="00D25F98">
        <w:rPr>
          <w:rFonts w:ascii="Tahoma" w:eastAsia="Calibri" w:hAnsi="Tahoma" w:cs="Tahoma" w:hint="cs"/>
          <w:sz w:val="19"/>
          <w:szCs w:val="19"/>
          <w:rtl/>
        </w:rPr>
        <w:t xml:space="preserve">, המהווה כ-4.5% מסך התקציב. </w:t>
      </w:r>
      <w:r w:rsidRPr="00D25F98">
        <w:rPr>
          <w:rFonts w:ascii="Tahoma" w:eastAsia="Calibri" w:hAnsi="Tahoma" w:cs="Tahoma"/>
          <w:sz w:val="19"/>
          <w:szCs w:val="19"/>
          <w:rtl/>
        </w:rPr>
        <w:t xml:space="preserve">ממסמכי אגף התקשוב עולה </w:t>
      </w:r>
      <w:r w:rsidRPr="00D25F98">
        <w:rPr>
          <w:rFonts w:ascii="Tahoma" w:eastAsia="Calibri" w:hAnsi="Tahoma" w:cs="Tahoma" w:hint="cs"/>
          <w:sz w:val="19"/>
          <w:szCs w:val="19"/>
          <w:rtl/>
        </w:rPr>
        <w:t>שהתקציב</w:t>
      </w:r>
      <w:r w:rsidRPr="00D25F98">
        <w:rPr>
          <w:rFonts w:ascii="Tahoma" w:eastAsia="Calibri" w:hAnsi="Tahoma" w:cs="Tahoma"/>
          <w:sz w:val="19"/>
          <w:szCs w:val="19"/>
          <w:rtl/>
        </w:rPr>
        <w:t xml:space="preserve"> </w:t>
      </w:r>
      <w:r w:rsidRPr="00D25F98">
        <w:rPr>
          <w:rFonts w:ascii="Tahoma" w:eastAsia="Calibri" w:hAnsi="Tahoma" w:cs="Tahoma" w:hint="cs"/>
          <w:sz w:val="19"/>
          <w:szCs w:val="19"/>
          <w:rtl/>
        </w:rPr>
        <w:t xml:space="preserve">שהוקצה לשנת 2024 </w:t>
      </w:r>
      <w:r w:rsidRPr="00D25F98">
        <w:rPr>
          <w:rFonts w:ascii="Tahoma" w:eastAsia="Calibri" w:hAnsi="Tahoma" w:cs="Tahoma"/>
          <w:sz w:val="19"/>
          <w:szCs w:val="19"/>
          <w:rtl/>
        </w:rPr>
        <w:t>אינו מספק ואינו תואם את צורכי המשרד בפועל, ו</w:t>
      </w:r>
      <w:r w:rsidRPr="00D25F98">
        <w:rPr>
          <w:rFonts w:ascii="Tahoma" w:eastAsia="Calibri" w:hAnsi="Tahoma" w:cs="Tahoma" w:hint="cs"/>
          <w:sz w:val="19"/>
          <w:szCs w:val="19"/>
          <w:rtl/>
        </w:rPr>
        <w:t>כי יש</w:t>
      </w:r>
      <w:r w:rsidRPr="00D25F98">
        <w:rPr>
          <w:rFonts w:ascii="Tahoma" w:eastAsia="Calibri" w:hAnsi="Tahoma" w:cs="Tahoma"/>
          <w:sz w:val="19"/>
          <w:szCs w:val="19"/>
          <w:rtl/>
        </w:rPr>
        <w:t xml:space="preserve"> צורך בתקצוב נוסף של לפחות 20 מיליון ש"ח. כתוצאה מכך, נכון לשנת 2024, 14 פרויקטים</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 xml:space="preserve"> ובהם שדרוג מערכת מרכב"ה, המערכת הקונסולרית, ותהליכי מעבר לענן - הוקפאו או עוכבו בשל היעדר תקציב. כמו כן היו פערים בתחזוקת מערכות קיימות ועיכובים בשדרוג תשתיות חיוניות.</w:t>
      </w:r>
    </w:p>
    <w:p w:rsidR="00D25F98" w:rsidRPr="00D25F98" w:rsidP="00A617B0">
      <w:pPr>
        <w:numPr>
          <w:ilvl w:val="0"/>
          <w:numId w:val="14"/>
        </w:numPr>
        <w:spacing w:after="200" w:line="288" w:lineRule="auto"/>
        <w:ind w:left="-142" w:right="-567" w:hanging="595"/>
        <w:rPr>
          <w:rFonts w:ascii="Tahoma" w:eastAsia="Calibri" w:hAnsi="Tahoma" w:cs="Tahoma"/>
          <w:sz w:val="19"/>
          <w:szCs w:val="19"/>
        </w:rPr>
      </w:pPr>
      <w:r w:rsidRPr="00D25F98">
        <w:rPr>
          <w:rFonts w:ascii="Tahoma" w:eastAsia="Calibri" w:hAnsi="Tahoma" w:cs="Tahoma"/>
          <w:b/>
          <w:bCs/>
          <w:sz w:val="19"/>
          <w:szCs w:val="19"/>
          <w:rtl/>
        </w:rPr>
        <w:t>ועדות היגוי לפרויקטים</w:t>
      </w:r>
      <w:r w:rsidRPr="00D25F98">
        <w:rPr>
          <w:rFonts w:ascii="Tahoma" w:eastAsia="Calibri" w:hAnsi="Tahoma" w:cs="Tahoma" w:hint="cs"/>
          <w:sz w:val="19"/>
          <w:szCs w:val="19"/>
          <w:rtl/>
        </w:rPr>
        <w:t xml:space="preserve"> - </w:t>
      </w:r>
      <w:r w:rsidRPr="00D25F98">
        <w:rPr>
          <w:rFonts w:ascii="Tahoma" w:eastAsia="Calibri" w:hAnsi="Tahoma" w:cs="Tahoma"/>
          <w:sz w:val="19"/>
          <w:szCs w:val="19"/>
          <w:rtl/>
        </w:rPr>
        <w:t xml:space="preserve">בניגוד להנחיות מערך הדיגיטל </w:t>
      </w:r>
      <w:r w:rsidRPr="00D25F98">
        <w:rPr>
          <w:rFonts w:ascii="Tahoma" w:eastAsia="Calibri" w:hAnsi="Tahoma" w:cs="Tahoma" w:hint="cs"/>
          <w:sz w:val="19"/>
          <w:szCs w:val="19"/>
          <w:rtl/>
        </w:rPr>
        <w:t>ולפיהן יש</w:t>
      </w:r>
      <w:r w:rsidRPr="00D25F98">
        <w:rPr>
          <w:rFonts w:eastAsia="Calibri"/>
          <w:rtl/>
        </w:rPr>
        <w:t xml:space="preserve"> </w:t>
      </w:r>
      <w:r w:rsidRPr="00D25F98">
        <w:rPr>
          <w:rFonts w:ascii="Tahoma" w:eastAsia="Calibri" w:hAnsi="Tahoma" w:cs="Tahoma"/>
          <w:sz w:val="19"/>
          <w:szCs w:val="19"/>
          <w:rtl/>
        </w:rPr>
        <w:t>להקים ועדות היגוי לכל פרויקט פיתוח מערכת מידע המוגדר מורכב או שבגודל בינוני ומעלה, משרד החוץ לא מינה ועדות היגוי לארבעה מתוך שישה פרויקטים משמעותיים שנבדקו</w:t>
      </w:r>
      <w:r w:rsidRPr="00D25F98">
        <w:rPr>
          <w:rFonts w:ascii="Tahoma" w:eastAsia="Calibri" w:hAnsi="Tahoma" w:cs="Tahoma" w:hint="cs"/>
          <w:sz w:val="19"/>
          <w:szCs w:val="19"/>
          <w:rtl/>
        </w:rPr>
        <w:t>.</w:t>
      </w:r>
      <w:r w:rsidRPr="00D25F98">
        <w:rPr>
          <w:rFonts w:eastAsia="Calibri"/>
          <w:rtl/>
        </w:rPr>
        <w:t xml:space="preserve"> </w:t>
      </w:r>
      <w:r w:rsidRPr="00D25F98">
        <w:rPr>
          <w:rFonts w:ascii="Tahoma" w:eastAsia="Calibri" w:hAnsi="Tahoma" w:cs="Tahoma"/>
          <w:sz w:val="19"/>
          <w:szCs w:val="19"/>
          <w:rtl/>
        </w:rPr>
        <w:t>בהיעדר ועדת היגוי לפרויקט, לא יכול להתבצע הליך סדור ומיטבי של פיקוח והנחיה, אישור אבני דרך, ניתוח וניהול סיכונים, בקרה שוטפת של ביצוע מול תכנון וקביעת דרכי הפעולה להתמודדות עם אתגרים שעולים.</w:t>
      </w:r>
      <w:r w:rsidRPr="00D25F98">
        <w:rPr>
          <w:rFonts w:ascii="Tahoma" w:eastAsia="Calibri" w:hAnsi="Tahoma" w:cs="Tahoma" w:hint="cs"/>
          <w:sz w:val="19"/>
          <w:szCs w:val="19"/>
          <w:rtl/>
        </w:rPr>
        <w:t xml:space="preserve"> זאת ועוד, עלה</w:t>
      </w:r>
      <w:r w:rsidRPr="00D25F98">
        <w:rPr>
          <w:rFonts w:ascii="Tahoma" w:eastAsia="Calibri" w:hAnsi="Tahoma" w:cs="Tahoma"/>
          <w:sz w:val="19"/>
          <w:szCs w:val="19"/>
          <w:rtl/>
        </w:rPr>
        <w:t xml:space="preserve"> כי היות שהצוותים עובדים על כמה פרויקטים במקביל, אין למשרד החוץ דרך לגזור עלויות לפרויקט מסוים</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בהיעדר תשתית מידע מלאה ומפורטת בנוגע לתקציב הפרויקט ויכולת לגזור את עלויותיו, לא ניתן לפקח על הפרויקט ועל ההחלטות המתקבלות במסגרתו בצורה מיטבית</w:t>
      </w:r>
      <w:r w:rsidRPr="00D25F98">
        <w:rPr>
          <w:rFonts w:ascii="Tahoma" w:eastAsia="Calibri" w:hAnsi="Tahoma" w:cs="Tahoma" w:hint="cs"/>
          <w:sz w:val="19"/>
          <w:szCs w:val="19"/>
          <w:rtl/>
        </w:rPr>
        <w:t>.</w:t>
      </w:r>
    </w:p>
    <w:p w:rsidR="00D25F98" w:rsidRPr="00D25F98" w:rsidP="00A617B0">
      <w:pPr>
        <w:numPr>
          <w:ilvl w:val="0"/>
          <w:numId w:val="14"/>
        </w:numPr>
        <w:spacing w:after="200" w:line="288" w:lineRule="auto"/>
        <w:ind w:left="-142" w:right="-567" w:hanging="595"/>
        <w:rPr>
          <w:rFonts w:ascii="Tahoma" w:eastAsia="Calibri" w:hAnsi="Tahoma" w:cs="Tahoma"/>
          <w:sz w:val="19"/>
          <w:szCs w:val="19"/>
        </w:rPr>
      </w:pPr>
      <w:r w:rsidRPr="00D25F98">
        <w:rPr>
          <w:rFonts w:ascii="Tahoma" w:eastAsia="Calibri" w:hAnsi="Tahoma" w:cs="Tahoma"/>
          <w:b/>
          <w:bCs/>
          <w:sz w:val="19"/>
          <w:szCs w:val="19"/>
          <w:rtl/>
        </w:rPr>
        <w:t>ניהול סיכונים בפרויקטים</w:t>
      </w:r>
      <w:r w:rsidRPr="00D25F98">
        <w:rPr>
          <w:rFonts w:ascii="Tahoma" w:eastAsia="Calibri" w:hAnsi="Tahoma" w:cs="Tahoma" w:hint="cs"/>
          <w:sz w:val="19"/>
          <w:szCs w:val="19"/>
          <w:rtl/>
        </w:rPr>
        <w:t xml:space="preserve"> - </w:t>
      </w:r>
      <w:r w:rsidRPr="00D25F98">
        <w:rPr>
          <w:rFonts w:ascii="Tahoma" w:eastAsia="Calibri" w:hAnsi="Tahoma" w:cs="Tahoma"/>
          <w:sz w:val="19"/>
          <w:szCs w:val="19"/>
          <w:rtl/>
        </w:rPr>
        <w:t xml:space="preserve">בניגוד לנדרש בהנחיות מערך הדיגיטל </w:t>
      </w:r>
      <w:r w:rsidRPr="00D25F98">
        <w:rPr>
          <w:rFonts w:ascii="Tahoma" w:eastAsia="Calibri" w:hAnsi="Tahoma" w:cs="Tahoma" w:hint="cs"/>
          <w:sz w:val="19"/>
          <w:szCs w:val="19"/>
          <w:rtl/>
        </w:rPr>
        <w:t>ו</w:t>
      </w:r>
      <w:r w:rsidRPr="00D25F98">
        <w:rPr>
          <w:rFonts w:ascii="Tahoma" w:eastAsia="Calibri" w:hAnsi="Tahoma" w:cs="Tahoma"/>
          <w:sz w:val="19"/>
          <w:szCs w:val="19"/>
          <w:rtl/>
        </w:rPr>
        <w:t>לפיהן ניהול סיכונים הוא מרכיב הכרחי בניהול הפרויקט בשלביו השונים, משרד החוץ אינו מקיים תהליכים של ניהול סיכונים בפרויקטים לכל אורך מחזור חיי הפרויקט. זאת, אף על פי שמדובר בפרויקטים משמעותיים, שמטבעם בעלי סיכונים טכנולוגיים, פיננסיים ותפעוליים למשרד החוץ</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בהיעדר ניהול סיכונים, גדל הסיכון לאי-עמידה בלוחות הזמנים שהוגדרו לפרויקט, לחריגה בתקציב, לפגיעה באיכות תוצרים, לכישלון פרויקטים ולפגיעה במתן שירות לציבור ובתפקוד יחידות שונות במשרד החוץ.</w:t>
      </w:r>
    </w:p>
    <w:p w:rsidR="00D25F98" w:rsidRPr="00D25F98" w:rsidP="00D25F98">
      <w:pPr>
        <w:numPr>
          <w:ilvl w:val="0"/>
          <w:numId w:val="14"/>
        </w:numPr>
        <w:spacing w:after="240" w:line="288" w:lineRule="auto"/>
        <w:ind w:left="-143" w:right="-567" w:hanging="595"/>
        <w:rPr>
          <w:rFonts w:ascii="Tahoma" w:eastAsia="Calibri" w:hAnsi="Tahoma" w:cs="Tahoma"/>
          <w:sz w:val="19"/>
          <w:szCs w:val="19"/>
        </w:rPr>
      </w:pPr>
      <w:r w:rsidRPr="00D25F98">
        <w:rPr>
          <w:rFonts w:ascii="Tahoma" w:eastAsia="Calibri" w:hAnsi="Tahoma" w:cs="Tahoma"/>
          <w:b/>
          <w:bCs/>
          <w:sz w:val="19"/>
          <w:szCs w:val="19"/>
          <w:rtl/>
        </w:rPr>
        <w:t xml:space="preserve">פיתוח מערכת מידע </w:t>
      </w:r>
      <w:r w:rsidRPr="00D25F98">
        <w:rPr>
          <w:rFonts w:ascii="Tahoma" w:eastAsia="Calibri" w:hAnsi="Tahoma" w:cs="Tahoma" w:hint="eastAsia"/>
          <w:b/>
          <w:bCs/>
          <w:sz w:val="19"/>
          <w:szCs w:val="19"/>
          <w:rtl/>
        </w:rPr>
        <w:t>מסוימת</w:t>
      </w:r>
      <w:r w:rsidRPr="00D25F98">
        <w:rPr>
          <w:rFonts w:ascii="Tahoma" w:eastAsia="Calibri" w:hAnsi="Tahoma" w:cs="Tahoma" w:hint="cs"/>
          <w:b/>
          <w:bCs/>
          <w:sz w:val="19"/>
          <w:szCs w:val="19"/>
          <w:rtl/>
        </w:rPr>
        <w:t xml:space="preserve"> </w:t>
      </w:r>
      <w:r w:rsidRPr="00D25F98">
        <w:rPr>
          <w:rFonts w:ascii="Tahoma" w:eastAsia="Calibri" w:hAnsi="Tahoma" w:cs="Tahoma" w:hint="cs"/>
          <w:sz w:val="19"/>
          <w:szCs w:val="19"/>
          <w:rtl/>
        </w:rPr>
        <w:t>- ה</w:t>
      </w:r>
      <w:r w:rsidRPr="00D25F98">
        <w:rPr>
          <w:rFonts w:ascii="Tahoma" w:eastAsia="Calibri" w:hAnsi="Tahoma" w:cs="Tahoma"/>
          <w:sz w:val="19"/>
          <w:szCs w:val="19"/>
          <w:rtl/>
        </w:rPr>
        <w:t xml:space="preserve">מערכת </w:t>
      </w:r>
      <w:r w:rsidRPr="00D25F98">
        <w:rPr>
          <w:rFonts w:ascii="Tahoma" w:eastAsia="Calibri" w:hAnsi="Tahoma" w:cs="Tahoma" w:hint="cs"/>
          <w:sz w:val="19"/>
          <w:szCs w:val="19"/>
          <w:rtl/>
        </w:rPr>
        <w:t xml:space="preserve">נועדה </w:t>
      </w:r>
      <w:r w:rsidRPr="00D25F98">
        <w:rPr>
          <w:rFonts w:ascii="Tahoma" w:eastAsia="Calibri" w:hAnsi="Tahoma" w:cs="Tahoma"/>
          <w:sz w:val="19"/>
          <w:szCs w:val="19"/>
          <w:rtl/>
        </w:rPr>
        <w:t xml:space="preserve">להחליף מערכת </w:t>
      </w:r>
      <w:r w:rsidRPr="00D25F98">
        <w:rPr>
          <w:rFonts w:ascii="Tahoma" w:eastAsia="Calibri" w:hAnsi="Tahoma" w:cs="Tahoma" w:hint="cs"/>
          <w:sz w:val="19"/>
          <w:szCs w:val="19"/>
          <w:rtl/>
        </w:rPr>
        <w:t xml:space="preserve">מסוימת </w:t>
      </w:r>
      <w:r w:rsidRPr="00D25F98">
        <w:rPr>
          <w:rFonts w:ascii="Tahoma" w:eastAsia="Calibri" w:hAnsi="Tahoma" w:cs="Tahoma"/>
          <w:sz w:val="19"/>
          <w:szCs w:val="19"/>
          <w:rtl/>
        </w:rPr>
        <w:t xml:space="preserve">במשרד החוץ ולהביא לשיפור השירות הקונסולרי. </w:t>
      </w:r>
      <w:r w:rsidRPr="00D25F98">
        <w:rPr>
          <w:rFonts w:ascii="Tahoma" w:eastAsia="Calibri" w:hAnsi="Tahoma" w:cs="Tahoma" w:hint="cs"/>
          <w:sz w:val="19"/>
          <w:szCs w:val="19"/>
          <w:rtl/>
        </w:rPr>
        <w:t>עלה</w:t>
      </w:r>
      <w:r w:rsidRPr="00D25F98">
        <w:rPr>
          <w:rFonts w:ascii="Tahoma" w:eastAsia="Calibri" w:hAnsi="Tahoma" w:cs="Tahoma"/>
          <w:sz w:val="19"/>
          <w:szCs w:val="19"/>
          <w:rtl/>
        </w:rPr>
        <w:t xml:space="preserve"> כי</w:t>
      </w:r>
      <w:r w:rsidRPr="00D25F98">
        <w:rPr>
          <w:rFonts w:ascii="Tahoma" w:eastAsia="Calibri" w:hAnsi="Tahoma" w:cs="Tahoma" w:hint="cs"/>
          <w:sz w:val="19"/>
          <w:szCs w:val="19"/>
          <w:rtl/>
        </w:rPr>
        <w:t>:</w:t>
      </w:r>
      <w:r w:rsidRPr="00D25F98">
        <w:rPr>
          <w:rFonts w:ascii="Tahoma" w:eastAsia="Calibri" w:hAnsi="Tahoma" w:cs="Tahoma"/>
          <w:sz w:val="19"/>
          <w:szCs w:val="19"/>
          <w:rtl/>
        </w:rPr>
        <w:t xml:space="preserve"> אף שהפרויקט תוכנן מלכתחילה להסתיים בשנת 2019, הרי שלפי לוחות הזמנים המעודכנים הפרויקט עתיד להסתיים לכל המוקדם בשנת 2028, כעשר שנים לאחר המועד המקורי שתוכנן; בנוסף, מדובר בפרויקט שניהולו לקה באופן יסודי בהיבטי המעקב והבקרה התקציביים. משרד החוץ לא העריך לאורך השנים את עלויות הפרויקט ולא אמד את עלויותיו עד כה - עלות בפועל מול התכנון ואיתור חריגות תקציביות; נוכח העיכוב הניכר שחל בפיתוח הפרויקט נדרש להקצות כוח אדם נוסף, דהיינו להשקיע תקציב נוסף </w:t>
      </w:r>
      <w:r w:rsidRPr="00D25F98">
        <w:rPr>
          <w:rFonts w:ascii="Tahoma" w:eastAsia="Calibri" w:hAnsi="Tahoma" w:cs="Tahoma" w:hint="cs"/>
          <w:sz w:val="19"/>
          <w:szCs w:val="19"/>
          <w:rtl/>
        </w:rPr>
        <w:t>שהוערך על-ידי ועדת ההיגוי של הפרויקט בכ-</w:t>
      </w:r>
      <w:r w:rsidRPr="00D25F98">
        <w:rPr>
          <w:rFonts w:ascii="Tahoma" w:eastAsia="Calibri" w:hAnsi="Tahoma" w:cs="Tahoma"/>
          <w:sz w:val="19"/>
          <w:szCs w:val="19"/>
          <w:rtl/>
        </w:rPr>
        <w:t>12 - 18 מיליוני ש"ח, כדי להביאו לידי גמר; זאת ועוד, נכון ליולי 2024, חמש שנים מהמועד המקורי לסיום הפרויקט, בוצעה רק כמחצית התכולה הנדרשת ברמת הפיתוח (53%), ואף זאת לאחר שהוחלט על צמצום התכולות שתוכננו מלכתחילה.</w:t>
      </w:r>
    </w:p>
    <w:p w:rsidR="00D25F98" w:rsidRPr="00D25F98" w:rsidP="00A617B0">
      <w:pPr>
        <w:spacing w:line="288" w:lineRule="auto"/>
        <w:ind w:left="-425" w:right="-567"/>
        <w:jc w:val="center"/>
        <w:rPr>
          <w:rFonts w:ascii="Tahoma" w:eastAsia="Calibri" w:hAnsi="Tahoma" w:cs="Tahoma"/>
          <w:b/>
          <w:bCs/>
          <w:sz w:val="19"/>
          <w:szCs w:val="19"/>
          <w:rtl/>
        </w:rPr>
      </w:pPr>
      <w:r w:rsidRPr="00D25F98">
        <w:rPr>
          <w:rFonts w:eastAsia="Calibri"/>
          <w:noProof/>
        </w:rPr>
        <w:drawing>
          <wp:inline distT="0" distB="0" distL="0" distR="0">
            <wp:extent cx="5684571" cy="2595976"/>
            <wp:effectExtent l="0" t="0" r="0" b="0"/>
            <wp:docPr id="18" name="תמונה 18" descr="סיכונים – שימוש במערכת ישנה על כל הסיכונים הכרוכים בכך.&#10;תפעול – הפעלה ותחזוקה של שתי מערכות במקביל.&#10;ניהול ובקרה – היעדר ועדת היגוי והיעדר בקרה תקציבית.&#10;תקציב – צורך בתקציב נוסף של כ־12–18 מיליון ש&quot;ח.&#10;הספק – פיתוח כמחצית המודולים בלבד.&#10;תכולה – ויתור על פיתוח היכולות הנוספות שתוכננו.&#10;זמנים – עיכוב של כ־10 שנים בפיתוח הפרויק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t="2775" b="13724"/>
                    <a:stretch>
                      <a:fillRect/>
                    </a:stretch>
                  </pic:blipFill>
                  <pic:spPr bwMode="auto">
                    <a:xfrm>
                      <a:off x="0" y="0"/>
                      <a:ext cx="5703518" cy="260462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D25F98" w:rsidRPr="00D25F98" w:rsidP="00D25F98">
      <w:pPr>
        <w:numPr>
          <w:ilvl w:val="0"/>
          <w:numId w:val="14"/>
        </w:numPr>
        <w:spacing w:after="240" w:line="288" w:lineRule="auto"/>
        <w:ind w:left="-143" w:right="-567" w:hanging="595"/>
        <w:rPr>
          <w:rFonts w:ascii="Tahoma" w:eastAsia="Calibri" w:hAnsi="Tahoma" w:cs="Tahoma"/>
          <w:sz w:val="19"/>
          <w:szCs w:val="19"/>
        </w:rPr>
      </w:pPr>
      <w:r w:rsidRPr="00D25F98">
        <w:rPr>
          <w:rFonts w:ascii="Tahoma" w:eastAsia="Calibri" w:hAnsi="Tahoma" w:cs="Tahoma"/>
          <w:b/>
          <w:bCs/>
          <w:sz w:val="19"/>
          <w:szCs w:val="19"/>
          <w:rtl/>
        </w:rPr>
        <w:t>תוכנית התאוששות מאסון</w:t>
      </w:r>
      <w:r w:rsidRPr="00D25F98">
        <w:rPr>
          <w:rFonts w:ascii="Tahoma" w:eastAsia="Calibri" w:hAnsi="Tahoma" w:cs="Tahoma" w:hint="cs"/>
          <w:sz w:val="19"/>
          <w:szCs w:val="19"/>
          <w:rtl/>
        </w:rPr>
        <w:t xml:space="preserve"> - </w:t>
      </w:r>
      <w:r w:rsidRPr="00D25F98">
        <w:rPr>
          <w:rFonts w:ascii="Tahoma" w:eastAsia="Calibri" w:hAnsi="Tahoma" w:cs="Tahoma"/>
          <w:sz w:val="19"/>
          <w:szCs w:val="19"/>
          <w:rtl/>
        </w:rPr>
        <w:t>נכון לספטמבר 2024 ישנם פערים ביכולתו של משרד החוץ להתאושש מאסון. בכלל זה</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 xml:space="preserve">אין למשרד תוכנית </w:t>
      </w:r>
      <w:r w:rsidRPr="00D25F98">
        <w:rPr>
          <w:rFonts w:ascii="Tahoma" w:eastAsia="Calibri" w:hAnsi="Tahoma" w:cs="Tahoma"/>
          <w:sz w:val="19"/>
          <w:szCs w:val="19"/>
        </w:rPr>
        <w:t>DRP</w:t>
      </w:r>
      <w:r>
        <w:rPr>
          <w:rFonts w:ascii="Tahoma" w:eastAsia="Calibri" w:hAnsi="Tahoma" w:cs="Tahoma"/>
          <w:sz w:val="19"/>
          <w:szCs w:val="19"/>
          <w:vertAlign w:val="superscript"/>
          <w:rtl/>
        </w:rPr>
        <w:footnoteReference w:id="3"/>
      </w:r>
      <w:r w:rsidRPr="00D25F98">
        <w:rPr>
          <w:rFonts w:ascii="Tahoma" w:eastAsia="Calibri" w:hAnsi="Tahoma" w:cs="Tahoma"/>
          <w:sz w:val="19"/>
          <w:szCs w:val="19"/>
          <w:rtl/>
        </w:rPr>
        <w:t xml:space="preserve"> מעודכנת, סדורה ותקפה להתאוששות מאסון</w:t>
      </w:r>
      <w:r w:rsidRPr="00D25F98">
        <w:rPr>
          <w:rFonts w:ascii="Tahoma" w:eastAsia="Calibri" w:hAnsi="Tahoma" w:cs="Tahoma" w:hint="cs"/>
          <w:sz w:val="19"/>
          <w:szCs w:val="19"/>
          <w:rtl/>
        </w:rPr>
        <w:t>; נמצאו ליקויים ביכולת ההתאוששות של אתר ה-</w:t>
      </w:r>
      <w:r w:rsidRPr="00D25F98">
        <w:rPr>
          <w:rFonts w:ascii="Tahoma" w:eastAsia="Calibri" w:hAnsi="Tahoma" w:cs="Tahoma" w:hint="cs"/>
          <w:sz w:val="19"/>
          <w:szCs w:val="19"/>
        </w:rPr>
        <w:t>DR</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המשרד לא תרגל באתר ה-</w:t>
      </w:r>
      <w:r w:rsidRPr="00D25F98">
        <w:rPr>
          <w:rFonts w:ascii="Tahoma" w:eastAsia="Calibri" w:hAnsi="Tahoma" w:cs="Tahoma"/>
          <w:sz w:val="19"/>
          <w:szCs w:val="19"/>
        </w:rPr>
        <w:t>DR</w:t>
      </w:r>
      <w:r w:rsidRPr="00D25F98">
        <w:rPr>
          <w:rFonts w:ascii="Tahoma" w:eastAsia="Calibri" w:hAnsi="Tahoma" w:cs="Tahoma"/>
          <w:sz w:val="19"/>
          <w:szCs w:val="19"/>
          <w:rtl/>
        </w:rPr>
        <w:t xml:space="preserve"> תהליך של העלאת מערכות מידע משחזור, ולא בחן את הישימות הטכנית של התהליך, את מוכנות כוח האדם לבצע את התהליך ואת לוחות הזמנים שיידרשו למימושו</w:t>
      </w:r>
      <w:r w:rsidRPr="00D25F98">
        <w:rPr>
          <w:rFonts w:ascii="Tahoma" w:eastAsia="Calibri" w:hAnsi="Tahoma" w:cs="Tahoma" w:hint="cs"/>
          <w:sz w:val="19"/>
          <w:szCs w:val="19"/>
          <w:rtl/>
        </w:rPr>
        <w:t>.</w:t>
      </w:r>
      <w:r w:rsidRPr="00D25F98">
        <w:rPr>
          <w:rFonts w:eastAsia="Calibri"/>
          <w:rtl/>
        </w:rPr>
        <w:t xml:space="preserve"> </w:t>
      </w:r>
      <w:r w:rsidRPr="00D25F98">
        <w:rPr>
          <w:rFonts w:ascii="Tahoma" w:eastAsia="Calibri" w:hAnsi="Tahoma" w:cs="Tahoma"/>
          <w:sz w:val="19"/>
          <w:szCs w:val="19"/>
          <w:rtl/>
        </w:rPr>
        <w:t>יוצא אפוא שבפועל משרד החוץ נעדר את ההיערכות ואת היכולת הנחוצות על מנת להתאושש מאסון.</w:t>
      </w:r>
    </w:p>
    <w:p w:rsidR="00D25F98" w:rsidRPr="00D25F98" w:rsidP="0026369E">
      <w:pPr>
        <w:spacing w:before="360" w:after="240" w:line="288" w:lineRule="auto"/>
        <w:ind w:left="-738" w:right="-567"/>
        <w:rPr>
          <w:rFonts w:ascii="Tahoma" w:eastAsia="Calibri" w:hAnsi="Tahoma" w:cs="Tahoma"/>
          <w:sz w:val="19"/>
          <w:szCs w:val="19"/>
          <w:rtl/>
        </w:rPr>
      </w:pPr>
      <w:r w:rsidRPr="00D25F98">
        <w:rPr>
          <w:rFonts w:ascii="Tahoma" w:eastAsia="Calibri" w:hAnsi="Tahoma" w:cs="Tahoma"/>
          <w:b/>
          <w:bCs/>
          <w:szCs w:val="20"/>
          <w:rtl/>
        </w:rPr>
        <w:t>אבטחת המידע והגנת הסייבר במשרד החוץ</w:t>
      </w:r>
    </w:p>
    <w:p w:rsidR="00D25F98" w:rsidRPr="00D25F98" w:rsidP="00D25F98">
      <w:pPr>
        <w:numPr>
          <w:ilvl w:val="0"/>
          <w:numId w:val="14"/>
        </w:numPr>
        <w:spacing w:after="240" w:line="288" w:lineRule="auto"/>
        <w:ind w:left="-143" w:right="-567" w:hanging="595"/>
        <w:rPr>
          <w:rFonts w:ascii="Tahoma" w:eastAsia="Calibri" w:hAnsi="Tahoma" w:cs="Tahoma"/>
          <w:sz w:val="19"/>
          <w:szCs w:val="19"/>
          <w:rtl/>
        </w:rPr>
      </w:pPr>
      <w:r w:rsidRPr="00D25F98">
        <w:rPr>
          <w:rFonts w:ascii="Tahoma" w:eastAsia="Calibri" w:hAnsi="Tahoma" w:cs="Tahoma"/>
          <w:b/>
          <w:bCs/>
          <w:sz w:val="19"/>
          <w:szCs w:val="19"/>
          <w:rtl/>
        </w:rPr>
        <w:t>מדיניות הגנת הסייבר</w:t>
      </w:r>
      <w:r w:rsidRPr="00D25F98">
        <w:rPr>
          <w:rFonts w:eastAsia="Calibri"/>
          <w:rtl/>
        </w:rPr>
        <w:t xml:space="preserve"> </w:t>
      </w:r>
      <w:r w:rsidRPr="00D25F98">
        <w:rPr>
          <w:rFonts w:ascii="Tahoma" w:eastAsia="Calibri" w:hAnsi="Tahoma" w:cs="Tahoma"/>
          <w:b/>
          <w:bCs/>
          <w:sz w:val="19"/>
          <w:szCs w:val="19"/>
          <w:rtl/>
        </w:rPr>
        <w:t>ואבטחת המידע במשרד החוץ ועדכונה</w:t>
      </w:r>
      <w:r w:rsidRPr="00D25F98">
        <w:rPr>
          <w:rFonts w:ascii="Tahoma" w:eastAsia="Calibri" w:hAnsi="Tahoma" w:cs="Tahoma" w:hint="cs"/>
          <w:sz w:val="19"/>
          <w:szCs w:val="19"/>
          <w:rtl/>
        </w:rPr>
        <w:t xml:space="preserve"> - </w:t>
      </w:r>
      <w:r w:rsidRPr="00D25F98">
        <w:rPr>
          <w:rFonts w:ascii="Tahoma" w:eastAsia="Calibri" w:hAnsi="Tahoma" w:cs="Tahoma"/>
          <w:sz w:val="19"/>
          <w:szCs w:val="19"/>
          <w:rtl/>
        </w:rPr>
        <w:t>נכון לינואר 2025</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ועדת ההיגוי להגנת הסייבר ומנכ"ל המשרד לא עדכנו ולא תיקפו את מסמך מדיניות הגנת הסייבר</w:t>
      </w:r>
      <w:r w:rsidRPr="00D25F98">
        <w:rPr>
          <w:rFonts w:ascii="Tahoma" w:eastAsia="Calibri" w:hAnsi="Tahoma" w:cs="Tahoma" w:hint="cs"/>
          <w:sz w:val="19"/>
          <w:szCs w:val="19"/>
          <w:rtl/>
        </w:rPr>
        <w:t>,</w:t>
      </w:r>
      <w:r w:rsidRPr="00D25F98">
        <w:rPr>
          <w:rFonts w:ascii="Tahoma" w:eastAsia="Calibri" w:hAnsi="Tahoma" w:cs="Tahoma"/>
          <w:sz w:val="19"/>
          <w:szCs w:val="19"/>
          <w:rtl/>
        </w:rPr>
        <w:t xml:space="preserve"> אף שחלפו כשבע שנים ממועד אישורו ע</w:t>
      </w:r>
      <w:r w:rsidRPr="00D25F98">
        <w:rPr>
          <w:rFonts w:ascii="Tahoma" w:eastAsia="Calibri" w:hAnsi="Tahoma" w:cs="Tahoma" w:hint="cs"/>
          <w:sz w:val="19"/>
          <w:szCs w:val="19"/>
          <w:rtl/>
        </w:rPr>
        <w:t>ל ידם</w:t>
      </w:r>
      <w:r w:rsidRPr="00D25F98">
        <w:rPr>
          <w:rFonts w:ascii="Tahoma" w:eastAsia="Calibri" w:hAnsi="Tahoma" w:cs="Tahoma"/>
          <w:sz w:val="19"/>
          <w:szCs w:val="19"/>
          <w:rtl/>
        </w:rPr>
        <w:t xml:space="preserve"> ב</w:t>
      </w:r>
      <w:r w:rsidRPr="00D25F98">
        <w:rPr>
          <w:rFonts w:ascii="Tahoma" w:eastAsia="Calibri" w:hAnsi="Tahoma" w:cs="Tahoma" w:hint="cs"/>
          <w:sz w:val="19"/>
          <w:szCs w:val="19"/>
          <w:rtl/>
        </w:rPr>
        <w:t>שנת</w:t>
      </w:r>
      <w:r w:rsidRPr="00D25F98">
        <w:rPr>
          <w:rFonts w:ascii="Tahoma" w:eastAsia="Calibri" w:hAnsi="Tahoma" w:cs="Tahoma"/>
          <w:sz w:val="19"/>
          <w:szCs w:val="19"/>
          <w:rtl/>
        </w:rPr>
        <w:t xml:space="preserve"> 2018. זאת בניגוד להנחיות הגורמים המנחים שלפיהן יש לאשרר את המדיניות מדי שנתיים עד שלוש שנים, ואף על פי שבשנים 2018 - 2024 חלו שינויים מהותיים במפת האיומים ובמבנה הארגוני של מערך התקשוב של משרד החוץ, ובכלל זה באיום הייחוס של המשרד</w:t>
      </w:r>
      <w:r w:rsidRPr="00D25F98">
        <w:rPr>
          <w:rFonts w:eastAsia="Calibri"/>
          <w:rtl/>
        </w:rPr>
        <w:t xml:space="preserve"> </w:t>
      </w:r>
      <w:r w:rsidRPr="00D25F98">
        <w:rPr>
          <w:rFonts w:ascii="Tahoma" w:eastAsia="Calibri" w:hAnsi="Tahoma" w:cs="Tahoma"/>
          <w:sz w:val="19"/>
          <w:szCs w:val="19"/>
          <w:rtl/>
        </w:rPr>
        <w:t>ובפרט לאור העלייה באיומי הסייבר במהלך מלחמת "חרבות ברזל". בהיעדר מדיניות הגנת סייבר מקיפה ועדכנית גוברת החשיפה של משרד החוץ לתקיפות סייבר ולדליפת מידע רגיש, וכן גובר הסיכון הכרוך בכך.</w:t>
      </w:r>
    </w:p>
    <w:p w:rsidR="00D25F98" w:rsidRPr="00D25F98" w:rsidP="00D25F98">
      <w:pPr>
        <w:numPr>
          <w:ilvl w:val="0"/>
          <w:numId w:val="14"/>
        </w:numPr>
        <w:spacing w:after="240" w:line="288" w:lineRule="auto"/>
        <w:ind w:left="-143" w:right="-567" w:hanging="595"/>
        <w:rPr>
          <w:rFonts w:ascii="Tahoma" w:eastAsia="Calibri" w:hAnsi="Tahoma" w:cs="Tahoma"/>
          <w:sz w:val="19"/>
          <w:szCs w:val="19"/>
        </w:rPr>
      </w:pPr>
      <w:r w:rsidRPr="00D25F98">
        <w:rPr>
          <w:rFonts w:ascii="Tahoma" w:eastAsia="Calibri" w:hAnsi="Tahoma" w:cs="Tahoma"/>
          <w:b/>
          <w:bCs/>
          <w:sz w:val="19"/>
          <w:szCs w:val="19"/>
          <w:rtl/>
        </w:rPr>
        <w:t>פעילות ועדת ההיגוי להגנת הסייבר</w:t>
      </w:r>
      <w:r w:rsidRPr="00D25F98">
        <w:rPr>
          <w:rFonts w:ascii="Tahoma" w:eastAsia="Calibri" w:hAnsi="Tahoma" w:cs="Tahoma" w:hint="cs"/>
          <w:sz w:val="19"/>
          <w:szCs w:val="19"/>
          <w:rtl/>
        </w:rPr>
        <w:t xml:space="preserve"> - </w:t>
      </w:r>
      <w:r w:rsidRPr="00D25F98">
        <w:rPr>
          <w:rFonts w:ascii="Tahoma" w:eastAsia="Calibri" w:hAnsi="Tahoma" w:cs="Tahoma"/>
          <w:sz w:val="19"/>
          <w:szCs w:val="19"/>
          <w:rtl/>
        </w:rPr>
        <w:t>ועדת ההיגוי להגנת הסייבר</w:t>
      </w:r>
      <w:r w:rsidRPr="00D25F98">
        <w:rPr>
          <w:rFonts w:ascii="Tahoma" w:eastAsia="Calibri" w:hAnsi="Tahoma" w:cs="Tahoma" w:hint="cs"/>
          <w:sz w:val="19"/>
          <w:szCs w:val="19"/>
          <w:rtl/>
        </w:rPr>
        <w:t xml:space="preserve"> בראשות </w:t>
      </w:r>
      <w:r w:rsidRPr="00D25F98">
        <w:rPr>
          <w:rFonts w:ascii="Tahoma" w:eastAsia="Calibri" w:hAnsi="Tahoma" w:cs="Tahoma"/>
          <w:sz w:val="19"/>
          <w:szCs w:val="19"/>
          <w:rtl/>
        </w:rPr>
        <w:t>סמנכ"לי תיאום</w:t>
      </w:r>
      <w:r w:rsidRPr="00D25F98">
        <w:rPr>
          <w:rFonts w:ascii="Tahoma" w:eastAsia="Calibri" w:hAnsi="Tahoma" w:cs="Tahoma" w:hint="cs"/>
          <w:sz w:val="19"/>
          <w:szCs w:val="19"/>
          <w:rtl/>
        </w:rPr>
        <w:t xml:space="preserve"> ותכנון מדיני במשרד החוץ</w:t>
      </w:r>
      <w:r w:rsidRPr="00D25F98">
        <w:rPr>
          <w:rFonts w:ascii="Tahoma" w:eastAsia="Calibri" w:hAnsi="Tahoma" w:cs="Tahoma"/>
          <w:sz w:val="19"/>
          <w:szCs w:val="19"/>
          <w:rtl/>
        </w:rPr>
        <w:t xml:space="preserve"> אמורה לשמש מסגרת ארגונית ניהולית לקבלת החלטות בתחום הגנת הסייבר ולמעקב אחר יישומן. עלה כי ועדת ההיגוי במשרד החוץ לא עקבה בשנים 2018 </w:t>
      </w:r>
      <w:r w:rsidRPr="00D25F98">
        <w:rPr>
          <w:rFonts w:ascii="Tahoma" w:eastAsia="Calibri" w:hAnsi="Tahoma" w:cs="Tahoma" w:hint="cs"/>
          <w:sz w:val="19"/>
          <w:szCs w:val="19"/>
          <w:rtl/>
        </w:rPr>
        <w:t>-</w:t>
      </w:r>
      <w:r w:rsidRPr="00D25F98">
        <w:rPr>
          <w:rFonts w:ascii="Tahoma" w:eastAsia="Calibri" w:hAnsi="Tahoma" w:cs="Tahoma"/>
          <w:sz w:val="19"/>
          <w:szCs w:val="19"/>
          <w:rtl/>
        </w:rPr>
        <w:t xml:space="preserve"> 2024</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באופן שיטתי ורציף אחר יישום החלטות שקיבלה בנוגע לנושאים מהותיים</w:t>
      </w:r>
      <w:r w:rsidRPr="00D25F98">
        <w:rPr>
          <w:rFonts w:ascii="Tahoma" w:eastAsia="Calibri" w:hAnsi="Tahoma" w:cs="Tahoma" w:hint="cs"/>
          <w:sz w:val="19"/>
          <w:szCs w:val="19"/>
          <w:rtl/>
        </w:rPr>
        <w:t xml:space="preserve">, כגון - </w:t>
      </w:r>
      <w:r w:rsidRPr="00D25F98">
        <w:rPr>
          <w:rFonts w:ascii="Tahoma" w:eastAsia="Calibri" w:hAnsi="Tahoma" w:cs="Tahoma"/>
          <w:sz w:val="19"/>
          <w:szCs w:val="19"/>
          <w:rtl/>
        </w:rPr>
        <w:t>מדיניות לסיווג מידע רגיש</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(שאינו מסווג מהבחינה הביטחונית)</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 xml:space="preserve">שימוש העובדים ביישום </w:t>
      </w:r>
      <w:r w:rsidRPr="00D25F98">
        <w:rPr>
          <w:rFonts w:ascii="Tahoma" w:eastAsia="Calibri" w:hAnsi="Tahoma" w:cs="Tahoma" w:hint="cs"/>
          <w:sz w:val="19"/>
          <w:szCs w:val="19"/>
          <w:rtl/>
        </w:rPr>
        <w:t>מסוים ו</w:t>
      </w:r>
      <w:r w:rsidRPr="00D25F98">
        <w:rPr>
          <w:rFonts w:ascii="Tahoma" w:eastAsia="Calibri" w:hAnsi="Tahoma" w:cs="Tahoma"/>
          <w:sz w:val="19"/>
          <w:szCs w:val="19"/>
          <w:rtl/>
        </w:rPr>
        <w:t>הגנת הפרטיות</w:t>
      </w:r>
      <w:r w:rsidRPr="00D25F98">
        <w:rPr>
          <w:rFonts w:ascii="Tahoma" w:eastAsia="Calibri" w:hAnsi="Tahoma" w:cs="Tahoma" w:hint="cs"/>
          <w:sz w:val="19"/>
          <w:szCs w:val="19"/>
          <w:rtl/>
        </w:rPr>
        <w:t>.</w:t>
      </w:r>
      <w:r w:rsidRPr="00D25F98">
        <w:rPr>
          <w:rFonts w:ascii="Tahoma" w:eastAsia="Calibri" w:hAnsi="Tahoma" w:cs="Tahoma"/>
          <w:sz w:val="19"/>
          <w:szCs w:val="19"/>
          <w:rtl/>
        </w:rPr>
        <w:t xml:space="preserve"> היעדר מעקב אחר יישום החלטות שנועדו לקדם טיפול בסוגיות אבטחת מידע חושף את המשרד לסיכונים ופוגע ביכולת לשפר את רמת ההגנה על המשרד ונכסיו.</w:t>
      </w:r>
    </w:p>
    <w:p w:rsidR="00D25F98" w:rsidRPr="00D25F98" w:rsidP="00D25F98">
      <w:pPr>
        <w:numPr>
          <w:ilvl w:val="0"/>
          <w:numId w:val="14"/>
        </w:numPr>
        <w:spacing w:after="240" w:line="288" w:lineRule="auto"/>
        <w:ind w:left="-143" w:right="-567" w:hanging="595"/>
        <w:rPr>
          <w:rFonts w:ascii="Tahoma" w:eastAsia="Calibri" w:hAnsi="Tahoma" w:cs="Tahoma"/>
          <w:sz w:val="19"/>
          <w:szCs w:val="19"/>
        </w:rPr>
      </w:pPr>
      <w:r w:rsidRPr="00D25F98">
        <w:rPr>
          <w:rFonts w:ascii="Tahoma" w:eastAsia="Calibri" w:hAnsi="Tahoma" w:cs="Tahoma"/>
          <w:b/>
          <w:bCs/>
          <w:sz w:val="19"/>
          <w:szCs w:val="19"/>
          <w:rtl/>
        </w:rPr>
        <w:t>ביצוע סקרי סיכונים ומבדקי חדירה</w:t>
      </w:r>
      <w:r w:rsidRPr="00D25F98">
        <w:rPr>
          <w:rFonts w:ascii="Tahoma" w:eastAsia="Calibri" w:hAnsi="Tahoma" w:cs="Tahoma" w:hint="cs"/>
          <w:sz w:val="19"/>
          <w:szCs w:val="19"/>
          <w:rtl/>
        </w:rPr>
        <w:t xml:space="preserve"> - </w:t>
      </w:r>
      <w:r w:rsidRPr="00D25F98">
        <w:rPr>
          <w:rFonts w:ascii="Tahoma" w:eastAsia="Calibri" w:hAnsi="Tahoma" w:cs="Tahoma"/>
          <w:sz w:val="19"/>
          <w:szCs w:val="19"/>
          <w:rtl/>
        </w:rPr>
        <w:t xml:space="preserve">נמצא כי משרד החוץ פעל במהלך השנים </w:t>
      </w:r>
      <w:r w:rsidRPr="00D25F98">
        <w:rPr>
          <w:rFonts w:ascii="Tahoma" w:eastAsia="Calibri" w:hAnsi="Tahoma" w:cs="Tahoma" w:hint="cs"/>
          <w:sz w:val="19"/>
          <w:szCs w:val="19"/>
          <w:rtl/>
        </w:rPr>
        <w:t>2017</w:t>
      </w:r>
      <w:r w:rsidRPr="00D25F98">
        <w:rPr>
          <w:rFonts w:ascii="Tahoma" w:eastAsia="Calibri" w:hAnsi="Tahoma" w:cs="Tahoma"/>
          <w:sz w:val="19"/>
          <w:szCs w:val="19"/>
          <w:rtl/>
        </w:rPr>
        <w:t xml:space="preserve"> - 2024 לביצוע סקרי סיכונים (הן סקרים כוללים והן סקרים ייעודיים) ומבדקי חדירה. עם זאת, סקרי הסיכונים ומבדקי החדירה היו חסרים, או שלא נגעו לכלל נכסי המידע והתהליכים הקריטיים במשרד.</w:t>
      </w:r>
      <w:r w:rsidRPr="00D25F98">
        <w:rPr>
          <w:rFonts w:ascii="Tahoma" w:eastAsia="Calibri" w:hAnsi="Tahoma" w:cs="Tahoma" w:hint="cs"/>
          <w:sz w:val="19"/>
          <w:szCs w:val="19"/>
          <w:rtl/>
        </w:rPr>
        <w:t xml:space="preserve"> כך לדוגמה,</w:t>
      </w:r>
      <w:r w:rsidRPr="00D25F98">
        <w:rPr>
          <w:rFonts w:eastAsia="Calibri"/>
          <w:rtl/>
        </w:rPr>
        <w:t xml:space="preserve"> </w:t>
      </w:r>
      <w:r w:rsidRPr="00D25F98">
        <w:rPr>
          <w:rFonts w:ascii="Tahoma" w:eastAsia="Calibri" w:hAnsi="Tahoma" w:cs="Tahoma"/>
          <w:sz w:val="19"/>
          <w:szCs w:val="19"/>
          <w:rtl/>
        </w:rPr>
        <w:t xml:space="preserve">בשנים 2017 ו-2019 ביצע המשרד סקרי סיכונים רק על </w:t>
      </w:r>
      <w:r w:rsidRPr="00D25F98">
        <w:rPr>
          <w:rFonts w:ascii="Tahoma" w:eastAsia="Calibri" w:hAnsi="Tahoma" w:cs="Tahoma" w:hint="cs"/>
          <w:sz w:val="19"/>
          <w:szCs w:val="19"/>
          <w:rtl/>
        </w:rPr>
        <w:t>חלק מ</w:t>
      </w:r>
      <w:r w:rsidRPr="00D25F98">
        <w:rPr>
          <w:rFonts w:ascii="Tahoma" w:eastAsia="Calibri" w:hAnsi="Tahoma" w:cs="Tahoma"/>
          <w:sz w:val="19"/>
          <w:szCs w:val="19"/>
          <w:rtl/>
        </w:rPr>
        <w:t>רשתות המ</w:t>
      </w:r>
      <w:r w:rsidRPr="00D25F98">
        <w:rPr>
          <w:rFonts w:ascii="Tahoma" w:eastAsia="Calibri" w:hAnsi="Tahoma" w:cs="Tahoma" w:hint="cs"/>
          <w:sz w:val="19"/>
          <w:szCs w:val="19"/>
          <w:rtl/>
        </w:rPr>
        <w:t>שרד ובחלק מיחידות המשרד.</w:t>
      </w:r>
    </w:p>
    <w:p w:rsidR="00D25F98" w:rsidRPr="00D25F98" w:rsidP="00F56E36">
      <w:pPr>
        <w:numPr>
          <w:ilvl w:val="0"/>
          <w:numId w:val="14"/>
        </w:numPr>
        <w:spacing w:after="160" w:line="288" w:lineRule="auto"/>
        <w:ind w:left="-142" w:right="-567" w:hanging="595"/>
        <w:rPr>
          <w:rFonts w:ascii="Tahoma" w:eastAsia="Calibri" w:hAnsi="Tahoma" w:cs="Tahoma"/>
          <w:sz w:val="19"/>
          <w:szCs w:val="19"/>
        </w:rPr>
      </w:pPr>
      <w:r w:rsidRPr="00D25F98">
        <w:rPr>
          <w:rFonts w:ascii="Tahoma" w:eastAsia="Calibri" w:hAnsi="Tahoma" w:cs="Tahoma"/>
          <w:b/>
          <w:bCs/>
          <w:sz w:val="19"/>
          <w:szCs w:val="19"/>
          <w:rtl/>
        </w:rPr>
        <w:t>התעדכנות באירועי סייבר חריגים במשרד</w:t>
      </w:r>
      <w:r w:rsidRPr="00D25F98">
        <w:rPr>
          <w:rFonts w:ascii="Tahoma" w:eastAsia="Calibri" w:hAnsi="Tahoma" w:cs="Tahoma" w:hint="cs"/>
          <w:sz w:val="19"/>
          <w:szCs w:val="19"/>
          <w:rtl/>
        </w:rPr>
        <w:t xml:space="preserve"> - </w:t>
      </w:r>
      <w:r w:rsidRPr="00D25F98">
        <w:rPr>
          <w:rFonts w:ascii="Tahoma" w:eastAsia="Calibri" w:hAnsi="Tahoma" w:cs="Tahoma"/>
          <w:sz w:val="19"/>
          <w:szCs w:val="19"/>
          <w:rtl/>
        </w:rPr>
        <w:t>לפי הנחיות יה"ב, אחד מתפקידי ועדת ההיגוי הוא להתעדכן באירועי סייבר חריגים שאירעו במשרד, לקיים הערכת נזקים בעקבות תקלות ולגבש המלצות לטיפול</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נמצא כי בשנים 2020 - 2024 אירעו אירועי סייבר חריגים, אולם רק בספטמבר 2024 הובא דיווח תמציתי לוועדת ההיגוי על התרחשותם, ודיווח זה נגע רק לחלק מהאירועים</w:t>
      </w:r>
      <w:r w:rsidRPr="00D25F98">
        <w:rPr>
          <w:rFonts w:ascii="Tahoma" w:eastAsia="Calibri" w:hAnsi="Tahoma" w:cs="Tahoma" w:hint="cs"/>
          <w:sz w:val="19"/>
          <w:szCs w:val="19"/>
          <w:rtl/>
        </w:rPr>
        <w:t>.</w:t>
      </w:r>
      <w:r w:rsidRPr="00D25F98">
        <w:rPr>
          <w:rFonts w:eastAsia="Calibri"/>
          <w:rtl/>
        </w:rPr>
        <w:t xml:space="preserve"> </w:t>
      </w:r>
      <w:r w:rsidRPr="00D25F98">
        <w:rPr>
          <w:rFonts w:ascii="Tahoma" w:eastAsia="Calibri" w:hAnsi="Tahoma" w:cs="Tahoma"/>
          <w:sz w:val="19"/>
          <w:szCs w:val="19"/>
          <w:rtl/>
        </w:rPr>
        <w:t>העברת מידע על חלק מאירועי הסייבר, באיחור ניכר לאחר מועד התרחשותם, אינה מאפשרת לחברי הוועדה להעריך במועד את הנזק שנגרם לרמת הגנת הסייבר המשרד ולגבש המלצות לצורך תיקון הפערים שהועלו.</w:t>
      </w:r>
    </w:p>
    <w:p w:rsidR="00D25F98" w:rsidP="0026369E">
      <w:pPr>
        <w:numPr>
          <w:ilvl w:val="0"/>
          <w:numId w:val="14"/>
        </w:numPr>
        <w:spacing w:after="160" w:line="288" w:lineRule="auto"/>
        <w:ind w:left="-142" w:right="-567" w:hanging="595"/>
        <w:rPr>
          <w:rFonts w:ascii="Tahoma" w:eastAsia="Calibri" w:hAnsi="Tahoma" w:cs="Tahoma"/>
          <w:b/>
          <w:bCs/>
          <w:sz w:val="19"/>
          <w:szCs w:val="19"/>
        </w:rPr>
      </w:pPr>
      <w:r w:rsidRPr="00D25F98">
        <w:rPr>
          <w:rFonts w:ascii="Tahoma" w:eastAsia="Calibri" w:hAnsi="Tahoma" w:cs="Tahoma"/>
          <w:b/>
          <w:bCs/>
          <w:sz w:val="19"/>
          <w:szCs w:val="19"/>
          <w:rtl/>
        </w:rPr>
        <w:t xml:space="preserve">הגנה על המידע ברשתות המחשוב במשרד החוץ </w:t>
      </w:r>
      <w:r w:rsidRPr="00D25F98">
        <w:rPr>
          <w:rFonts w:ascii="Tahoma" w:eastAsia="Calibri" w:hAnsi="Tahoma" w:cs="Tahoma"/>
          <w:sz w:val="19"/>
          <w:szCs w:val="19"/>
          <w:rtl/>
        </w:rPr>
        <w:t>- נמצאו ליקויים חמורים המשקפים תרבות ארגונית לקויה במשרד החוץ בכל הנוגע לשמירה על מידע רגיש ופרטי</w:t>
      </w:r>
      <w:r w:rsidRPr="00D25F98">
        <w:rPr>
          <w:rFonts w:ascii="Tahoma" w:eastAsia="Calibri" w:hAnsi="Tahoma" w:cs="Tahoma" w:hint="cs"/>
          <w:sz w:val="19"/>
          <w:szCs w:val="19"/>
          <w:rtl/>
        </w:rPr>
        <w:t>.</w:t>
      </w:r>
      <w:r w:rsidRPr="00D25F98">
        <w:rPr>
          <w:rFonts w:ascii="Tahoma" w:eastAsia="Calibri" w:hAnsi="Tahoma" w:cs="Tahoma"/>
          <w:sz w:val="19"/>
          <w:szCs w:val="19"/>
          <w:rtl/>
        </w:rPr>
        <w:t xml:space="preserve"> ליקויים אלה מעלים את הסיכון לדלף מידע, דבר שיכול אף להביא לחשיפה של זהותם של עובדי המשרד. להלן פירוט הליקויים: היעדר נוהל המסדיר את סיווג נכסי המידע ואת מעטפת ההגנה הנדרשת בהתאם לסיווגם של הנכסים;</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ניתנה גישה לכונן שהיה פתוח לכלל</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 xml:space="preserve">משתמשי רשת </w:t>
      </w:r>
      <w:r w:rsidRPr="00D25F98">
        <w:rPr>
          <w:rFonts w:ascii="Tahoma" w:eastAsia="Calibri" w:hAnsi="Tahoma" w:cs="Tahoma" w:hint="cs"/>
          <w:sz w:val="19"/>
          <w:szCs w:val="19"/>
          <w:rtl/>
        </w:rPr>
        <w:t>מסוימת</w:t>
      </w:r>
      <w:r w:rsidRPr="00D25F98">
        <w:rPr>
          <w:rFonts w:ascii="Tahoma" w:eastAsia="Calibri" w:hAnsi="Tahoma" w:cs="Tahoma"/>
          <w:sz w:val="19"/>
          <w:szCs w:val="19"/>
          <w:rtl/>
        </w:rPr>
        <w:t xml:space="preserve"> ושהכיל עשרות אלפי מסמכים, חלקם כוללים מידע רגיש, כגון מידע אישי-פרטי.</w:t>
      </w:r>
    </w:p>
    <w:p w:rsidR="00EF62FC" w:rsidRPr="00D25F98" w:rsidP="00EF62FC">
      <w:pPr>
        <w:spacing w:after="240" w:line="288" w:lineRule="auto"/>
        <w:ind w:left="-142" w:right="-567"/>
        <w:jc w:val="left"/>
        <w:rPr>
          <w:rFonts w:ascii="Tahoma" w:eastAsia="Calibri" w:hAnsi="Tahoma" w:cs="Tahoma"/>
          <w:b/>
          <w:bCs/>
          <w:sz w:val="19"/>
          <w:szCs w:val="19"/>
          <w:rtl/>
        </w:rPr>
      </w:pPr>
      <w:r w:rsidRPr="00D25F98">
        <w:rPr>
          <w:rFonts w:ascii="Tahoma" w:eastAsia="Calibri" w:hAnsi="Tahoma" w:cs="Tahoma"/>
          <w:b/>
          <w:bCs/>
          <w:noProof/>
          <w:color w:val="FFFFFF"/>
          <w:sz w:val="28"/>
          <w:szCs w:val="28"/>
          <w:rtl/>
        </w:rPr>
        <w:drawing>
          <wp:anchor distT="0" distB="0" distL="114300" distR="114300" simplePos="0" relativeHeight="251662336" behindDoc="1" locked="0" layoutInCell="1" allowOverlap="1">
            <wp:simplePos x="0" y="0"/>
            <wp:positionH relativeFrom="column">
              <wp:posOffset>-285797</wp:posOffset>
            </wp:positionH>
            <wp:positionV relativeFrom="paragraph">
              <wp:posOffset>222131</wp:posOffset>
            </wp:positionV>
            <wp:extent cx="5701072" cy="612140"/>
            <wp:effectExtent l="0" t="0" r="0" b="0"/>
            <wp:wrapNone/>
            <wp:docPr id="20" name="תמונה 20"/>
            <wp:cNvGraphicFramePr/>
            <a:graphic xmlns:a="http://schemas.openxmlformats.org/drawingml/2006/main">
              <a:graphicData uri="http://schemas.openxmlformats.org/drawingml/2006/picture">
                <pic:pic xmlns:pic="http://schemas.openxmlformats.org/drawingml/2006/picture">
                  <pic:nvPicPr>
                    <pic:cNvPr id="20" name="תקציר-03.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01072" cy="612140"/>
                    </a:xfrm>
                    <a:prstGeom prst="rect">
                      <a:avLst/>
                    </a:prstGeom>
                  </pic:spPr>
                </pic:pic>
              </a:graphicData>
            </a:graphic>
            <wp14:sizeRelH relativeFrom="page">
              <wp14:pctWidth>0</wp14:pctWidth>
            </wp14:sizeRelH>
            <wp14:sizeRelV relativeFrom="page">
              <wp14:pctHeight>0</wp14:pctHeight>
            </wp14:sizeRelV>
          </wp:anchor>
        </w:drawing>
      </w:r>
    </w:p>
    <w:p w:rsidR="00D25F98" w:rsidRPr="00D25F98" w:rsidP="00EF62FC">
      <w:pPr>
        <w:spacing w:after="240" w:line="288" w:lineRule="auto"/>
        <w:ind w:left="-142" w:right="-567"/>
        <w:rPr>
          <w:rFonts w:ascii="Tahoma" w:eastAsia="Calibri" w:hAnsi="Tahoma" w:cs="Tahoma"/>
          <w:b/>
          <w:bCs/>
          <w:color w:val="FFFFFF"/>
          <w:sz w:val="22"/>
          <w:szCs w:val="22"/>
          <w:rtl/>
        </w:rPr>
      </w:pPr>
      <w:r w:rsidRPr="00D25F98">
        <w:rPr>
          <w:rFonts w:ascii="Tahoma" w:eastAsia="Calibri" w:hAnsi="Tahoma" w:cs="Tahoma"/>
          <w:b/>
          <w:bCs/>
          <w:color w:val="FFFFFF"/>
          <w:sz w:val="22"/>
          <w:szCs w:val="22"/>
          <w:rtl/>
        </w:rPr>
        <w:t>מסמכים הכוללים מידע אישי</w:t>
      </w:r>
      <w:r w:rsidRPr="00D25F98">
        <w:rPr>
          <w:rFonts w:ascii="Tahoma" w:eastAsia="Calibri" w:hAnsi="Tahoma" w:cs="Tahoma" w:hint="cs"/>
          <w:b/>
          <w:bCs/>
          <w:color w:val="FFFFFF"/>
          <w:sz w:val="22"/>
          <w:szCs w:val="22"/>
          <w:rtl/>
        </w:rPr>
        <w:t xml:space="preserve"> </w:t>
      </w:r>
      <w:r w:rsidRPr="00D25F98">
        <w:rPr>
          <w:rFonts w:ascii="Tahoma" w:eastAsia="Calibri" w:hAnsi="Tahoma" w:cs="Tahoma"/>
          <w:b/>
          <w:bCs/>
          <w:color w:val="FFFFFF"/>
          <w:sz w:val="22"/>
          <w:szCs w:val="22"/>
          <w:rtl/>
        </w:rPr>
        <w:t xml:space="preserve">שהיו נגישים לכלל משתמשי רשת </w:t>
      </w:r>
      <w:r w:rsidRPr="00D25F98">
        <w:rPr>
          <w:rFonts w:ascii="Tahoma" w:eastAsia="Calibri" w:hAnsi="Tahoma" w:cs="Tahoma" w:hint="cs"/>
          <w:b/>
          <w:bCs/>
          <w:color w:val="FFFFFF"/>
          <w:sz w:val="22"/>
          <w:szCs w:val="22"/>
          <w:rtl/>
        </w:rPr>
        <w:t xml:space="preserve">מסוימת במשרד </w:t>
      </w:r>
    </w:p>
    <w:p w:rsidR="00F56E36" w:rsidRPr="00F56E36" w:rsidP="00D25F98">
      <w:pPr>
        <w:spacing w:after="240" w:line="288" w:lineRule="auto"/>
        <w:ind w:left="-143" w:right="-567"/>
        <w:jc w:val="center"/>
        <w:rPr>
          <w:rFonts w:ascii="Tahoma" w:eastAsia="Calibri" w:hAnsi="Tahoma" w:cs="Tahoma"/>
          <w:sz w:val="2"/>
          <w:szCs w:val="2"/>
        </w:rPr>
      </w:pPr>
    </w:p>
    <w:p w:rsidR="00D25F98" w:rsidRPr="00D25F98" w:rsidP="00F56E36">
      <w:pPr>
        <w:spacing w:line="288" w:lineRule="auto"/>
        <w:ind w:left="-284" w:right="-567"/>
        <w:jc w:val="center"/>
        <w:rPr>
          <w:rFonts w:ascii="Tahoma" w:eastAsia="Calibri" w:hAnsi="Tahoma" w:cs="Tahoma"/>
          <w:sz w:val="19"/>
          <w:szCs w:val="19"/>
        </w:rPr>
      </w:pPr>
      <w:r w:rsidRPr="00D25F98">
        <w:rPr>
          <w:rFonts w:eastAsia="Calibri"/>
          <w:noProof/>
        </w:rPr>
        <w:drawing>
          <wp:inline distT="0" distB="0" distL="0" distR="0">
            <wp:extent cx="3529954" cy="3406979"/>
            <wp:effectExtent l="0" t="0" r="0" b="3175"/>
            <wp:docPr id="21" name="תמונה 21" descr="מוצגים סוגי המידע והמסמכים שנחשפו:&#10;חוות דעת תעסוקתית.&#10;קובץ דרגות שכר של 728 עובדים.&#10;בקשת הסגרה.&#10;מסמך ועדת דרגים לרבות הערכת עובדים.&#10;מידע רגיש נוסף.&#10;הערכות עובד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rcRect t="1918" b="3376"/>
                    <a:stretch>
                      <a:fillRect/>
                    </a:stretch>
                  </pic:blipFill>
                  <pic:spPr bwMode="auto">
                    <a:xfrm>
                      <a:off x="0" y="0"/>
                      <a:ext cx="3532366" cy="3409307"/>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D25F98" w:rsidRPr="00D25F98" w:rsidP="00F56E36">
      <w:pPr>
        <w:numPr>
          <w:ilvl w:val="0"/>
          <w:numId w:val="14"/>
        </w:numPr>
        <w:spacing w:after="160" w:line="288" w:lineRule="auto"/>
        <w:ind w:left="-142" w:right="-567" w:hanging="595"/>
        <w:rPr>
          <w:rFonts w:ascii="Tahoma" w:eastAsia="Calibri" w:hAnsi="Tahoma" w:cs="Tahoma"/>
          <w:sz w:val="19"/>
          <w:szCs w:val="19"/>
        </w:rPr>
      </w:pPr>
      <w:r w:rsidRPr="00D25F98">
        <w:rPr>
          <w:rFonts w:ascii="Tahoma" w:eastAsia="Calibri" w:hAnsi="Tahoma" w:cs="Tahoma"/>
          <w:b/>
          <w:bCs/>
          <w:sz w:val="19"/>
          <w:szCs w:val="19"/>
          <w:rtl/>
        </w:rPr>
        <w:t xml:space="preserve">עמידה ברמת ההגנה הנדרשת ברשתות </w:t>
      </w:r>
      <w:r w:rsidRPr="00D25F98">
        <w:rPr>
          <w:rFonts w:ascii="Tahoma" w:eastAsia="Calibri" w:hAnsi="Tahoma" w:cs="Tahoma" w:hint="cs"/>
          <w:b/>
          <w:bCs/>
          <w:sz w:val="19"/>
          <w:szCs w:val="19"/>
          <w:rtl/>
        </w:rPr>
        <w:t>מסוימות</w:t>
      </w:r>
      <w:r w:rsidRPr="00D25F98">
        <w:rPr>
          <w:rFonts w:ascii="Tahoma" w:eastAsia="Calibri" w:hAnsi="Tahoma" w:cs="Tahoma"/>
          <w:b/>
          <w:bCs/>
          <w:sz w:val="19"/>
          <w:szCs w:val="19"/>
          <w:rtl/>
        </w:rPr>
        <w:t xml:space="preserve"> </w:t>
      </w:r>
      <w:r w:rsidRPr="00D25F98">
        <w:rPr>
          <w:rFonts w:ascii="Tahoma" w:eastAsia="Calibri" w:hAnsi="Tahoma" w:cs="Tahoma" w:hint="cs"/>
          <w:sz w:val="19"/>
          <w:szCs w:val="19"/>
          <w:rtl/>
        </w:rPr>
        <w:t xml:space="preserve">- נמצא כי </w:t>
      </w:r>
      <w:r w:rsidRPr="00D25F98">
        <w:rPr>
          <w:rFonts w:ascii="Tahoma" w:eastAsia="Calibri" w:hAnsi="Tahoma" w:cs="Tahoma"/>
          <w:sz w:val="19"/>
          <w:szCs w:val="19"/>
          <w:rtl/>
        </w:rPr>
        <w:t xml:space="preserve">רמת ההגנה על המידע ברשתות </w:t>
      </w:r>
      <w:r w:rsidRPr="00D25F98">
        <w:rPr>
          <w:rFonts w:ascii="Tahoma" w:eastAsia="Calibri" w:hAnsi="Tahoma" w:cs="Tahoma" w:hint="cs"/>
          <w:sz w:val="19"/>
          <w:szCs w:val="19"/>
          <w:rtl/>
        </w:rPr>
        <w:t>מסוימות</w:t>
      </w:r>
      <w:r w:rsidRPr="00D25F98">
        <w:rPr>
          <w:rFonts w:ascii="Tahoma" w:eastAsia="Calibri" w:hAnsi="Tahoma" w:cs="Tahoma"/>
          <w:sz w:val="19"/>
          <w:szCs w:val="19"/>
          <w:rtl/>
        </w:rPr>
        <w:t xml:space="preserve"> נמוכה מרמת ההגנה הנדרשת ואינה עומדת בדרישות הגורם המנחה.</w:t>
      </w:r>
    </w:p>
    <w:p w:rsidR="00D25F98" w:rsidRPr="00D25F98" w:rsidP="00F56E36">
      <w:pPr>
        <w:numPr>
          <w:ilvl w:val="0"/>
          <w:numId w:val="14"/>
        </w:numPr>
        <w:spacing w:after="160" w:line="288" w:lineRule="auto"/>
        <w:ind w:left="-142" w:right="-567" w:hanging="595"/>
        <w:rPr>
          <w:rFonts w:ascii="Tahoma" w:eastAsia="Calibri" w:hAnsi="Tahoma" w:cs="Tahoma"/>
          <w:sz w:val="19"/>
          <w:szCs w:val="19"/>
        </w:rPr>
      </w:pPr>
      <w:r w:rsidRPr="00D25F98">
        <w:rPr>
          <w:rFonts w:ascii="Tahoma" w:eastAsia="Calibri" w:hAnsi="Tahoma" w:cs="Tahoma"/>
          <w:b/>
          <w:bCs/>
          <w:sz w:val="19"/>
          <w:szCs w:val="19"/>
          <w:rtl/>
        </w:rPr>
        <w:t xml:space="preserve">עדכניות תשתיות </w:t>
      </w:r>
      <w:r w:rsidRPr="00D25F98">
        <w:rPr>
          <w:rFonts w:ascii="Tahoma" w:eastAsia="Calibri" w:hAnsi="Tahoma" w:cs="Tahoma" w:hint="eastAsia"/>
          <w:b/>
          <w:bCs/>
          <w:sz w:val="19"/>
          <w:szCs w:val="19"/>
          <w:rtl/>
        </w:rPr>
        <w:t>ו</w:t>
      </w:r>
      <w:r w:rsidRPr="00D25F98">
        <w:rPr>
          <w:rFonts w:ascii="Tahoma" w:eastAsia="Calibri" w:hAnsi="Tahoma" w:cs="Tahoma"/>
          <w:b/>
          <w:bCs/>
          <w:sz w:val="19"/>
          <w:szCs w:val="19"/>
          <w:rtl/>
        </w:rPr>
        <w:t>מערכות המידע במשרד החוץ</w:t>
      </w:r>
      <w:r w:rsidRPr="00D25F98">
        <w:rPr>
          <w:rFonts w:ascii="Tahoma" w:eastAsia="Calibri" w:hAnsi="Tahoma" w:cs="Tahoma" w:hint="cs"/>
          <w:b/>
          <w:bCs/>
          <w:sz w:val="19"/>
          <w:szCs w:val="19"/>
          <w:rtl/>
        </w:rPr>
        <w:t xml:space="preserve"> </w:t>
      </w:r>
      <w:r w:rsidRPr="00D25F98">
        <w:rPr>
          <w:rFonts w:ascii="Tahoma" w:eastAsia="Calibri" w:hAnsi="Tahoma" w:cs="Tahoma" w:hint="cs"/>
          <w:sz w:val="19"/>
          <w:szCs w:val="19"/>
          <w:rtl/>
        </w:rPr>
        <w:t>-</w:t>
      </w:r>
      <w:r w:rsidRPr="00D25F98">
        <w:rPr>
          <w:rFonts w:ascii="Tahoma" w:eastAsia="Calibri" w:hAnsi="Tahoma" w:cs="Tahoma"/>
          <w:sz w:val="19"/>
          <w:szCs w:val="19"/>
          <w:rtl/>
        </w:rPr>
        <w:t xml:space="preserve"> נמצאו פערים בעדכניות תשתיות ומערכות המידע. </w:t>
      </w:r>
    </w:p>
    <w:p w:rsidR="00D25F98" w:rsidRPr="00D25F98" w:rsidP="00F56E36">
      <w:pPr>
        <w:numPr>
          <w:ilvl w:val="0"/>
          <w:numId w:val="14"/>
        </w:numPr>
        <w:spacing w:after="160" w:line="288" w:lineRule="auto"/>
        <w:ind w:left="-142" w:right="-567" w:hanging="595"/>
        <w:rPr>
          <w:rFonts w:ascii="Tahoma" w:eastAsia="Calibri" w:hAnsi="Tahoma" w:cs="Tahoma"/>
          <w:sz w:val="19"/>
          <w:szCs w:val="19"/>
        </w:rPr>
      </w:pPr>
      <w:r w:rsidRPr="00D25F98">
        <w:rPr>
          <w:rFonts w:ascii="Tahoma" w:eastAsia="Calibri" w:hAnsi="Tahoma" w:cs="Tahoma"/>
          <w:b/>
          <w:bCs/>
          <w:sz w:val="19"/>
          <w:szCs w:val="19"/>
          <w:rtl/>
        </w:rPr>
        <w:t xml:space="preserve">הגנה על רשת </w:t>
      </w:r>
      <w:r w:rsidRPr="00D25F98">
        <w:rPr>
          <w:rFonts w:ascii="Tahoma" w:eastAsia="Calibri" w:hAnsi="Tahoma" w:cs="Tahoma" w:hint="cs"/>
          <w:b/>
          <w:bCs/>
          <w:sz w:val="19"/>
          <w:szCs w:val="19"/>
          <w:rtl/>
        </w:rPr>
        <w:t>מסוימת</w:t>
      </w:r>
      <w:r w:rsidRPr="00D25F98">
        <w:rPr>
          <w:rFonts w:ascii="Tahoma" w:eastAsia="Calibri" w:hAnsi="Tahoma" w:cs="Tahoma"/>
          <w:b/>
          <w:bCs/>
          <w:sz w:val="19"/>
          <w:szCs w:val="19"/>
          <w:rtl/>
        </w:rPr>
        <w:t xml:space="preserve"> במשרד החוץ</w:t>
      </w:r>
      <w:r w:rsidRPr="00D25F98">
        <w:rPr>
          <w:rFonts w:ascii="Tahoma" w:eastAsia="Calibri" w:hAnsi="Tahoma" w:cs="Tahoma" w:hint="cs"/>
          <w:sz w:val="19"/>
          <w:szCs w:val="19"/>
          <w:rtl/>
        </w:rPr>
        <w:t xml:space="preserve"> - עלו פערים בנוגע להגנה על רשת מסוימת במשרד החוץ. </w:t>
      </w:r>
    </w:p>
    <w:p w:rsidR="00D25F98" w:rsidRPr="00D25F98" w:rsidP="00D25F98">
      <w:pPr>
        <w:numPr>
          <w:ilvl w:val="0"/>
          <w:numId w:val="14"/>
        </w:numPr>
        <w:spacing w:after="240" w:line="288" w:lineRule="auto"/>
        <w:ind w:left="-143" w:right="-567" w:hanging="595"/>
        <w:rPr>
          <w:rFonts w:ascii="Tahoma" w:eastAsia="Calibri" w:hAnsi="Tahoma" w:cs="Tahoma"/>
          <w:sz w:val="19"/>
          <w:szCs w:val="19"/>
        </w:rPr>
      </w:pPr>
      <w:r w:rsidRPr="00D25F98">
        <w:rPr>
          <w:rFonts w:ascii="Tahoma" w:eastAsia="Calibri" w:hAnsi="Tahoma" w:cs="Tahoma"/>
          <w:b/>
          <w:bCs/>
          <w:sz w:val="19"/>
          <w:szCs w:val="19"/>
          <w:rtl/>
        </w:rPr>
        <w:t>הזדהות משתמשים</w:t>
      </w:r>
      <w:r w:rsidRPr="00D25F98">
        <w:rPr>
          <w:rFonts w:ascii="Tahoma" w:eastAsia="Calibri" w:hAnsi="Tahoma" w:cs="Tahoma" w:hint="cs"/>
          <w:b/>
          <w:bCs/>
          <w:sz w:val="19"/>
          <w:szCs w:val="19"/>
          <w:rtl/>
        </w:rPr>
        <w:t xml:space="preserve"> </w:t>
      </w:r>
      <w:r w:rsidRPr="00D25F98">
        <w:rPr>
          <w:rFonts w:ascii="Tahoma" w:eastAsia="Calibri" w:hAnsi="Tahoma" w:cs="Tahoma"/>
          <w:sz w:val="19"/>
          <w:szCs w:val="19"/>
          <w:rtl/>
        </w:rPr>
        <w:t>- נמצאו ליקויים</w:t>
      </w:r>
      <w:r w:rsidRPr="00D25F98">
        <w:rPr>
          <w:rFonts w:ascii="Tahoma" w:eastAsia="Calibri" w:hAnsi="Tahoma" w:cs="Tahoma" w:hint="cs"/>
          <w:sz w:val="19"/>
          <w:szCs w:val="19"/>
          <w:rtl/>
        </w:rPr>
        <w:t xml:space="preserve"> </w:t>
      </w:r>
      <w:r w:rsidRPr="00D25F98">
        <w:rPr>
          <w:rFonts w:ascii="Tahoma" w:eastAsia="Calibri" w:hAnsi="Tahoma" w:cs="Tahoma" w:hint="eastAsia"/>
          <w:sz w:val="19"/>
          <w:szCs w:val="19"/>
          <w:rtl/>
        </w:rPr>
        <w:t>בהזדהות</w:t>
      </w:r>
      <w:r w:rsidRPr="00D25F98">
        <w:rPr>
          <w:rFonts w:ascii="Tahoma" w:eastAsia="Calibri" w:hAnsi="Tahoma" w:cs="Tahoma"/>
          <w:sz w:val="19"/>
          <w:szCs w:val="19"/>
          <w:rtl/>
        </w:rPr>
        <w:t xml:space="preserve"> </w:t>
      </w:r>
      <w:r w:rsidRPr="00D25F98">
        <w:rPr>
          <w:rFonts w:ascii="Tahoma" w:eastAsia="Calibri" w:hAnsi="Tahoma" w:cs="Tahoma" w:hint="eastAsia"/>
          <w:sz w:val="19"/>
          <w:szCs w:val="19"/>
          <w:rtl/>
        </w:rPr>
        <w:t>משתמשים</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לרשתות המחשב במשרד החוץ</w:t>
      </w:r>
      <w:r w:rsidRPr="00D25F98">
        <w:rPr>
          <w:rFonts w:ascii="Tahoma" w:eastAsia="Calibri" w:hAnsi="Tahoma" w:cs="Tahoma" w:hint="cs"/>
          <w:sz w:val="19"/>
          <w:szCs w:val="19"/>
          <w:rtl/>
        </w:rPr>
        <w:t>.</w:t>
      </w:r>
    </w:p>
    <w:p w:rsidR="00D25F98" w:rsidRPr="00D25F98" w:rsidP="0026369E">
      <w:pPr>
        <w:numPr>
          <w:ilvl w:val="0"/>
          <w:numId w:val="14"/>
        </w:numPr>
        <w:spacing w:after="240" w:line="288" w:lineRule="auto"/>
        <w:ind w:left="-142" w:right="-567" w:hanging="595"/>
        <w:rPr>
          <w:rFonts w:ascii="Tahoma" w:eastAsia="Calibri" w:hAnsi="Tahoma" w:cs="Tahoma"/>
          <w:sz w:val="19"/>
          <w:szCs w:val="19"/>
          <w:rtl/>
        </w:rPr>
      </w:pPr>
      <w:r w:rsidRPr="00D25F98">
        <w:rPr>
          <w:rFonts w:ascii="Tahoma" w:eastAsia="Calibri" w:hAnsi="Tahoma" w:cs="Tahoma" w:hint="cs"/>
          <w:b/>
          <w:bCs/>
          <w:sz w:val="19"/>
          <w:szCs w:val="19"/>
          <w:rtl/>
        </w:rPr>
        <w:t>ניהול הרשאות</w:t>
      </w:r>
      <w:r w:rsidRPr="00D25F98">
        <w:rPr>
          <w:rFonts w:ascii="Tahoma" w:eastAsia="Calibri" w:hAnsi="Tahoma" w:cs="Tahoma" w:hint="cs"/>
          <w:sz w:val="19"/>
          <w:szCs w:val="19"/>
          <w:rtl/>
        </w:rPr>
        <w:t xml:space="preserve"> - נמצאו </w:t>
      </w:r>
      <w:r w:rsidRPr="00D25F98">
        <w:rPr>
          <w:rFonts w:ascii="Tahoma" w:eastAsia="Calibri" w:hAnsi="Tahoma" w:cs="Tahoma"/>
          <w:sz w:val="19"/>
          <w:szCs w:val="19"/>
          <w:rtl/>
        </w:rPr>
        <w:t>פערים בכל הנוגע לניהול הרשאות הגישה למערכות המידע במשרד החוץ</w:t>
      </w:r>
      <w:r w:rsidRPr="00D25F98">
        <w:rPr>
          <w:rFonts w:ascii="Tahoma" w:eastAsia="Calibri" w:hAnsi="Tahoma" w:cs="Tahoma" w:hint="cs"/>
          <w:sz w:val="19"/>
          <w:szCs w:val="19"/>
          <w:rtl/>
        </w:rPr>
        <w:t>.</w:t>
      </w:r>
      <w:r w:rsidRPr="00D25F98">
        <w:rPr>
          <w:rFonts w:ascii="Tahoma" w:eastAsia="Calibri" w:hAnsi="Tahoma" w:cs="Tahoma"/>
          <w:sz w:val="19"/>
          <w:szCs w:val="19"/>
          <w:rtl/>
        </w:rPr>
        <w:t xml:space="preserve"> </w:t>
      </w:r>
    </w:p>
    <w:p w:rsidR="00D25F98" w:rsidRPr="00D25F98" w:rsidP="0026369E">
      <w:pPr>
        <w:numPr>
          <w:ilvl w:val="0"/>
          <w:numId w:val="14"/>
        </w:numPr>
        <w:spacing w:after="240" w:line="288" w:lineRule="auto"/>
        <w:ind w:left="-142" w:right="-567" w:hanging="595"/>
        <w:rPr>
          <w:rFonts w:ascii="Tahoma" w:eastAsia="Calibri" w:hAnsi="Tahoma" w:cs="Tahoma"/>
          <w:sz w:val="19"/>
          <w:szCs w:val="19"/>
        </w:rPr>
      </w:pPr>
      <w:r w:rsidRPr="00D25F98">
        <w:rPr>
          <w:rFonts w:ascii="Tahoma" w:eastAsia="Calibri" w:hAnsi="Tahoma" w:cs="Tahoma"/>
          <w:b/>
          <w:bCs/>
          <w:sz w:val="19"/>
          <w:szCs w:val="19"/>
          <w:rtl/>
        </w:rPr>
        <w:t xml:space="preserve">הגנה על מאגרי מידע לפי חוק הגנת הפרטיות </w:t>
      </w:r>
      <w:r w:rsidRPr="00D25F98">
        <w:rPr>
          <w:rFonts w:ascii="Tahoma" w:eastAsia="Calibri" w:hAnsi="Tahoma" w:cs="Tahoma"/>
          <w:sz w:val="19"/>
          <w:szCs w:val="19"/>
          <w:rtl/>
        </w:rPr>
        <w:t xml:space="preserve">- הנהלת משרד החוץ מחויבת להגן על מאגרי מידע הכוללים מידע פרטי בהתאם להוראות הדין, לרבות תקנות הגנת הפרטיות, כדי למזער את הסיכון לפגיעה בזכות לפרטיות. </w:t>
      </w:r>
      <w:r w:rsidRPr="00D25F98">
        <w:rPr>
          <w:rFonts w:ascii="Tahoma" w:eastAsia="Calibri" w:hAnsi="Tahoma" w:cs="Tahoma" w:hint="cs"/>
          <w:sz w:val="19"/>
          <w:szCs w:val="19"/>
          <w:rtl/>
        </w:rPr>
        <w:t xml:space="preserve">עלה כי </w:t>
      </w:r>
      <w:r w:rsidRPr="00D25F98">
        <w:rPr>
          <w:rFonts w:ascii="Tahoma" w:eastAsia="Calibri" w:hAnsi="Tahoma" w:cs="Tahoma"/>
          <w:sz w:val="19"/>
          <w:szCs w:val="19"/>
          <w:rtl/>
        </w:rPr>
        <w:t>משרד החוץ אינו מיישם באופן מלא את דרישות חוק הגנת הפרטיות ותקנותיו, ובכלל זה לא ביצע מיפוי</w:t>
      </w:r>
      <w:r w:rsidRPr="00D25F98">
        <w:rPr>
          <w:rFonts w:ascii="Tahoma" w:eastAsia="Calibri" w:hAnsi="Tahoma" w:cs="Tahoma" w:hint="cs"/>
          <w:sz w:val="19"/>
          <w:szCs w:val="19"/>
          <w:rtl/>
        </w:rPr>
        <w:t xml:space="preserve"> מלא</w:t>
      </w:r>
      <w:r w:rsidRPr="00D25F98">
        <w:rPr>
          <w:rFonts w:ascii="Tahoma" w:eastAsia="Calibri" w:hAnsi="Tahoma" w:cs="Tahoma"/>
          <w:sz w:val="19"/>
          <w:szCs w:val="19"/>
          <w:rtl/>
        </w:rPr>
        <w:t xml:space="preserve"> של המאגרים שברשותו; לא קבע את רמת האבטחה הנדרשת בעניינם ולא נקט פעולות הנדרשות לפי החוק והתקנות כדי להגן עליהם באופן מספק</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 xml:space="preserve">בפנקס מאגרי המידע במשרד המשפטים רשומים רק </w:t>
      </w:r>
      <w:r w:rsidRPr="00D25F98">
        <w:rPr>
          <w:rFonts w:ascii="Tahoma" w:eastAsia="Calibri" w:hAnsi="Tahoma" w:cs="Tahoma" w:hint="cs"/>
          <w:sz w:val="19"/>
          <w:szCs w:val="19"/>
          <w:rtl/>
        </w:rPr>
        <w:t>שלושה</w:t>
      </w:r>
      <w:r w:rsidRPr="00D25F98">
        <w:rPr>
          <w:rFonts w:ascii="Tahoma" w:eastAsia="Calibri" w:hAnsi="Tahoma" w:cs="Tahoma"/>
          <w:sz w:val="19"/>
          <w:szCs w:val="19"/>
          <w:rtl/>
        </w:rPr>
        <w:t xml:space="preserve"> מאגרי מידע של משרד החוץ, אף שהמשרד מנהל עשרות מאגרים נוספים. אי-עמידה בחוק ובתקנותיו עלולה להביא לפגיעה בפרטיותם של עובדי המשרד ושל אזרחים המקבלים שירותים ממנו. נוסף על כך, היא חושפת את המשרד לסיכוני אבטחת מידע. </w:t>
      </w:r>
    </w:p>
    <w:p w:rsidR="00D25F98" w:rsidRPr="00D25F98" w:rsidP="00F56E36">
      <w:pPr>
        <w:numPr>
          <w:ilvl w:val="0"/>
          <w:numId w:val="14"/>
        </w:numPr>
        <w:spacing w:after="160" w:line="288" w:lineRule="auto"/>
        <w:ind w:left="-142" w:right="-567" w:hanging="595"/>
        <w:rPr>
          <w:rFonts w:ascii="Tahoma" w:eastAsia="Calibri" w:hAnsi="Tahoma" w:cs="Tahoma"/>
          <w:sz w:val="19"/>
          <w:szCs w:val="19"/>
        </w:rPr>
      </w:pPr>
      <w:r w:rsidRPr="00D25F98">
        <w:rPr>
          <w:rFonts w:ascii="Tahoma" w:eastAsia="Calibri" w:hAnsi="Tahoma" w:cs="Tahoma"/>
          <w:b/>
          <w:bCs/>
          <w:sz w:val="19"/>
          <w:szCs w:val="19"/>
          <w:rtl/>
        </w:rPr>
        <w:t>מבדק חוסן</w:t>
      </w:r>
      <w:r w:rsidRPr="00D25F98">
        <w:rPr>
          <w:rFonts w:ascii="Tahoma" w:eastAsia="Calibri" w:hAnsi="Tahoma" w:cs="Tahoma" w:hint="cs"/>
          <w:b/>
          <w:bCs/>
          <w:sz w:val="19"/>
          <w:szCs w:val="19"/>
          <w:rtl/>
        </w:rPr>
        <w:t xml:space="preserve"> שבוצע על ידי משרד מבקר המדינה </w:t>
      </w:r>
      <w:r w:rsidRPr="00D25F98">
        <w:rPr>
          <w:rFonts w:ascii="Tahoma" w:eastAsia="Calibri" w:hAnsi="Tahoma" w:cs="Tahoma"/>
          <w:b/>
          <w:bCs/>
          <w:sz w:val="19"/>
          <w:szCs w:val="19"/>
          <w:rtl/>
        </w:rPr>
        <w:t xml:space="preserve">באחת הרשתות במשרד החוץ </w:t>
      </w:r>
      <w:r w:rsidRPr="00D25F98">
        <w:rPr>
          <w:rFonts w:ascii="Tahoma" w:eastAsia="Calibri" w:hAnsi="Tahoma" w:cs="Tahoma" w:hint="cs"/>
          <w:sz w:val="19"/>
          <w:szCs w:val="19"/>
          <w:rtl/>
        </w:rPr>
        <w:t>-</w:t>
      </w:r>
      <w:r w:rsidRPr="00D25F98">
        <w:rPr>
          <w:rFonts w:ascii="Tahoma" w:eastAsia="Calibri" w:hAnsi="Tahoma" w:cs="Tahoma"/>
          <w:sz w:val="19"/>
          <w:szCs w:val="19"/>
          <w:rtl/>
        </w:rPr>
        <w:t xml:space="preserve"> </w:t>
      </w:r>
      <w:r w:rsidRPr="00D25F98">
        <w:rPr>
          <w:rFonts w:ascii="Tahoma" w:eastAsia="Calibri" w:hAnsi="Tahoma" w:cs="Tahoma" w:hint="cs"/>
          <w:sz w:val="19"/>
          <w:szCs w:val="19"/>
          <w:rtl/>
        </w:rPr>
        <w:t xml:space="preserve">המבדק </w:t>
      </w:r>
      <w:r w:rsidRPr="00D25F98">
        <w:rPr>
          <w:rFonts w:ascii="Tahoma" w:eastAsia="Calibri" w:hAnsi="Tahoma" w:cs="Tahoma"/>
          <w:sz w:val="19"/>
          <w:szCs w:val="19"/>
          <w:rtl/>
        </w:rPr>
        <w:t>העלה 15 ממצאים</w:t>
      </w:r>
      <w:r w:rsidRPr="00D25F98">
        <w:rPr>
          <w:rFonts w:ascii="Tahoma" w:eastAsia="Calibri" w:hAnsi="Tahoma" w:cs="Tahoma" w:hint="cs"/>
          <w:sz w:val="19"/>
          <w:szCs w:val="19"/>
          <w:rtl/>
        </w:rPr>
        <w:t xml:space="preserve"> בתחומים שונים וברמות סיכון שונות: </w:t>
      </w:r>
      <w:r w:rsidRPr="00D25F98">
        <w:rPr>
          <w:rFonts w:ascii="Tahoma" w:eastAsia="Calibri" w:hAnsi="Tahoma" w:cs="Tahoma"/>
          <w:sz w:val="19"/>
          <w:szCs w:val="19"/>
          <w:rtl/>
        </w:rPr>
        <w:t>רמה גבוהה ביותר, רמה גבוהה, רמה בינונית ורמה נמוכה</w:t>
      </w:r>
      <w:r w:rsidRPr="00D25F98">
        <w:rPr>
          <w:rFonts w:ascii="Tahoma" w:eastAsia="Calibri" w:hAnsi="Tahoma" w:cs="Tahoma" w:hint="cs"/>
          <w:sz w:val="19"/>
          <w:szCs w:val="19"/>
          <w:rtl/>
        </w:rPr>
        <w:t>.</w:t>
      </w:r>
      <w:r w:rsidRPr="00D25F98">
        <w:rPr>
          <w:rFonts w:ascii="Tahoma" w:eastAsia="Calibri" w:hAnsi="Tahoma" w:cs="Tahoma"/>
          <w:sz w:val="19"/>
          <w:szCs w:val="19"/>
          <w:rtl/>
        </w:rPr>
        <w:t xml:space="preserve"> </w:t>
      </w:r>
    </w:p>
    <w:p w:rsidR="00D25F98" w:rsidRPr="00D25F98" w:rsidP="0026369E">
      <w:pPr>
        <w:spacing w:before="360" w:after="160" w:line="288" w:lineRule="auto"/>
        <w:ind w:left="-283" w:right="-567" w:hanging="454"/>
        <w:rPr>
          <w:rFonts w:ascii="Tahoma" w:eastAsia="Calibri" w:hAnsi="Tahoma" w:cs="Tahoma"/>
          <w:sz w:val="19"/>
          <w:szCs w:val="19"/>
          <w:rtl/>
        </w:rPr>
      </w:pPr>
      <w:r w:rsidRPr="00D25F98">
        <w:rPr>
          <w:rFonts w:ascii="Tahoma" w:eastAsia="Calibri" w:hAnsi="Tahoma" w:cs="Tahoma" w:hint="cs"/>
          <w:noProof/>
          <w:sz w:val="19"/>
          <w:szCs w:val="19"/>
          <w:rtl/>
        </w:rPr>
        <w:drawing>
          <wp:inline distT="0" distB="0" distL="0" distR="0">
            <wp:extent cx="2710450" cy="207831"/>
            <wp:effectExtent l="0" t="0" r="0" b="1905"/>
            <wp:docPr id="46"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ike.png"/>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rsidR="00D25F98" w:rsidRPr="00D25F98" w:rsidP="00D25F98">
      <w:pPr>
        <w:spacing w:after="240" w:line="288" w:lineRule="auto"/>
        <w:ind w:left="-150" w:right="-567"/>
        <w:rPr>
          <w:rFonts w:ascii="Tahoma" w:eastAsia="Calibri" w:hAnsi="Tahoma" w:cs="Tahoma"/>
          <w:sz w:val="19"/>
          <w:szCs w:val="19"/>
          <w:rtl/>
        </w:rPr>
      </w:pPr>
      <w:r w:rsidRPr="00D25F98">
        <w:rPr>
          <w:rFonts w:ascii="Tahoma" w:eastAsia="Calibri" w:hAnsi="Tahoma" w:cs="Tahoma"/>
          <w:b/>
          <w:bCs/>
          <w:sz w:val="19"/>
          <w:szCs w:val="19"/>
          <w:rtl/>
        </w:rPr>
        <w:t>תוכנית אסטרטגיה דיגיטלית</w:t>
      </w:r>
      <w:r w:rsidRPr="00D25F98">
        <w:rPr>
          <w:rFonts w:ascii="Tahoma" w:eastAsia="Calibri" w:hAnsi="Tahoma" w:cs="Tahoma" w:hint="cs"/>
          <w:sz w:val="19"/>
          <w:szCs w:val="19"/>
          <w:rtl/>
        </w:rPr>
        <w:t xml:space="preserve"> - </w:t>
      </w:r>
      <w:r w:rsidRPr="00D25F98">
        <w:rPr>
          <w:rFonts w:ascii="Tahoma" w:eastAsia="Calibri" w:hAnsi="Tahoma" w:cs="Tahoma"/>
          <w:sz w:val="19"/>
          <w:szCs w:val="19"/>
          <w:rtl/>
        </w:rPr>
        <w:t xml:space="preserve">משרד מבקר המדינה מציין לחיוב את יוזמת המשרד לגיבוש הצעה לתוכנית אסטרטגית בתחום התקשוב בשנים 2023 - 2024. </w:t>
      </w:r>
      <w:r w:rsidRPr="00D25F98">
        <w:rPr>
          <w:rFonts w:ascii="Tahoma" w:eastAsia="Calibri" w:hAnsi="Tahoma" w:cs="Tahoma" w:hint="cs"/>
          <w:sz w:val="19"/>
          <w:szCs w:val="19"/>
          <w:rtl/>
        </w:rPr>
        <w:t>לנוכח</w:t>
      </w:r>
      <w:r w:rsidRPr="00D25F98">
        <w:rPr>
          <w:rFonts w:ascii="Tahoma" w:eastAsia="Calibri" w:hAnsi="Tahoma" w:cs="Tahoma"/>
          <w:sz w:val="19"/>
          <w:szCs w:val="19"/>
          <w:rtl/>
        </w:rPr>
        <w:t xml:space="preserve"> הפערים הניכרים שהתוכנית הציפה בנוגע לפעילות התקשובית במשרד החוץ ובהם פערים הנוגעים למבנה הארגוני, להיקף כוח האדם המוקצה לתחום התקשוב, לתהליכי העבודה, לתשתיות הטכנולוגיות ולתקציב התקשוב, על מנכ"ל משרד החוץ להידרש לנושא בהקדם, לכנס את ועדת ההיגוי המשרדית לשם דיון בתוכנית האסטרטגית ובהשלכותיה, ולקדם את קבלת ההחלטות הנדרשות לטיפול ולצמצום הפערים שהועלו, כמו גם לקביעת לוחות זמנים ותקציב נדרש לטובת הנושא</w:t>
      </w:r>
      <w:r w:rsidRPr="00D25F98">
        <w:rPr>
          <w:rFonts w:ascii="Tahoma" w:eastAsia="Calibri" w:hAnsi="Tahoma" w:cs="Tahoma" w:hint="cs"/>
          <w:sz w:val="19"/>
          <w:szCs w:val="19"/>
          <w:rtl/>
        </w:rPr>
        <w:t>.</w:t>
      </w:r>
    </w:p>
    <w:p w:rsidR="00D25F98" w:rsidP="00F56E36">
      <w:pPr>
        <w:spacing w:line="288" w:lineRule="auto"/>
        <w:ind w:left="-147" w:right="-567"/>
        <w:rPr>
          <w:rFonts w:ascii="Tahoma" w:eastAsia="Calibri" w:hAnsi="Tahoma" w:cs="Tahoma"/>
          <w:sz w:val="19"/>
          <w:szCs w:val="19"/>
          <w:rtl/>
        </w:rPr>
      </w:pPr>
      <w:r w:rsidRPr="00D25F98">
        <w:rPr>
          <w:rFonts w:ascii="Tahoma" w:eastAsia="Calibri" w:hAnsi="Tahoma" w:cs="Tahoma" w:hint="cs"/>
          <w:b/>
          <w:bCs/>
          <w:sz w:val="19"/>
          <w:szCs w:val="19"/>
          <w:rtl/>
        </w:rPr>
        <w:t>בקרה על ניהול הרשאות</w:t>
      </w:r>
      <w:r w:rsidRPr="00D25F98">
        <w:rPr>
          <w:rFonts w:ascii="Tahoma" w:eastAsia="Calibri" w:hAnsi="Tahoma" w:cs="Tahoma" w:hint="cs"/>
          <w:sz w:val="19"/>
          <w:szCs w:val="19"/>
          <w:rtl/>
        </w:rPr>
        <w:t xml:space="preserve"> - </w:t>
      </w:r>
      <w:r w:rsidRPr="00D25F98">
        <w:rPr>
          <w:rFonts w:ascii="Tahoma" w:eastAsia="Calibri" w:hAnsi="Tahoma" w:cs="Tahoma"/>
          <w:sz w:val="19"/>
          <w:szCs w:val="19"/>
          <w:rtl/>
        </w:rPr>
        <w:t>יצוין לחיוב כי בשנת 2024 אגף התקשוב השווה מדי חודש בין מידע שקיבל מאגף הון אנושי במשרד בנוגע לעובדים שסיימו את העסקתם לבין משתמשים פעילים בכל אחד מהדומיינים במשרד. כמו כן האגף ביצע את הבקרות בנוגע למשתמשים שסיסמתם חלשה וניתנת לפיצוח בזמן קצר.</w:t>
      </w:r>
    </w:p>
    <w:p w:rsidR="0026369E" w:rsidP="00F56E36">
      <w:pPr>
        <w:spacing w:line="288" w:lineRule="auto"/>
        <w:ind w:left="-147" w:right="-567"/>
        <w:rPr>
          <w:rFonts w:ascii="Tahoma" w:eastAsia="Calibri" w:hAnsi="Tahoma" w:cs="Tahoma"/>
          <w:sz w:val="19"/>
          <w:szCs w:val="19"/>
          <w:rtl/>
        </w:rPr>
      </w:pPr>
    </w:p>
    <w:p w:rsidR="0026369E" w:rsidRPr="00D25F98" w:rsidP="00F56E36">
      <w:pPr>
        <w:spacing w:line="288" w:lineRule="auto"/>
        <w:ind w:left="-147" w:right="-567"/>
        <w:rPr>
          <w:rFonts w:ascii="Tahoma" w:eastAsia="Calibri" w:hAnsi="Tahoma" w:cs="Tahoma"/>
          <w:sz w:val="19"/>
          <w:szCs w:val="19"/>
          <w:rtl/>
        </w:rPr>
      </w:pPr>
    </w:p>
    <w:p w:rsidR="00D25F98" w:rsidRPr="00D25F98" w:rsidP="00D25F98">
      <w:pPr>
        <w:spacing w:after="240" w:line="288" w:lineRule="auto"/>
        <w:ind w:left="-150" w:right="-567"/>
        <w:rPr>
          <w:rFonts w:ascii="Tahoma" w:eastAsia="Calibri" w:hAnsi="Tahoma" w:cs="Tahoma"/>
          <w:sz w:val="8"/>
          <w:szCs w:val="8"/>
          <w:rtl/>
        </w:rPr>
      </w:pPr>
    </w:p>
    <w:tbl>
      <w:tblPr>
        <w:tblStyle w:val="TableGrid"/>
        <w:tblpPr w:leftFromText="180" w:rightFromText="180" w:vertAnchor="text" w:tblpXSpec="center" w:tblpY="1"/>
        <w:tblOverlap w:val="never"/>
        <w:bidiVisual/>
        <w:tblW w:w="9783" w:type="dxa"/>
        <w:tblLayout w:type="fixed"/>
        <w:tblLook w:val="04A0"/>
      </w:tblPr>
      <w:tblGrid>
        <w:gridCol w:w="9783"/>
      </w:tblGrid>
      <w:tr w:rsidTr="00E75F41">
        <w:tblPrEx>
          <w:tblW w:w="9783" w:type="dxa"/>
          <w:tblLayout w:type="fixed"/>
          <w:tblLook w:val="04A0"/>
        </w:tblPrEx>
        <w:trPr>
          <w:trHeight w:val="851"/>
        </w:trPr>
        <w:tc>
          <w:tcPr>
            <w:tcW w:w="9783" w:type="dxa"/>
            <w:tcBorders>
              <w:top w:val="nil"/>
              <w:left w:val="nil"/>
              <w:bottom w:val="nil"/>
              <w:right w:val="nil"/>
            </w:tcBorders>
          </w:tcPr>
          <w:p w:rsidR="00D25F98" w:rsidRPr="00D25F98" w:rsidP="00D25F98">
            <w:pPr>
              <w:spacing w:line="288" w:lineRule="auto"/>
              <w:rPr>
                <w:rFonts w:ascii="Tahoma" w:eastAsia="Calibri" w:hAnsi="Tahoma" w:cs="Tahoma"/>
                <w:szCs w:val="20"/>
                <w:rtl/>
              </w:rPr>
            </w:pPr>
            <w:r w:rsidRPr="00D25F98">
              <w:rPr>
                <w:rFonts w:ascii="Tahoma" w:eastAsia="Calibri" w:hAnsi="Tahoma" w:cs="Tahoma"/>
                <w:noProof/>
                <w:szCs w:val="20"/>
                <w:rtl/>
              </w:rPr>
              <w:drawing>
                <wp:inline distT="0" distB="0" distL="0" distR="0">
                  <wp:extent cx="6091555" cy="439381"/>
                  <wp:effectExtent l="0" t="0" r="0" b="0"/>
                  <wp:docPr id="49" name="תמונה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תקציר תמונה 3.4.png"/>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249763" cy="450792"/>
                          </a:xfrm>
                          <a:prstGeom prst="rect">
                            <a:avLst/>
                          </a:prstGeom>
                        </pic:spPr>
                      </pic:pic>
                    </a:graphicData>
                  </a:graphic>
                </wp:inline>
              </w:drawing>
            </w:r>
          </w:p>
        </w:tc>
      </w:tr>
      <w:tr w:rsidTr="00E75F41">
        <w:tblPrEx>
          <w:tblW w:w="9783" w:type="dxa"/>
          <w:tblLayout w:type="fixed"/>
          <w:tblLook w:val="04A0"/>
        </w:tblPrEx>
        <w:trPr>
          <w:trHeight w:val="858"/>
        </w:trPr>
        <w:tc>
          <w:tcPr>
            <w:tcW w:w="9783" w:type="dxa"/>
            <w:tcBorders>
              <w:top w:val="nil"/>
              <w:left w:val="nil"/>
              <w:bottom w:val="nil"/>
              <w:right w:val="nil"/>
            </w:tcBorders>
            <w:shd w:val="clear" w:color="auto" w:fill="F1F5F9"/>
          </w:tcPr>
          <w:p w:rsidR="00D25F98" w:rsidRPr="00D25F98" w:rsidP="00D25F98">
            <w:pPr>
              <w:spacing w:line="288" w:lineRule="auto"/>
              <w:ind w:left="598" w:right="173" w:hanging="598"/>
              <w:contextualSpacing/>
              <w:rPr>
                <w:rFonts w:ascii="Tahoma" w:eastAsia="Calibri" w:hAnsi="Tahoma" w:cs="Tahoma"/>
                <w:sz w:val="13"/>
                <w:szCs w:val="13"/>
              </w:rPr>
            </w:pPr>
          </w:p>
          <w:p w:rsidR="00D25F98" w:rsidRPr="00D25F98" w:rsidP="0026369E">
            <w:pPr>
              <w:numPr>
                <w:ilvl w:val="0"/>
                <w:numId w:val="15"/>
              </w:numPr>
              <w:spacing w:before="120" w:after="240" w:line="288" w:lineRule="auto"/>
              <w:ind w:left="607" w:right="317" w:hanging="516"/>
              <w:rPr>
                <w:rFonts w:ascii="Tahoma" w:eastAsia="Calibri" w:hAnsi="Tahoma" w:cs="Tahoma"/>
                <w:sz w:val="19"/>
                <w:szCs w:val="19"/>
              </w:rPr>
            </w:pPr>
            <w:r w:rsidRPr="00D25F98">
              <w:rPr>
                <w:rFonts w:ascii="Tahoma" w:eastAsia="Calibri" w:hAnsi="Tahoma" w:cs="Tahoma"/>
                <w:sz w:val="19"/>
                <w:szCs w:val="19"/>
                <w:rtl/>
              </w:rPr>
              <w:t>על מנכ"ל משרד החוץ לוודא כי ועדת ההיגוי לתקשוב תתכנס באופן סדיר, בתדירות של פעמיים עד ארבע פעמים בשנה, ותמלא את כל תפקידיה כמוגדר בהנחיות מערך הדיגיטל, ובכלל זה אישור תוכנית העבודה ומעקב אחר יישומה. כמו כן עליו למנות לחברי הוועדה סמנכ"לים מקצועיים במשרד, שכן הם מושפעים בעבודתם השוטפת מתפקוד אגף התקשוב וממערכות המידע של הארגון ומביאים עימם תובנות בנוגע לצורכי היחידות.</w:t>
            </w:r>
          </w:p>
          <w:p w:rsidR="00D25F98" w:rsidP="0026369E">
            <w:pPr>
              <w:numPr>
                <w:ilvl w:val="0"/>
                <w:numId w:val="15"/>
              </w:numPr>
              <w:spacing w:before="120" w:after="240" w:line="288" w:lineRule="auto"/>
              <w:ind w:left="607" w:right="317" w:hanging="516"/>
              <w:rPr>
                <w:rFonts w:ascii="Tahoma" w:eastAsia="Calibri" w:hAnsi="Tahoma" w:cs="Tahoma"/>
                <w:sz w:val="19"/>
                <w:szCs w:val="19"/>
              </w:rPr>
            </w:pPr>
            <w:r w:rsidRPr="00D25F98">
              <w:rPr>
                <w:rFonts w:ascii="Tahoma" w:eastAsia="Calibri" w:hAnsi="Tahoma" w:cs="Tahoma"/>
                <w:sz w:val="19"/>
                <w:szCs w:val="19"/>
                <w:rtl/>
              </w:rPr>
              <w:t>תקציב מאפשר הוא תנאי הכרחי למימוש אפקטיבי של ממשל טכנולוגיות מידע, שכן ללא תקצוב מספק, הארגון חשוף לסיכוני תפעול ואבטחה רבים. ל</w:t>
            </w:r>
            <w:r w:rsidRPr="00D25F98">
              <w:rPr>
                <w:rFonts w:ascii="Tahoma" w:eastAsia="Calibri" w:hAnsi="Tahoma" w:cs="Tahoma" w:hint="cs"/>
                <w:sz w:val="19"/>
                <w:szCs w:val="19"/>
                <w:rtl/>
              </w:rPr>
              <w:t xml:space="preserve">נוכח </w:t>
            </w:r>
            <w:r w:rsidRPr="00D25F98">
              <w:rPr>
                <w:rFonts w:ascii="Tahoma" w:eastAsia="Calibri" w:hAnsi="Tahoma" w:cs="Tahoma"/>
                <w:sz w:val="19"/>
                <w:szCs w:val="19"/>
                <w:rtl/>
              </w:rPr>
              <w:t>הקשיים המשמעותיים שהוצפו בעניין זה, נדרש כי מנכ"ל משרד החוץ יבצע בחינה מעמיקה בנוגע לתקצוב תחום התקשוב, במטרה להבטיח כי במציאות של מחסור יסודי במשאבים התקציב מנוצל בהלימה לסדרי העדיפויות המשרדיים. כמו כן עליו לוודא כי המחסור בתקציב לא יוצר סיכונים עכשוויים או עתידיים שהמשרד אינו יכול לקבל (למשל בתחום אבטחת מידע, ביצוע משימות ליבה או ה</w:t>
            </w:r>
            <w:r w:rsidR="0026369E">
              <w:rPr>
                <w:rFonts w:ascii="Tahoma" w:eastAsia="Calibri" w:hAnsi="Tahoma" w:cs="Tahoma" w:hint="cs"/>
                <w:sz w:val="19"/>
                <w:szCs w:val="19"/>
                <w:rtl/>
              </w:rPr>
              <w:t>י</w:t>
            </w:r>
            <w:r w:rsidRPr="00D25F98">
              <w:rPr>
                <w:rFonts w:ascii="Tahoma" w:eastAsia="Calibri" w:hAnsi="Tahoma" w:cs="Tahoma"/>
                <w:sz w:val="19"/>
                <w:szCs w:val="19"/>
                <w:rtl/>
              </w:rPr>
              <w:t>ערכות עתידית לעבודה בענן).</w:t>
            </w:r>
          </w:p>
          <w:p w:rsidR="0026369E" w:rsidRPr="0026369E" w:rsidP="0026369E">
            <w:pPr>
              <w:spacing w:line="288" w:lineRule="auto"/>
              <w:ind w:left="516" w:right="176"/>
              <w:rPr>
                <w:rFonts w:ascii="Tahoma" w:eastAsia="Calibri" w:hAnsi="Tahoma" w:cs="Tahoma"/>
                <w:sz w:val="15"/>
                <w:szCs w:val="15"/>
              </w:rPr>
            </w:pPr>
          </w:p>
          <w:p w:rsidR="0026369E" w:rsidRPr="0026369E" w:rsidP="0026369E">
            <w:pPr>
              <w:pStyle w:val="ListParagraph"/>
              <w:rPr>
                <w:rFonts w:ascii="Tahoma" w:eastAsia="Calibri" w:hAnsi="Tahoma" w:cs="Tahoma"/>
                <w:sz w:val="11"/>
                <w:szCs w:val="11"/>
                <w:rtl/>
              </w:rPr>
            </w:pPr>
          </w:p>
          <w:p w:rsidR="00D25F98" w:rsidRPr="00D25F98" w:rsidP="0026369E">
            <w:pPr>
              <w:numPr>
                <w:ilvl w:val="0"/>
                <w:numId w:val="15"/>
              </w:numPr>
              <w:spacing w:before="120" w:after="260" w:line="288" w:lineRule="auto"/>
              <w:ind w:left="607" w:right="317" w:hanging="516"/>
              <w:rPr>
                <w:rFonts w:ascii="Tahoma" w:eastAsia="Calibri" w:hAnsi="Tahoma" w:cs="Tahoma"/>
                <w:sz w:val="19"/>
                <w:szCs w:val="19"/>
              </w:rPr>
            </w:pPr>
            <w:r w:rsidRPr="00D25F98">
              <w:rPr>
                <w:rFonts w:ascii="Tahoma" w:eastAsia="Calibri" w:hAnsi="Tahoma" w:cs="Tahoma"/>
                <w:sz w:val="19"/>
                <w:szCs w:val="19"/>
                <w:rtl/>
              </w:rPr>
              <w:t>על משרד החוץ לפתח מדיניות מקיפה ומפורטת לניהול סיכוני התקשוב בפרויקטים, תוך שימוש במתודולוגיה סדורה ובהלימה עם הנחיות מערך הדיגיטל. במסגרת זו יש להקים מנגנון זיהוי והערכה של סיכונים בכל שלבי הפרויקט, לתעד את הסיכונים ולגבש תוכנית פעולה מותאמת להתמודדות עם כל סיכון. עוד מומלץ להכשיר את מנהלי הפרויקטים בתחום זה ולהקצות משאבים לצורך פיתוח כלים וטכנולוגיות שיסייעו בניהול סיכונים מיטבי</w:t>
            </w:r>
            <w:r w:rsidRPr="00D25F98">
              <w:rPr>
                <w:rFonts w:ascii="Tahoma" w:eastAsia="Calibri" w:hAnsi="Tahoma" w:cs="Tahoma" w:hint="cs"/>
                <w:sz w:val="19"/>
                <w:szCs w:val="19"/>
                <w:rtl/>
              </w:rPr>
              <w:t>.</w:t>
            </w:r>
          </w:p>
          <w:p w:rsidR="00D25F98" w:rsidRPr="00D25F98" w:rsidP="0026369E">
            <w:pPr>
              <w:numPr>
                <w:ilvl w:val="0"/>
                <w:numId w:val="15"/>
              </w:numPr>
              <w:spacing w:before="120" w:after="260" w:line="288" w:lineRule="auto"/>
              <w:ind w:left="607" w:right="317" w:hanging="516"/>
              <w:rPr>
                <w:rFonts w:ascii="Tahoma" w:eastAsia="Calibri" w:hAnsi="Tahoma" w:cs="Tahoma"/>
                <w:sz w:val="19"/>
                <w:szCs w:val="19"/>
              </w:rPr>
            </w:pPr>
            <w:r w:rsidRPr="00D25F98">
              <w:rPr>
                <w:rFonts w:ascii="Tahoma" w:eastAsia="Calibri" w:hAnsi="Tahoma" w:cs="Tahoma"/>
                <w:sz w:val="19"/>
                <w:szCs w:val="19"/>
                <w:rtl/>
              </w:rPr>
              <w:t xml:space="preserve">על ועדת ההיגוי הייעודית של פרויקט </w:t>
            </w:r>
            <w:r w:rsidRPr="00D25F98">
              <w:rPr>
                <w:rFonts w:ascii="Tahoma" w:eastAsia="Calibri" w:hAnsi="Tahoma" w:cs="Tahoma" w:hint="eastAsia"/>
                <w:sz w:val="19"/>
                <w:szCs w:val="19"/>
                <w:rtl/>
              </w:rPr>
              <w:t>מסוים</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וועדת ההיגוי המשרדית לתחום התקשוב לבחון לעומקם את הליכי ההערכה והתכנון בפרויקט ולנהל מעקב הדוק אחר התקדמות אבני הדרך שלו בכל שלב ושלב. זאת כדי למנוע עיכובים נוספים ביישומו של הפרויקט וכדי להבטיח כי המשך היישום בשנים הבאות ייעשה בהתאם לתוכניות ולתכולות שאושרו.</w:t>
            </w:r>
            <w:r w:rsidRPr="00D25F98">
              <w:rPr>
                <w:rFonts w:eastAsia="Calibri"/>
                <w:szCs w:val="20"/>
                <w:rtl/>
              </w:rPr>
              <w:t xml:space="preserve"> </w:t>
            </w:r>
            <w:r w:rsidRPr="00D25F98">
              <w:rPr>
                <w:rFonts w:ascii="Tahoma" w:eastAsia="Calibri" w:hAnsi="Tahoma" w:cs="Tahoma"/>
                <w:sz w:val="19"/>
                <w:szCs w:val="19"/>
                <w:rtl/>
              </w:rPr>
              <w:t>כמן כן, על הוועדות האמורות לתת את הדעת להיעדר היכולת לאמוד את עלויות הפרויקט. יוער כי בהיעדר תשתית מידע מלאה ומפורטת בנוגע לתקציב הפרויקט ויכולת לגזור את עלויותיו, לא ניתן לפקח על הפרויקט ועל ההחלטות המתקבלות במסגרתו בצורה מיטבית.</w:t>
            </w:r>
          </w:p>
          <w:p w:rsidR="00D25F98" w:rsidRPr="00D25F98" w:rsidP="0026369E">
            <w:pPr>
              <w:numPr>
                <w:ilvl w:val="0"/>
                <w:numId w:val="15"/>
              </w:numPr>
              <w:spacing w:before="120" w:after="260" w:line="288" w:lineRule="auto"/>
              <w:ind w:left="607" w:right="317" w:hanging="516"/>
              <w:rPr>
                <w:rFonts w:ascii="Tahoma" w:eastAsia="Calibri" w:hAnsi="Tahoma" w:cs="Tahoma"/>
                <w:sz w:val="19"/>
                <w:szCs w:val="19"/>
              </w:rPr>
            </w:pPr>
            <w:r w:rsidRPr="00D25F98">
              <w:rPr>
                <w:rFonts w:ascii="Tahoma" w:eastAsia="Calibri" w:hAnsi="Tahoma" w:cs="Tahoma"/>
                <w:sz w:val="19"/>
                <w:szCs w:val="19"/>
                <w:rtl/>
              </w:rPr>
              <w:t xml:space="preserve">כדי להבטיח את הרציפות התפקודית של משרד החוץ, על משרד החוץ לבחון אילו צעדים עליו לנקוט כדי להבטיח את התאוששות מערכות מידע </w:t>
            </w:r>
            <w:r w:rsidRPr="00D25F98">
              <w:rPr>
                <w:rFonts w:ascii="Tahoma" w:eastAsia="Calibri" w:hAnsi="Tahoma" w:cs="Tahoma" w:hint="cs"/>
                <w:sz w:val="19"/>
                <w:szCs w:val="19"/>
                <w:rtl/>
              </w:rPr>
              <w:t xml:space="preserve">מסוימות </w:t>
            </w:r>
            <w:r w:rsidRPr="00D25F98">
              <w:rPr>
                <w:rFonts w:ascii="Tahoma" w:eastAsia="Calibri" w:hAnsi="Tahoma" w:cs="Tahoma"/>
                <w:sz w:val="19"/>
                <w:szCs w:val="19"/>
                <w:rtl/>
              </w:rPr>
              <w:t>באתר ה-</w:t>
            </w:r>
            <w:r w:rsidRPr="00D25F98">
              <w:rPr>
                <w:rFonts w:ascii="Tahoma" w:eastAsia="Calibri" w:hAnsi="Tahoma" w:cs="Tahoma"/>
                <w:sz w:val="19"/>
                <w:szCs w:val="19"/>
              </w:rPr>
              <w:t>DR</w:t>
            </w:r>
            <w:r w:rsidRPr="00D25F98">
              <w:rPr>
                <w:rFonts w:ascii="Tahoma" w:eastAsia="Calibri" w:hAnsi="Tahoma" w:cs="Tahoma"/>
                <w:sz w:val="19"/>
                <w:szCs w:val="19"/>
                <w:rtl/>
              </w:rPr>
              <w:t xml:space="preserve"> בהתאם למדדי ההתאוששות שאישרה הנהלת המשרד בספטמבר 2024 - וליישמם. במקביל, עליו לגבש באופן מיידי תוכנית </w:t>
            </w:r>
            <w:r w:rsidRPr="00D25F98">
              <w:rPr>
                <w:rFonts w:ascii="Tahoma" w:eastAsia="Calibri" w:hAnsi="Tahoma" w:cs="Tahoma"/>
                <w:sz w:val="19"/>
                <w:szCs w:val="19"/>
              </w:rPr>
              <w:t>DRP</w:t>
            </w:r>
            <w:r w:rsidRPr="00D25F98">
              <w:rPr>
                <w:rFonts w:ascii="Tahoma" w:eastAsia="Calibri" w:hAnsi="Tahoma" w:cs="Tahoma"/>
                <w:sz w:val="19"/>
                <w:szCs w:val="19"/>
                <w:rtl/>
              </w:rPr>
              <w:t>, שתיתן מענה לכלל רשתות המשרד, ולוודא כי באתר ה-</w:t>
            </w:r>
            <w:r w:rsidRPr="00D25F98">
              <w:rPr>
                <w:rFonts w:ascii="Tahoma" w:eastAsia="Calibri" w:hAnsi="Tahoma" w:cs="Tahoma"/>
                <w:sz w:val="19"/>
                <w:szCs w:val="19"/>
              </w:rPr>
              <w:t>DR</w:t>
            </w:r>
            <w:r w:rsidRPr="00D25F98">
              <w:rPr>
                <w:rFonts w:ascii="Tahoma" w:eastAsia="Calibri" w:hAnsi="Tahoma" w:cs="Tahoma"/>
                <w:sz w:val="19"/>
                <w:szCs w:val="19"/>
                <w:rtl/>
              </w:rPr>
              <w:t xml:space="preserve"> קיים עותק מעודכן עם המידע הנדרש לשם שחזור מערכות מידע </w:t>
            </w:r>
            <w:r w:rsidRPr="00D25F98">
              <w:rPr>
                <w:rFonts w:ascii="Tahoma" w:eastAsia="Calibri" w:hAnsi="Tahoma" w:cs="Tahoma" w:hint="cs"/>
                <w:sz w:val="19"/>
                <w:szCs w:val="19"/>
                <w:rtl/>
              </w:rPr>
              <w:t xml:space="preserve">מסוימות </w:t>
            </w:r>
            <w:r w:rsidRPr="00D25F98">
              <w:rPr>
                <w:rFonts w:ascii="Tahoma" w:eastAsia="Calibri" w:hAnsi="Tahoma" w:cs="Tahoma"/>
                <w:sz w:val="19"/>
                <w:szCs w:val="19"/>
                <w:rtl/>
              </w:rPr>
              <w:t>והקמתן באתר זה</w:t>
            </w:r>
            <w:r w:rsidRPr="00D25F98">
              <w:rPr>
                <w:rFonts w:ascii="Tahoma" w:eastAsia="Calibri" w:hAnsi="Tahoma" w:cs="Tahoma" w:hint="cs"/>
                <w:sz w:val="19"/>
                <w:szCs w:val="19"/>
                <w:rtl/>
              </w:rPr>
              <w:t>.</w:t>
            </w:r>
            <w:r w:rsidRPr="00D25F98">
              <w:rPr>
                <w:rFonts w:eastAsia="Calibri"/>
                <w:szCs w:val="20"/>
                <w:rtl/>
              </w:rPr>
              <w:t xml:space="preserve"> </w:t>
            </w:r>
          </w:p>
          <w:p w:rsidR="00D25F98" w:rsidRPr="00D25F98" w:rsidP="0026369E">
            <w:pPr>
              <w:numPr>
                <w:ilvl w:val="0"/>
                <w:numId w:val="15"/>
              </w:numPr>
              <w:spacing w:before="120" w:after="260" w:line="288" w:lineRule="auto"/>
              <w:ind w:left="607" w:right="317" w:hanging="516"/>
              <w:rPr>
                <w:rFonts w:ascii="Tahoma" w:eastAsia="Calibri" w:hAnsi="Tahoma" w:cs="Tahoma"/>
                <w:sz w:val="19"/>
                <w:szCs w:val="19"/>
              </w:rPr>
            </w:pPr>
            <w:r w:rsidRPr="00D25F98">
              <w:rPr>
                <w:rFonts w:ascii="Tahoma" w:eastAsia="Calibri" w:hAnsi="Tahoma" w:cs="Tahoma"/>
                <w:sz w:val="19"/>
                <w:szCs w:val="19"/>
                <w:rtl/>
              </w:rPr>
              <w:t>על מנכ"ל משרד החוץ לקיים בחינה מעמיקה ויסודית, בשיתוף עם ועדת ההיגוי המשרדית לתקשוב, בנוגע לפערים בתהליכי ניהול ופיתוח של מערכות מידע, כמו גם בנוגע לממצאים שהועלו בתוכנית האסטרטגית ובסקר הסיכונים, תוך ניתוח השלכותיהם על פעילות המשרד. בחינה זו תסייע בזיהוי בעיות השורש ותאפשר קבלת החלטות מושכלת תוך תיעדוף משימות, וגיבוש תוכנית פעולה ברורה הכוללת צעדים אופרטיביים, לוחות זמנים וגורמים אחראים לביצוע. זאת ועוד, דבר זה יסייע גם להבטיח כי תחום התקשוב במשרד החוץ יטופל באופן יסודי ומקיף תוך מתן התמיכה הנדרשת ליחידות המשרד בביצוע תפקידיהן ובהשגת יעדיהן בתחומי הפעולה השונים בזירה הבין-לאומית ובתחומים הקונסולריים.</w:t>
            </w:r>
          </w:p>
          <w:p w:rsidR="00D25F98" w:rsidRPr="00D25F98" w:rsidP="0026369E">
            <w:pPr>
              <w:numPr>
                <w:ilvl w:val="0"/>
                <w:numId w:val="15"/>
              </w:numPr>
              <w:spacing w:before="120" w:after="260" w:line="288" w:lineRule="auto"/>
              <w:ind w:left="607" w:right="317" w:hanging="516"/>
              <w:rPr>
                <w:rFonts w:ascii="Tahoma" w:eastAsia="Calibri" w:hAnsi="Tahoma" w:cs="Tahoma"/>
                <w:sz w:val="19"/>
                <w:szCs w:val="19"/>
              </w:rPr>
            </w:pPr>
            <w:r w:rsidRPr="00D25F98">
              <w:rPr>
                <w:rFonts w:ascii="Tahoma" w:eastAsia="Calibri" w:hAnsi="Tahoma" w:cs="Tahoma"/>
                <w:sz w:val="19"/>
                <w:szCs w:val="19"/>
                <w:rtl/>
              </w:rPr>
              <w:t xml:space="preserve">על מנכ"ל המשרד לוודא כי מדיניות הגנת הסייבר תתוקף כנדרש באופן עתי על ידי ועדת ההיגוי להגנת הסייבר ובכלל זה לנוכח האיומים שנוספו במהלך מלחמת </w:t>
            </w:r>
            <w:r w:rsidRPr="00D25F98">
              <w:rPr>
                <w:rFonts w:ascii="Tahoma" w:eastAsia="Calibri" w:hAnsi="Tahoma" w:cs="Tahoma" w:hint="cs"/>
                <w:sz w:val="19"/>
                <w:szCs w:val="19"/>
                <w:rtl/>
              </w:rPr>
              <w:t>"</w:t>
            </w:r>
            <w:r w:rsidRPr="00D25F98">
              <w:rPr>
                <w:rFonts w:ascii="Tahoma" w:eastAsia="Calibri" w:hAnsi="Tahoma" w:cs="Tahoma"/>
                <w:sz w:val="19"/>
                <w:szCs w:val="19"/>
                <w:rtl/>
              </w:rPr>
              <w:t>חרבות ברזל</w:t>
            </w:r>
            <w:r w:rsidRPr="00D25F98">
              <w:rPr>
                <w:rFonts w:ascii="Tahoma" w:eastAsia="Calibri" w:hAnsi="Tahoma" w:cs="Tahoma" w:hint="cs"/>
                <w:sz w:val="19"/>
                <w:szCs w:val="19"/>
                <w:rtl/>
              </w:rPr>
              <w:t>"</w:t>
            </w:r>
            <w:r w:rsidRPr="00D25F98">
              <w:rPr>
                <w:rFonts w:ascii="Tahoma" w:eastAsia="Calibri" w:hAnsi="Tahoma" w:cs="Tahoma"/>
                <w:sz w:val="19"/>
                <w:szCs w:val="19"/>
                <w:rtl/>
              </w:rPr>
              <w:t>.</w:t>
            </w:r>
          </w:p>
          <w:p w:rsidR="00D25F98" w:rsidRPr="00D25F98" w:rsidP="0026369E">
            <w:pPr>
              <w:numPr>
                <w:ilvl w:val="0"/>
                <w:numId w:val="15"/>
              </w:numPr>
              <w:spacing w:before="120" w:after="260" w:line="288" w:lineRule="auto"/>
              <w:ind w:left="607" w:right="317" w:hanging="516"/>
              <w:rPr>
                <w:rFonts w:ascii="Tahoma" w:eastAsia="Calibri" w:hAnsi="Tahoma" w:cs="Tahoma"/>
                <w:sz w:val="19"/>
                <w:szCs w:val="19"/>
              </w:rPr>
            </w:pPr>
            <w:r w:rsidRPr="00D25F98">
              <w:rPr>
                <w:rFonts w:ascii="Tahoma" w:eastAsia="Calibri" w:hAnsi="Tahoma" w:cs="Tahoma"/>
                <w:sz w:val="19"/>
                <w:szCs w:val="19"/>
                <w:rtl/>
              </w:rPr>
              <w:t>על משרד החוץ, בשיתוף הגורמים המנחים יה"ב ו</w:t>
            </w:r>
            <w:r w:rsidRPr="00D25F98">
              <w:rPr>
                <w:rFonts w:ascii="Tahoma" w:eastAsia="Calibri" w:hAnsi="Tahoma" w:cs="Tahoma" w:hint="cs"/>
                <w:sz w:val="19"/>
                <w:szCs w:val="19"/>
                <w:rtl/>
              </w:rPr>
              <w:t>ה</w:t>
            </w:r>
            <w:r w:rsidRPr="00D25F98">
              <w:rPr>
                <w:rFonts w:ascii="Tahoma" w:eastAsia="Calibri" w:hAnsi="Tahoma" w:cs="Tahoma"/>
                <w:sz w:val="19"/>
                <w:szCs w:val="19"/>
                <w:rtl/>
              </w:rPr>
              <w:t>שב"כ, לבצע סקר סיכונים הכולל את כלל נכסי המידע והתהליכים הקריטיים,</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 xml:space="preserve">ובהתאם לכך ליצור מפת סיכונים משרדית שתאושר על ידי ועדת ההיגוי להגנת הסייבר. כמו כן, על המשרד לגבש תוכנית להפחתת הסיכונים שהועלו, שתאושר גם היא על ידי ועדת ההיגוי במשרד. </w:t>
            </w:r>
          </w:p>
          <w:p w:rsidR="00D25F98" w:rsidRPr="00D25F98" w:rsidP="0026369E">
            <w:pPr>
              <w:numPr>
                <w:ilvl w:val="0"/>
                <w:numId w:val="15"/>
              </w:numPr>
              <w:spacing w:before="120" w:after="260" w:line="288" w:lineRule="auto"/>
              <w:ind w:left="607" w:right="317" w:hanging="516"/>
              <w:rPr>
                <w:rFonts w:ascii="Tahoma" w:eastAsia="Calibri" w:hAnsi="Tahoma" w:cs="Tahoma"/>
                <w:sz w:val="19"/>
                <w:szCs w:val="19"/>
              </w:rPr>
            </w:pPr>
            <w:r w:rsidRPr="00D25F98">
              <w:rPr>
                <w:rFonts w:ascii="Tahoma" w:eastAsia="Calibri" w:hAnsi="Tahoma" w:cs="Tahoma"/>
                <w:sz w:val="19"/>
                <w:szCs w:val="19"/>
                <w:rtl/>
              </w:rPr>
              <w:t>על מנכ"ל משרד החוץ לוודא כי גורמי המקצוע במשרד יעבירו דיווח מפורט על אירועי סייבר חריגים לוועדת ההיגוי בכינוס הוועדה בסמוך למועד התרחשותם, כך שלפני חברי הוועדה תוצג תמונת המצב המלאה בנושא, מהלך שיאפשר להם לקדם את רמת ההגנה בסייבר במשרד.</w:t>
            </w:r>
          </w:p>
          <w:p w:rsidR="00D25F98" w:rsidRPr="00D25F98" w:rsidP="0026369E">
            <w:pPr>
              <w:numPr>
                <w:ilvl w:val="0"/>
                <w:numId w:val="15"/>
              </w:numPr>
              <w:spacing w:before="120" w:after="260" w:line="288" w:lineRule="auto"/>
              <w:ind w:left="607" w:right="317" w:hanging="516"/>
              <w:rPr>
                <w:rFonts w:ascii="Tahoma" w:eastAsia="Calibri" w:hAnsi="Tahoma" w:cs="Tahoma"/>
                <w:sz w:val="19"/>
                <w:szCs w:val="19"/>
              </w:rPr>
            </w:pPr>
            <w:r w:rsidRPr="00D25F98">
              <w:rPr>
                <w:rFonts w:ascii="Tahoma" w:eastAsia="Calibri" w:hAnsi="Tahoma" w:cs="Tahoma"/>
                <w:sz w:val="19"/>
                <w:szCs w:val="19"/>
                <w:rtl/>
              </w:rPr>
              <w:t xml:space="preserve">המשרד נדרש להשלים את גיבוש הנוהל הנוגע לסיווג נכסי המידע </w:t>
            </w:r>
            <w:r w:rsidRPr="00D25F98">
              <w:rPr>
                <w:rFonts w:ascii="Tahoma" w:eastAsia="Calibri" w:hAnsi="Tahoma" w:cs="Tahoma" w:hint="cs"/>
                <w:sz w:val="19"/>
                <w:szCs w:val="19"/>
                <w:rtl/>
              </w:rPr>
              <w:t>ו</w:t>
            </w:r>
            <w:r w:rsidRPr="00D25F98">
              <w:rPr>
                <w:rFonts w:ascii="Tahoma" w:eastAsia="Calibri" w:hAnsi="Tahoma" w:cs="Tahoma"/>
                <w:sz w:val="19"/>
                <w:szCs w:val="19"/>
                <w:rtl/>
              </w:rPr>
              <w:t>להגביל את הגישה למסמכים רק לעובדים שהמידע דרוש להם לצורך עבודתם.</w:t>
            </w:r>
          </w:p>
          <w:p w:rsidR="00D25F98" w:rsidRPr="00D25F98" w:rsidP="007E0332">
            <w:pPr>
              <w:numPr>
                <w:ilvl w:val="0"/>
                <w:numId w:val="15"/>
              </w:numPr>
              <w:spacing w:before="120" w:after="480" w:line="288" w:lineRule="auto"/>
              <w:ind w:left="607" w:right="317" w:hanging="516"/>
              <w:rPr>
                <w:rFonts w:ascii="Tahoma" w:eastAsia="Calibri" w:hAnsi="Tahoma" w:cs="Tahoma"/>
                <w:sz w:val="19"/>
                <w:szCs w:val="19"/>
              </w:rPr>
            </w:pPr>
            <w:r w:rsidRPr="00D25F98">
              <w:rPr>
                <w:rFonts w:ascii="Tahoma" w:eastAsia="Calibri" w:hAnsi="Tahoma" w:cs="Tahoma"/>
                <w:sz w:val="19"/>
                <w:szCs w:val="19"/>
                <w:rtl/>
              </w:rPr>
              <w:t xml:space="preserve">על מנכ"ל משרד החוץ להבטיח כי ייעשו הפעולות הדרושות להשגת רמת </w:t>
            </w:r>
            <w:r w:rsidRPr="00D25F98">
              <w:rPr>
                <w:rFonts w:ascii="Tahoma" w:eastAsia="Calibri" w:hAnsi="Tahoma" w:cs="Tahoma" w:hint="cs"/>
                <w:sz w:val="19"/>
                <w:szCs w:val="19"/>
                <w:rtl/>
              </w:rPr>
              <w:t>ה</w:t>
            </w:r>
            <w:r w:rsidRPr="00D25F98">
              <w:rPr>
                <w:rFonts w:ascii="Tahoma" w:eastAsia="Calibri" w:hAnsi="Tahoma" w:cs="Tahoma"/>
                <w:sz w:val="19"/>
                <w:szCs w:val="19"/>
                <w:rtl/>
              </w:rPr>
              <w:t xml:space="preserve">הגנה </w:t>
            </w:r>
            <w:r w:rsidRPr="00D25F98">
              <w:rPr>
                <w:rFonts w:ascii="Tahoma" w:eastAsia="Calibri" w:hAnsi="Tahoma" w:cs="Tahoma" w:hint="cs"/>
                <w:sz w:val="19"/>
                <w:szCs w:val="19"/>
                <w:rtl/>
              </w:rPr>
              <w:t xml:space="preserve">הנדרשת ברשתות מסוימות </w:t>
            </w:r>
            <w:r w:rsidRPr="00D25F98">
              <w:rPr>
                <w:rFonts w:ascii="Tahoma" w:eastAsia="Calibri" w:hAnsi="Tahoma" w:cs="Tahoma"/>
                <w:sz w:val="19"/>
                <w:szCs w:val="19"/>
                <w:rtl/>
              </w:rPr>
              <w:t xml:space="preserve">בהקדם, כמתחייב מרמת איום הייחוס שהוגדרה </w:t>
            </w:r>
            <w:r w:rsidRPr="00D25F98">
              <w:rPr>
                <w:rFonts w:ascii="Tahoma" w:eastAsia="Calibri" w:hAnsi="Tahoma" w:cs="Tahoma" w:hint="cs"/>
                <w:sz w:val="19"/>
                <w:szCs w:val="19"/>
                <w:rtl/>
              </w:rPr>
              <w:t>ושעל המשרד לעמוד בה</w:t>
            </w:r>
            <w:r w:rsidRPr="00D25F98">
              <w:rPr>
                <w:rFonts w:ascii="Tahoma" w:eastAsia="Calibri" w:hAnsi="Tahoma" w:cs="Tahoma"/>
                <w:sz w:val="19"/>
                <w:szCs w:val="19"/>
                <w:rtl/>
              </w:rPr>
              <w:t>.</w:t>
            </w:r>
            <w:r w:rsidRPr="00D25F98">
              <w:rPr>
                <w:rFonts w:eastAsia="Calibri"/>
                <w:szCs w:val="20"/>
                <w:rtl/>
              </w:rPr>
              <w:t xml:space="preserve"> </w:t>
            </w:r>
            <w:r w:rsidRPr="00D25F98">
              <w:rPr>
                <w:rFonts w:ascii="Tahoma" w:eastAsia="Calibri" w:hAnsi="Tahoma" w:cs="Tahoma"/>
                <w:sz w:val="19"/>
                <w:szCs w:val="19"/>
                <w:rtl/>
              </w:rPr>
              <w:t xml:space="preserve">כמו כן, על </w:t>
            </w:r>
            <w:r w:rsidRPr="00D25F98">
              <w:rPr>
                <w:rFonts w:ascii="Tahoma" w:eastAsia="Calibri" w:hAnsi="Tahoma" w:cs="Tahoma" w:hint="eastAsia"/>
                <w:sz w:val="19"/>
                <w:szCs w:val="19"/>
                <w:rtl/>
              </w:rPr>
              <w:t>הגורם</w:t>
            </w:r>
            <w:r w:rsidRPr="00D25F98">
              <w:rPr>
                <w:rFonts w:ascii="Tahoma" w:eastAsia="Calibri" w:hAnsi="Tahoma" w:cs="Tahoma"/>
                <w:sz w:val="19"/>
                <w:szCs w:val="19"/>
                <w:rtl/>
              </w:rPr>
              <w:t xml:space="preserve"> </w:t>
            </w:r>
            <w:r w:rsidRPr="00D25F98">
              <w:rPr>
                <w:rFonts w:ascii="Tahoma" w:eastAsia="Calibri" w:hAnsi="Tahoma" w:cs="Tahoma" w:hint="eastAsia"/>
                <w:sz w:val="19"/>
                <w:szCs w:val="19"/>
                <w:rtl/>
              </w:rPr>
              <w:t>המנחה</w:t>
            </w:r>
            <w:r w:rsidRPr="00D25F98">
              <w:rPr>
                <w:rFonts w:ascii="Tahoma" w:eastAsia="Calibri" w:hAnsi="Tahoma" w:cs="Tahoma"/>
                <w:sz w:val="19"/>
                <w:szCs w:val="19"/>
                <w:rtl/>
              </w:rPr>
              <w:t xml:space="preserve"> להמשיך ולעקוב אחר יישום הנחיותיו במסגרת </w:t>
            </w:r>
            <w:r w:rsidRPr="00D25F98">
              <w:rPr>
                <w:rFonts w:ascii="Tahoma" w:eastAsia="Calibri" w:hAnsi="Tahoma" w:cs="Tahoma" w:hint="eastAsia"/>
                <w:sz w:val="19"/>
                <w:szCs w:val="19"/>
                <w:rtl/>
              </w:rPr>
              <w:t>בחינת</w:t>
            </w:r>
            <w:r w:rsidRPr="00D25F98">
              <w:rPr>
                <w:rFonts w:ascii="Tahoma" w:eastAsia="Calibri" w:hAnsi="Tahoma" w:cs="Tahoma"/>
                <w:sz w:val="19"/>
                <w:szCs w:val="19"/>
                <w:rtl/>
              </w:rPr>
              <w:t xml:space="preserve"> </w:t>
            </w:r>
            <w:r w:rsidRPr="00D25F98">
              <w:rPr>
                <w:rFonts w:ascii="Tahoma" w:eastAsia="Calibri" w:hAnsi="Tahoma" w:cs="Tahoma" w:hint="eastAsia"/>
                <w:sz w:val="19"/>
                <w:szCs w:val="19"/>
                <w:rtl/>
              </w:rPr>
              <w:t>עמידת</w:t>
            </w:r>
            <w:r w:rsidRPr="00D25F98">
              <w:rPr>
                <w:rFonts w:ascii="Tahoma" w:eastAsia="Calibri" w:hAnsi="Tahoma" w:cs="Tahoma"/>
                <w:sz w:val="19"/>
                <w:szCs w:val="19"/>
                <w:rtl/>
              </w:rPr>
              <w:t xml:space="preserve"> </w:t>
            </w:r>
            <w:r w:rsidRPr="00D25F98">
              <w:rPr>
                <w:rFonts w:ascii="Tahoma" w:eastAsia="Calibri" w:hAnsi="Tahoma" w:cs="Tahoma" w:hint="eastAsia"/>
                <w:sz w:val="19"/>
                <w:szCs w:val="19"/>
                <w:rtl/>
              </w:rPr>
              <w:t>המשרד</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ברמת הגנה הנדרשת.</w:t>
            </w:r>
          </w:p>
          <w:p w:rsidR="0026369E" w:rsidRPr="007E0332" w:rsidP="007E0332">
            <w:pPr>
              <w:spacing w:after="260" w:line="288" w:lineRule="auto"/>
              <w:ind w:left="607" w:right="317"/>
              <w:rPr>
                <w:rFonts w:ascii="Tahoma" w:eastAsia="Calibri" w:hAnsi="Tahoma" w:cs="Tahoma"/>
                <w:sz w:val="9"/>
                <w:szCs w:val="9"/>
              </w:rPr>
            </w:pPr>
          </w:p>
          <w:p w:rsidR="00D25F98" w:rsidRPr="00D25F98" w:rsidP="0026369E">
            <w:pPr>
              <w:numPr>
                <w:ilvl w:val="0"/>
                <w:numId w:val="15"/>
              </w:numPr>
              <w:spacing w:before="120" w:after="260" w:line="288" w:lineRule="auto"/>
              <w:ind w:left="607" w:right="317" w:hanging="516"/>
              <w:rPr>
                <w:rFonts w:ascii="Tahoma" w:eastAsia="Calibri" w:hAnsi="Tahoma" w:cs="Tahoma"/>
                <w:sz w:val="19"/>
                <w:szCs w:val="19"/>
              </w:rPr>
            </w:pPr>
            <w:r w:rsidRPr="00D25F98">
              <w:rPr>
                <w:rFonts w:ascii="Tahoma" w:eastAsia="Calibri" w:hAnsi="Tahoma" w:cs="Tahoma"/>
                <w:sz w:val="19"/>
                <w:szCs w:val="19"/>
                <w:rtl/>
              </w:rPr>
              <w:t>על מנהל אגף התקשוב לשקף להנהלת המשרד ולוועדת ההיגוי להגנת הסייבר את הפער הקיים</w:t>
            </w:r>
            <w:r w:rsidRPr="00D25F98">
              <w:rPr>
                <w:rFonts w:ascii="Tahoma" w:eastAsia="Calibri" w:hAnsi="Tahoma" w:cs="Tahoma" w:hint="cs"/>
                <w:sz w:val="19"/>
                <w:szCs w:val="19"/>
                <w:rtl/>
              </w:rPr>
              <w:t xml:space="preserve"> </w:t>
            </w:r>
            <w:r w:rsidRPr="00D25F98">
              <w:rPr>
                <w:rFonts w:ascii="Tahoma" w:eastAsia="Calibri" w:hAnsi="Tahoma" w:cs="Tahoma" w:hint="eastAsia"/>
                <w:sz w:val="19"/>
                <w:szCs w:val="19"/>
                <w:rtl/>
              </w:rPr>
              <w:t>בנושא</w:t>
            </w:r>
            <w:r w:rsidRPr="00D25F98">
              <w:rPr>
                <w:rFonts w:ascii="Tahoma" w:eastAsia="Calibri" w:hAnsi="Tahoma" w:cs="Tahoma"/>
                <w:sz w:val="19"/>
                <w:szCs w:val="19"/>
                <w:rtl/>
              </w:rPr>
              <w:t xml:space="preserve"> </w:t>
            </w:r>
            <w:r w:rsidRPr="00D25F98">
              <w:rPr>
                <w:rFonts w:ascii="Tahoma" w:eastAsia="Calibri" w:hAnsi="Tahoma" w:cs="Tahoma" w:hint="eastAsia"/>
                <w:sz w:val="19"/>
                <w:szCs w:val="19"/>
                <w:rtl/>
              </w:rPr>
              <w:t>מסוים</w:t>
            </w:r>
            <w:r w:rsidRPr="00D25F98">
              <w:rPr>
                <w:rFonts w:ascii="Tahoma" w:eastAsia="Calibri" w:hAnsi="Tahoma" w:cs="Tahoma"/>
                <w:sz w:val="19"/>
                <w:szCs w:val="19"/>
                <w:rtl/>
              </w:rPr>
              <w:t xml:space="preserve"> על פי הנחיות הגורמים המנחים, את הסיכונים הכרוכים בפער זה ולגבש תוכנית סדורה להשלמת הפער תוך גיבוש משאבים תקציביים. על מנכ"ל משרד החוץ לפעול להשלמת פער זה.</w:t>
            </w:r>
            <w:r w:rsidRPr="00D25F98">
              <w:rPr>
                <w:rFonts w:eastAsia="Calibri"/>
                <w:szCs w:val="20"/>
                <w:rtl/>
              </w:rPr>
              <w:t xml:space="preserve"> </w:t>
            </w:r>
            <w:r w:rsidRPr="00D25F98">
              <w:rPr>
                <w:rFonts w:ascii="Tahoma" w:eastAsia="Calibri" w:hAnsi="Tahoma" w:cs="Tahoma"/>
                <w:sz w:val="19"/>
                <w:szCs w:val="19"/>
                <w:rtl/>
              </w:rPr>
              <w:t xml:space="preserve">על </w:t>
            </w:r>
            <w:r w:rsidRPr="00D25F98">
              <w:rPr>
                <w:rFonts w:ascii="Tahoma" w:eastAsia="Calibri" w:hAnsi="Tahoma" w:cs="Tahoma" w:hint="eastAsia"/>
                <w:sz w:val="19"/>
                <w:szCs w:val="19"/>
                <w:rtl/>
              </w:rPr>
              <w:t>הגורמים</w:t>
            </w:r>
            <w:r w:rsidRPr="00D25F98">
              <w:rPr>
                <w:rFonts w:ascii="Tahoma" w:eastAsia="Calibri" w:hAnsi="Tahoma" w:cs="Tahoma"/>
                <w:sz w:val="19"/>
                <w:szCs w:val="19"/>
                <w:rtl/>
              </w:rPr>
              <w:t xml:space="preserve"> </w:t>
            </w:r>
            <w:r w:rsidRPr="00D25F98">
              <w:rPr>
                <w:rFonts w:ascii="Tahoma" w:eastAsia="Calibri" w:hAnsi="Tahoma" w:cs="Tahoma" w:hint="eastAsia"/>
                <w:sz w:val="19"/>
                <w:szCs w:val="19"/>
                <w:rtl/>
              </w:rPr>
              <w:t>המנחים</w:t>
            </w:r>
            <w:r w:rsidRPr="00D25F98">
              <w:rPr>
                <w:rFonts w:ascii="Tahoma" w:eastAsia="Calibri" w:hAnsi="Tahoma" w:cs="Tahoma"/>
                <w:sz w:val="19"/>
                <w:szCs w:val="19"/>
                <w:rtl/>
              </w:rPr>
              <w:t xml:space="preserve"> לבצע בקרה כדי לוודא כי הפער הקיים </w:t>
            </w:r>
            <w:r w:rsidRPr="00D25F98">
              <w:rPr>
                <w:rFonts w:ascii="Tahoma" w:eastAsia="Calibri" w:hAnsi="Tahoma" w:cs="Tahoma" w:hint="eastAsia"/>
                <w:sz w:val="19"/>
                <w:szCs w:val="19"/>
                <w:rtl/>
              </w:rPr>
              <w:t>בנושא</w:t>
            </w:r>
            <w:r w:rsidRPr="00D25F98">
              <w:rPr>
                <w:rFonts w:ascii="Tahoma" w:eastAsia="Calibri" w:hAnsi="Tahoma" w:cs="Tahoma"/>
                <w:sz w:val="19"/>
                <w:szCs w:val="19"/>
                <w:rtl/>
              </w:rPr>
              <w:t xml:space="preserve"> </w:t>
            </w:r>
            <w:r w:rsidRPr="00D25F98">
              <w:rPr>
                <w:rFonts w:ascii="Tahoma" w:eastAsia="Calibri" w:hAnsi="Tahoma" w:cs="Tahoma" w:hint="eastAsia"/>
                <w:sz w:val="19"/>
                <w:szCs w:val="19"/>
                <w:rtl/>
              </w:rPr>
              <w:t>זה</w:t>
            </w:r>
            <w:r w:rsidRPr="00D25F98">
              <w:rPr>
                <w:rFonts w:ascii="Tahoma" w:eastAsia="Calibri" w:hAnsi="Tahoma" w:cs="Tahoma"/>
                <w:sz w:val="19"/>
                <w:szCs w:val="19"/>
                <w:rtl/>
              </w:rPr>
              <w:t xml:space="preserve"> מטופל כנדרש.</w:t>
            </w:r>
          </w:p>
          <w:p w:rsidR="00D25F98" w:rsidRPr="00D25F98" w:rsidP="0026369E">
            <w:pPr>
              <w:numPr>
                <w:ilvl w:val="0"/>
                <w:numId w:val="15"/>
              </w:numPr>
              <w:spacing w:before="120" w:after="260" w:line="288" w:lineRule="auto"/>
              <w:ind w:left="607" w:right="317" w:hanging="516"/>
              <w:rPr>
                <w:rFonts w:ascii="Tahoma" w:eastAsia="Calibri" w:hAnsi="Tahoma" w:cs="Tahoma"/>
                <w:sz w:val="19"/>
                <w:szCs w:val="19"/>
              </w:rPr>
            </w:pPr>
            <w:r w:rsidRPr="00D25F98">
              <w:rPr>
                <w:rFonts w:ascii="Tahoma" w:eastAsia="Calibri" w:hAnsi="Tahoma" w:cs="Tahoma"/>
                <w:sz w:val="19"/>
                <w:szCs w:val="19"/>
                <w:rtl/>
              </w:rPr>
              <w:t xml:space="preserve">על מנכ"ל משרד החוץ, בשיתוף הגורמים הרלוונטיים במשרד ובהם אגף התקשוב, הלשכה המשפטית וחטיבת בטמ"ח, לוודא עמידת המשרד בדרישות חוק הגנת הפרטיות ותקנותיו באופן מקיף, סדור ושיטתי ולהקצות לכך משאבים מתאימים, כך שהמידע הפרטי של העובדים והאזרחים שנשמר במאגרי המידע של המשרד יהיה מוגן כנדרש. </w:t>
            </w:r>
          </w:p>
          <w:p w:rsidR="00D25F98" w:rsidRPr="00D25F98" w:rsidP="0026369E">
            <w:pPr>
              <w:numPr>
                <w:ilvl w:val="0"/>
                <w:numId w:val="15"/>
              </w:numPr>
              <w:spacing w:before="120" w:after="260" w:line="288" w:lineRule="auto"/>
              <w:ind w:left="607" w:right="317" w:hanging="516"/>
              <w:rPr>
                <w:rFonts w:ascii="Tahoma" w:eastAsia="Calibri" w:hAnsi="Tahoma" w:cs="Tahoma"/>
                <w:sz w:val="19"/>
                <w:szCs w:val="19"/>
                <w:rtl/>
              </w:rPr>
            </w:pPr>
            <w:r w:rsidRPr="00D25F98">
              <w:rPr>
                <w:rFonts w:ascii="Tahoma" w:eastAsia="Calibri" w:hAnsi="Tahoma" w:cs="Tahoma"/>
                <w:sz w:val="19"/>
                <w:szCs w:val="19"/>
                <w:rtl/>
              </w:rPr>
              <w:t xml:space="preserve"> נוכח היקף הממצאים שעלו במבדק החוסן שבוצע </w:t>
            </w:r>
            <w:r w:rsidRPr="00D25F98">
              <w:rPr>
                <w:rFonts w:ascii="Tahoma" w:eastAsia="Calibri" w:hAnsi="Tahoma" w:cs="Tahoma" w:hint="cs"/>
                <w:sz w:val="19"/>
                <w:szCs w:val="19"/>
                <w:rtl/>
              </w:rPr>
              <w:t>על</w:t>
            </w:r>
            <w:r w:rsidRPr="00D25F98">
              <w:rPr>
                <w:rFonts w:ascii="Tahoma" w:eastAsia="Calibri" w:hAnsi="Tahoma" w:cs="Tahoma"/>
                <w:sz w:val="19"/>
                <w:szCs w:val="19"/>
                <w:rtl/>
              </w:rPr>
              <w:t xml:space="preserve"> משרד החוץ </w:t>
            </w:r>
            <w:r w:rsidRPr="00D25F98">
              <w:rPr>
                <w:rFonts w:ascii="Tahoma" w:eastAsia="Calibri" w:hAnsi="Tahoma" w:cs="Tahoma" w:hint="cs"/>
                <w:sz w:val="19"/>
                <w:szCs w:val="19"/>
                <w:rtl/>
              </w:rPr>
              <w:t>ל</w:t>
            </w:r>
            <w:r w:rsidRPr="00D25F98">
              <w:rPr>
                <w:rFonts w:ascii="Tahoma" w:eastAsia="Calibri" w:hAnsi="Tahoma" w:cs="Tahoma"/>
                <w:sz w:val="19"/>
                <w:szCs w:val="19"/>
                <w:rtl/>
              </w:rPr>
              <w:t>קיים הערכת מצב ו</w:t>
            </w:r>
            <w:r w:rsidRPr="00D25F98">
              <w:rPr>
                <w:rFonts w:ascii="Tahoma" w:eastAsia="Calibri" w:hAnsi="Tahoma" w:cs="Tahoma" w:hint="cs"/>
                <w:sz w:val="19"/>
                <w:szCs w:val="19"/>
                <w:rtl/>
              </w:rPr>
              <w:t>לבנות</w:t>
            </w:r>
            <w:r w:rsidRPr="00D25F98">
              <w:rPr>
                <w:rFonts w:ascii="Tahoma" w:eastAsia="Calibri" w:hAnsi="Tahoma" w:cs="Tahoma"/>
                <w:sz w:val="19"/>
                <w:szCs w:val="19"/>
                <w:rtl/>
              </w:rPr>
              <w:t xml:space="preserve"> תוכנית אופרטיבית לתיקון הליקויים שפורטו בדוח הטכני המפורט שנמסר למשרד החוץ.</w:t>
            </w:r>
          </w:p>
        </w:tc>
      </w:tr>
    </w:tbl>
    <w:p w:rsidR="00D25F98" w:rsidRPr="00D25F98" w:rsidP="00D25F98">
      <w:pPr>
        <w:spacing w:after="240" w:line="288" w:lineRule="auto"/>
        <w:ind w:right="-567"/>
        <w:rPr>
          <w:rFonts w:ascii="Tahoma" w:eastAsia="Calibri" w:hAnsi="Tahoma" w:cs="Tahoma"/>
          <w:b/>
          <w:bCs/>
          <w:sz w:val="19"/>
          <w:szCs w:val="19"/>
          <w:rtl/>
        </w:rPr>
      </w:pPr>
    </w:p>
    <w:p w:rsidR="00D25F98" w:rsidRPr="00D25F98" w:rsidP="00D25F98">
      <w:pPr>
        <w:spacing w:after="240" w:line="288" w:lineRule="auto"/>
        <w:ind w:left="-710" w:right="-567" w:hanging="141"/>
        <w:rPr>
          <w:rFonts w:ascii="Tahoma" w:eastAsia="Calibri" w:hAnsi="Tahoma" w:cs="Tahoma"/>
          <w:b/>
          <w:bCs/>
          <w:sz w:val="19"/>
          <w:szCs w:val="19"/>
          <w:rtl/>
        </w:rPr>
      </w:pPr>
      <w:r w:rsidRPr="00D25F98">
        <w:rPr>
          <w:rFonts w:ascii="Tahoma" w:eastAsia="Calibri" w:hAnsi="Tahoma" w:cs="Tahoma"/>
          <w:b/>
          <w:bCs/>
          <w:noProof/>
          <w:color w:val="FFFFFF"/>
          <w:sz w:val="28"/>
          <w:szCs w:val="28"/>
          <w:rtl/>
        </w:rPr>
        <w:drawing>
          <wp:anchor distT="0" distB="0" distL="114300" distR="114300" simplePos="0" relativeHeight="251661312" behindDoc="1" locked="0" layoutInCell="1" allowOverlap="1">
            <wp:simplePos x="0" y="0"/>
            <wp:positionH relativeFrom="column">
              <wp:posOffset>901700</wp:posOffset>
            </wp:positionH>
            <wp:positionV relativeFrom="paragraph">
              <wp:posOffset>241995</wp:posOffset>
            </wp:positionV>
            <wp:extent cx="4813514" cy="499110"/>
            <wp:effectExtent l="0" t="0" r="6350" b="0"/>
            <wp:wrapNone/>
            <wp:docPr id="22" name="תמונה 22"/>
            <wp:cNvGraphicFramePr/>
            <a:graphic xmlns:a="http://schemas.openxmlformats.org/drawingml/2006/main">
              <a:graphicData uri="http://schemas.openxmlformats.org/drawingml/2006/picture">
                <pic:pic xmlns:pic="http://schemas.openxmlformats.org/drawingml/2006/picture">
                  <pic:nvPicPr>
                    <pic:cNvPr id="22" name="תקציר-03.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13514" cy="499110"/>
                    </a:xfrm>
                    <a:prstGeom prst="rect">
                      <a:avLst/>
                    </a:prstGeom>
                  </pic:spPr>
                </pic:pic>
              </a:graphicData>
            </a:graphic>
            <wp14:sizeRelH relativeFrom="page">
              <wp14:pctWidth>0</wp14:pctWidth>
            </wp14:sizeRelH>
            <wp14:sizeRelV relativeFrom="page">
              <wp14:pctHeight>0</wp14:pctHeight>
            </wp14:sizeRelV>
          </wp:anchor>
        </w:drawing>
      </w:r>
    </w:p>
    <w:p w:rsidR="00D25F98" w:rsidRPr="00D25F98" w:rsidP="00EF62FC">
      <w:pPr>
        <w:spacing w:after="240" w:line="288" w:lineRule="auto"/>
        <w:ind w:left="-569" w:right="-567"/>
        <w:rPr>
          <w:rFonts w:ascii="Tahoma" w:eastAsia="Calibri" w:hAnsi="Tahoma" w:cs="Tahoma"/>
          <w:b/>
          <w:bCs/>
          <w:noProof/>
          <w:color w:val="FFFFFF"/>
          <w:sz w:val="22"/>
          <w:szCs w:val="22"/>
          <w:rtl/>
        </w:rPr>
      </w:pPr>
      <w:r>
        <w:rPr>
          <w:rFonts w:ascii="Tahoma" w:eastAsia="Calibri" w:hAnsi="Tahoma" w:cs="Tahoma" w:hint="cs"/>
          <w:b/>
          <w:bCs/>
          <w:noProof/>
          <w:color w:val="FFFFFF"/>
          <w:sz w:val="22"/>
          <w:szCs w:val="22"/>
          <w:rtl/>
        </w:rPr>
        <w:t>ה</w:t>
      </w:r>
      <w:r w:rsidRPr="00D25F98">
        <w:rPr>
          <w:rFonts w:ascii="Tahoma" w:eastAsia="Calibri" w:hAnsi="Tahoma" w:cs="Tahoma" w:hint="cs"/>
          <w:b/>
          <w:bCs/>
          <w:noProof/>
          <w:color w:val="FFFFFF"/>
          <w:sz w:val="22"/>
          <w:szCs w:val="22"/>
          <w:rtl/>
        </w:rPr>
        <w:t>פער</w:t>
      </w:r>
      <w:r w:rsidRPr="00D25F98">
        <w:rPr>
          <w:rFonts w:ascii="Tahoma" w:eastAsia="Calibri" w:hAnsi="Tahoma" w:cs="Tahoma"/>
          <w:b/>
          <w:bCs/>
          <w:noProof/>
          <w:color w:val="FFFFFF"/>
          <w:sz w:val="22"/>
          <w:szCs w:val="22"/>
          <w:rtl/>
        </w:rPr>
        <w:t xml:space="preserve">ים </w:t>
      </w:r>
      <w:r>
        <w:rPr>
          <w:rFonts w:ascii="Tahoma" w:eastAsia="Calibri" w:hAnsi="Tahoma" w:cs="Tahoma" w:hint="cs"/>
          <w:b/>
          <w:bCs/>
          <w:noProof/>
          <w:color w:val="FFFFFF"/>
          <w:sz w:val="22"/>
          <w:szCs w:val="22"/>
          <w:rtl/>
        </w:rPr>
        <w:t>ה</w:t>
      </w:r>
      <w:r w:rsidRPr="00D25F98">
        <w:rPr>
          <w:rFonts w:ascii="Tahoma" w:eastAsia="Calibri" w:hAnsi="Tahoma" w:cs="Tahoma"/>
          <w:b/>
          <w:bCs/>
          <w:noProof/>
          <w:color w:val="FFFFFF"/>
          <w:sz w:val="22"/>
          <w:szCs w:val="22"/>
          <w:rtl/>
        </w:rPr>
        <w:t>מרכזיים בתהליכי הניהול והפיתוח של מערכות המידע</w:t>
      </w:r>
    </w:p>
    <w:p w:rsidR="00D25F98" w:rsidRPr="00D25F98" w:rsidP="00D25F98">
      <w:pPr>
        <w:spacing w:before="200" w:line="288" w:lineRule="auto"/>
        <w:ind w:left="-851"/>
        <w:jc w:val="center"/>
        <w:rPr>
          <w:rFonts w:ascii="Tahoma" w:eastAsia="Calibri" w:hAnsi="Tahoma" w:cs="Tahoma"/>
          <w:b/>
          <w:bCs/>
          <w:noProof/>
          <w:color w:val="FFFFFF"/>
          <w:sz w:val="22"/>
          <w:szCs w:val="22"/>
          <w:rtl/>
        </w:rPr>
      </w:pPr>
      <w:r w:rsidRPr="00D25F98">
        <w:rPr>
          <w:rFonts w:eastAsia="Calibri"/>
          <w:noProof/>
        </w:rPr>
        <w:drawing>
          <wp:inline distT="0" distB="0" distL="0" distR="0">
            <wp:extent cx="3899002" cy="3936611"/>
            <wp:effectExtent l="0" t="0" r="6350" b="6985"/>
            <wp:docPr id="23" name="תמונה 23" descr="מוצגים סוגי המידע והמסמכים שנחשפו:&#10;חוות דעת תעסוקתית.&#10;קובץ דרגות שכר של 728 עובדים.&#10;בקשת הסגרה.&#10;מסמך ועדת דרגים לרבות הערכת עובדים.&#10;מידע רגיש נוסף.&#10;הערכות עובד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7"/>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00609" cy="3938233"/>
                    </a:xfrm>
                    <a:prstGeom prst="rect">
                      <a:avLst/>
                    </a:prstGeom>
                    <a:noFill/>
                    <a:ln>
                      <a:noFill/>
                    </a:ln>
                  </pic:spPr>
                </pic:pic>
              </a:graphicData>
            </a:graphic>
          </wp:inline>
        </w:drawing>
      </w:r>
    </w:p>
    <w:p w:rsidR="00D25F98" w:rsidRPr="00D25F98" w:rsidP="00D25F98">
      <w:pPr>
        <w:spacing w:before="200" w:line="288" w:lineRule="auto"/>
        <w:rPr>
          <w:rFonts w:ascii="Tahoma" w:eastAsia="Calibri" w:hAnsi="Tahoma" w:cs="Tahoma"/>
          <w:b/>
          <w:bCs/>
          <w:noProof/>
          <w:color w:val="FFFFFF"/>
          <w:sz w:val="22"/>
          <w:szCs w:val="22"/>
          <w:rtl/>
        </w:rPr>
      </w:pPr>
    </w:p>
    <w:p w:rsidR="00D25F98" w:rsidRPr="00D25F98" w:rsidP="00D25F98">
      <w:pPr>
        <w:spacing w:before="200" w:line="288" w:lineRule="auto"/>
        <w:ind w:left="-851"/>
        <w:rPr>
          <w:rFonts w:ascii="Tahoma" w:eastAsia="Calibri" w:hAnsi="Tahoma" w:cs="Tahoma"/>
          <w:b/>
          <w:bCs/>
          <w:noProof/>
          <w:color w:val="FFFFFF"/>
          <w:sz w:val="22"/>
          <w:szCs w:val="22"/>
          <w:rtl/>
        </w:rPr>
      </w:pPr>
    </w:p>
    <w:p w:rsidR="00D25F98" w:rsidRPr="00D25F98" w:rsidP="00D25F98">
      <w:pPr>
        <w:spacing w:before="200" w:line="288" w:lineRule="auto"/>
        <w:ind w:left="-851"/>
        <w:rPr>
          <w:rFonts w:ascii="Tahoma" w:eastAsia="Calibri" w:hAnsi="Tahoma" w:cs="Tahoma"/>
          <w:b/>
          <w:bCs/>
          <w:noProof/>
          <w:color w:val="FFFFFF"/>
          <w:sz w:val="22"/>
          <w:szCs w:val="22"/>
          <w:rtl/>
        </w:rPr>
      </w:pPr>
    </w:p>
    <w:p w:rsidR="00D25F98" w:rsidRPr="00D25F98" w:rsidP="00D25F98">
      <w:pPr>
        <w:spacing w:before="200" w:line="288" w:lineRule="auto"/>
        <w:ind w:left="-851"/>
        <w:rPr>
          <w:rFonts w:ascii="Tahoma" w:eastAsia="Calibri" w:hAnsi="Tahoma" w:cs="Tahoma"/>
          <w:b/>
          <w:bCs/>
          <w:noProof/>
          <w:color w:val="FFFFFF"/>
          <w:sz w:val="22"/>
          <w:szCs w:val="22"/>
          <w:rtl/>
        </w:rPr>
      </w:pPr>
      <w:r w:rsidRPr="00D25F98">
        <w:rPr>
          <w:rFonts w:ascii="Tahoma" w:eastAsia="Calibri" w:hAnsi="Tahoma" w:cs="Tahoma"/>
          <w:b/>
          <w:bCs/>
          <w:noProof/>
          <w:color w:val="FFFFFF"/>
          <w:sz w:val="22"/>
          <w:szCs w:val="22"/>
          <w:rtl/>
        </w:rPr>
        <w:drawing>
          <wp:anchor distT="0" distB="0" distL="114300" distR="114300" simplePos="0" relativeHeight="251660288" behindDoc="1" locked="0" layoutInCell="1" allowOverlap="1">
            <wp:simplePos x="0" y="0"/>
            <wp:positionH relativeFrom="column">
              <wp:posOffset>1687333</wp:posOffset>
            </wp:positionH>
            <wp:positionV relativeFrom="paragraph">
              <wp:posOffset>-76835</wp:posOffset>
            </wp:positionV>
            <wp:extent cx="4195121" cy="499713"/>
            <wp:effectExtent l="0" t="0" r="0" b="0"/>
            <wp:wrapNone/>
            <wp:docPr id="35" name="תמונה 35"/>
            <wp:cNvGraphicFramePr/>
            <a:graphic xmlns:a="http://schemas.openxmlformats.org/drawingml/2006/main">
              <a:graphicData uri="http://schemas.openxmlformats.org/drawingml/2006/picture">
                <pic:pic xmlns:pic="http://schemas.openxmlformats.org/drawingml/2006/picture">
                  <pic:nvPicPr>
                    <pic:cNvPr id="35" name="תקציר-03.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4195121" cy="499713"/>
                    </a:xfrm>
                    <a:prstGeom prst="rect">
                      <a:avLst/>
                    </a:prstGeom>
                  </pic:spPr>
                </pic:pic>
              </a:graphicData>
            </a:graphic>
            <wp14:sizeRelH relativeFrom="page">
              <wp14:pctWidth>0</wp14:pctWidth>
            </wp14:sizeRelH>
            <wp14:sizeRelV relativeFrom="page">
              <wp14:pctHeight>0</wp14:pctHeight>
            </wp14:sizeRelV>
          </wp:anchor>
        </w:drawing>
      </w:r>
      <w:r w:rsidR="00EF62FC">
        <w:rPr>
          <w:rFonts w:ascii="Tahoma" w:eastAsia="Calibri" w:hAnsi="Tahoma" w:cs="Tahoma" w:hint="cs"/>
          <w:b/>
          <w:bCs/>
          <w:noProof/>
          <w:color w:val="FFFFFF"/>
          <w:sz w:val="22"/>
          <w:szCs w:val="22"/>
          <w:rtl/>
        </w:rPr>
        <w:t>ה</w:t>
      </w:r>
      <w:r w:rsidRPr="00D25F98">
        <w:rPr>
          <w:rFonts w:ascii="Tahoma" w:eastAsia="Calibri" w:hAnsi="Tahoma" w:cs="Tahoma"/>
          <w:b/>
          <w:bCs/>
          <w:noProof/>
          <w:color w:val="FFFFFF"/>
          <w:sz w:val="22"/>
          <w:szCs w:val="22"/>
          <w:rtl/>
        </w:rPr>
        <w:t>פערים</w:t>
      </w:r>
      <w:r w:rsidRPr="00D25F98">
        <w:rPr>
          <w:rFonts w:ascii="Tahoma" w:eastAsia="Calibri" w:hAnsi="Tahoma" w:cs="Tahoma" w:hint="cs"/>
          <w:b/>
          <w:bCs/>
          <w:noProof/>
          <w:color w:val="FFFFFF"/>
          <w:sz w:val="22"/>
          <w:szCs w:val="22"/>
          <w:rtl/>
        </w:rPr>
        <w:t xml:space="preserve"> </w:t>
      </w:r>
      <w:r w:rsidR="00EF62FC">
        <w:rPr>
          <w:rFonts w:ascii="Tahoma" w:eastAsia="Calibri" w:hAnsi="Tahoma" w:cs="Tahoma" w:hint="cs"/>
          <w:b/>
          <w:bCs/>
          <w:noProof/>
          <w:color w:val="FFFFFF"/>
          <w:sz w:val="22"/>
          <w:szCs w:val="22"/>
          <w:rtl/>
        </w:rPr>
        <w:t>ה</w:t>
      </w:r>
      <w:r w:rsidRPr="00D25F98">
        <w:rPr>
          <w:rFonts w:ascii="Tahoma" w:eastAsia="Calibri" w:hAnsi="Tahoma" w:cs="Tahoma" w:hint="cs"/>
          <w:b/>
          <w:bCs/>
          <w:noProof/>
          <w:color w:val="FFFFFF"/>
          <w:sz w:val="22"/>
          <w:szCs w:val="22"/>
          <w:rtl/>
        </w:rPr>
        <w:t>מרכזיים</w:t>
      </w:r>
      <w:r w:rsidRPr="00D25F98">
        <w:rPr>
          <w:rFonts w:ascii="Tahoma" w:eastAsia="Calibri" w:hAnsi="Tahoma" w:cs="Tahoma"/>
          <w:b/>
          <w:bCs/>
          <w:noProof/>
          <w:color w:val="FFFFFF"/>
          <w:sz w:val="22"/>
          <w:szCs w:val="22"/>
          <w:rtl/>
        </w:rPr>
        <w:t xml:space="preserve"> באבטחת המידע והגנת הסייבר </w:t>
      </w:r>
    </w:p>
    <w:p w:rsidR="00D25F98" w:rsidRPr="00D25F98" w:rsidP="00D25F98">
      <w:pPr>
        <w:spacing w:line="288" w:lineRule="auto"/>
        <w:rPr>
          <w:rFonts w:ascii="Tahoma" w:eastAsia="Calibri" w:hAnsi="Tahoma" w:cs="Tahoma"/>
          <w:color w:val="FFFFFF"/>
          <w:rtl/>
        </w:rPr>
      </w:pPr>
    </w:p>
    <w:p w:rsidR="00D25F98" w:rsidRPr="00D25F98" w:rsidP="00D25F98">
      <w:pPr>
        <w:spacing w:line="288" w:lineRule="auto"/>
        <w:ind w:left="-143"/>
        <w:jc w:val="center"/>
        <w:rPr>
          <w:rFonts w:ascii="Tahoma" w:eastAsia="Calibri" w:hAnsi="Tahoma" w:cs="Tahoma"/>
          <w:sz w:val="22"/>
          <w:szCs w:val="22"/>
          <w:rtl/>
        </w:rPr>
      </w:pPr>
      <w:bookmarkStart w:id="0" w:name="_GoBack"/>
      <w:r w:rsidRPr="00D25F98">
        <w:rPr>
          <w:rFonts w:eastAsia="Calibri"/>
          <w:noProof/>
        </w:rPr>
        <w:drawing>
          <wp:inline distT="0" distB="0" distL="0" distR="0">
            <wp:extent cx="3909848" cy="3894452"/>
            <wp:effectExtent l="0" t="0" r="0" b="0"/>
            <wp:docPr id="24" name="תמונה 24" descr="מוצגים סוגי המידע והמסמכים שנחשפו:&#10;חוות דעת תעסוקתית.&#10;קובץ דרגות שכר של 728 עובדים.&#10;בקשת הסגרה.&#10;מסמך ועדת דרגים לרבות הערכת עובדים.&#10;מידע רגיש נוסף.&#10;הערכות עובד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13894" cy="3898482"/>
                    </a:xfrm>
                    <a:prstGeom prst="rect">
                      <a:avLst/>
                    </a:prstGeom>
                    <a:noFill/>
                    <a:ln>
                      <a:noFill/>
                    </a:ln>
                  </pic:spPr>
                </pic:pic>
              </a:graphicData>
            </a:graphic>
          </wp:inline>
        </w:drawing>
      </w:r>
      <w:bookmarkEnd w:id="0"/>
    </w:p>
    <w:p w:rsidR="00D25F98" w:rsidRPr="00D25F98" w:rsidP="00D25F98">
      <w:pPr>
        <w:spacing w:line="288" w:lineRule="auto"/>
        <w:rPr>
          <w:rFonts w:ascii="Tahoma" w:eastAsia="Calibri" w:hAnsi="Tahoma" w:cs="Tahoma"/>
          <w:sz w:val="22"/>
          <w:szCs w:val="22"/>
          <w:rtl/>
        </w:rPr>
      </w:pPr>
    </w:p>
    <w:p w:rsidR="00D25F98" w:rsidRPr="00D25F98" w:rsidP="00D25F98">
      <w:pPr>
        <w:spacing w:line="288" w:lineRule="auto"/>
        <w:rPr>
          <w:rFonts w:ascii="Tahoma" w:eastAsia="Calibri" w:hAnsi="Tahoma" w:cs="Tahoma"/>
          <w:sz w:val="22"/>
          <w:szCs w:val="22"/>
          <w:rtl/>
        </w:rPr>
      </w:pPr>
    </w:p>
    <w:p w:rsidR="00D25F98" w:rsidRPr="00D25F98" w:rsidP="00D25F98">
      <w:pPr>
        <w:spacing w:line="288" w:lineRule="auto"/>
        <w:rPr>
          <w:rFonts w:ascii="Tahoma" w:eastAsia="Calibri" w:hAnsi="Tahoma" w:cs="Tahoma"/>
          <w:sz w:val="22"/>
          <w:szCs w:val="22"/>
          <w:rtl/>
        </w:rPr>
      </w:pPr>
    </w:p>
    <w:p w:rsidR="00D25F98" w:rsidRPr="00D25F98" w:rsidP="00D25F98">
      <w:pPr>
        <w:spacing w:line="288" w:lineRule="auto"/>
        <w:ind w:left="-851"/>
        <w:rPr>
          <w:rFonts w:ascii="Tahoma" w:eastAsia="Calibri" w:hAnsi="Tahoma" w:cs="Tahoma"/>
          <w:rtl/>
        </w:rPr>
      </w:pPr>
      <w:r w:rsidRPr="00D25F98">
        <w:rPr>
          <w:rFonts w:ascii="Tahoma" w:eastAsia="Calibri" w:hAnsi="Tahoma" w:cs="Tahoma"/>
          <w:noProof/>
        </w:rPr>
        <w:drawing>
          <wp:inline distT="0" distB="0" distL="0" distR="0">
            <wp:extent cx="6128084" cy="304165"/>
            <wp:effectExtent l="0" t="0" r="6350" b="635"/>
            <wp:docPr id="51" name="תמונה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4"/>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42716" cy="304891"/>
                    </a:xfrm>
                    <a:prstGeom prst="rect">
                      <a:avLst/>
                    </a:prstGeom>
                    <a:noFill/>
                    <a:ln>
                      <a:noFill/>
                    </a:ln>
                  </pic:spPr>
                </pic:pic>
              </a:graphicData>
            </a:graphic>
          </wp:inline>
        </w:drawing>
      </w:r>
    </w:p>
    <w:p w:rsidR="00D25F98" w:rsidRPr="00D25F98" w:rsidP="00D25F98">
      <w:pPr>
        <w:ind w:left="-851"/>
        <w:rPr>
          <w:rFonts w:ascii="Tahoma" w:eastAsia="Calibri" w:hAnsi="Tahoma" w:cs="Tahoma"/>
          <w:sz w:val="19"/>
          <w:szCs w:val="19"/>
          <w:rtl/>
        </w:rPr>
      </w:pPr>
    </w:p>
    <w:p w:rsidR="00D25F98" w:rsidRPr="00D25F98" w:rsidP="00F56E36">
      <w:pPr>
        <w:spacing w:after="120"/>
        <w:ind w:left="-851" w:right="-567"/>
        <w:rPr>
          <w:rFonts w:ascii="Tahoma" w:eastAsia="Calibri" w:hAnsi="Tahoma" w:cs="Tahoma"/>
          <w:sz w:val="19"/>
          <w:szCs w:val="19"/>
          <w:rtl/>
        </w:rPr>
      </w:pPr>
      <w:r w:rsidRPr="00D25F98">
        <w:rPr>
          <w:rFonts w:ascii="Tahoma" w:eastAsia="Calibri" w:hAnsi="Tahoma" w:cs="Tahoma"/>
          <w:sz w:val="19"/>
          <w:szCs w:val="19"/>
          <w:rtl/>
        </w:rPr>
        <w:t xml:space="preserve">משרד החוץ אמון על גיבוש מדיניות החוץ של מדינת ישראל, ביצועה והסברתה, ומתוקף תפקידו הוא מחזיק במידע רגיש. המערכות הממוחשבות של משרד החוץ חיוניות לפעילותו התקינה ולמימוש יעדיו, ופגיעה בהן או במידע המצוי בהן עלולה לגרום לפגיעה בתפקוד המשרד בכללותו ובשירות שהוא נותן לציבור, </w:t>
      </w:r>
      <w:r w:rsidRPr="00D25F98">
        <w:rPr>
          <w:rFonts w:ascii="Tahoma" w:eastAsia="Calibri" w:hAnsi="Tahoma" w:cs="Tahoma" w:hint="cs"/>
          <w:sz w:val="19"/>
          <w:szCs w:val="19"/>
          <w:rtl/>
        </w:rPr>
        <w:t>ולפגיעה ב</w:t>
      </w:r>
      <w:r w:rsidRPr="00D25F98">
        <w:rPr>
          <w:rFonts w:ascii="Tahoma" w:eastAsia="Calibri" w:hAnsi="Tahoma" w:cs="Tahoma"/>
          <w:sz w:val="19"/>
          <w:szCs w:val="19"/>
          <w:rtl/>
        </w:rPr>
        <w:t>יחסי החוץ של</w:t>
      </w:r>
      <w:r w:rsidRPr="00D25F98">
        <w:rPr>
          <w:rFonts w:ascii="Tahoma" w:eastAsia="Calibri" w:hAnsi="Tahoma" w:cs="Tahoma" w:hint="cs"/>
          <w:sz w:val="19"/>
          <w:szCs w:val="19"/>
          <w:rtl/>
        </w:rPr>
        <w:t xml:space="preserve"> המדינה</w:t>
      </w:r>
      <w:r w:rsidRPr="00D25F98">
        <w:rPr>
          <w:rFonts w:ascii="Tahoma" w:eastAsia="Calibri" w:hAnsi="Tahoma" w:cs="Tahoma"/>
          <w:sz w:val="19"/>
          <w:szCs w:val="19"/>
          <w:rtl/>
        </w:rPr>
        <w:t xml:space="preserve"> ותדמיתה בעולם. נוכח תפקידו, משרד החוץ הוא יעד מרכזי לתקיפות סייבר של מגוון יריבים, החל מפצחנים וכלה </w:t>
      </w:r>
      <w:r w:rsidRPr="00D25F98">
        <w:rPr>
          <w:rFonts w:ascii="Tahoma" w:eastAsia="Calibri" w:hAnsi="Tahoma" w:cs="Tahoma" w:hint="cs"/>
          <w:sz w:val="19"/>
          <w:szCs w:val="19"/>
          <w:rtl/>
        </w:rPr>
        <w:t>בגורמים מדינתיים</w:t>
      </w:r>
      <w:r w:rsidRPr="00D25F98">
        <w:rPr>
          <w:rFonts w:ascii="Tahoma" w:eastAsia="Calibri" w:hAnsi="Tahoma" w:cs="Tahoma"/>
          <w:sz w:val="19"/>
          <w:szCs w:val="19"/>
        </w:rPr>
        <w:t>.</w:t>
      </w:r>
    </w:p>
    <w:p w:rsidR="00D25F98" w:rsidRPr="00D25F98" w:rsidP="00F56E36">
      <w:pPr>
        <w:spacing w:after="120"/>
        <w:ind w:left="-851" w:right="-567"/>
        <w:rPr>
          <w:rFonts w:ascii="Tahoma" w:eastAsia="Calibri" w:hAnsi="Tahoma" w:cs="Tahoma"/>
          <w:sz w:val="19"/>
          <w:szCs w:val="19"/>
          <w:rtl/>
        </w:rPr>
      </w:pPr>
      <w:r w:rsidRPr="00D25F98">
        <w:rPr>
          <w:rFonts w:ascii="Tahoma" w:eastAsia="Calibri" w:hAnsi="Tahoma" w:cs="Tahoma"/>
          <w:sz w:val="19"/>
          <w:szCs w:val="19"/>
          <w:rtl/>
        </w:rPr>
        <w:t>ממצאי דוח זה מלמדים על פערים בשני התחומים שנבדקו - הניהול והפיתוח של מערכות המידע במשרד החוץ ואבטחת המידע והגנת הסייבר במשרד</w:t>
      </w:r>
      <w:r w:rsidRPr="00D25F98">
        <w:rPr>
          <w:rFonts w:ascii="Tahoma" w:eastAsia="Calibri" w:hAnsi="Tahoma" w:cs="Tahoma"/>
          <w:sz w:val="19"/>
          <w:szCs w:val="19"/>
        </w:rPr>
        <w:t>.</w:t>
      </w:r>
    </w:p>
    <w:p w:rsidR="00D25F98" w:rsidRPr="00D25F98" w:rsidP="00F56E36">
      <w:pPr>
        <w:spacing w:after="120"/>
        <w:ind w:left="-851" w:right="-567"/>
        <w:rPr>
          <w:rFonts w:ascii="Tahoma" w:eastAsia="Calibri" w:hAnsi="Tahoma" w:cs="Tahoma"/>
          <w:sz w:val="19"/>
          <w:szCs w:val="19"/>
          <w:rtl/>
        </w:rPr>
      </w:pPr>
      <w:r w:rsidRPr="00D25F98">
        <w:rPr>
          <w:rFonts w:ascii="Tahoma" w:eastAsia="Calibri" w:hAnsi="Tahoma" w:cs="Tahoma"/>
          <w:sz w:val="19"/>
          <w:szCs w:val="19"/>
          <w:rtl/>
        </w:rPr>
        <w:t xml:space="preserve">תמונת המצב העולה מביקורת זו מלמדת על פער טכנולוגי מתמשך במערכות המחשוב של משרד החוץ של שנים רבות ועל תרבות ארגונית שאינה הולמת את איום הייחוס שהוגדר למשרד החוץ. </w:t>
      </w:r>
    </w:p>
    <w:p w:rsidR="00D25F98" w:rsidRPr="00D25F98" w:rsidP="00F56E36">
      <w:pPr>
        <w:spacing w:after="120" w:line="288" w:lineRule="auto"/>
        <w:ind w:left="-851" w:right="-567"/>
        <w:rPr>
          <w:rFonts w:ascii="Tahoma" w:eastAsia="Calibri" w:hAnsi="Tahoma" w:cs="Tahoma"/>
          <w:sz w:val="19"/>
          <w:szCs w:val="19"/>
          <w:highlight w:val="yellow"/>
          <w:rtl/>
        </w:rPr>
      </w:pPr>
      <w:r w:rsidRPr="00D25F98">
        <w:rPr>
          <w:rFonts w:ascii="Tahoma" w:eastAsia="Calibri" w:hAnsi="Tahoma" w:cs="Tahoma"/>
          <w:sz w:val="19"/>
          <w:szCs w:val="19"/>
          <w:rtl/>
        </w:rPr>
        <w:t>ממצאי ביקורת זו מדגישים את הצורך בחיזוק מנגנוני הפיקוח והבקרה של הנהלת משרד החוץ</w:t>
      </w:r>
      <w:r w:rsidRPr="00D25F98">
        <w:rPr>
          <w:rFonts w:eastAsia="Calibri"/>
          <w:rtl/>
        </w:rPr>
        <w:t xml:space="preserve"> </w:t>
      </w:r>
      <w:r w:rsidRPr="00D25F98">
        <w:rPr>
          <w:rFonts w:ascii="Tahoma" w:eastAsia="Calibri" w:hAnsi="Tahoma" w:cs="Tahoma"/>
          <w:sz w:val="19"/>
          <w:szCs w:val="19"/>
          <w:rtl/>
        </w:rPr>
        <w:t>וועדת ההיגוי להגנת הסייבר בראשות מנכ"ל משרד החוץ בכל הנוגע למערכות המידע ואבטחת המידע במשרד.</w:t>
      </w:r>
    </w:p>
    <w:p w:rsidR="00D25F98" w:rsidRPr="00D25F98" w:rsidP="00F56E36">
      <w:pPr>
        <w:spacing w:after="120" w:line="288" w:lineRule="auto"/>
        <w:ind w:left="-851" w:right="-567"/>
        <w:rPr>
          <w:rFonts w:ascii="Tahoma" w:eastAsia="Calibri" w:hAnsi="Tahoma" w:cs="Tahoma"/>
          <w:sz w:val="19"/>
          <w:szCs w:val="19"/>
          <w:rtl/>
        </w:rPr>
      </w:pPr>
      <w:r w:rsidRPr="00D25F98">
        <w:rPr>
          <w:rFonts w:ascii="Tahoma" w:eastAsia="Calibri" w:hAnsi="Tahoma" w:cs="Tahoma"/>
          <w:sz w:val="19"/>
          <w:szCs w:val="19"/>
          <w:rtl/>
        </w:rPr>
        <w:t xml:space="preserve">על מנכ"ל משרד החוץ להידרש לממצאי דוח זה ולוודא כי הליקויים והפערים שהועלו בו יטופלו. בכלל זה, יש להכין תוכנית עבודה סדורה ומפורטת, לרבות לוחות זמנים, כדי לתעדף את הטיפול בכלל הפערים שהועלו ולצמצם את הסיכונים הקיימים. כל זאת, במטרה להבטיח פעילות תקינה של מערך התקשוב במשרד החוץ ולשפר את רמת ההגנה על המשרד ונכסיו. </w:t>
      </w:r>
    </w:p>
    <w:p w:rsidR="00D25F98" w:rsidRPr="00D25F98" w:rsidP="00F56E36">
      <w:pPr>
        <w:spacing w:after="120" w:line="288" w:lineRule="auto"/>
        <w:ind w:left="-851" w:right="-567"/>
        <w:rPr>
          <w:rFonts w:ascii="Tahoma" w:eastAsia="Calibri" w:hAnsi="Tahoma" w:cs="Tahoma"/>
          <w:sz w:val="19"/>
          <w:szCs w:val="19"/>
          <w:rtl/>
        </w:rPr>
      </w:pPr>
      <w:r w:rsidRPr="00D25F98">
        <w:rPr>
          <w:rFonts w:ascii="Tahoma" w:eastAsia="Calibri" w:hAnsi="Tahoma" w:cs="Tahoma"/>
          <w:sz w:val="19"/>
          <w:szCs w:val="19"/>
          <w:rtl/>
        </w:rPr>
        <w:t xml:space="preserve">זאת ועוד, על </w:t>
      </w:r>
      <w:r w:rsidRPr="00D25F98">
        <w:rPr>
          <w:rFonts w:ascii="Tahoma" w:eastAsia="Calibri" w:hAnsi="Tahoma" w:cs="Tahoma" w:hint="cs"/>
          <w:sz w:val="19"/>
          <w:szCs w:val="19"/>
          <w:rtl/>
        </w:rPr>
        <w:t>ה</w:t>
      </w:r>
      <w:r w:rsidRPr="00D25F98">
        <w:rPr>
          <w:rFonts w:ascii="Tahoma" w:eastAsia="Calibri" w:hAnsi="Tahoma" w:cs="Tahoma"/>
          <w:sz w:val="19"/>
          <w:szCs w:val="19"/>
          <w:rtl/>
        </w:rPr>
        <w:t>שב"כ ויה"ב להידרש אף הם לממצאי דוח זה ולעקוב אחר הטיפול בפערים שהועלו בו, כדי לשפר את רמת ההגנה על המידע במשרד החוץ ולהבטיח שרמת ההגנה תהיה בהלימה לאיום הייחוס של המשרד.</w:t>
      </w:r>
    </w:p>
    <w:p w:rsidR="00D25F98" w:rsidRPr="00D25F98" w:rsidP="00F56E36">
      <w:pPr>
        <w:spacing w:after="160" w:line="288" w:lineRule="auto"/>
        <w:ind w:left="-851" w:right="-567"/>
        <w:rPr>
          <w:rFonts w:ascii="Tahoma" w:eastAsia="Calibri" w:hAnsi="Tahoma" w:cs="Tahoma"/>
          <w:sz w:val="19"/>
          <w:szCs w:val="19"/>
          <w:rtl/>
        </w:rPr>
      </w:pPr>
      <w:r w:rsidRPr="00D25F98">
        <w:rPr>
          <w:rFonts w:ascii="Tahoma" w:eastAsia="Calibri" w:hAnsi="Tahoma" w:cs="Tahoma"/>
          <w:sz w:val="19"/>
          <w:szCs w:val="19"/>
          <w:rtl/>
        </w:rPr>
        <w:t xml:space="preserve">ואולם בסופו של </w:t>
      </w:r>
      <w:r w:rsidRPr="00D25F98">
        <w:rPr>
          <w:rFonts w:ascii="Tahoma" w:eastAsia="Calibri" w:hAnsi="Tahoma" w:cs="Tahoma" w:hint="cs"/>
          <w:sz w:val="19"/>
          <w:szCs w:val="19"/>
          <w:rtl/>
        </w:rPr>
        <w:t>דבר</w:t>
      </w:r>
      <w:r w:rsidRPr="00D25F98">
        <w:rPr>
          <w:rFonts w:ascii="Tahoma" w:eastAsia="Calibri" w:hAnsi="Tahoma" w:cs="Tahoma"/>
          <w:sz w:val="19"/>
          <w:szCs w:val="19"/>
          <w:rtl/>
        </w:rPr>
        <w:t xml:space="preserve"> התובנות והלקחים העולים מדוח זה אינם מסתכמים בפעולת משרד החוץ והפיקוח על פעולתו. משרד מבקר המדינה ביצע בשנים האחרונות שורה של ביקורות בגופים ממשלתיים ובגופים ציבוריים רגישים בתחום התקשוב ובפרט בנושא אבטחת המידע והסייבר. ממצאים שעלו בדוחות אלו </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ובאים לידי ביטוי ברור גם בדוח זה</w:t>
      </w:r>
      <w:r w:rsidRPr="00D25F98">
        <w:rPr>
          <w:rFonts w:ascii="Tahoma" w:eastAsia="Calibri" w:hAnsi="Tahoma" w:cs="Tahoma" w:hint="cs"/>
          <w:sz w:val="19"/>
          <w:szCs w:val="19"/>
          <w:rtl/>
        </w:rPr>
        <w:t xml:space="preserve"> -</w:t>
      </w:r>
      <w:r w:rsidRPr="00D25F98">
        <w:rPr>
          <w:rFonts w:ascii="Tahoma" w:eastAsia="Calibri" w:hAnsi="Tahoma" w:cs="Tahoma"/>
          <w:sz w:val="19"/>
          <w:szCs w:val="19"/>
          <w:rtl/>
        </w:rPr>
        <w:t xml:space="preserve"> מחייבים בחינה מעמיקה בקרב הרגולטורים המדינתיים</w:t>
      </w:r>
      <w:r w:rsidRPr="00D25F98">
        <w:rPr>
          <w:rFonts w:ascii="Tahoma" w:eastAsia="Calibri" w:hAnsi="Tahoma" w:cs="Tahoma" w:hint="cs"/>
          <w:sz w:val="19"/>
          <w:szCs w:val="19"/>
          <w:rtl/>
        </w:rPr>
        <w:t xml:space="preserve"> -</w:t>
      </w:r>
      <w:r w:rsidRPr="00D25F98">
        <w:rPr>
          <w:rFonts w:eastAsia="Calibri"/>
          <w:rtl/>
        </w:rPr>
        <w:t xml:space="preserve"> </w:t>
      </w:r>
      <w:r w:rsidRPr="00D25F98">
        <w:rPr>
          <w:rFonts w:ascii="Tahoma" w:eastAsia="Calibri" w:hAnsi="Tahoma" w:cs="Tahoma"/>
          <w:sz w:val="19"/>
          <w:szCs w:val="19"/>
          <w:rtl/>
        </w:rPr>
        <w:t>מערך הדיגיטל הלאומי, מערך הסייבר הלאומי</w:t>
      </w:r>
      <w:r w:rsidRPr="00D25F98">
        <w:rPr>
          <w:rFonts w:ascii="Tahoma" w:eastAsia="Calibri" w:hAnsi="Tahoma" w:cs="Tahoma" w:hint="cs"/>
          <w:sz w:val="19"/>
          <w:szCs w:val="19"/>
          <w:rtl/>
        </w:rPr>
        <w:t>,</w:t>
      </w:r>
      <w:r w:rsidRPr="00D25F98">
        <w:rPr>
          <w:rFonts w:ascii="Tahoma" w:eastAsia="Calibri" w:hAnsi="Tahoma" w:cs="Tahoma"/>
          <w:sz w:val="19"/>
          <w:szCs w:val="19"/>
          <w:rtl/>
        </w:rPr>
        <w:t xml:space="preserve"> השב"כ</w:t>
      </w:r>
      <w:r w:rsidRPr="00D25F98">
        <w:rPr>
          <w:rFonts w:ascii="Tahoma" w:eastAsia="Calibri" w:hAnsi="Tahoma" w:cs="Tahoma" w:hint="cs"/>
          <w:sz w:val="19"/>
          <w:szCs w:val="19"/>
          <w:rtl/>
        </w:rPr>
        <w:t xml:space="preserve"> והרשות להגנת הפרטיות -</w:t>
      </w:r>
      <w:r w:rsidRPr="00D25F98">
        <w:rPr>
          <w:rFonts w:ascii="Tahoma" w:eastAsia="Calibri" w:hAnsi="Tahoma" w:cs="Tahoma"/>
          <w:sz w:val="19"/>
          <w:szCs w:val="19"/>
          <w:rtl/>
        </w:rPr>
        <w:t xml:space="preserve"> בנוגע לכמה סוגיות יסודיות וזאת בקשר לכלל משרדי הממשלה:</w:t>
      </w:r>
    </w:p>
    <w:p w:rsidR="00D25F98" w:rsidRPr="00D25F98" w:rsidP="00F56E36">
      <w:pPr>
        <w:numPr>
          <w:ilvl w:val="0"/>
          <w:numId w:val="16"/>
        </w:numPr>
        <w:spacing w:after="120" w:line="288" w:lineRule="auto"/>
        <w:ind w:left="-431" w:right="-567" w:hanging="357"/>
        <w:contextualSpacing/>
        <w:rPr>
          <w:rFonts w:ascii="Tahoma" w:eastAsia="Calibri" w:hAnsi="Tahoma" w:cs="Tahoma"/>
          <w:sz w:val="19"/>
          <w:szCs w:val="19"/>
        </w:rPr>
      </w:pPr>
      <w:r w:rsidRPr="00D25F98">
        <w:rPr>
          <w:rFonts w:ascii="Tahoma" w:eastAsia="Calibri" w:hAnsi="Tahoma" w:cs="Tahoma"/>
          <w:sz w:val="19"/>
          <w:szCs w:val="19"/>
          <w:rtl/>
        </w:rPr>
        <w:t>בחינת הצורך בהטמעה ממשית ועמוקה של הסיכונים הטמונים בתחום הסייבר ופוטנציאל הנזק העלול להיגרם בגינם לארגון ולמדינה בכלל וכי איום הסייבר הוא איום ביטחוני ואסטרטגי לאומי. הטמעה זו נדרשת לה</w:t>
      </w:r>
      <w:r w:rsidRPr="00D25F98">
        <w:rPr>
          <w:rFonts w:ascii="Tahoma" w:eastAsia="Calibri" w:hAnsi="Tahoma" w:cs="Tahoma" w:hint="cs"/>
          <w:sz w:val="19"/>
          <w:szCs w:val="19"/>
          <w:rtl/>
        </w:rPr>
        <w:t>י</w:t>
      </w:r>
      <w:r w:rsidRPr="00D25F98">
        <w:rPr>
          <w:rFonts w:ascii="Tahoma" w:eastAsia="Calibri" w:hAnsi="Tahoma" w:cs="Tahoma"/>
          <w:sz w:val="19"/>
          <w:szCs w:val="19"/>
          <w:rtl/>
        </w:rPr>
        <w:t xml:space="preserve">עשות בראש ובראשונה בקרב כלל המנהלים הכלליים של משרדי הממשלה ומכך אף נגזרת הדרישה בנוגע למידת מעורבותם בנושא. </w:t>
      </w:r>
    </w:p>
    <w:p w:rsidR="00D25F98" w:rsidRPr="00D25F98" w:rsidP="00D25F98">
      <w:pPr>
        <w:spacing w:after="160" w:line="288" w:lineRule="auto"/>
        <w:ind w:left="-426"/>
        <w:contextualSpacing/>
        <w:rPr>
          <w:rFonts w:ascii="Tahoma" w:eastAsia="Calibri" w:hAnsi="Tahoma" w:cs="Tahoma"/>
          <w:sz w:val="8"/>
          <w:szCs w:val="8"/>
        </w:rPr>
      </w:pPr>
    </w:p>
    <w:p w:rsidR="00D25F98" w:rsidRPr="00D25F98" w:rsidP="00F56E36">
      <w:pPr>
        <w:numPr>
          <w:ilvl w:val="0"/>
          <w:numId w:val="16"/>
        </w:numPr>
        <w:spacing w:after="160" w:line="288" w:lineRule="auto"/>
        <w:ind w:left="-426" w:right="-567"/>
        <w:contextualSpacing/>
        <w:rPr>
          <w:rFonts w:ascii="Tahoma" w:eastAsia="Calibri" w:hAnsi="Tahoma" w:cs="Tahoma"/>
          <w:sz w:val="19"/>
          <w:szCs w:val="19"/>
        </w:rPr>
      </w:pPr>
      <w:r w:rsidRPr="00D25F98">
        <w:rPr>
          <w:rFonts w:ascii="Tahoma" w:eastAsia="Calibri" w:hAnsi="Tahoma" w:cs="Tahoma"/>
          <w:sz w:val="19"/>
          <w:szCs w:val="19"/>
          <w:rtl/>
        </w:rPr>
        <w:t>כנגזרת של תפיסת האיום, נדרשת בחינה בנוגע לחיזוק מנגנוני הפיקוח והרגולציה של הגורמים המנחים, ובפרט כאשר ישנם כמה גורמים המנחים את אותו הגוף. זאת, על מנת להבטיח את אפקטיביות פעילות הגורמים המנחים למול גופים ממשלתיים ומתן מענה לכלל הסיכונים בצורה הוליסטית.</w:t>
      </w:r>
    </w:p>
    <w:p w:rsidR="00D25F98" w:rsidRPr="00D25F98" w:rsidP="00D25F98">
      <w:pPr>
        <w:ind w:left="-426"/>
        <w:contextualSpacing/>
        <w:rPr>
          <w:rFonts w:ascii="Tahoma" w:eastAsia="Calibri" w:hAnsi="Tahoma" w:cs="Tahoma"/>
          <w:sz w:val="8"/>
          <w:szCs w:val="8"/>
          <w:rtl/>
        </w:rPr>
      </w:pPr>
    </w:p>
    <w:p w:rsidR="00D25F98" w:rsidRPr="00D25F98" w:rsidP="00F56E36">
      <w:pPr>
        <w:numPr>
          <w:ilvl w:val="0"/>
          <w:numId w:val="16"/>
        </w:numPr>
        <w:spacing w:after="160" w:line="288" w:lineRule="auto"/>
        <w:ind w:left="-426" w:right="-567"/>
        <w:contextualSpacing/>
        <w:rPr>
          <w:rFonts w:ascii="Tahoma" w:eastAsia="Calibri" w:hAnsi="Tahoma" w:cs="Tahoma"/>
          <w:sz w:val="19"/>
          <w:szCs w:val="19"/>
        </w:rPr>
      </w:pPr>
      <w:r w:rsidRPr="00D25F98">
        <w:rPr>
          <w:rFonts w:ascii="Tahoma" w:eastAsia="Calibri" w:hAnsi="Tahoma" w:cs="Tahoma"/>
          <w:sz w:val="19"/>
          <w:szCs w:val="19"/>
          <w:rtl/>
        </w:rPr>
        <w:t>בחינה מעמיקה של הפערים הקיימים במגזר הממשלתי בנוגע לתקצוב תחום התקשוב ובכלל זה תחום אבטחת המידע והגנת הסייבר, במטרה להבטיח כי במציאות של מחסור יסודי במשאבים, היקף התקציב ייתן מענה הן לדרישות המקצועיות ולהתפתחויות הטכנולוגיות והן לאיום הקיים. זאת במטרה להבטיח כי המחסור בתקציב לא יוצר סיכוני תקשוב או סיכוני אבטחת מידע, עכשוויים או עתידיים כמו גם נזקים הנובעים מאי-הטמעת טכנולוגיות חדשות.</w:t>
      </w:r>
    </w:p>
    <w:p w:rsidR="00D25F98" w:rsidRPr="00D25F98" w:rsidP="00D25F98">
      <w:pPr>
        <w:ind w:left="-426"/>
        <w:contextualSpacing/>
        <w:rPr>
          <w:rFonts w:ascii="Tahoma" w:eastAsia="Calibri" w:hAnsi="Tahoma" w:cs="Tahoma"/>
          <w:sz w:val="8"/>
          <w:szCs w:val="8"/>
          <w:rtl/>
        </w:rPr>
      </w:pPr>
    </w:p>
    <w:p w:rsidR="00D25F98" w:rsidP="00F56E36">
      <w:pPr>
        <w:numPr>
          <w:ilvl w:val="0"/>
          <w:numId w:val="16"/>
        </w:numPr>
        <w:spacing w:after="120" w:line="288" w:lineRule="auto"/>
        <w:ind w:left="-431" w:right="-567" w:hanging="357"/>
        <w:contextualSpacing/>
        <w:rPr>
          <w:rFonts w:ascii="Tahoma" w:eastAsia="Calibri" w:hAnsi="Tahoma" w:cs="Tahoma"/>
          <w:sz w:val="19"/>
          <w:szCs w:val="19"/>
        </w:rPr>
      </w:pPr>
      <w:r w:rsidRPr="00D25F98">
        <w:rPr>
          <w:rFonts w:ascii="Tahoma" w:eastAsia="Calibri" w:hAnsi="Tahoma" w:cs="Tahoma"/>
          <w:sz w:val="19"/>
          <w:szCs w:val="19"/>
          <w:rtl/>
        </w:rPr>
        <w:t>מתן הדעת על כך שחלק מהפערים, דוגמת אלו הנוגעים להגנה על הפרטיות, נובעים מתרבות ארגונית לקויה וכי ניתן לתת להם מענה באמצעות טיפול וקשב מצד הנהלות הגופים ובאמצעות כלים, לרבות כלים טכנולוגיים, שאינם דורשים בהכרח הקצאת משאבים, כגון הדרכות ונקיטת פעולות להעלאת מודעות העובדים.</w:t>
      </w:r>
    </w:p>
    <w:p w:rsidR="00F56E36" w:rsidRPr="00D25F98" w:rsidP="00F56E36">
      <w:pPr>
        <w:spacing w:after="120" w:line="288" w:lineRule="auto"/>
        <w:ind w:right="-567"/>
        <w:contextualSpacing/>
        <w:rPr>
          <w:rFonts w:ascii="Tahoma" w:eastAsia="Calibri" w:hAnsi="Tahoma" w:cs="Tahoma"/>
          <w:sz w:val="19"/>
          <w:szCs w:val="19"/>
          <w:rtl/>
        </w:rPr>
      </w:pPr>
    </w:p>
    <w:p w:rsidR="00F954E4" w:rsidP="00F56E36">
      <w:pPr>
        <w:spacing w:after="160" w:line="288" w:lineRule="auto"/>
        <w:ind w:left="-851" w:right="-567"/>
        <w:rPr>
          <w:rFonts w:ascii="Calibri" w:hAnsi="Calibri" w:cs="Calibri"/>
          <w:b/>
          <w:bCs/>
          <w:color w:val="002060"/>
          <w:sz w:val="80"/>
          <w:szCs w:val="80"/>
        </w:rPr>
      </w:pPr>
      <w:r w:rsidRPr="00D25F98">
        <w:rPr>
          <w:rFonts w:ascii="Tahoma" w:eastAsia="Calibri" w:hAnsi="Tahoma" w:cs="Tahoma"/>
          <w:sz w:val="19"/>
          <w:szCs w:val="19"/>
          <w:rtl/>
        </w:rPr>
        <w:t>ביצוע בחינה מעמיקה כאמור תסייע במיקוד המאמצים וטיוב עבודת משרדי הממשלה בכל הנוגע לתחום התקשוב, אבטחת מידע והגנת הסייבר ובקידום רמת ההגנה באופן שיהלום את רמת האיום והשלכותיו, כמו גם לשיפור יעילות פעילות עבודת הממשלה ושיפור השירות לציבור.</w:t>
      </w: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sectPr w:rsidSect="006C2C6D">
      <w:headerReference w:type="first" r:id="rId26"/>
      <w:pgSz w:w="11906" w:h="16838"/>
      <w:pgMar w:top="1701" w:right="1985" w:bottom="1588" w:left="1701"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2E2">
    <w:pPr>
      <w:pStyle w:val="Footer"/>
    </w:pPr>
    <w:r>
      <w:rPr>
        <w:noProof/>
      </w:rPr>
      <mc:AlternateContent>
        <mc:Choice Requires="wps">
          <w:drawing>
            <wp:anchor distT="0" distB="0" distL="114300" distR="114300" simplePos="0" relativeHeight="251658240" behindDoc="0" locked="0" layoutInCell="1" allowOverlap="1">
              <wp:simplePos x="0" y="0"/>
              <wp:positionH relativeFrom="page">
                <wp:posOffset>2186305</wp:posOffset>
              </wp:positionH>
              <wp:positionV relativeFrom="paragraph">
                <wp:posOffset>-1106170</wp:posOffset>
              </wp:positionV>
              <wp:extent cx="2959100" cy="273050"/>
              <wp:effectExtent l="0" t="0" r="0" b="0"/>
              <wp:wrapNone/>
              <wp:docPr id="10" name="תיבת טקסט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A222E2" w:rsidRPr="00A222E2" w:rsidP="00A222E2">
                          <w:pPr>
                            <w:jc w:val="center"/>
                            <w:rPr>
                              <w:rFonts w:ascii="Calibri" w:hAnsi="Calibri" w:cs="Calibri"/>
                              <w:color w:val="FFFFFF" w:themeColor="background1"/>
                              <w:spacing w:val="8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10" o:spid="_x0000_s2063" type="#_x0000_t202" style="width:233pt;height:21.5pt;margin-top:-87.1pt;margin-left:172.15pt;mso-position-horizontal-relative:page;mso-wrap-distance-bottom:0;mso-wrap-distance-left:9pt;mso-wrap-distance-right:9pt;mso-wrap-distance-top:0;mso-wrap-style:square;position:absolute;visibility:visible;v-text-anchor:top;z-index:251659264" filled="f" stroked="f" strokeweight="0.5pt">
              <v:textbox>
                <w:txbxContent>
                  <w:p w:rsidR="00A222E2" w:rsidRPr="00A222E2" w:rsidP="00A222E2">
                    <w:pPr>
                      <w:jc w:val="center"/>
                      <w:rPr>
                        <w:rFonts w:ascii="Calibri" w:hAnsi="Calibri" w:cs="Calibri"/>
                        <w:color w:val="FFFFFF" w:themeColor="background1"/>
                        <w:spacing w:val="8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2451B" w:rsidP="00C23CC9">
      <w:pPr>
        <w:spacing w:line="240" w:lineRule="auto"/>
      </w:pPr>
      <w:r>
        <w:separator/>
      </w:r>
    </w:p>
  </w:footnote>
  <w:footnote w:type="continuationSeparator" w:id="1">
    <w:p w:rsidR="0062451B" w:rsidP="00C23CC9">
      <w:pPr>
        <w:spacing w:line="240" w:lineRule="auto"/>
      </w:pPr>
      <w:r>
        <w:continuationSeparator/>
      </w:r>
    </w:p>
  </w:footnote>
  <w:footnote w:id="2">
    <w:p w:rsidR="00D25F98" w:rsidP="00D25F98">
      <w:pPr>
        <w:pStyle w:val="FootnoteText"/>
      </w:pPr>
      <w:r>
        <w:rPr>
          <w:rStyle w:val="FootnoteReference1"/>
        </w:rPr>
        <w:footnoteRef/>
      </w:r>
      <w:r>
        <w:rPr>
          <w:rtl/>
        </w:rPr>
        <w:t xml:space="preserve"> </w:t>
      </w:r>
      <w:r>
        <w:tab/>
      </w:r>
      <w:r w:rsidRPr="00DE0D67">
        <w:t>End of Life</w:t>
      </w:r>
      <w:r w:rsidR="00A617B0">
        <w:t>.</w:t>
      </w:r>
    </w:p>
  </w:footnote>
  <w:footnote w:id="3">
    <w:p w:rsidR="00D25F98" w:rsidRPr="0026369E" w:rsidP="00D25F98">
      <w:pPr>
        <w:pStyle w:val="FootnoteText"/>
        <w:rPr>
          <w:rFonts w:ascii="Tahoma" w:hAnsi="Tahoma" w:cs="Tahoma"/>
          <w:sz w:val="16"/>
          <w:szCs w:val="16"/>
          <w:rtl/>
        </w:rPr>
      </w:pPr>
      <w:r w:rsidRPr="0026369E">
        <w:rPr>
          <w:rStyle w:val="FootnoteReference1"/>
          <w:rFonts w:ascii="Tahoma" w:hAnsi="Tahoma" w:cs="Tahoma"/>
          <w:sz w:val="16"/>
          <w:szCs w:val="16"/>
        </w:rPr>
        <w:footnoteRef/>
      </w:r>
      <w:r w:rsidRPr="0026369E">
        <w:rPr>
          <w:rFonts w:ascii="Tahoma" w:hAnsi="Tahoma" w:cs="Tahoma"/>
          <w:sz w:val="16"/>
          <w:szCs w:val="16"/>
          <w:rtl/>
        </w:rPr>
        <w:t xml:space="preserve"> </w:t>
      </w:r>
      <w:r w:rsidRPr="0026369E">
        <w:rPr>
          <w:rFonts w:ascii="Tahoma" w:hAnsi="Tahoma" w:cs="Tahoma"/>
          <w:sz w:val="16"/>
          <w:szCs w:val="16"/>
          <w:rtl/>
        </w:rPr>
        <w:tab/>
      </w:r>
      <w:r w:rsidRPr="0026369E">
        <w:rPr>
          <w:rFonts w:ascii="Tahoma" w:hAnsi="Tahoma" w:cs="Tahoma"/>
          <w:sz w:val="16"/>
          <w:szCs w:val="16"/>
        </w:rPr>
        <w:t>Disaster Recovery Plan</w:t>
      </w:r>
      <w:r w:rsidRPr="0026369E">
        <w:rPr>
          <w:rFonts w:ascii="Tahoma" w:hAnsi="Tahoma" w:cs="Tahoma"/>
          <w:sz w:val="16"/>
          <w:szCs w:val="16"/>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6F75" w:rsidRPr="0062451B" w:rsidP="001F4412">
    <w:pPr>
      <w:pStyle w:val="Header"/>
      <w:tabs>
        <w:tab w:val="clear" w:pos="8306"/>
        <w:tab w:val="right" w:pos="8504"/>
      </w:tabs>
      <w:ind w:right="-709"/>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s">
          <w:drawing>
            <wp:anchor distT="0" distB="0" distL="114300" distR="114300" simplePos="0" relativeHeight="251660288"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4" name="מחבר ישר 4"/>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4" o:spid="_x0000_s2049" style="flip:y;mso-height-percent:0;mso-height-relative:margin;mso-width-percent:0;mso-width-relative:margin;mso-wrap-distance-bottom:0;mso-wrap-distance-left:9pt;mso-wrap-distance-right:9pt;mso-wrap-distance-top:0;mso-wrap-style:square;position:absolute;visibility:visible;z-index:251661312" from="-38.2pt,17.45pt" to="468.45pt,17.45pt" strokecolor="#4579b8"/>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6432" behindDoc="0" locked="0" layoutInCell="1" allowOverlap="1">
              <wp:simplePos x="0" y="0"/>
              <wp:positionH relativeFrom="margin">
                <wp:posOffset>3693795</wp:posOffset>
              </wp:positionH>
              <wp:positionV relativeFrom="paragraph">
                <wp:posOffset>217170</wp:posOffset>
              </wp:positionV>
              <wp:extent cx="2329180" cy="285750"/>
              <wp:effectExtent l="0" t="0" r="0" b="0"/>
              <wp:wrapSquare wrapText="bothSides"/>
              <wp:docPr id="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329180" cy="285750"/>
                      </a:xfrm>
                      <a:prstGeom prst="rect">
                        <a:avLst/>
                      </a:prstGeom>
                      <a:noFill/>
                      <a:ln w="9525">
                        <a:noFill/>
                        <a:miter lim="800000"/>
                        <a:headEnd/>
                        <a:tailEnd/>
                      </a:ln>
                    </wps:spPr>
                    <wps:txbx>
                      <w:txbxContent>
                        <w:p w:rsidR="001E204F" w:rsidRPr="001E204F" w:rsidP="00354F9A">
                          <w:pPr>
                            <w:rPr>
                              <w:rFonts w:ascii="Calibri" w:hAnsi="Calibri" w:cs="Calibri"/>
                              <w:color w:val="002060"/>
                              <w:szCs w:val="20"/>
                              <w:rtl/>
                            </w:rPr>
                          </w:pPr>
                          <w:r w:rsidRPr="00F954E4">
                            <w:rPr>
                              <w:rFonts w:ascii="Calibri" w:hAnsi="Calibri" w:cs="Calibri" w:hint="cs"/>
                              <w:color w:val="002060"/>
                              <w:szCs w:val="20"/>
                              <w:highlight w:val="yellow"/>
                              <w:rtl/>
                            </w:rPr>
                            <w:t>שם המטלה</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2050" type="#_x0000_t202" style="width:183.4pt;height:22.5pt;margin-top:17.1pt;margin-left:290.85pt;flip:x;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7456" filled="f" stroked="f">
              <v:textbox>
                <w:txbxContent>
                  <w:p w:rsidR="001E204F" w:rsidRPr="001E204F" w:rsidP="00354F9A">
                    <w:pPr>
                      <w:rPr>
                        <w:rFonts w:ascii="Calibri" w:hAnsi="Calibri" w:cs="Calibri"/>
                        <w:color w:val="002060"/>
                        <w:szCs w:val="20"/>
                        <w:rtl/>
                      </w:rPr>
                    </w:pPr>
                    <w:r w:rsidRPr="00F954E4">
                      <w:rPr>
                        <w:rFonts w:ascii="Calibri" w:hAnsi="Calibri" w:cs="Calibri" w:hint="cs"/>
                        <w:color w:val="002060"/>
                        <w:szCs w:val="20"/>
                        <w:highlight w:val="yellow"/>
                        <w:rtl/>
                      </w:rPr>
                      <w:t>שם המטלה</w:t>
                    </w:r>
                  </w:p>
                </w:txbxContent>
              </v:textbox>
              <w10:wrap type="square"/>
            </v:shape>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4384"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62451B" w:rsidRPr="0062451B" w:rsidP="0062451B">
                          <w:pPr>
                            <w:jc w:val="right"/>
                            <w:rPr>
                              <w:rFonts w:ascii="Calibri" w:hAnsi="Calibri" w:cs="Calibri"/>
                              <w:color w:val="002060"/>
                              <w:szCs w:val="20"/>
                              <w:rtl/>
                            </w:rPr>
                          </w:pPr>
                          <w:r w:rsidRPr="00700DCE">
                            <w:rPr>
                              <w:rFonts w:ascii="Calibri" w:hAnsi="Calibri" w:cs="Calibri" w:hint="cs"/>
                              <w:color w:val="002060"/>
                              <w:szCs w:val="20"/>
                              <w:rtl/>
                            </w:rPr>
                            <w:t>סיוון</w:t>
                          </w:r>
                          <w:r w:rsidRPr="00700DCE" w:rsidR="00B4321D">
                            <w:rPr>
                              <w:rFonts w:ascii="Calibri" w:hAnsi="Calibri" w:cs="Calibri" w:hint="cs"/>
                              <w:color w:val="002060"/>
                              <w:szCs w:val="20"/>
                              <w:rtl/>
                            </w:rPr>
                            <w:t xml:space="preserve"> התשפ"</w:t>
                          </w:r>
                          <w:r w:rsidRPr="00700DCE" w:rsidR="00D05C85">
                            <w:rPr>
                              <w:rFonts w:ascii="Calibri" w:hAnsi="Calibri" w:cs="Calibri" w:hint="cs"/>
                              <w:color w:val="002060"/>
                              <w:szCs w:val="20"/>
                              <w:rtl/>
                            </w:rPr>
                            <w:t>ו</w:t>
                          </w:r>
                          <w:r w:rsidRPr="00700DCE">
                            <w:rPr>
                              <w:rFonts w:ascii="Calibri" w:hAnsi="Calibri" w:cs="Calibri" w:hint="cs"/>
                              <w:color w:val="002060"/>
                              <w:szCs w:val="20"/>
                              <w:rtl/>
                            </w:rPr>
                            <w:t xml:space="preserve"> </w:t>
                          </w:r>
                          <w:r w:rsidRPr="00700DCE" w:rsidR="001E204F">
                            <w:rPr>
                              <w:rFonts w:asciiTheme="minorHAnsi" w:hAnsiTheme="minorHAnsi" w:cstheme="minorHAnsi"/>
                              <w:color w:val="002060"/>
                              <w:spacing w:val="20"/>
                              <w:sz w:val="22"/>
                              <w:szCs w:val="22"/>
                            </w:rPr>
                            <w:t xml:space="preserve"> </w:t>
                          </w:r>
                          <w:r w:rsidRPr="00700DCE" w:rsidR="001E204F">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w:t>
                          </w:r>
                          <w:r w:rsidRPr="00700DCE" w:rsidR="0039415D">
                            <w:rPr>
                              <w:rFonts w:ascii="Calibri" w:hAnsi="Calibri" w:cs="Calibri" w:hint="cs"/>
                              <w:color w:val="002060"/>
                              <w:szCs w:val="20"/>
                              <w:rtl/>
                            </w:rPr>
                            <w:t xml:space="preserve"> 202</w:t>
                          </w:r>
                          <w:r w:rsidRPr="00700DCE">
                            <w:rPr>
                              <w:rFonts w:ascii="Calibri" w:hAnsi="Calibri" w:cs="Calibri" w:hint="cs"/>
                              <w:color w:val="002060"/>
                              <w:szCs w:val="20"/>
                              <w:rtl/>
                            </w:rPr>
                            <w:t>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1"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51072" filled="f" stroked="f">
              <v:textbox>
                <w:txbxContent>
                  <w:p w:rsidR="0062451B" w:rsidRPr="0062451B" w:rsidP="0062451B">
                    <w:pPr>
                      <w:jc w:val="right"/>
                      <w:rPr>
                        <w:rFonts w:ascii="Calibri" w:hAnsi="Calibri" w:cs="Calibri"/>
                        <w:color w:val="002060"/>
                        <w:szCs w:val="20"/>
                        <w:rtl/>
                      </w:rPr>
                    </w:pPr>
                    <w:r w:rsidRPr="00700DCE">
                      <w:rPr>
                        <w:rFonts w:ascii="Calibri" w:hAnsi="Calibri" w:cs="Calibri" w:hint="cs"/>
                        <w:color w:val="002060"/>
                        <w:szCs w:val="20"/>
                        <w:rtl/>
                      </w:rPr>
                      <w:t>סיוון</w:t>
                    </w:r>
                    <w:r w:rsidRPr="00700DCE" w:rsidR="00B4321D">
                      <w:rPr>
                        <w:rFonts w:ascii="Calibri" w:hAnsi="Calibri" w:cs="Calibri" w:hint="cs"/>
                        <w:color w:val="002060"/>
                        <w:szCs w:val="20"/>
                        <w:rtl/>
                      </w:rPr>
                      <w:t xml:space="preserve"> התשפ"</w:t>
                    </w:r>
                    <w:r w:rsidRPr="00700DCE" w:rsidR="00D05C85">
                      <w:rPr>
                        <w:rFonts w:ascii="Calibri" w:hAnsi="Calibri" w:cs="Calibri" w:hint="cs"/>
                        <w:color w:val="002060"/>
                        <w:szCs w:val="20"/>
                        <w:rtl/>
                      </w:rPr>
                      <w:t>ו</w:t>
                    </w:r>
                    <w:r w:rsidRPr="00700DCE">
                      <w:rPr>
                        <w:rFonts w:ascii="Calibri" w:hAnsi="Calibri" w:cs="Calibri" w:hint="cs"/>
                        <w:color w:val="002060"/>
                        <w:szCs w:val="20"/>
                        <w:rtl/>
                      </w:rPr>
                      <w:t xml:space="preserve"> </w:t>
                    </w:r>
                    <w:r w:rsidRPr="00700DCE" w:rsidR="001E204F">
                      <w:rPr>
                        <w:rFonts w:asciiTheme="minorHAnsi" w:hAnsiTheme="minorHAnsi" w:cstheme="minorHAnsi"/>
                        <w:color w:val="002060"/>
                        <w:spacing w:val="20"/>
                        <w:sz w:val="22"/>
                        <w:szCs w:val="22"/>
                      </w:rPr>
                      <w:t xml:space="preserve"> </w:t>
                    </w:r>
                    <w:r w:rsidRPr="00700DCE" w:rsidR="001E204F">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w:t>
                    </w:r>
                    <w:r w:rsidRPr="00700DCE" w:rsidR="0039415D">
                      <w:rPr>
                        <w:rFonts w:ascii="Calibri" w:hAnsi="Calibri" w:cs="Calibri" w:hint="cs"/>
                        <w:color w:val="002060"/>
                        <w:szCs w:val="20"/>
                        <w:rtl/>
                      </w:rPr>
                      <w:t xml:space="preserve"> 202</w:t>
                    </w:r>
                    <w:r w:rsidRPr="00700DCE">
                      <w:rPr>
                        <w:rFonts w:ascii="Calibri" w:hAnsi="Calibri" w:cs="Calibri" w:hint="cs"/>
                        <w:color w:val="002060"/>
                        <w:szCs w:val="20"/>
                        <w:rtl/>
                      </w:rPr>
                      <w:t>6</w:t>
                    </w:r>
                    <w:r w:rsidRPr="0062451B">
                      <w:rPr>
                        <w:rFonts w:ascii="Calibri" w:hAnsi="Calibri" w:cs="Calibri" w:hint="cs"/>
                        <w:color w:val="002060"/>
                        <w:szCs w:val="20"/>
                        <w:rtl/>
                      </w:rPr>
                      <w:t xml:space="preserve"> </w:t>
                    </w:r>
                  </w:p>
                </w:txbxContent>
              </v:textbox>
              <w10:wrap type="tight"/>
            </v:shape>
          </w:pict>
        </mc:Fallback>
      </mc:AlternateContent>
    </w:r>
    <w:r w:rsidRPr="0062451B" w:rsidR="001F4412">
      <w:rPr>
        <w:rFonts w:asciiTheme="minorHAnsi" w:hAnsiTheme="minorHAnsi" w:cs="Times New Roman"/>
        <w:noProof/>
        <w:color w:val="002060"/>
        <w:szCs w:val="20"/>
        <w:rtl/>
      </w:rPr>
      <mc:AlternateContent>
        <mc:Choice Requires="wps">
          <w:drawing>
            <wp:anchor distT="45720" distB="45720" distL="114300" distR="114300" simplePos="0" relativeHeight="251662336"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21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62451B" w:rsidRPr="0062451B">
                          <w:pPr>
                            <w:rPr>
                              <w:rFonts w:ascii="Calibri" w:hAnsi="Calibri" w:cs="Calibri"/>
                              <w:color w:val="002060"/>
                              <w:sz w:val="22"/>
                              <w:szCs w:val="22"/>
                              <w:rtl/>
                            </w:rPr>
                          </w:pPr>
                          <w:r w:rsidRPr="0062451B">
                            <w:rPr>
                              <w:rFonts w:ascii="Calibri" w:hAnsi="Calibri" w:cs="Calibri"/>
                              <w:color w:val="002060"/>
                              <w:sz w:val="22"/>
                              <w:szCs w:val="22"/>
                              <w:rtl/>
                            </w:rPr>
                            <w:t xml:space="preserve">דוח מבקר </w:t>
                          </w:r>
                          <w:r w:rsidRPr="0062451B" w:rsidR="008131AD">
                            <w:rPr>
                              <w:rFonts w:ascii="Calibri" w:hAnsi="Calibri" w:cs="Calibri"/>
                              <w:color w:val="002060"/>
                              <w:sz w:val="22"/>
                              <w:szCs w:val="22"/>
                              <w:rtl/>
                            </w:rPr>
                            <w:t>המדינה</w:t>
                          </w:r>
                          <w:r w:rsidR="008131AD">
                            <w:rPr>
                              <w:rFonts w:ascii="Calibri" w:hAnsi="Calibri" w:cs="Calibri" w:hint="cs"/>
                              <w:color w:val="002060"/>
                              <w:sz w:val="22"/>
                              <w:szCs w:val="22"/>
                              <w:rtl/>
                            </w:rPr>
                            <w:t xml:space="preserve"> | </w:t>
                          </w:r>
                          <w:r w:rsidRPr="00700DCE" w:rsidR="00700DCE">
                            <w:rPr>
                              <w:rFonts w:ascii="Calibri" w:hAnsi="Calibri" w:cs="Calibri"/>
                              <w:color w:val="002060"/>
                              <w:sz w:val="22"/>
                              <w:szCs w:val="22"/>
                              <w:rtl/>
                            </w:rPr>
                            <w:t>דוח 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2"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63360" filled="f" stroked="f">
              <v:textbox>
                <w:txbxContent>
                  <w:p w:rsidR="0062451B" w:rsidRPr="0062451B">
                    <w:pPr>
                      <w:rPr>
                        <w:rFonts w:ascii="Calibri" w:hAnsi="Calibri" w:cs="Calibri"/>
                        <w:color w:val="002060"/>
                        <w:sz w:val="22"/>
                        <w:szCs w:val="22"/>
                        <w:rtl/>
                      </w:rPr>
                    </w:pPr>
                    <w:r w:rsidRPr="0062451B">
                      <w:rPr>
                        <w:rFonts w:ascii="Calibri" w:hAnsi="Calibri" w:cs="Calibri"/>
                        <w:color w:val="002060"/>
                        <w:sz w:val="22"/>
                        <w:szCs w:val="22"/>
                        <w:rtl/>
                      </w:rPr>
                      <w:t xml:space="preserve">דוח מבקר </w:t>
                    </w:r>
                    <w:r w:rsidRPr="0062451B" w:rsidR="008131AD">
                      <w:rPr>
                        <w:rFonts w:ascii="Calibri" w:hAnsi="Calibri" w:cs="Calibri"/>
                        <w:color w:val="002060"/>
                        <w:sz w:val="22"/>
                        <w:szCs w:val="22"/>
                        <w:rtl/>
                      </w:rPr>
                      <w:t>המדינה</w:t>
                    </w:r>
                    <w:r w:rsidR="008131AD">
                      <w:rPr>
                        <w:rFonts w:ascii="Calibri" w:hAnsi="Calibri" w:cs="Calibri" w:hint="cs"/>
                        <w:color w:val="002060"/>
                        <w:sz w:val="22"/>
                        <w:szCs w:val="22"/>
                        <w:rtl/>
                      </w:rPr>
                      <w:t xml:space="preserve"> | </w:t>
                    </w:r>
                    <w:r w:rsidRPr="00700DCE" w:rsidR="00700DCE">
                      <w:rPr>
                        <w:rFonts w:ascii="Calibri" w:hAnsi="Calibri" w:cs="Calibri"/>
                        <w:color w:val="002060"/>
                        <w:sz w:val="22"/>
                        <w:szCs w:val="22"/>
                        <w:rtl/>
                      </w:rPr>
                      <w:t>דוח סייבר ומערכות מידע</w:t>
                    </w:r>
                  </w:p>
                </w:txbxContent>
              </v:textbox>
              <w10:wrap type="square"/>
            </v:shape>
          </w:pict>
        </mc:Fallback>
      </mc:AlternateContent>
    </w:r>
    <w:r w:rsidRPr="0062451B">
      <w:rPr>
        <w:rFonts w:asciiTheme="minorHAnsi" w:hAnsiTheme="minorHAnsi" w:cstheme="minorHAnsi"/>
        <w:color w:val="002060"/>
        <w:szCs w:val="20"/>
        <w:rtl/>
      </w:rPr>
      <w:t xml:space="preserve"> </w:t>
    </w:r>
    <w:r>
      <w:rPr>
        <w:rFonts w:asciiTheme="minorHAnsi" w:hAnsiTheme="minorHAnsi" w:cstheme="minorHAnsi" w:hint="cs"/>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6F75">
    <w:pPr>
      <w:pStyle w:val="Header"/>
    </w:pPr>
    <w:r>
      <w:rPr>
        <w:noProof/>
      </w:rPr>
      <mc:AlternateContent>
        <mc:Choice Requires="wpg">
          <w:drawing>
            <wp:anchor distT="0" distB="0" distL="114300" distR="114300" simplePos="0" relativeHeight="251658240" behindDoc="0" locked="0" layoutInCell="1" allowOverlap="1">
              <wp:simplePos x="0" y="0"/>
              <wp:positionH relativeFrom="margin">
                <wp:posOffset>1303920</wp:posOffset>
              </wp:positionH>
              <wp:positionV relativeFrom="paragraph">
                <wp:posOffset>-452610</wp:posOffset>
              </wp:positionV>
              <wp:extent cx="2959100" cy="10690225"/>
              <wp:effectExtent l="0" t="0" r="0" b="0"/>
              <wp:wrapNone/>
              <wp:docPr id="52" name="קבוצה 52"/>
              <wp:cNvGraphicFramePr/>
              <a:graphic xmlns:a="http://schemas.openxmlformats.org/drawingml/2006/main">
                <a:graphicData uri="http://schemas.microsoft.com/office/word/2010/wordprocessingGroup">
                  <wpg:wgp xmlns:wpg="http://schemas.microsoft.com/office/word/2010/wordprocessingGroup">
                    <wpg:cNvGrpSpPr/>
                    <wpg:grpSpPr>
                      <a:xfrm>
                        <a:off x="0" y="0"/>
                        <a:ext cx="2959100" cy="10690225"/>
                        <a:chOff x="0" y="0"/>
                        <a:chExt cx="2959100" cy="10690225"/>
                      </a:xfrm>
                    </wpg:grpSpPr>
                    <wpg:grpSp>
                      <wpg:cNvPr id="53" name="קבוצה 53"/>
                      <wpg:cNvGrpSpPr/>
                      <wpg:grpSpPr>
                        <a:xfrm>
                          <a:off x="0" y="0"/>
                          <a:ext cx="2959100" cy="3009900"/>
                          <a:chOff x="0" y="0"/>
                          <a:chExt cx="2959100" cy="3009900"/>
                        </a:xfrm>
                      </wpg:grpSpPr>
                      <wps:wsp xmlns:wps="http://schemas.microsoft.com/office/word/2010/wordprocessingShape">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55" name="גרפיקה 55"/>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038225" y="1438275"/>
                            <a:ext cx="871220" cy="570865"/>
                          </a:xfrm>
                          <a:prstGeom prst="rect">
                            <a:avLst/>
                          </a:prstGeom>
                        </pic:spPr>
                      </pic:pic>
                      <wps:wsp xmlns:wps="http://schemas.microsoft.com/office/word/2010/wordprocessingShape">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57" name="תיבת טקסט 57"/>
                        <wps:cNvSpPr txBox="1"/>
                        <wps:spPr>
                          <a:xfrm>
                            <a:off x="0" y="2600325"/>
                            <a:ext cx="2959100" cy="273050"/>
                          </a:xfrm>
                          <a:prstGeom prst="rect">
                            <a:avLst/>
                          </a:prstGeom>
                          <a:noFill/>
                          <a:ln w="6350">
                            <a:noFill/>
                          </a:ln>
                        </wps:spPr>
                        <wps:txbx>
                          <w:txbxContent>
                            <w:p w:rsidR="0062451B"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grpSp>
                    <wpg:grpSp>
                      <wpg:cNvPr id="58" name="קבוצה 58"/>
                      <wpg:cNvGrpSpPr/>
                      <wpg:grpSpPr>
                        <a:xfrm>
                          <a:off x="219075" y="8324850"/>
                          <a:ext cx="2512060" cy="2365375"/>
                          <a:chOff x="0" y="0"/>
                          <a:chExt cx="2512060" cy="2365375"/>
                        </a:xfrm>
                      </wpg:grpSpPr>
                      <wps:wsp xmlns:wps="http://schemas.microsoft.com/office/word/2010/wordprocessingShape">
                        <wps:cNvPr id="59" name="tbMMHF"/>
                        <wps:cNvSpPr txBox="1"/>
                        <wps:spPr>
                          <a:xfrm>
                            <a:off x="0" y="180975"/>
                            <a:ext cx="2512060" cy="304800"/>
                          </a:xfrm>
                          <a:prstGeom prst="rect">
                            <a:avLst/>
                          </a:prstGeom>
                          <a:solidFill>
                            <a:schemeClr val="bg1"/>
                          </a:solidFill>
                          <a:ln w="6350">
                            <a:noFill/>
                          </a:ln>
                        </wps:spPr>
                        <wps:txbx>
                          <w:txbxContent>
                            <w:p w:rsidR="0062451B"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sid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sidR="00D05C85">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sidR="00700DCE">
                                <w:rPr>
                                  <w:rFonts w:asciiTheme="minorHAnsi" w:hAnsiTheme="minorHAnsi" w:cstheme="minorHAnsi" w:hint="cs"/>
                                  <w:color w:val="002060"/>
                                  <w:spacing w:val="20"/>
                                  <w:sz w:val="22"/>
                                  <w:szCs w:val="22"/>
                                  <w:rtl/>
                                </w:rPr>
                                <w:t>מאי</w:t>
                              </w:r>
                              <w:r w:rsidRPr="00700DCE" w:rsidR="00EE57E1">
                                <w:rPr>
                                  <w:rFonts w:asciiTheme="minorHAnsi" w:hAnsiTheme="minorHAnsi" w:cstheme="minorHAnsi" w:hint="cs"/>
                                  <w:color w:val="002060"/>
                                  <w:spacing w:val="20"/>
                                  <w:sz w:val="22"/>
                                  <w:szCs w:val="22"/>
                                  <w:rtl/>
                                </w:rPr>
                                <w:t xml:space="preserve"> </w:t>
                              </w:r>
                              <w:r w:rsidRPr="00700DCE">
                                <w:rPr>
                                  <w:rFonts w:asciiTheme="minorHAnsi" w:hAnsiTheme="minorHAnsi" w:cstheme="minorHAnsi" w:hint="cs"/>
                                  <w:color w:val="002060"/>
                                  <w:spacing w:val="20"/>
                                  <w:sz w:val="22"/>
                                  <w:szCs w:val="22"/>
                                  <w:rtl/>
                                </w:rPr>
                                <w:t>202</w:t>
                              </w:r>
                              <w:r w:rsidR="00700DCE">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xmlns:wps="http://schemas.microsoft.com/office/word/2010/wordprocessingShape">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1" name="מלבן 61"/>
                        <wps:cNvSpPr/>
                        <wps:spPr>
                          <a:xfrm>
                            <a:off x="409575"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grpSp>
                  </wpg:wgp>
                </a:graphicData>
              </a:graphic>
            </wp:anchor>
          </w:drawing>
        </mc:Choice>
        <mc:Fallback>
          <w:pict>
            <v:group id="קבוצה 52" o:spid="_x0000_s2053" style="width:233pt;height:841.75pt;margin-top:-35.65pt;margin-left:102.65pt;mso-position-horizontal-relative:margin;position:absolute;z-index:251659264" coordsize="29591,106902">
              <v:group id="קבוצה 53" o:spid="_x0000_s2054" style="width:29591;height:30099;position:absolute" coordsize="29591,30099">
                <v:rect id="מלבן 54" o:spid="_x0000_s2055" style="width:16910;height:24638;left:6286;mso-wrap-style:square;position:absolute;visibility:visible;v-text-anchor:middle" fillcolor="#00206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גרפיקה 55" o:spid="_x0000_s2056" type="#_x0000_t75" style="width:8712;height:5709;left:10382;mso-wrap-style:square;position:absolute;top:14382;visibility:visible">
                  <v:imagedata r:id="rId3" o:title=""/>
                </v:shape>
                <v:line id="מחבר ישר 56" o:spid="_x0000_s2057" style="mso-wrap-style:square;position:absolute;visibility:visible" from="6477,30099" to="23241,30099" o:connectortype="straight" strokecolor="#002060" strokeweight="2pt"/>
                <v:shapetype id="_x0000_t202" coordsize="21600,21600" o:spt="202" path="m,l,21600r21600,l21600,xe">
                  <v:stroke joinstyle="miter"/>
                  <v:path gradientshapeok="t" o:connecttype="rect"/>
                </v:shapetype>
                <v:shape id="תיבת טקסט 57" o:spid="_x0000_s2058" type="#_x0000_t202" style="width:29591;height:2730;mso-wrap-style:square;position:absolute;top:26003;visibility:visible;v-text-anchor:top" filled="f" stroked="f" strokeweight="0.5pt">
                  <v:textbox>
                    <w:txbxContent>
                      <w:p w:rsidR="0062451B"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v:textbox>
                </v:shape>
              </v:group>
              <v:group id="קבוצה 58" o:spid="_x0000_s2059" style="width:25121;height:23654;left:2190;position:absolute;top:83248" coordsize="25120,23653">
                <v:shape id="tbMMHF" o:spid="_x0000_s2060" type="#_x0000_t202" style="width:25120;height:3048;mso-wrap-style:square;position:absolute;top:1809;visibility:visible;v-text-anchor:top" fillcolor="white" stroked="f" strokeweight="0.5pt">
                  <v:textbox>
                    <w:txbxContent>
                      <w:p w:rsidR="0062451B"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sid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sidR="00D05C85">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sidR="00700DCE">
                          <w:rPr>
                            <w:rFonts w:asciiTheme="minorHAnsi" w:hAnsiTheme="minorHAnsi" w:cstheme="minorHAnsi" w:hint="cs"/>
                            <w:color w:val="002060"/>
                            <w:spacing w:val="20"/>
                            <w:sz w:val="22"/>
                            <w:szCs w:val="22"/>
                            <w:rtl/>
                          </w:rPr>
                          <w:t>מאי</w:t>
                        </w:r>
                        <w:r w:rsidRPr="00700DCE" w:rsidR="00EE57E1">
                          <w:rPr>
                            <w:rFonts w:asciiTheme="minorHAnsi" w:hAnsiTheme="minorHAnsi" w:cstheme="minorHAnsi" w:hint="cs"/>
                            <w:color w:val="002060"/>
                            <w:spacing w:val="20"/>
                            <w:sz w:val="22"/>
                            <w:szCs w:val="22"/>
                            <w:rtl/>
                          </w:rPr>
                          <w:t xml:space="preserve"> </w:t>
                        </w:r>
                        <w:r w:rsidRPr="00700DCE">
                          <w:rPr>
                            <w:rFonts w:asciiTheme="minorHAnsi" w:hAnsiTheme="minorHAnsi" w:cstheme="minorHAnsi" w:hint="cs"/>
                            <w:color w:val="002060"/>
                            <w:spacing w:val="20"/>
                            <w:sz w:val="22"/>
                            <w:szCs w:val="22"/>
                            <w:rtl/>
                          </w:rPr>
                          <w:t>202</w:t>
                        </w:r>
                        <w:r w:rsidR="00700DCE">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v:textbox>
                </v:shape>
                <v:line id="מחבר ישר 60" o:spid="_x0000_s2061" style="mso-wrap-style:square;position:absolute;visibility:visible" from="4286,0" to="21050,0" o:connectortype="straight" strokecolor="#002060" strokeweight="1.25pt"/>
                <v:rect id="מלבן 61" o:spid="_x0000_s2062" style="width:16910;height:17843;left:4095;mso-wrap-style:square;position:absolute;top:5810;visibility:visible;v-text-anchor:middle" fillcolor="#002060" stroked="f" strokeweight="2pt"/>
              </v:group>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374F" w:rsidRPr="0062451B" w:rsidP="001F4412">
    <w:pPr>
      <w:pStyle w:val="Header"/>
      <w:tabs>
        <w:tab w:val="clear" w:pos="8306"/>
        <w:tab w:val="right" w:pos="8504"/>
      </w:tabs>
      <w:ind w:right="-709"/>
      <w:jc w:val="right"/>
      <w:rPr>
        <w:rFonts w:asciiTheme="minorHAnsi" w:hAnsiTheme="minorHAnsi" w:cstheme="minorHAnsi"/>
        <w:color w:val="002060"/>
        <w:szCs w:val="20"/>
      </w:rPr>
    </w:pP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74624" behindDoc="0" locked="0" layoutInCell="1" allowOverlap="1">
              <wp:simplePos x="0" y="0"/>
              <wp:positionH relativeFrom="margin">
                <wp:posOffset>3094990</wp:posOffset>
              </wp:positionH>
              <wp:positionV relativeFrom="paragraph">
                <wp:posOffset>213995</wp:posOffset>
              </wp:positionV>
              <wp:extent cx="2924175" cy="285750"/>
              <wp:effectExtent l="0" t="0" r="0" b="0"/>
              <wp:wrapSquare wrapText="bothSides"/>
              <wp:docPr id="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924175" cy="285750"/>
                      </a:xfrm>
                      <a:prstGeom prst="rect">
                        <a:avLst/>
                      </a:prstGeom>
                      <a:noFill/>
                      <a:ln w="9525">
                        <a:noFill/>
                        <a:miter lim="800000"/>
                        <a:headEnd/>
                        <a:tailEnd/>
                      </a:ln>
                    </wps:spPr>
                    <wps:txbx>
                      <w:txbxContent>
                        <w:p w:rsidR="002D374F" w:rsidRPr="001E204F" w:rsidP="00354F9A">
                          <w:pPr>
                            <w:rPr>
                              <w:rFonts w:ascii="Calibri" w:hAnsi="Calibri" w:cs="Calibri"/>
                              <w:color w:val="002060"/>
                              <w:szCs w:val="20"/>
                              <w:rtl/>
                            </w:rPr>
                          </w:pPr>
                          <w:r w:rsidRPr="00D07985">
                            <w:rPr>
                              <w:rFonts w:ascii="Calibri" w:hAnsi="Calibri" w:cs="Calibri"/>
                              <w:color w:val="002060"/>
                              <w:szCs w:val="20"/>
                              <w:rtl/>
                            </w:rPr>
                            <w:t>מערכות מידע ואבטחת מידע וסייבר במשרד החוץ</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4" type="#_x0000_t202" style="width:230.25pt;height:22.5pt;margin-top:16.85pt;margin-left:243.7pt;flip:x;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5648" filled="f" stroked="f">
              <v:textbox>
                <w:txbxContent>
                  <w:p w:rsidR="002D374F" w:rsidRPr="001E204F" w:rsidP="00354F9A">
                    <w:pPr>
                      <w:rPr>
                        <w:rFonts w:ascii="Calibri" w:hAnsi="Calibri" w:cs="Calibri"/>
                        <w:color w:val="002060"/>
                        <w:szCs w:val="20"/>
                        <w:rtl/>
                      </w:rPr>
                    </w:pPr>
                    <w:r w:rsidRPr="00D07985">
                      <w:rPr>
                        <w:rFonts w:ascii="Calibri" w:hAnsi="Calibri" w:cs="Calibri"/>
                        <w:color w:val="002060"/>
                        <w:szCs w:val="20"/>
                        <w:rtl/>
                      </w:rPr>
                      <w:t>מערכות מידע ואבטחת מידע וסייבר במשרד החוץ</w:t>
                    </w:r>
                  </w:p>
                </w:txbxContent>
              </v:textbox>
              <w10:wrap type="square"/>
            </v:shape>
          </w:pict>
        </mc:Fallback>
      </mc:AlternateContent>
    </w:r>
    <w:r>
      <w:rPr>
        <w:rFonts w:asciiTheme="minorHAnsi" w:hAnsiTheme="minorHAnsi" w:cstheme="minorHAnsi"/>
        <w:noProof/>
        <w:color w:val="002060"/>
        <w:szCs w:val="20"/>
        <w:rtl/>
        <w:lang w:val="he-IL"/>
      </w:rPr>
      <mc:AlternateContent>
        <mc:Choice Requires="wps">
          <w:drawing>
            <wp:anchor distT="0" distB="0" distL="114300" distR="114300" simplePos="0" relativeHeight="251668480"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1" name="מחבר ישר 1"/>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 o:spid="_x0000_s2065" style="flip:y;mso-height-percent:0;mso-height-relative:margin;mso-width-percent:0;mso-width-relative:margin;mso-wrap-distance-bottom:0;mso-wrap-distance-left:9pt;mso-wrap-distance-right:9pt;mso-wrap-distance-top:0;mso-wrap-style:square;position:absolute;visibility:visible;z-index:251669504" from="-38.2pt,17.45pt" to="468.45pt,17.45pt" strokecolor="#4579b8"/>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72576"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2D374F" w:rsidRPr="0062451B" w:rsidP="0062451B">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6"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42880" filled="f" stroked="f">
              <v:textbox>
                <w:txbxContent>
                  <w:p w:rsidR="002D374F" w:rsidRPr="0062451B" w:rsidP="0062451B">
                    <w:pPr>
                      <w:jc w:val="right"/>
                      <w:rPr>
                        <w:rFonts w:ascii="Calibri" w:hAnsi="Calibri" w:cs="Calibri"/>
                        <w:color w:val="002060"/>
                        <w:szCs w:val="20"/>
                        <w:rtl/>
                      </w:rPr>
                    </w:pPr>
                    <w:r w:rsidRPr="00700DCE">
                      <w:rPr>
                        <w:rFonts w:ascii="Calibri" w:hAnsi="Calibri" w:cs="Calibri" w:hint="cs"/>
                        <w:color w:val="002060"/>
                        <w:szCs w:val="20"/>
                        <w:rtl/>
                      </w:rPr>
                      <w:t xml:space="preserve">סיוון </w:t>
                    </w:r>
                    <w:r w:rsidRPr="00700DCE">
                      <w:rPr>
                        <w:rFonts w:ascii="Calibri" w:hAnsi="Calibri" w:cs="Calibri" w:hint="cs"/>
                        <w:color w:val="002060"/>
                        <w:szCs w:val="20"/>
                        <w:rtl/>
                      </w:rPr>
                      <w:t>התשפ"ו</w:t>
                    </w:r>
                    <w:r w:rsidRPr="00700DCE">
                      <w:rPr>
                        <w:rFonts w:ascii="Calibri" w:hAnsi="Calibri" w:cs="Calibri" w:hint="cs"/>
                        <w:color w:val="002060"/>
                        <w:szCs w:val="20"/>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70528"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2D374F" w:rsidRPr="0062451B">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7"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71552" filled="f" stroked="f">
              <v:textbox>
                <w:txbxContent>
                  <w:p w:rsidR="002D374F" w:rsidRPr="0062451B">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v:textbox>
              <w10:wrap type="square"/>
            </v:shape>
          </w:pict>
        </mc:Fallback>
      </mc:AlternateConten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4539" w:rsidRPr="00C72F2C" w:rsidP="00C72F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2F2C" w:rsidRPr="00D25F98" w:rsidP="002D374F">
    <w:pPr>
      <w:pStyle w:val="Header"/>
      <w:tabs>
        <w:tab w:val="clear" w:pos="8306"/>
        <w:tab w:val="right" w:pos="8504"/>
      </w:tabs>
      <w:ind w:right="-709"/>
      <w:jc w:val="right"/>
      <w:rPr>
        <w:rFonts w:ascii="Calibri" w:hAnsi="Calibri" w:cs="Calibri"/>
        <w:color w:val="002060"/>
        <w:szCs w:val="20"/>
      </w:rPr>
    </w:pPr>
    <w:r w:rsidRPr="00D25F98">
      <w:rPr>
        <w:rFonts w:ascii="Calibri" w:hAnsi="Calibri" w:cs="Calibri"/>
        <w:noProof/>
        <w:color w:val="002060"/>
        <w:szCs w:val="20"/>
        <w:rtl/>
        <w:lang w:val="he-IL"/>
      </w:rPr>
      <mc:AlternateContent>
        <mc:Choice Requires="wps">
          <w:drawing>
            <wp:anchor distT="0" distB="0" distL="114300" distR="114300" simplePos="0" relativeHeight="251676672"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9" name="מחבר ישר 9"/>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9" o:spid="_x0000_s2068" style="flip:y;mso-height-percent:0;mso-height-relative:margin;mso-width-percent:0;mso-width-relative:margin;mso-wrap-distance-bottom:0;mso-wrap-distance-left:9pt;mso-wrap-distance-right:9pt;mso-wrap-distance-top:0;mso-wrap-style:square;position:absolute;visibility:visible;z-index:251677696" from="-38.2pt,17.45pt" to="468.45pt,17.45pt" strokecolor="#4579b8"/>
          </w:pict>
        </mc:Fallback>
      </mc:AlternateContent>
    </w:r>
    <w:r w:rsidRPr="00D25F98">
      <w:rPr>
        <w:rFonts w:ascii="Calibri" w:hAnsi="Calibri" w:cs="Times New Roman"/>
        <w:noProof/>
        <w:color w:val="002060"/>
        <w:szCs w:val="20"/>
        <w:rtl/>
      </w:rPr>
      <mc:AlternateContent>
        <mc:Choice Requires="wps">
          <w:drawing>
            <wp:anchor distT="45720" distB="45720" distL="114300" distR="114300" simplePos="0" relativeHeight="251680768"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1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C72F2C" w:rsidRPr="0062451B" w:rsidP="002D374F">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D25F98">
                            <w:rPr>
                              <w:rFonts w:ascii="Calibri" w:hAnsi="Calibri" w:cs="Calibri"/>
                              <w:color w:val="002060"/>
                              <w:spacing w:val="20"/>
                              <w:sz w:val="22"/>
                              <w:szCs w:val="22"/>
                            </w:rPr>
                            <w:t xml:space="preserve"> </w:t>
                          </w:r>
                          <w:r w:rsidRPr="00D25F98">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9"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34688" filled="f" stroked="f">
              <v:textbox>
                <w:txbxContent>
                  <w:p w:rsidR="00C72F2C" w:rsidRPr="0062451B" w:rsidP="002D374F">
                    <w:pPr>
                      <w:jc w:val="right"/>
                      <w:rPr>
                        <w:rFonts w:ascii="Calibri" w:hAnsi="Calibri" w:cs="Calibri"/>
                        <w:color w:val="002060"/>
                        <w:szCs w:val="20"/>
                        <w:rtl/>
                      </w:rPr>
                    </w:pPr>
                    <w:r w:rsidRPr="00700DCE">
                      <w:rPr>
                        <w:rFonts w:ascii="Calibri" w:hAnsi="Calibri" w:cs="Calibri" w:hint="cs"/>
                        <w:color w:val="002060"/>
                        <w:szCs w:val="20"/>
                        <w:rtl/>
                      </w:rPr>
                      <w:t xml:space="preserve">סיוון </w:t>
                    </w:r>
                    <w:r w:rsidRPr="00700DCE">
                      <w:rPr>
                        <w:rFonts w:ascii="Calibri" w:hAnsi="Calibri" w:cs="Calibri" w:hint="cs"/>
                        <w:color w:val="002060"/>
                        <w:szCs w:val="20"/>
                        <w:rtl/>
                      </w:rPr>
                      <w:t>התשפ"ו</w:t>
                    </w:r>
                    <w:r w:rsidRPr="00700DCE">
                      <w:rPr>
                        <w:rFonts w:ascii="Calibri" w:hAnsi="Calibri" w:cs="Calibri" w:hint="cs"/>
                        <w:color w:val="002060"/>
                        <w:szCs w:val="20"/>
                        <w:rtl/>
                      </w:rPr>
                      <w:t xml:space="preserve"> </w:t>
                    </w:r>
                    <w:r w:rsidRPr="00D25F98">
                      <w:rPr>
                        <w:rFonts w:ascii="Calibri" w:hAnsi="Calibri" w:cs="Calibri"/>
                        <w:color w:val="002060"/>
                        <w:spacing w:val="20"/>
                        <w:sz w:val="22"/>
                        <w:szCs w:val="22"/>
                      </w:rPr>
                      <w:t xml:space="preserve"> </w:t>
                    </w:r>
                    <w:r w:rsidRPr="00D25F98">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D25F98">
      <w:rPr>
        <w:rFonts w:ascii="Calibri" w:hAnsi="Calibri" w:cs="Times New Roman"/>
        <w:noProof/>
        <w:color w:val="002060"/>
        <w:szCs w:val="20"/>
        <w:rtl/>
      </w:rPr>
      <mc:AlternateContent>
        <mc:Choice Requires="wps">
          <w:drawing>
            <wp:anchor distT="45720" distB="45720" distL="114300" distR="114300" simplePos="0" relativeHeight="251678720"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1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C72F2C" w:rsidRPr="0062451B" w:rsidP="002D374F">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70"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79744" filled="f" stroked="f">
              <v:textbox>
                <w:txbxContent>
                  <w:p w:rsidR="00C72F2C" w:rsidRPr="0062451B" w:rsidP="002D374F">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v:textbox>
              <w10:wrap type="square"/>
            </v:shape>
          </w:pict>
        </mc:Fallback>
      </mc:AlternateContent>
    </w:r>
    <w:r w:rsidRPr="00D25F98">
      <w:rPr>
        <w:rFonts w:ascii="Calibri" w:hAnsi="Calibri" w:cs="Calibri"/>
        <w:color w:val="002060"/>
        <w:szCs w:val="20"/>
        <w:rtl/>
      </w:rPr>
      <w:fldChar w:fldCharType="begin"/>
    </w:r>
    <w:r w:rsidRPr="00D25F98">
      <w:rPr>
        <w:rFonts w:ascii="Calibri" w:hAnsi="Calibri" w:cs="Calibri"/>
        <w:color w:val="002060"/>
        <w:szCs w:val="20"/>
        <w:rtl/>
      </w:rPr>
      <w:instrText xml:space="preserve"> </w:instrText>
    </w:r>
    <w:r w:rsidRPr="00D25F98">
      <w:rPr>
        <w:rFonts w:ascii="Calibri" w:hAnsi="Calibri" w:cs="Calibri"/>
        <w:color w:val="002060"/>
        <w:szCs w:val="20"/>
      </w:rPr>
      <w:instrText>PAGE</w:instrText>
    </w:r>
    <w:r w:rsidRPr="00D25F98">
      <w:rPr>
        <w:rFonts w:ascii="Calibri" w:hAnsi="Calibri" w:cs="Calibri"/>
        <w:color w:val="002060"/>
        <w:szCs w:val="20"/>
        <w:rtl/>
      </w:rPr>
      <w:instrText xml:space="preserve">  \* </w:instrText>
    </w:r>
    <w:r w:rsidRPr="00D25F98">
      <w:rPr>
        <w:rFonts w:ascii="Calibri" w:hAnsi="Calibri" w:cs="Calibri"/>
        <w:color w:val="002060"/>
        <w:szCs w:val="20"/>
      </w:rPr>
      <w:instrText>MERGEFORMAT</w:instrText>
    </w:r>
    <w:r w:rsidRPr="00D25F98">
      <w:rPr>
        <w:rFonts w:ascii="Calibri" w:hAnsi="Calibri" w:cs="Calibri"/>
        <w:color w:val="002060"/>
        <w:szCs w:val="20"/>
        <w:rtl/>
      </w:rPr>
      <w:instrText xml:space="preserve"> </w:instrText>
    </w:r>
    <w:r w:rsidRPr="00D25F98">
      <w:rPr>
        <w:rFonts w:ascii="Calibri" w:hAnsi="Calibri" w:cs="Calibri"/>
        <w:color w:val="002060"/>
        <w:szCs w:val="20"/>
        <w:rtl/>
      </w:rPr>
      <w:fldChar w:fldCharType="separate"/>
    </w:r>
    <w:r w:rsidRPr="00D25F98">
      <w:rPr>
        <w:rFonts w:ascii="Calibri" w:hAnsi="Calibri" w:cs="Calibri"/>
        <w:color w:val="002060"/>
        <w:szCs w:val="20"/>
        <w:rtl/>
      </w:rPr>
      <w:t>4</w:t>
    </w:r>
    <w:r w:rsidRPr="00D25F98">
      <w:rPr>
        <w:rFonts w:ascii="Calibri" w:hAnsi="Calibri" w:cs="Calibri"/>
        <w:color w:val="002060"/>
        <w:szCs w:val="20"/>
        <w:rtl/>
      </w:rPr>
      <w:fldChar w:fldCharType="end"/>
    </w:r>
    <w:r w:rsidRPr="00D25F98">
      <w:rPr>
        <w:rFonts w:ascii="Calibri" w:hAnsi="Calibri" w:cs="Calibri"/>
        <w:color w:val="002060"/>
        <w:szCs w:val="20"/>
        <w:rtl/>
      </w:rPr>
      <w:t xml:space="preserve"> </w:t>
    </w:r>
  </w:p>
  <w:p w:rsidR="00C72F2C" w:rsidRPr="002D374F" w:rsidP="002D37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DC4758"/>
    <w:multiLevelType w:val="hybridMultilevel"/>
    <w:tmpl w:val="89945D14"/>
    <w:lvl w:ilvl="0">
      <w:start w:val="1"/>
      <w:numFmt w:val="decimal"/>
      <w:lvlText w:val="%1."/>
      <w:lvlJc w:val="left"/>
      <w:pPr>
        <w:ind w:left="360" w:hanging="360"/>
      </w:pPr>
      <w:rPr>
        <w:rFonts w:hint="default"/>
        <w:b/>
        <w:bCs w:val="0"/>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6EA5F43"/>
    <w:multiLevelType w:val="hybridMultilevel"/>
    <w:tmpl w:val="250C9E26"/>
    <w:lvl w:ilvl="0">
      <w:start w:val="1"/>
      <w:numFmt w:val="decimal"/>
      <w:lvlText w:val="%1."/>
      <w:lvlJc w:val="left"/>
      <w:pPr>
        <w:ind w:left="1080" w:hanging="360"/>
      </w:pPr>
      <w:rPr>
        <w:rFonts w:hint="default"/>
        <w:b/>
        <w:bCs/>
        <w:sz w:val="26"/>
        <w:lang w:bidi="he-I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88216AB"/>
    <w:multiLevelType w:val="hybridMultilevel"/>
    <w:tmpl w:val="BB7ADECA"/>
    <w:lvl w:ilvl="0">
      <w:start w:val="1"/>
      <w:numFmt w:val="hebrew1"/>
      <w:pStyle w:val="15"/>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3">
    <w:nsid w:val="206F6768"/>
    <w:multiLevelType w:val="hybridMultilevel"/>
    <w:tmpl w:val="38B4DB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5">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6">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7">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8">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9">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10">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11">
    <w:nsid w:val="6079445E"/>
    <w:multiLevelType w:val="hybridMultilevel"/>
    <w:tmpl w:val="01E0535A"/>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3">
    <w:nsid w:val="6699458C"/>
    <w:multiLevelType w:val="hybridMultilevel"/>
    <w:tmpl w:val="CA222B08"/>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7E431D00"/>
    <w:multiLevelType w:val="hybridMultilevel"/>
    <w:tmpl w:val="7576C230"/>
    <w:lvl w:ilvl="0">
      <w:start w:val="1"/>
      <w:numFmt w:val="decimal"/>
      <w:pStyle w:val="13"/>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5">
    <w:nsid w:val="7EAC6525"/>
    <w:multiLevelType w:val="hybridMultilevel"/>
    <w:tmpl w:val="2E443F5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4"/>
  </w:num>
  <w:num w:numId="2">
    <w:abstractNumId w:val="10"/>
  </w:num>
  <w:num w:numId="3">
    <w:abstractNumId w:val="8"/>
  </w:num>
  <w:num w:numId="4">
    <w:abstractNumId w:val="2"/>
  </w:num>
  <w:num w:numId="5">
    <w:abstractNumId w:val="9"/>
  </w:num>
  <w:num w:numId="6">
    <w:abstractNumId w:val="12"/>
  </w:num>
  <w:num w:numId="7">
    <w:abstractNumId w:val="7"/>
  </w:num>
  <w:num w:numId="8">
    <w:abstractNumId w:val="5"/>
  </w:num>
  <w:num w:numId="9">
    <w:abstractNumId w:val="4"/>
  </w:num>
  <w:num w:numId="10">
    <w:abstractNumId w:val="6"/>
  </w:num>
  <w:num w:numId="11">
    <w:abstractNumId w:val="15"/>
  </w:num>
  <w:num w:numId="12">
    <w:abstractNumId w:val="0"/>
  </w:num>
  <w:num w:numId="13">
    <w:abstractNumId w:val="1"/>
  </w:num>
  <w:num w:numId="14">
    <w:abstractNumId w:val="13"/>
  </w:num>
  <w:num w:numId="15">
    <w:abstractNumId w:val="11"/>
  </w:num>
  <w:num w:numId="1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name"/>
  <w:defaultTabStop w:val="720"/>
  <w:drawingGridHorizontalSpacing w:val="10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B"/>
    <w:rsid w:val="00003B77"/>
    <w:rsid w:val="00013880"/>
    <w:rsid w:val="0001735B"/>
    <w:rsid w:val="00042837"/>
    <w:rsid w:val="000501A4"/>
    <w:rsid w:val="000532AA"/>
    <w:rsid w:val="000B1102"/>
    <w:rsid w:val="000C7459"/>
    <w:rsid w:val="000E013E"/>
    <w:rsid w:val="000F7725"/>
    <w:rsid w:val="00101D0F"/>
    <w:rsid w:val="00113E28"/>
    <w:rsid w:val="00114325"/>
    <w:rsid w:val="00166477"/>
    <w:rsid w:val="001730B0"/>
    <w:rsid w:val="001960B4"/>
    <w:rsid w:val="001A613C"/>
    <w:rsid w:val="001B2821"/>
    <w:rsid w:val="001C057E"/>
    <w:rsid w:val="001C6185"/>
    <w:rsid w:val="001E204F"/>
    <w:rsid w:val="001F4412"/>
    <w:rsid w:val="00203604"/>
    <w:rsid w:val="002064F7"/>
    <w:rsid w:val="00240887"/>
    <w:rsid w:val="00263521"/>
    <w:rsid w:val="0026369E"/>
    <w:rsid w:val="002A7D21"/>
    <w:rsid w:val="002C0FD0"/>
    <w:rsid w:val="002C1EE0"/>
    <w:rsid w:val="002C4139"/>
    <w:rsid w:val="002D374F"/>
    <w:rsid w:val="00301153"/>
    <w:rsid w:val="003079D5"/>
    <w:rsid w:val="00315B1D"/>
    <w:rsid w:val="00323027"/>
    <w:rsid w:val="00354F9A"/>
    <w:rsid w:val="0037370B"/>
    <w:rsid w:val="0037752E"/>
    <w:rsid w:val="00380052"/>
    <w:rsid w:val="0039415D"/>
    <w:rsid w:val="003C5D0A"/>
    <w:rsid w:val="003D18F4"/>
    <w:rsid w:val="003D61C6"/>
    <w:rsid w:val="003E58C2"/>
    <w:rsid w:val="004779AA"/>
    <w:rsid w:val="00496F3E"/>
    <w:rsid w:val="004A0385"/>
    <w:rsid w:val="004C7D9F"/>
    <w:rsid w:val="005006C5"/>
    <w:rsid w:val="00551B42"/>
    <w:rsid w:val="00551FF7"/>
    <w:rsid w:val="00574579"/>
    <w:rsid w:val="00580C5C"/>
    <w:rsid w:val="005A021D"/>
    <w:rsid w:val="0062451B"/>
    <w:rsid w:val="00634DAD"/>
    <w:rsid w:val="00635A4B"/>
    <w:rsid w:val="00640B60"/>
    <w:rsid w:val="006457EB"/>
    <w:rsid w:val="006531CB"/>
    <w:rsid w:val="00680AD4"/>
    <w:rsid w:val="006C2C6D"/>
    <w:rsid w:val="006D4161"/>
    <w:rsid w:val="006D786C"/>
    <w:rsid w:val="006E1414"/>
    <w:rsid w:val="006F285F"/>
    <w:rsid w:val="00700DCE"/>
    <w:rsid w:val="0072219B"/>
    <w:rsid w:val="007474F0"/>
    <w:rsid w:val="00753ADE"/>
    <w:rsid w:val="00773F61"/>
    <w:rsid w:val="007A4EBD"/>
    <w:rsid w:val="007B112B"/>
    <w:rsid w:val="007B5B26"/>
    <w:rsid w:val="007B691A"/>
    <w:rsid w:val="007C1FF6"/>
    <w:rsid w:val="007D61B8"/>
    <w:rsid w:val="007E0332"/>
    <w:rsid w:val="007F7FF2"/>
    <w:rsid w:val="00805B42"/>
    <w:rsid w:val="008102AD"/>
    <w:rsid w:val="008131AD"/>
    <w:rsid w:val="00837997"/>
    <w:rsid w:val="00867FC5"/>
    <w:rsid w:val="00892F80"/>
    <w:rsid w:val="008B4F41"/>
    <w:rsid w:val="008C6F75"/>
    <w:rsid w:val="009015B2"/>
    <w:rsid w:val="00906E90"/>
    <w:rsid w:val="00906FB1"/>
    <w:rsid w:val="0091051D"/>
    <w:rsid w:val="00933E1C"/>
    <w:rsid w:val="00936F84"/>
    <w:rsid w:val="00940851"/>
    <w:rsid w:val="009679D9"/>
    <w:rsid w:val="009B757F"/>
    <w:rsid w:val="009C6066"/>
    <w:rsid w:val="009D73F5"/>
    <w:rsid w:val="009E1A3F"/>
    <w:rsid w:val="009E53CF"/>
    <w:rsid w:val="009F0BD3"/>
    <w:rsid w:val="00A222E2"/>
    <w:rsid w:val="00A617B0"/>
    <w:rsid w:val="00A61AD5"/>
    <w:rsid w:val="00A73038"/>
    <w:rsid w:val="00A76C99"/>
    <w:rsid w:val="00A81EBE"/>
    <w:rsid w:val="00AC6B95"/>
    <w:rsid w:val="00B00E5C"/>
    <w:rsid w:val="00B4321D"/>
    <w:rsid w:val="00B666B9"/>
    <w:rsid w:val="00B76DC1"/>
    <w:rsid w:val="00B862C0"/>
    <w:rsid w:val="00BE2DD8"/>
    <w:rsid w:val="00C2305A"/>
    <w:rsid w:val="00C23CC9"/>
    <w:rsid w:val="00C30B3D"/>
    <w:rsid w:val="00C33AE2"/>
    <w:rsid w:val="00C72F2C"/>
    <w:rsid w:val="00C8096C"/>
    <w:rsid w:val="00C8100B"/>
    <w:rsid w:val="00C85B62"/>
    <w:rsid w:val="00CA41D2"/>
    <w:rsid w:val="00CA4F20"/>
    <w:rsid w:val="00CB3831"/>
    <w:rsid w:val="00CC712C"/>
    <w:rsid w:val="00CD28D9"/>
    <w:rsid w:val="00D05C85"/>
    <w:rsid w:val="00D07985"/>
    <w:rsid w:val="00D22748"/>
    <w:rsid w:val="00D25F98"/>
    <w:rsid w:val="00D26918"/>
    <w:rsid w:val="00D37121"/>
    <w:rsid w:val="00D779F7"/>
    <w:rsid w:val="00D87542"/>
    <w:rsid w:val="00D95C20"/>
    <w:rsid w:val="00D97C16"/>
    <w:rsid w:val="00DE0D67"/>
    <w:rsid w:val="00DE1DAB"/>
    <w:rsid w:val="00DE20A2"/>
    <w:rsid w:val="00DE36DA"/>
    <w:rsid w:val="00DF0B89"/>
    <w:rsid w:val="00E122EE"/>
    <w:rsid w:val="00E35682"/>
    <w:rsid w:val="00E46EA3"/>
    <w:rsid w:val="00E51C1B"/>
    <w:rsid w:val="00E53DA7"/>
    <w:rsid w:val="00EC6B44"/>
    <w:rsid w:val="00EE37A3"/>
    <w:rsid w:val="00EE57E1"/>
    <w:rsid w:val="00EF4539"/>
    <w:rsid w:val="00EF62FC"/>
    <w:rsid w:val="00F36CB4"/>
    <w:rsid w:val="00F4385E"/>
    <w:rsid w:val="00F56E36"/>
    <w:rsid w:val="00F627EB"/>
    <w:rsid w:val="00F75A10"/>
    <w:rsid w:val="00F77276"/>
    <w:rsid w:val="00F954E4"/>
    <w:rsid w:val="00F95853"/>
    <w:rsid w:val="00FB3F26"/>
    <w:rsid w:val="00FC3213"/>
    <w:rsid w:val="00FC48C6"/>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1A4"/>
    <w:pPr>
      <w:bidi/>
      <w:spacing w:after="0" w:line="312" w:lineRule="auto"/>
    </w:pPr>
  </w:style>
  <w:style w:type="paragraph" w:styleId="Heading1">
    <w:name w:val="heading 1"/>
    <w:basedOn w:val="Normal"/>
    <w:next w:val="Normal"/>
    <w:link w:val="1"/>
    <w:uiPriority w:val="1"/>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1"/>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1"/>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1"/>
    <w:rsid w:val="006D786C"/>
    <w:rPr>
      <w:rFonts w:eastAsiaTheme="majorEastAsia"/>
      <w:bCs/>
      <w:szCs w:val="28"/>
      <w:u w:val="single"/>
    </w:rPr>
  </w:style>
  <w:style w:type="character" w:customStyle="1" w:styleId="4">
    <w:name w:val="כותרת 4 תו"/>
    <w:basedOn w:val="DefaultParagraphFont"/>
    <w:link w:val="Heading4"/>
    <w:uiPriority w:val="1"/>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rsid w:val="00574579"/>
    <w:pPr>
      <w:spacing w:line="240" w:lineRule="auto"/>
      <w:ind w:left="720" w:hanging="720"/>
    </w:pPr>
    <w:rPr>
      <w:szCs w:val="20"/>
    </w:rPr>
  </w:style>
  <w:style w:type="character" w:customStyle="1" w:styleId="a4">
    <w:name w:val="טקסט הערת שוליים תו"/>
    <w:aliases w:val=" Char תו,Char תו,FOOTNOTES תו,Footnote Text - Sharp Char Char תו,Footnote Text - Sharp Char תו,Footnote Text - Sharp תו,Footnote Text Char Char Char Char Char תו,Footnote reference תו,Sharp - Footnote Text תו,fn תו,footnote text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
    <w:basedOn w:val="DefaultParagraphFont"/>
    <w:uiPriority w:val="99"/>
    <w:unhideWhenUsed/>
    <w:rsid w:val="000501A4"/>
    <w:rPr>
      <w:vertAlign w:val="superscript"/>
    </w:rPr>
  </w:style>
  <w:style w:type="paragraph" w:styleId="ListParagraph">
    <w:name w:val="List Paragraph"/>
    <w:aliases w:val="Bullet Number,Num Bullet 1,Use Case List Paragraph,style 2,פיסקת רשימה1"/>
    <w:basedOn w:val="Normal"/>
    <w:link w:val="a9"/>
    <w:uiPriority w:val="34"/>
    <w:qFormat/>
    <w:rsid w:val="00B4321D"/>
    <w:pPr>
      <w:ind w:left="720"/>
      <w:contextualSpacing/>
    </w:pPr>
  </w:style>
  <w:style w:type="table" w:styleId="TableGrid">
    <w:name w:val="Table Grid"/>
    <w:basedOn w:val="TableNormal"/>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semiHidden/>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semiHidden/>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1">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Num Bullet 1 תו,Use Case List Paragraph תו,style 2 תו,פיסקת רשימה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3">
    <w:name w:val="כותרת 1 ממה"/>
    <w:basedOn w:val="Normal"/>
    <w:next w:val="Normal"/>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DefaultParagraphFont"/>
    <w:link w:val="13"/>
    <w:rsid w:val="00B4321D"/>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5">
    <w:name w:val="רשימה1 ממה"/>
    <w:basedOn w:val="Normal"/>
    <w:link w:val="16"/>
    <w:qFormat/>
    <w:rsid w:val="00B4321D"/>
    <w:pPr>
      <w:widowControl w:val="0"/>
      <w:numPr>
        <w:numId w:val="4"/>
      </w:numPr>
      <w:spacing w:line="280" w:lineRule="exact"/>
    </w:pPr>
    <w:rPr>
      <w:rFonts w:ascii="Calibri" w:eastAsia="Calibri" w:hAnsi="Calibri" w:cs="Calibri"/>
      <w:color w:val="002060"/>
      <w:sz w:val="24"/>
    </w:rPr>
  </w:style>
  <w:style w:type="character" w:customStyle="1" w:styleId="16">
    <w:name w:val="רשימה1 ממה תו"/>
    <w:basedOn w:val="DefaultParagraphFont"/>
    <w:link w:val="15"/>
    <w:rsid w:val="00B4321D"/>
    <w:rPr>
      <w:rFonts w:ascii="Calibri" w:eastAsia="Calibri" w:hAnsi="Calibri" w:cs="Calibri"/>
      <w:color w:val="002060"/>
      <w:sz w:val="24"/>
    </w:rPr>
  </w:style>
  <w:style w:type="paragraph" w:customStyle="1" w:styleId="22">
    <w:name w:val="רשימה2 ממה"/>
    <w:basedOn w:val="Normal"/>
    <w:link w:val="23"/>
    <w:qFormat/>
    <w:rsid w:val="00B4321D"/>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7">
    <w:name w:val="ליקוי/ממצא חיובי/המלצה1 ממה"/>
    <w:next w:val="Normal"/>
    <w:link w:val="18"/>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8">
    <w:name w:val="ליקוי/ממצא חיובי/המלצה1 ממה תו"/>
    <w:basedOn w:val="DefaultParagraphFont"/>
    <w:link w:val="17"/>
    <w:rsid w:val="00B4321D"/>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8"/>
    <w:link w:val="24"/>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B4321D"/>
    <w:rPr>
      <w:rFonts w:ascii="Tahoma" w:hAnsi="Tahoma" w:cs="Tahoma"/>
      <w:color w:val="0D0D0D" w:themeColor="text1" w:themeTint="F2"/>
      <w:sz w:val="18"/>
      <w:szCs w:val="18"/>
    </w:rPr>
  </w:style>
  <w:style w:type="table" w:styleId="GridTable4Accent1">
    <w:name w:val="Grid Table 4 Accent 1"/>
    <w:basedOn w:val="TableNormal"/>
    <w:uiPriority w:val="49"/>
    <w:rsid w:val="00354F9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9">
    <w:name w:val="אזכור לא מזוהה1"/>
    <w:basedOn w:val="DefaultParagraphFont"/>
    <w:uiPriority w:val="99"/>
    <w:semiHidden/>
    <w:unhideWhenUsed/>
    <w:rsid w:val="00354F9A"/>
    <w:rPr>
      <w:color w:val="605E5C"/>
      <w:shd w:val="clear" w:color="auto" w:fill="E1DFDD"/>
    </w:rPr>
  </w:style>
  <w:style w:type="table" w:styleId="GridTable5DarkAccent1">
    <w:name w:val="Grid Table 5 Dark Accent 1"/>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5.xml"/><Relationship Id="rId8" Type="http://schemas.openxmlformats.org/officeDocument/2006/relationships/footer" Target="footer1.xml"/><Relationship Id="rId21" Type="http://schemas.openxmlformats.org/officeDocument/2006/relationships/image" Target="media/image14.jpeg"/><Relationship Id="rId3"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7" Type="http://schemas.openxmlformats.org/officeDocument/2006/relationships/header" Target="header2.xml"/><Relationship Id="rId16" Type="http://schemas.openxmlformats.org/officeDocument/2006/relationships/image" Target="media/image9.jpeg"/><Relationship Id="rId2" Type="http://schemas.openxmlformats.org/officeDocument/2006/relationships/settings" Target="settings.xml"/><Relationship Id="rId20" Type="http://schemas.openxmlformats.org/officeDocument/2006/relationships/image" Target="media/image13.jpeg"/><Relationship Id="rId29" Type="http://schemas.openxmlformats.org/officeDocument/2006/relationships/styles" Target="styles.xml"/><Relationship Id="rId1"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6" Type="http://schemas.openxmlformats.org/officeDocument/2006/relationships/header" Target="header1.xml"/><Relationship Id="rId32" Type="http://schemas.openxmlformats.org/officeDocument/2006/relationships/customXml" Target="../customXml/item4.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numbering" Target="numbering.xml"/><Relationship Id="rId5" Type="http://schemas.openxmlformats.org/officeDocument/2006/relationships/customXml" Target="../customXml/item1.xml"/><Relationship Id="rId10" Type="http://schemas.openxmlformats.org/officeDocument/2006/relationships/header" Target="header4.xml"/><Relationship Id="rId19" Type="http://schemas.openxmlformats.org/officeDocument/2006/relationships/image" Target="media/image12.jpeg"/><Relationship Id="rId31" Type="http://schemas.openxmlformats.org/officeDocument/2006/relationships/customXml" Target="../customXml/item3.xm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header" Target="header3.xml"/><Relationship Id="rId30" Type="http://schemas.openxmlformats.org/officeDocument/2006/relationships/customXml" Target="../customXml/item2.xml"/></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svg" /><Relationship Id="rId3" Type="http://schemas.openxmlformats.org/officeDocument/2006/relationships/image" Target="media/image3.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ACAC048-5FC3-4583-BF1A-51A0CF0BA03B}">
  <ds:schemaRefs>
    <ds:schemaRef ds:uri="http://schemas.openxmlformats.org/officeDocument/2006/bibliography"/>
  </ds:schemaRefs>
</ds:datastoreItem>
</file>

<file path=customXml/itemProps2.xml><?xml version="1.0" encoding="utf-8"?>
<ds:datastoreItem xmlns:ds="http://schemas.openxmlformats.org/officeDocument/2006/customXml" ds:itemID="{A782520A-A5A0-4FDA-BBC9-401668A462C1}"/>
</file>

<file path=customXml/itemProps3.xml><?xml version="1.0" encoding="utf-8"?>
<ds:datastoreItem xmlns:ds="http://schemas.openxmlformats.org/officeDocument/2006/customXml" ds:itemID="{C03ED520-9734-4C43-B273-C7FE8C30405B}"/>
</file>

<file path=customXml/itemProps4.xml><?xml version="1.0" encoding="utf-8"?>
<ds:datastoreItem xmlns:ds="http://schemas.openxmlformats.org/officeDocument/2006/customXml" ds:itemID="{EEF7BC6A-C95A-43C5-8AFA-3FF5628BE6E4}"/>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