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354F9A">
      <w:pPr>
        <w:spacing w:before="3480" w:after="2040" w:line="800" w:lineRule="exact"/>
        <w:jc w:val="center"/>
        <w:rPr>
          <w:rFonts w:ascii="Calibri" w:hAnsi="Calibri" w:cs="Calibri"/>
          <w:b/>
          <w:bCs/>
          <w:color w:val="002060"/>
          <w:sz w:val="80"/>
          <w:szCs w:val="80"/>
          <w:rtl/>
        </w:rPr>
      </w:pPr>
      <w:bookmarkStart w:id="0" w:name="_Hlk230109010"/>
      <w:r w:rsidRPr="003B5D33">
        <w:rPr>
          <w:rFonts w:ascii="Calibri" w:hAnsi="Calibri" w:cs="Calibri"/>
          <w:b/>
          <w:bCs/>
          <w:color w:val="002060"/>
          <w:sz w:val="80"/>
          <w:szCs w:val="80"/>
          <w:rtl/>
        </w:rPr>
        <w:t>מערכות מידע ואבטחת מידע וסייבר במשרד החוץ</w:t>
      </w:r>
    </w:p>
    <w:bookmarkEnd w:id="0"/>
    <w:p w:rsidR="006E1414">
      <w:pPr>
        <w:bidi w:val="0"/>
        <w:spacing w:after="200" w:line="276" w:lineRule="auto"/>
        <w:rPr>
          <w:rFonts w:ascii="Calibri" w:hAnsi="Calibri" w:cs="Calibri"/>
          <w:b/>
          <w:bCs/>
          <w:color w:val="002060"/>
          <w:sz w:val="80"/>
          <w:szCs w:val="80"/>
        </w:rPr>
      </w:pPr>
      <w:r>
        <w:rPr>
          <w:rFonts w:ascii="Calibri" w:hAnsi="Calibri" w:cs="Times New Roman"/>
          <w:b/>
          <w:bCs/>
          <w:color w:val="002060"/>
          <w:sz w:val="80"/>
          <w:szCs w:val="80"/>
          <w:rtl/>
        </w:rPr>
        <w:br w:type="page"/>
      </w:r>
    </w:p>
    <w:p w:rsidR="00F954E4" w:rsidP="00F954E4">
      <w:pPr>
        <w:bidi w:val="0"/>
        <w:spacing w:after="200" w:line="276" w:lineRule="auto"/>
        <w:rPr>
          <w:rFonts w:ascii="Calibri" w:hAnsi="Calibri" w:cs="Calibri"/>
          <w:b/>
          <w:bCs/>
          <w:color w:val="002060"/>
          <w:sz w:val="80"/>
          <w:szCs w:val="80"/>
        </w:rPr>
        <w:sectPr w:rsidSect="006C2C6D">
          <w:headerReference w:type="default" r:id="rId6"/>
          <w:headerReference w:type="first" r:id="rId7"/>
          <w:footerReference w:type="first" r:id="rId8"/>
          <w:pgSz w:w="11906" w:h="16838"/>
          <w:pgMar w:top="1701" w:right="1985" w:bottom="1588" w:left="1701" w:header="709" w:footer="709" w:gutter="0"/>
          <w:cols w:space="708"/>
          <w:titlePg/>
          <w:bidi/>
          <w:rtlGutter/>
          <w:docGrid w:linePitch="360"/>
        </w:sectPr>
      </w:pPr>
    </w:p>
    <w:p w:rsidR="003B5D33" w:rsidRPr="003B5D33" w:rsidP="003B5D33">
      <w:pPr>
        <w:keepNext/>
        <w:keepLines/>
        <w:spacing w:line="269" w:lineRule="auto"/>
        <w:jc w:val="center"/>
        <w:outlineLvl w:val="0"/>
        <w:rPr>
          <w:rFonts w:eastAsia="Times New Roman"/>
          <w:bCs/>
          <w:szCs w:val="36"/>
          <w:u w:val="single"/>
          <w:rtl/>
        </w:rPr>
      </w:pPr>
      <w:bookmarkStart w:id="1" w:name="_Toc218592786"/>
      <w:r w:rsidRPr="003B5D33">
        <w:rPr>
          <w:rFonts w:eastAsia="Times New Roman" w:hint="cs"/>
          <w:bCs/>
          <w:szCs w:val="36"/>
          <w:u w:val="single"/>
          <w:rtl/>
        </w:rPr>
        <w:t>מערכות מידע ואבטחת מידע וסייבר במשרד החוץ</w:t>
      </w:r>
      <w:bookmarkEnd w:id="1"/>
    </w:p>
    <w:p w:rsidR="003B5D33" w:rsidRPr="003B5D33" w:rsidP="003B5D33">
      <w:pPr>
        <w:keepNext/>
        <w:keepLines/>
        <w:spacing w:line="269" w:lineRule="auto"/>
        <w:outlineLvl w:val="2"/>
        <w:rPr>
          <w:rFonts w:eastAsia="Times New Roman"/>
          <w:bCs/>
          <w:szCs w:val="28"/>
          <w:u w:val="single"/>
          <w:rtl/>
        </w:rPr>
      </w:pPr>
      <w:bookmarkStart w:id="2" w:name="_Toc218592787"/>
    </w:p>
    <w:p w:rsidR="003B5D33" w:rsidRPr="003B5D33" w:rsidP="003B5D33">
      <w:pPr>
        <w:keepNext/>
        <w:keepLines/>
        <w:spacing w:line="269" w:lineRule="auto"/>
        <w:outlineLvl w:val="2"/>
        <w:rPr>
          <w:rFonts w:eastAsia="Times New Roman"/>
          <w:bCs/>
          <w:szCs w:val="28"/>
          <w:u w:val="single"/>
          <w:rtl/>
        </w:rPr>
      </w:pPr>
      <w:r w:rsidRPr="003B5D33">
        <w:rPr>
          <w:rFonts w:eastAsia="Times New Roman" w:hint="cs"/>
          <w:bCs/>
          <w:szCs w:val="28"/>
          <w:u w:val="single"/>
          <w:rtl/>
        </w:rPr>
        <w:t>מבוא</w:t>
      </w:r>
      <w:bookmarkEnd w:id="2"/>
      <w:r w:rsidRPr="003B5D33">
        <w:rPr>
          <w:rFonts w:eastAsia="Times New Roman" w:hint="cs"/>
          <w:bCs/>
          <w:szCs w:val="28"/>
          <w:u w:val="single"/>
          <w:rtl/>
        </w:rPr>
        <w:t xml:space="preserve"> </w:t>
      </w:r>
    </w:p>
    <w:p w:rsidR="003B5D33" w:rsidRPr="003B5D33" w:rsidP="003B5D33">
      <w:pPr>
        <w:spacing w:line="269" w:lineRule="auto"/>
        <w:outlineLvl w:val="3"/>
        <w:rPr>
          <w:rFonts w:eastAsia="Calibri"/>
          <w:rtl/>
        </w:rPr>
      </w:pPr>
    </w:p>
    <w:p w:rsidR="003B5D33" w:rsidRPr="003B5D33" w:rsidP="003B5D33">
      <w:pPr>
        <w:spacing w:line="269" w:lineRule="auto"/>
        <w:outlineLvl w:val="3"/>
        <w:rPr>
          <w:rFonts w:eastAsia="Calibri"/>
          <w:rtl/>
        </w:rPr>
      </w:pPr>
      <w:r w:rsidRPr="003B5D33">
        <w:rPr>
          <w:rFonts w:eastAsia="Calibri"/>
          <w:rtl/>
        </w:rPr>
        <w:t>משרד החוץ (להלן</w:t>
      </w:r>
      <w:r w:rsidRPr="003B5D33">
        <w:rPr>
          <w:rFonts w:eastAsia="Calibri" w:hint="cs"/>
          <w:rtl/>
        </w:rPr>
        <w:t xml:space="preserve"> גם</w:t>
      </w:r>
      <w:r w:rsidRPr="003B5D33">
        <w:rPr>
          <w:rFonts w:eastAsia="Calibri"/>
          <w:rtl/>
        </w:rPr>
        <w:t xml:space="preserve"> - המשרד) </w:t>
      </w:r>
      <w:r w:rsidRPr="003B5D33">
        <w:rPr>
          <w:rFonts w:eastAsia="Calibri" w:hint="cs"/>
          <w:rtl/>
        </w:rPr>
        <w:t xml:space="preserve">אחראי לגיבוש מדיניות החוץ של ממשלת ישראל, ביצועה והסברתה. </w:t>
      </w:r>
      <w:r w:rsidRPr="003B5D33">
        <w:rPr>
          <w:rFonts w:eastAsia="Calibri"/>
          <w:rtl/>
        </w:rPr>
        <w:t>משרד החוץ מופקד</w:t>
      </w:r>
      <w:r w:rsidRPr="003B5D33">
        <w:rPr>
          <w:rFonts w:eastAsia="Calibri" w:hint="cs"/>
          <w:rtl/>
        </w:rPr>
        <w:t>,</w:t>
      </w:r>
      <w:r w:rsidRPr="003B5D33">
        <w:rPr>
          <w:rFonts w:eastAsia="Calibri"/>
          <w:rtl/>
        </w:rPr>
        <w:t xml:space="preserve"> בין היתר</w:t>
      </w:r>
      <w:r w:rsidRPr="003B5D33">
        <w:rPr>
          <w:rFonts w:eastAsia="Calibri" w:hint="cs"/>
          <w:rtl/>
        </w:rPr>
        <w:t>,</w:t>
      </w:r>
      <w:r w:rsidRPr="003B5D33">
        <w:rPr>
          <w:rFonts w:eastAsia="Calibri"/>
          <w:rtl/>
        </w:rPr>
        <w:t xml:space="preserve"> על ייצוג מדינת ישראל בחו"ל ועל ניהול קשרי ממשלת ישראל עם ממשלות זרות ועם ארגונים בין-לאומיים בארץ ובחו"ל. המשרד פועל</w:t>
      </w:r>
      <w:r w:rsidRPr="003B5D33">
        <w:rPr>
          <w:rFonts w:eastAsia="Calibri" w:hint="cs"/>
          <w:rtl/>
        </w:rPr>
        <w:t xml:space="preserve"> </w:t>
      </w:r>
      <w:r w:rsidRPr="003B5D33">
        <w:rPr>
          <w:rFonts w:eastAsia="Calibri"/>
          <w:rtl/>
        </w:rPr>
        <w:t>לחיזוק מעמדה המדיני של ישראל וקשריה עם המדינות השונות,</w:t>
      </w:r>
      <w:r w:rsidRPr="003B5D33">
        <w:rPr>
          <w:rFonts w:eastAsia="Calibri" w:hint="cs"/>
          <w:rtl/>
        </w:rPr>
        <w:t xml:space="preserve"> והוא אמון על מתן שירותים קונסולריים לאזרחי ישראל השוהים בחו"ל</w:t>
      </w:r>
      <w:r w:rsidRPr="003B5D33">
        <w:rPr>
          <w:rFonts w:eastAsia="Calibri"/>
          <w:rtl/>
        </w:rPr>
        <w:t>.</w:t>
      </w:r>
    </w:p>
    <w:p w:rsidR="003B5D33" w:rsidRPr="003B5D33" w:rsidP="003B5D33">
      <w:pPr>
        <w:spacing w:line="269" w:lineRule="auto"/>
        <w:outlineLvl w:val="3"/>
        <w:rPr>
          <w:rFonts w:eastAsia="Calibri"/>
          <w:rtl/>
        </w:rPr>
      </w:pPr>
    </w:p>
    <w:p w:rsidR="003B5D33" w:rsidRPr="003B5D33" w:rsidP="003B5D33">
      <w:pPr>
        <w:spacing w:line="269" w:lineRule="auto"/>
        <w:outlineLvl w:val="3"/>
        <w:rPr>
          <w:rFonts w:eastAsia="Calibri"/>
        </w:rPr>
      </w:pPr>
      <w:r w:rsidRPr="003B5D33">
        <w:rPr>
          <w:rFonts w:eastAsia="Calibri"/>
          <w:rtl/>
        </w:rPr>
        <w:t xml:space="preserve">פעולות המשרד מתבצעות באמצעות המשרד הראשי בירושלים </w:t>
      </w:r>
      <w:r w:rsidRPr="003B5D33">
        <w:rPr>
          <w:rFonts w:eastAsia="Calibri" w:hint="cs"/>
          <w:rtl/>
        </w:rPr>
        <w:t xml:space="preserve">(להלן - המטה) ובאמצעות </w:t>
      </w:r>
      <w:r w:rsidRPr="003B5D33">
        <w:rPr>
          <w:rFonts w:eastAsia="Calibri"/>
          <w:rtl/>
        </w:rPr>
        <w:t>109</w:t>
      </w:r>
      <w:r w:rsidRPr="003B5D33">
        <w:rPr>
          <w:rFonts w:eastAsia="Calibri" w:hint="cs"/>
          <w:rtl/>
        </w:rPr>
        <w:t xml:space="preserve"> </w:t>
      </w:r>
      <w:r w:rsidRPr="003B5D33">
        <w:rPr>
          <w:rFonts w:eastAsia="Calibri"/>
          <w:rtl/>
        </w:rPr>
        <w:t>הנציגויות הדיפלומטיות והקונסולריות בחו</w:t>
      </w:r>
      <w:r w:rsidRPr="003B5D33">
        <w:rPr>
          <w:rFonts w:eastAsia="Calibri" w:hint="cs"/>
          <w:rtl/>
        </w:rPr>
        <w:t>"</w:t>
      </w:r>
      <w:r w:rsidRPr="003B5D33">
        <w:rPr>
          <w:rFonts w:eastAsia="Calibri"/>
          <w:rtl/>
        </w:rPr>
        <w:t>ל</w:t>
      </w:r>
      <w:r>
        <w:rPr>
          <w:rFonts w:eastAsia="Calibri"/>
          <w:vertAlign w:val="superscript"/>
          <w:rtl/>
        </w:rPr>
        <w:footnoteReference w:id="2"/>
      </w:r>
      <w:r w:rsidRPr="003B5D33">
        <w:rPr>
          <w:rFonts w:eastAsia="Calibri"/>
          <w:rtl/>
        </w:rPr>
        <w:t>. פעילות המטה והנציגויות מוכוונת לקידום התמיכה ביעדים המדיניים וקידום האינטרסים של ישראל.</w:t>
      </w:r>
      <w:r w:rsidRPr="003B5D33">
        <w:rPr>
          <w:rFonts w:eastAsia="Calibri" w:hint="cs"/>
          <w:rtl/>
        </w:rPr>
        <w:t xml:space="preserve"> המטה </w:t>
      </w:r>
      <w:r w:rsidRPr="003B5D33">
        <w:rPr>
          <w:rFonts w:eastAsia="Calibri"/>
          <w:rtl/>
        </w:rPr>
        <w:t>מנחה את הנציגויות בחו</w:t>
      </w:r>
      <w:r w:rsidRPr="003B5D33">
        <w:rPr>
          <w:rFonts w:eastAsia="Calibri" w:hint="cs"/>
          <w:rtl/>
        </w:rPr>
        <w:t>"ל</w:t>
      </w:r>
      <w:r w:rsidRPr="003B5D33">
        <w:rPr>
          <w:rFonts w:eastAsia="Calibri"/>
          <w:rtl/>
        </w:rPr>
        <w:t xml:space="preserve"> במכלול נושאי מדיניות החוץ, מקיים ע</w:t>
      </w:r>
      <w:r w:rsidRPr="003B5D33">
        <w:rPr>
          <w:rFonts w:eastAsia="Calibri" w:hint="cs"/>
          <w:rtl/>
        </w:rPr>
        <w:t>י</w:t>
      </w:r>
      <w:r w:rsidRPr="003B5D33">
        <w:rPr>
          <w:rFonts w:eastAsia="Calibri"/>
          <w:rtl/>
        </w:rPr>
        <w:t>מן קשר שוטף, מקבל את דיווחיהן ומקיים את המגעים ע</w:t>
      </w:r>
      <w:r w:rsidRPr="003B5D33">
        <w:rPr>
          <w:rFonts w:eastAsia="Calibri" w:hint="cs"/>
          <w:rtl/>
        </w:rPr>
        <w:t xml:space="preserve">ם </w:t>
      </w:r>
      <w:r w:rsidRPr="003B5D33">
        <w:rPr>
          <w:rFonts w:eastAsia="Calibri"/>
          <w:rtl/>
        </w:rPr>
        <w:t>הנציגויות הזרות בישראל.</w:t>
      </w:r>
      <w:r w:rsidRPr="003B5D33">
        <w:rPr>
          <w:rFonts w:ascii="Tahoma" w:eastAsia="Calibri" w:hAnsi="Tahoma" w:cs="Tahoma"/>
          <w:color w:val="0D0D0D"/>
          <w:sz w:val="18"/>
          <w:szCs w:val="18"/>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משרד החוץ מעסיק</w:t>
      </w:r>
      <w:r w:rsidRPr="003B5D33">
        <w:rPr>
          <w:rFonts w:eastAsia="Calibri" w:hint="cs"/>
          <w:rtl/>
        </w:rPr>
        <w:t xml:space="preserve"> אלפי </w:t>
      </w:r>
      <w:r w:rsidRPr="003B5D33">
        <w:rPr>
          <w:rFonts w:eastAsia="Calibri"/>
          <w:rtl/>
        </w:rPr>
        <w:t>עובדים במגוון צורות העסקה במטה ובנציגויות: עובדים קבועים וזמניים במטה, עובדים ישראלים קבועים הנשלחים לנציגויות לאיוש תפקידי ליבה ותפקידי הניהול הבכירים (להלן - שליחים)</w:t>
      </w:r>
      <w:r w:rsidRPr="003B5D33">
        <w:rPr>
          <w:rFonts w:eastAsia="Calibri" w:hint="cs"/>
          <w:rtl/>
        </w:rPr>
        <w:t>,</w:t>
      </w:r>
      <w:r w:rsidRPr="003B5D33">
        <w:rPr>
          <w:rFonts w:eastAsia="Calibri"/>
          <w:rtl/>
        </w:rPr>
        <w:t xml:space="preserve"> וכן אזרחים ישראלים המועסקים בעבודת הנציגויות.</w:t>
      </w:r>
      <w:r w:rsidRPr="003B5D33">
        <w:rPr>
          <w:rFonts w:eastAsia="Calibri" w:hint="cs"/>
          <w:rtl/>
        </w:rPr>
        <w:t xml:space="preserve"> </w:t>
      </w:r>
      <w:r w:rsidRPr="003B5D33">
        <w:rPr>
          <w:rFonts w:eastAsia="Calibri"/>
          <w:rtl/>
        </w:rPr>
        <w:t>(להלן - אית"ן</w:t>
      </w:r>
      <w:r>
        <w:rPr>
          <w:rFonts w:eastAsia="Calibri"/>
          <w:vertAlign w:val="superscript"/>
          <w:rtl/>
        </w:rPr>
        <w:footnoteReference w:id="3"/>
      </w:r>
      <w:r w:rsidRPr="003B5D33">
        <w:rPr>
          <w:rFonts w:eastAsia="Calibri"/>
          <w:rtl/>
        </w:rPr>
        <w:t>)</w:t>
      </w:r>
      <w:r w:rsidRPr="003B5D33">
        <w:rPr>
          <w:rFonts w:eastAsia="Calibri" w:hint="cs"/>
          <w:rtl/>
        </w:rPr>
        <w:t xml:space="preserve">. כמו כן בנציגויות פועלים עובדים </w:t>
      </w:r>
      <w:r w:rsidRPr="003B5D33">
        <w:rPr>
          <w:rFonts w:eastAsia="Calibri"/>
          <w:rtl/>
        </w:rPr>
        <w:t>מקומיים זרים הנושאים אזרחות זרה (להלן</w:t>
      </w:r>
      <w:r w:rsidRPr="003B5D33">
        <w:rPr>
          <w:rFonts w:eastAsia="Calibri" w:hint="cs"/>
          <w:rtl/>
        </w:rPr>
        <w:t xml:space="preserve"> </w:t>
      </w:r>
      <w:r w:rsidRPr="003B5D33">
        <w:rPr>
          <w:rFonts w:eastAsia="Calibri"/>
          <w:rtl/>
        </w:rPr>
        <w:t>- עמ"ז).</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המערכות הממוחשבות במשרד החוץ </w:t>
      </w:r>
      <w:r w:rsidRPr="003B5D33">
        <w:rPr>
          <w:rFonts w:eastAsia="Calibri" w:hint="cs"/>
          <w:rtl/>
        </w:rPr>
        <w:t xml:space="preserve">מהוות את </w:t>
      </w:r>
      <w:r w:rsidRPr="003B5D33">
        <w:rPr>
          <w:rFonts w:eastAsia="Calibri"/>
          <w:rtl/>
        </w:rPr>
        <w:t>התשתית התפעולית של משרד החוץ</w:t>
      </w:r>
      <w:r w:rsidRPr="003B5D33">
        <w:rPr>
          <w:rFonts w:eastAsia="Calibri" w:hint="cs"/>
          <w:rtl/>
        </w:rPr>
        <w:t>,</w:t>
      </w:r>
      <w:r w:rsidRPr="003B5D33">
        <w:rPr>
          <w:rFonts w:eastAsia="Calibri"/>
          <w:rtl/>
        </w:rPr>
        <w:t xml:space="preserve"> והן חיוניות לפעולתו</w:t>
      </w:r>
      <w:r w:rsidRPr="003B5D33">
        <w:rPr>
          <w:rFonts w:eastAsia="Calibri" w:hint="cs"/>
          <w:rtl/>
        </w:rPr>
        <w:t xml:space="preserve"> </w:t>
      </w:r>
      <w:r w:rsidRPr="003B5D33">
        <w:rPr>
          <w:rFonts w:eastAsia="Calibri"/>
          <w:rtl/>
        </w:rPr>
        <w:t>התקינה של המשרד.</w:t>
      </w:r>
      <w:r w:rsidRPr="003B5D33">
        <w:rPr>
          <w:rFonts w:eastAsia="Calibri" w:hint="cs"/>
          <w:rtl/>
        </w:rPr>
        <w:t xml:space="preserve"> </w:t>
      </w:r>
      <w:r w:rsidRPr="003B5D33">
        <w:rPr>
          <w:rFonts w:eastAsia="Calibri"/>
          <w:rtl/>
        </w:rPr>
        <w:t xml:space="preserve">גורמי המקצוע במשרד </w:t>
      </w:r>
      <w:r w:rsidRPr="003B5D33">
        <w:rPr>
          <w:rFonts w:eastAsia="Calibri" w:hint="cs"/>
          <w:rtl/>
        </w:rPr>
        <w:t xml:space="preserve">החוץ </w:t>
      </w:r>
      <w:r w:rsidRPr="003B5D33">
        <w:rPr>
          <w:rFonts w:eastAsia="Calibri"/>
          <w:rtl/>
        </w:rPr>
        <w:t>האמונים על</w:t>
      </w:r>
      <w:r w:rsidRPr="003B5D33">
        <w:rPr>
          <w:rFonts w:eastAsia="Calibri" w:hint="cs"/>
          <w:rtl/>
        </w:rPr>
        <w:t xml:space="preserve"> מערכות המידע והטכנולוגיה ועל</w:t>
      </w:r>
      <w:r w:rsidRPr="003B5D33">
        <w:rPr>
          <w:rFonts w:eastAsia="Calibri"/>
          <w:rtl/>
        </w:rPr>
        <w:t xml:space="preserve"> הגנת המידע במשרד הם אגף </w:t>
      </w:r>
      <w:r w:rsidRPr="003B5D33">
        <w:rPr>
          <w:rFonts w:eastAsia="Calibri" w:hint="cs"/>
          <w:rtl/>
        </w:rPr>
        <w:t xml:space="preserve">התקשוב </w:t>
      </w:r>
      <w:bookmarkStart w:id="3" w:name="_Hlk190329625"/>
      <w:r w:rsidRPr="003B5D33">
        <w:rPr>
          <w:rFonts w:eastAsia="Calibri" w:hint="cs"/>
          <w:rtl/>
        </w:rPr>
        <w:t>וחטיבת ה</w:t>
      </w:r>
      <w:r w:rsidRPr="003B5D33">
        <w:rPr>
          <w:rFonts w:eastAsia="Calibri"/>
          <w:rtl/>
        </w:rPr>
        <w:t>ביטחון במשרד</w:t>
      </w:r>
      <w:bookmarkEnd w:id="3"/>
      <w:r w:rsidRPr="003B5D33">
        <w:rPr>
          <w:rFonts w:eastAsia="Calibri" w:hint="cs"/>
          <w:rtl/>
        </w:rPr>
        <w:t xml:space="preserve"> (להלן - בטמ"ח). </w:t>
      </w:r>
      <w:r w:rsidRPr="003B5D33">
        <w:rPr>
          <w:rFonts w:eastAsia="Calibri"/>
          <w:rtl/>
        </w:rPr>
        <w:t xml:space="preserve">אגף התקשוב </w:t>
      </w:r>
      <w:r w:rsidRPr="003B5D33">
        <w:rPr>
          <w:rFonts w:eastAsia="Calibri" w:hint="cs"/>
          <w:rtl/>
        </w:rPr>
        <w:t>הוא</w:t>
      </w:r>
      <w:r w:rsidRPr="003B5D33">
        <w:rPr>
          <w:rFonts w:eastAsia="Calibri"/>
          <w:rtl/>
        </w:rPr>
        <w:t xml:space="preserve"> הזרוע הטכנולוגית של המשרד</w:t>
      </w:r>
      <w:r w:rsidRPr="003B5D33">
        <w:rPr>
          <w:rFonts w:eastAsia="Calibri" w:hint="cs"/>
          <w:rtl/>
        </w:rPr>
        <w:t>, והוא אחראי ל</w:t>
      </w:r>
      <w:r w:rsidRPr="003B5D33">
        <w:rPr>
          <w:rFonts w:eastAsia="Calibri"/>
          <w:rtl/>
        </w:rPr>
        <w:t>פיתוח</w:t>
      </w:r>
      <w:r w:rsidRPr="003B5D33">
        <w:rPr>
          <w:rFonts w:eastAsia="Calibri" w:hint="cs"/>
          <w:rtl/>
        </w:rPr>
        <w:t xml:space="preserve"> </w:t>
      </w:r>
      <w:r w:rsidRPr="003B5D33">
        <w:rPr>
          <w:rFonts w:eastAsia="Calibri"/>
          <w:rtl/>
        </w:rPr>
        <w:t xml:space="preserve">מערכות </w:t>
      </w:r>
      <w:r w:rsidRPr="003B5D33">
        <w:rPr>
          <w:rFonts w:eastAsia="Calibri" w:hint="cs"/>
          <w:rtl/>
        </w:rPr>
        <w:t>ה</w:t>
      </w:r>
      <w:r w:rsidRPr="003B5D33">
        <w:rPr>
          <w:rFonts w:eastAsia="Calibri"/>
          <w:rtl/>
        </w:rPr>
        <w:t>מידע ומתן שירותי תחזוקה, תמיכה, אחסון וטיפול בחומרת מחשוב ותקשורת בכל</w:t>
      </w:r>
      <w:r w:rsidRPr="003B5D33">
        <w:rPr>
          <w:rFonts w:eastAsia="Calibri" w:hint="cs"/>
          <w:rtl/>
        </w:rPr>
        <w:t xml:space="preserve"> </w:t>
      </w:r>
      <w:r w:rsidRPr="003B5D33">
        <w:rPr>
          <w:rFonts w:eastAsia="Calibri"/>
          <w:rtl/>
        </w:rPr>
        <w:t>רשתות המשרד</w:t>
      </w:r>
      <w:r w:rsidRPr="003B5D33">
        <w:rPr>
          <w:rFonts w:eastAsia="Calibri" w:hint="cs"/>
          <w:rtl/>
        </w:rPr>
        <w:t xml:space="preserve"> וכן ליישום הגנת הסייבר במערכות המשרד. האגף מונה מאות עובדים. בטמ"ח אחראי לאבטחת המידע בכלל המשרד, לאבטחה הפיזית במטה, בנציגויות ובבתי השגרירים, למתן הנחיות לעובדי המשרד וקביעת כללי התנהגות בנוגע למידע מסווג ומידע רגיש (בלתי מסווג).</w:t>
      </w:r>
    </w:p>
    <w:p w:rsidR="003B5D33" w:rsidRPr="003B5D33" w:rsidP="003B5D33">
      <w:pPr>
        <w:spacing w:line="269" w:lineRule="auto"/>
        <w:jc w:val="center"/>
        <w:rPr>
          <w:rFonts w:eastAsia="Calibri"/>
          <w:rtl/>
        </w:rPr>
      </w:pPr>
      <w:bookmarkStart w:id="4" w:name="_Hlk198630457"/>
    </w:p>
    <w:p w:rsidR="003B5D33" w:rsidRPr="003B5D33" w:rsidP="003B5D33">
      <w:pPr>
        <w:keepNext/>
        <w:keepLines/>
        <w:spacing w:line="269" w:lineRule="auto"/>
        <w:jc w:val="center"/>
        <w:rPr>
          <w:rFonts w:eastAsia="Calibri"/>
          <w:b/>
          <w:bCs/>
          <w:rtl/>
        </w:rPr>
      </w:pPr>
      <w:r w:rsidRPr="003B5D33">
        <w:rPr>
          <w:rFonts w:eastAsia="Calibri" w:hint="eastAsia"/>
          <w:rtl/>
        </w:rPr>
        <w:t>תרשים</w:t>
      </w:r>
      <w:r w:rsidRPr="003B5D33">
        <w:rPr>
          <w:rFonts w:eastAsia="Calibri"/>
          <w:rtl/>
        </w:rPr>
        <w:t xml:space="preserve"> </w:t>
      </w:r>
      <w:r w:rsidRPr="003B5D33">
        <w:rPr>
          <w:rFonts w:eastAsia="Calibri" w:hint="cs"/>
          <w:rtl/>
        </w:rPr>
        <w:t>1</w:t>
      </w:r>
      <w:r w:rsidRPr="003B5D33">
        <w:rPr>
          <w:rFonts w:eastAsia="Calibri"/>
          <w:rtl/>
        </w:rPr>
        <w:t>:</w:t>
      </w:r>
      <w:r w:rsidRPr="003B5D33">
        <w:rPr>
          <w:rFonts w:eastAsia="Calibri" w:hint="cs"/>
          <w:b/>
          <w:bCs/>
          <w:rtl/>
        </w:rPr>
        <w:t xml:space="preserve"> מבנה ארגוני של מערך התקשוב והגנת המידע במשרד החוץ </w:t>
      </w:r>
    </w:p>
    <w:p w:rsidR="003B5D33" w:rsidRPr="003B5D33" w:rsidP="003B5D33">
      <w:pPr>
        <w:spacing w:line="269" w:lineRule="auto"/>
        <w:jc w:val="center"/>
        <w:rPr>
          <w:rFonts w:eastAsia="Calibri"/>
          <w:b/>
          <w:bCs/>
          <w:rtl/>
        </w:rPr>
      </w:pPr>
      <w:r w:rsidRPr="003B5D33">
        <w:rPr>
          <w:rFonts w:eastAsia="Calibri"/>
          <w:noProof/>
        </w:rPr>
        <w:drawing>
          <wp:inline distT="0" distB="0" distL="0" distR="0">
            <wp:extent cx="5198325" cy="1713053"/>
            <wp:effectExtent l="0" t="0" r="2540" b="1905"/>
            <wp:docPr id="1" name="תמונה 1" descr="התרשים מציג מבנה ארגוני המחולק לשני אגפים מרכזיים.&#10;תחת אגף הביטחון מופיעות שתי יחידות:&#10;הגנת המידע בחו&quot;ל&#10;הגנת המידע בארץ&#10;&#10;תחת אגף התקשוב מופיעות שמונה יחידות:&#10;מנהל ותקציב&#10;רכש ולוגיסטיקה&#10;פרויקטים רוחביים&#10;חטיבת יישומים&#10;רשתות&#10;חטיבת טכנולוגיות פיתוח ותשתיות&#10;מתודולוגיה&#10;הגנת הסייב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17956" b="17213"/>
                    <a:stretch>
                      <a:fillRect/>
                    </a:stretch>
                  </pic:blipFill>
                  <pic:spPr bwMode="auto">
                    <a:xfrm>
                      <a:off x="0" y="0"/>
                      <a:ext cx="5235511" cy="172530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bookmarkEnd w:id="4"/>
    <w:p w:rsidR="003B5D33" w:rsidRPr="003B5D33" w:rsidP="003B5D33">
      <w:pPr>
        <w:spacing w:line="269" w:lineRule="auto"/>
        <w:rPr>
          <w:rFonts w:eastAsia="Calibri"/>
          <w:sz w:val="16"/>
          <w:szCs w:val="20"/>
          <w:rtl/>
        </w:rPr>
      </w:pPr>
      <w:r w:rsidRPr="003B5D33">
        <w:rPr>
          <w:rFonts w:eastAsia="Calibri" w:hint="eastAsia"/>
          <w:sz w:val="16"/>
          <w:szCs w:val="20"/>
          <w:rtl/>
        </w:rPr>
        <w:t>על</w:t>
      </w:r>
      <w:r w:rsidRPr="003B5D33">
        <w:rPr>
          <w:rFonts w:eastAsia="Calibri"/>
          <w:sz w:val="16"/>
          <w:szCs w:val="20"/>
          <w:rtl/>
        </w:rPr>
        <w:t xml:space="preserve"> פי </w:t>
      </w:r>
      <w:r w:rsidRPr="003B5D33">
        <w:rPr>
          <w:rFonts w:eastAsia="Calibri" w:hint="eastAsia"/>
          <w:sz w:val="16"/>
          <w:szCs w:val="20"/>
          <w:rtl/>
        </w:rPr>
        <w:t>נתוני</w:t>
      </w:r>
      <w:r w:rsidRPr="003B5D33">
        <w:rPr>
          <w:rFonts w:eastAsia="Calibri"/>
          <w:sz w:val="16"/>
          <w:szCs w:val="20"/>
          <w:rtl/>
        </w:rPr>
        <w:t xml:space="preserve"> </w:t>
      </w:r>
      <w:r w:rsidRPr="003B5D33">
        <w:rPr>
          <w:rFonts w:eastAsia="Calibri" w:hint="eastAsia"/>
          <w:sz w:val="16"/>
          <w:szCs w:val="20"/>
          <w:rtl/>
        </w:rPr>
        <w:t>משרד</w:t>
      </w:r>
      <w:r w:rsidRPr="003B5D33">
        <w:rPr>
          <w:rFonts w:eastAsia="Calibri"/>
          <w:sz w:val="16"/>
          <w:szCs w:val="20"/>
          <w:rtl/>
        </w:rPr>
        <w:t xml:space="preserve"> </w:t>
      </w:r>
      <w:r w:rsidRPr="003B5D33">
        <w:rPr>
          <w:rFonts w:eastAsia="Calibri" w:hint="eastAsia"/>
          <w:sz w:val="16"/>
          <w:szCs w:val="20"/>
          <w:rtl/>
        </w:rPr>
        <w:t>החוץ</w:t>
      </w:r>
      <w:r w:rsidRPr="003B5D33">
        <w:rPr>
          <w:rFonts w:eastAsia="Calibri"/>
          <w:sz w:val="16"/>
          <w:szCs w:val="20"/>
          <w:rtl/>
        </w:rPr>
        <w:t>, בעיבוד משרד מבקר המדינה.</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נדרש להתמודד עם אתגר מובנה וייחודי, שנגזר מהצורך לנהל מידע מדיני ודיפלומטי רגיש בין המטה לנציגויות</w:t>
      </w:r>
      <w:r w:rsidRPr="003B5D33">
        <w:rPr>
          <w:rFonts w:eastAsia="Calibri"/>
          <w:rtl/>
        </w:rPr>
        <w:t>: המידע המנוהל במערכות ה</w:t>
      </w:r>
      <w:r w:rsidRPr="003B5D33">
        <w:rPr>
          <w:rFonts w:eastAsia="Calibri" w:hint="cs"/>
          <w:rtl/>
        </w:rPr>
        <w:t>וא</w:t>
      </w:r>
      <w:r w:rsidRPr="003B5D33">
        <w:rPr>
          <w:rFonts w:eastAsia="Calibri"/>
          <w:rtl/>
        </w:rPr>
        <w:t xml:space="preserve"> מידע </w:t>
      </w:r>
      <w:r w:rsidRPr="003B5D33">
        <w:rPr>
          <w:rFonts w:eastAsia="Calibri" w:hint="cs"/>
          <w:rtl/>
        </w:rPr>
        <w:t xml:space="preserve">מגוון וכולל בין היתר מידע </w:t>
      </w:r>
      <w:r w:rsidRPr="003B5D33">
        <w:rPr>
          <w:rFonts w:eastAsia="Calibri"/>
          <w:rtl/>
        </w:rPr>
        <w:t>רגיש</w:t>
      </w:r>
      <w:r w:rsidRPr="003B5D33">
        <w:rPr>
          <w:rFonts w:eastAsia="Calibri" w:hint="cs"/>
          <w:rtl/>
        </w:rPr>
        <w:t xml:space="preserve"> </w:t>
      </w:r>
      <w:r w:rsidRPr="003B5D33">
        <w:rPr>
          <w:rFonts w:eastAsia="Calibri"/>
          <w:rtl/>
        </w:rPr>
        <w:t>מ</w:t>
      </w:r>
      <w:r w:rsidRPr="003B5D33">
        <w:rPr>
          <w:rFonts w:eastAsia="Calibri" w:hint="cs"/>
          <w:rtl/>
        </w:rPr>
        <w:t>ה</w:t>
      </w:r>
      <w:r w:rsidRPr="003B5D33">
        <w:rPr>
          <w:rFonts w:eastAsia="Calibri"/>
          <w:rtl/>
        </w:rPr>
        <w:t xml:space="preserve">בחינה </w:t>
      </w:r>
      <w:r w:rsidRPr="003B5D33">
        <w:rPr>
          <w:rFonts w:eastAsia="Calibri" w:hint="cs"/>
          <w:rtl/>
        </w:rPr>
        <w:t>ה</w:t>
      </w:r>
      <w:r w:rsidRPr="003B5D33">
        <w:rPr>
          <w:rFonts w:eastAsia="Calibri"/>
          <w:rtl/>
        </w:rPr>
        <w:t xml:space="preserve">דיפלומטית </w:t>
      </w:r>
      <w:r w:rsidRPr="003B5D33">
        <w:rPr>
          <w:rFonts w:eastAsia="Calibri" w:hint="cs"/>
          <w:rtl/>
        </w:rPr>
        <w:t>וה</w:t>
      </w:r>
      <w:r w:rsidRPr="003B5D33">
        <w:rPr>
          <w:rFonts w:eastAsia="Calibri"/>
          <w:rtl/>
        </w:rPr>
        <w:t xml:space="preserve">מדינית וכן מידע פרטי; </w:t>
      </w:r>
      <w:r w:rsidRPr="003B5D33">
        <w:rPr>
          <w:rFonts w:eastAsia="Calibri" w:hint="cs"/>
          <w:rtl/>
        </w:rPr>
        <w:t xml:space="preserve">מערכות התקשוב כוללות </w:t>
      </w:r>
      <w:r w:rsidRPr="003B5D33">
        <w:rPr>
          <w:rFonts w:eastAsia="Calibri"/>
          <w:rtl/>
        </w:rPr>
        <w:t xml:space="preserve">רשתות </w:t>
      </w:r>
      <w:r w:rsidRPr="003B5D33">
        <w:rPr>
          <w:rFonts w:eastAsia="Calibri" w:hint="cs"/>
          <w:rtl/>
        </w:rPr>
        <w:t>תקשורת ומערכות מידע</w:t>
      </w:r>
      <w:r w:rsidRPr="003B5D33">
        <w:rPr>
          <w:rFonts w:eastAsia="Calibri"/>
          <w:rtl/>
        </w:rPr>
        <w:t>; פריסה גיאוגרפית נרחבת במטה וב</w:t>
      </w:r>
      <w:r w:rsidRPr="003B5D33">
        <w:rPr>
          <w:rFonts w:eastAsia="Calibri" w:hint="cs"/>
          <w:rtl/>
        </w:rPr>
        <w:t>-</w:t>
      </w:r>
      <w:r w:rsidRPr="003B5D33">
        <w:rPr>
          <w:rFonts w:eastAsia="Calibri"/>
          <w:rtl/>
        </w:rPr>
        <w:t>109</w:t>
      </w:r>
      <w:r w:rsidRPr="003B5D33">
        <w:rPr>
          <w:rFonts w:eastAsia="Calibri" w:hint="cs"/>
          <w:rtl/>
        </w:rPr>
        <w:t xml:space="preserve"> </w:t>
      </w:r>
      <w:r w:rsidRPr="003B5D33">
        <w:rPr>
          <w:rFonts w:eastAsia="Calibri"/>
          <w:rtl/>
        </w:rPr>
        <w:t xml:space="preserve">נציגויות ברחבי העולם; </w:t>
      </w:r>
      <w:r w:rsidRPr="003B5D33">
        <w:rPr>
          <w:rFonts w:eastAsia="Calibri" w:hint="cs"/>
          <w:rtl/>
        </w:rPr>
        <w:t xml:space="preserve">אלפי עמדות עבודה ממוחשבות; אלפי </w:t>
      </w:r>
      <w:r w:rsidRPr="003B5D33">
        <w:rPr>
          <w:rFonts w:eastAsia="Calibri"/>
          <w:rtl/>
        </w:rPr>
        <w:t>משתמשים</w:t>
      </w:r>
      <w:r w:rsidRPr="003B5D33">
        <w:rPr>
          <w:rFonts w:eastAsia="Calibri" w:hint="cs"/>
          <w:rtl/>
        </w:rPr>
        <w:t xml:space="preserve"> במערכות המידע</w:t>
      </w:r>
      <w:r w:rsidRPr="003B5D33">
        <w:rPr>
          <w:rFonts w:eastAsia="Calibri"/>
          <w:rtl/>
        </w:rPr>
        <w:t xml:space="preserve">, </w:t>
      </w:r>
      <w:r w:rsidRPr="003B5D33">
        <w:rPr>
          <w:rFonts w:eastAsia="Calibri" w:hint="eastAsia"/>
          <w:rtl/>
        </w:rPr>
        <w:t>חלקם</w:t>
      </w:r>
      <w:r w:rsidRPr="003B5D33">
        <w:rPr>
          <w:rFonts w:eastAsia="Calibri"/>
          <w:rtl/>
        </w:rPr>
        <w:t xml:space="preserve"> </w:t>
      </w:r>
      <w:r w:rsidRPr="003B5D33">
        <w:rPr>
          <w:rFonts w:eastAsia="Calibri" w:hint="eastAsia"/>
          <w:rtl/>
        </w:rPr>
        <w:t>עמ</w:t>
      </w:r>
      <w:r w:rsidR="002E058E">
        <w:rPr>
          <w:rFonts w:eastAsia="Calibri" w:hint="cs"/>
          <w:rtl/>
        </w:rPr>
        <w:t>"</w:t>
      </w:r>
      <w:r w:rsidRPr="003B5D33">
        <w:rPr>
          <w:rFonts w:eastAsia="Calibri" w:hint="eastAsia"/>
          <w:rtl/>
        </w:rPr>
        <w:t>ז</w:t>
      </w:r>
      <w:r w:rsidRPr="003B5D33">
        <w:rPr>
          <w:rFonts w:eastAsia="Calibri"/>
          <w:rtl/>
        </w:rPr>
        <w:t>ים; צורך במתן שירותי תמיכה בכל העולם לאורך כל שעות היממה; וממשקי עבודה מול גורמי</w:t>
      </w:r>
      <w:r w:rsidRPr="003B5D33">
        <w:rPr>
          <w:rFonts w:eastAsia="Calibri" w:hint="cs"/>
          <w:rtl/>
        </w:rPr>
        <w:t>-</w:t>
      </w:r>
      <w:r w:rsidRPr="003B5D33">
        <w:rPr>
          <w:rFonts w:eastAsia="Calibri"/>
          <w:rtl/>
        </w:rPr>
        <w:t>חוץ רבים בארץ ובעולם. כמו כן, מדובר במשרד שהוא במהותו יעד אסטרטגי להתקפות סייבר</w:t>
      </w:r>
      <w:r w:rsidRPr="003B5D33">
        <w:rPr>
          <w:rFonts w:eastAsia="Calibri" w:hint="cs"/>
          <w:rtl/>
        </w:rPr>
        <w:t xml:space="preserve"> - החל מפצחנים (האקרים) יחידים, דרך ארגוני טרור ופשיעה מקוונת וכלה במדינות עוינות -</w:t>
      </w:r>
      <w:r w:rsidRPr="003B5D33">
        <w:rPr>
          <w:rFonts w:eastAsia="Calibri"/>
          <w:rtl/>
        </w:rPr>
        <w:t xml:space="preserve"> </w:t>
      </w:r>
      <w:r w:rsidRPr="003B5D33">
        <w:rPr>
          <w:rFonts w:eastAsia="Calibri" w:hint="cs"/>
          <w:rtl/>
        </w:rPr>
        <w:t>ו</w:t>
      </w:r>
      <w:r w:rsidRPr="003B5D33">
        <w:rPr>
          <w:rFonts w:eastAsia="Calibri"/>
          <w:rtl/>
        </w:rPr>
        <w:t>הפריסה הגיאוגרפית הרחבה והעסקת הע</w:t>
      </w:r>
      <w:r w:rsidRPr="003B5D33">
        <w:rPr>
          <w:rFonts w:eastAsia="Calibri" w:hint="cs"/>
          <w:rtl/>
        </w:rPr>
        <w:t>מ"זים</w:t>
      </w:r>
      <w:r w:rsidRPr="003B5D33">
        <w:rPr>
          <w:rFonts w:eastAsia="Calibri"/>
          <w:rtl/>
        </w:rPr>
        <w:t xml:space="preserve"> מעצימ</w:t>
      </w:r>
      <w:r w:rsidRPr="003B5D33">
        <w:rPr>
          <w:rFonts w:eastAsia="Calibri" w:hint="cs"/>
          <w:rtl/>
        </w:rPr>
        <w:t>ות</w:t>
      </w:r>
      <w:r w:rsidRPr="003B5D33">
        <w:rPr>
          <w:rFonts w:eastAsia="Calibri"/>
          <w:rtl/>
        </w:rPr>
        <w:t xml:space="preserve"> את מרחב החשיפה.</w:t>
      </w:r>
    </w:p>
    <w:p w:rsidR="003B5D33" w:rsidRPr="003B5D33" w:rsidP="003B5D33">
      <w:pPr>
        <w:spacing w:line="269" w:lineRule="auto"/>
        <w:jc w:val="center"/>
        <w:rPr>
          <w:rFonts w:eastAsia="Calibri"/>
          <w:rtl/>
        </w:rPr>
      </w:pPr>
    </w:p>
    <w:p w:rsidR="003B5D33" w:rsidRPr="003B5D33" w:rsidP="003B5D33">
      <w:pPr>
        <w:spacing w:line="269" w:lineRule="auto"/>
        <w:jc w:val="center"/>
        <w:rPr>
          <w:rFonts w:eastAsia="Calibri"/>
          <w:b/>
          <w:bCs/>
          <w:rtl/>
        </w:rPr>
      </w:pPr>
      <w:r w:rsidRPr="003B5D33">
        <w:rPr>
          <w:rFonts w:eastAsia="Calibri" w:hint="eastAsia"/>
          <w:rtl/>
        </w:rPr>
        <w:t>תרשים</w:t>
      </w:r>
      <w:r w:rsidRPr="003B5D33">
        <w:rPr>
          <w:rFonts w:eastAsia="Calibri"/>
          <w:rtl/>
        </w:rPr>
        <w:t xml:space="preserve"> </w:t>
      </w:r>
      <w:r w:rsidRPr="003B5D33">
        <w:rPr>
          <w:rFonts w:eastAsia="Calibri" w:hint="cs"/>
          <w:rtl/>
        </w:rPr>
        <w:t>2</w:t>
      </w:r>
      <w:r w:rsidRPr="003B5D33">
        <w:rPr>
          <w:rFonts w:eastAsia="Calibri"/>
          <w:rtl/>
        </w:rPr>
        <w:t>:</w:t>
      </w:r>
      <w:r w:rsidRPr="003B5D33">
        <w:rPr>
          <w:rFonts w:eastAsia="Calibri" w:hint="cs"/>
          <w:b/>
          <w:bCs/>
          <w:rtl/>
        </w:rPr>
        <w:t xml:space="preserve"> מערך התקשוב במשרד החוץ - מאפיינים ייחודיים </w:t>
      </w:r>
    </w:p>
    <w:p w:rsidR="003B5D33" w:rsidRPr="003B5D33" w:rsidP="003B5D33">
      <w:pPr>
        <w:spacing w:line="269" w:lineRule="auto"/>
        <w:ind w:left="-567" w:firstLine="567"/>
        <w:rPr>
          <w:rFonts w:eastAsia="Calibri"/>
          <w:szCs w:val="20"/>
          <w:rtl/>
        </w:rPr>
      </w:pPr>
      <w:r w:rsidRPr="003B5D33">
        <w:rPr>
          <w:rFonts w:eastAsia="Calibri"/>
          <w:noProof/>
        </w:rPr>
        <w:drawing>
          <wp:inline distT="0" distB="0" distL="0" distR="0">
            <wp:extent cx="5032321" cy="3119377"/>
            <wp:effectExtent l="0" t="0" r="0" b="5080"/>
            <wp:docPr id="2" name="תמונה 2" descr="התרשים מתאר את מערך התקשוב במשרד החוץ כמרכז המקשר בין משתמשים, עובדים, מערכות מידע ותשתיות בארץ ובעולם.&#10;&#10;במרכז התרשים מופיע &quot;מרכז מערך התקשוב במשרד החוץ&quot;. סביבו מוצגים גורמים ושירותים שונים המחוברים אליו באמצעות חצים, המייצגים זרימת מידע וקשרי עבודה.&#10;&#10;הגורמים המוצגים בתרשים הם: אלפי עובדים זרים; אלפי עובדים בנציגויות; אלפי עמדות עבודה בכ-190 נציגויות; רשת מחשוב בארץ ובחו&quot;ל; ממשקים לגופים חיצוניים; אלפי משתמשים; עבודה שוטפת עם גורמים זרים; מידע אישי-פרטי; מידע ביטחוני רגיש; מידע רגיש - דיפלומטי ומדיני; מוקד שירותי תמיכה 24/7; ושירותי אספקה ממוזגת ומוכוו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t="4943" b="3172"/>
                    <a:stretch>
                      <a:fillRect/>
                    </a:stretch>
                  </pic:blipFill>
                  <pic:spPr bwMode="auto">
                    <a:xfrm>
                      <a:off x="0" y="0"/>
                      <a:ext cx="5033010" cy="311980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3B5D33" w:rsidRPr="003B5D33" w:rsidP="003B5D33">
      <w:pPr>
        <w:spacing w:line="269" w:lineRule="auto"/>
        <w:ind w:left="-567" w:firstLine="567"/>
        <w:rPr>
          <w:rFonts w:eastAsia="Calibri"/>
          <w:szCs w:val="20"/>
          <w:rtl/>
        </w:rPr>
      </w:pPr>
      <w:r w:rsidRPr="003B5D33">
        <w:rPr>
          <w:rFonts w:eastAsia="Calibri" w:hint="cs"/>
          <w:szCs w:val="20"/>
          <w:rtl/>
        </w:rPr>
        <w:t>על פי נתוני משרד החוץ, בעיבוד משרד מבקר המדינה.</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תקציב משרד החוץ לשנת 2024 עמד על כ-1.9 מיליארד ש"ח. </w:t>
      </w:r>
      <w:r w:rsidRPr="003B5D33">
        <w:rPr>
          <w:rFonts w:eastAsia="Calibri" w:hint="cs"/>
          <w:rtl/>
        </w:rPr>
        <w:t xml:space="preserve">התקציב שהוקצה לתחום התקשוב בשנת 2024 עמד על 85.3 מיליון ש"ח, ומתוכו התקציב שהוקצה לתחום הסייבר עמד בשנה זו על כ-13 מיליון ש"ח (כ-15% מתקציב התקשוב).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מערך הדיגיטל הלאומי מנחה מתוקף סמכויותיו</w:t>
      </w:r>
      <w:r>
        <w:rPr>
          <w:rFonts w:eastAsia="Calibri"/>
          <w:vertAlign w:val="superscript"/>
          <w:rtl/>
        </w:rPr>
        <w:footnoteReference w:id="4"/>
      </w:r>
      <w:r w:rsidRPr="003B5D33">
        <w:rPr>
          <w:rFonts w:eastAsia="Calibri" w:hint="cs"/>
          <w:rtl/>
        </w:rPr>
        <w:t xml:space="preserve"> את אגף התקשוב במשרד החוץ בכל הנוגע ל</w:t>
      </w:r>
      <w:r w:rsidRPr="003B5D33">
        <w:rPr>
          <w:rFonts w:eastAsia="Calibri"/>
          <w:rtl/>
        </w:rPr>
        <w:t>פעילויות ו</w:t>
      </w:r>
      <w:r w:rsidRPr="003B5D33">
        <w:rPr>
          <w:rFonts w:eastAsia="Calibri" w:hint="cs"/>
          <w:rtl/>
        </w:rPr>
        <w:t>ל</w:t>
      </w:r>
      <w:r w:rsidRPr="003B5D33">
        <w:rPr>
          <w:rFonts w:eastAsia="Calibri"/>
          <w:rtl/>
        </w:rPr>
        <w:t>תהליכי העבודה העיקריים של</w:t>
      </w:r>
      <w:r w:rsidRPr="003B5D33">
        <w:rPr>
          <w:rFonts w:eastAsia="Calibri" w:hint="cs"/>
          <w:rtl/>
        </w:rPr>
        <w:t>ו, ובכלל זה בנוגע ל</w:t>
      </w:r>
      <w:r w:rsidRPr="003B5D33">
        <w:rPr>
          <w:rFonts w:eastAsia="Calibri"/>
          <w:rtl/>
        </w:rPr>
        <w:t>הקמה של ועדות היגוי משרדיות לתחום התקשוב</w:t>
      </w:r>
      <w:r w:rsidRPr="003B5D33">
        <w:rPr>
          <w:rFonts w:eastAsia="Calibri" w:hint="cs"/>
          <w:rtl/>
        </w:rPr>
        <w:t xml:space="preserve"> ואופן פעילותן; </w:t>
      </w:r>
      <w:r w:rsidRPr="003B5D33">
        <w:rPr>
          <w:rFonts w:eastAsia="Calibri"/>
          <w:rtl/>
        </w:rPr>
        <w:t>ניהול פרויקט</w:t>
      </w:r>
      <w:r w:rsidRPr="003B5D33">
        <w:rPr>
          <w:rFonts w:eastAsia="Calibri" w:hint="cs"/>
          <w:rtl/>
        </w:rPr>
        <w:t>ים ופיתוח מערכות מידע;</w:t>
      </w:r>
      <w:r w:rsidRPr="003B5D33">
        <w:rPr>
          <w:rFonts w:eastAsia="Calibri"/>
          <w:rtl/>
        </w:rPr>
        <w:t xml:space="preserve"> ניהול סיכוני</w:t>
      </w:r>
      <w:r w:rsidRPr="003B5D33">
        <w:rPr>
          <w:rFonts w:eastAsia="Calibri" w:hint="cs"/>
          <w:rtl/>
        </w:rPr>
        <w:t xml:space="preserve"> תקשוב;</w:t>
      </w:r>
      <w:r w:rsidRPr="003B5D33">
        <w:rPr>
          <w:rFonts w:eastAsia="Calibri"/>
          <w:rtl/>
        </w:rPr>
        <w:t xml:space="preserve"> מיקור</w:t>
      </w:r>
      <w:r w:rsidRPr="003B5D33">
        <w:rPr>
          <w:rFonts w:eastAsia="Calibri" w:hint="cs"/>
          <w:rtl/>
        </w:rPr>
        <w:t>-</w:t>
      </w:r>
      <w:r w:rsidRPr="003B5D33">
        <w:rPr>
          <w:rFonts w:eastAsia="Calibri"/>
          <w:rtl/>
        </w:rPr>
        <w:t>חוץ</w:t>
      </w:r>
      <w:r w:rsidRPr="003B5D33">
        <w:rPr>
          <w:rFonts w:eastAsia="Calibri" w:hint="cs"/>
          <w:rtl/>
        </w:rPr>
        <w:t>;</w:t>
      </w:r>
      <w:r w:rsidRPr="003B5D33">
        <w:rPr>
          <w:rFonts w:eastAsia="Calibri"/>
          <w:rtl/>
        </w:rPr>
        <w:t xml:space="preserve"> </w:t>
      </w:r>
      <w:r w:rsidRPr="003B5D33">
        <w:rPr>
          <w:rFonts w:eastAsia="Calibri" w:hint="cs"/>
          <w:rtl/>
        </w:rPr>
        <w:t xml:space="preserve">הכנת </w:t>
      </w:r>
      <w:r w:rsidRPr="003B5D33">
        <w:rPr>
          <w:rFonts w:eastAsia="Calibri"/>
          <w:rtl/>
        </w:rPr>
        <w:t>תוכניות עבודה</w:t>
      </w:r>
      <w:r w:rsidRPr="003B5D33">
        <w:rPr>
          <w:rFonts w:eastAsia="Calibri" w:hint="cs"/>
          <w:rtl/>
        </w:rPr>
        <w:t xml:space="preserve">; </w:t>
      </w:r>
      <w:r w:rsidRPr="003B5D33">
        <w:rPr>
          <w:rFonts w:eastAsia="Calibri"/>
          <w:rtl/>
        </w:rPr>
        <w:t>תשתיות, חומרה ותקשורת</w:t>
      </w:r>
      <w:r w:rsidRPr="003B5D33">
        <w:rPr>
          <w:rFonts w:eastAsia="Calibri" w:hint="cs"/>
          <w:rtl/>
        </w:rPr>
        <w:t>; מחשוב ענן; ניהול ושיתוף ידע והנגשת מאגרים.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בכל הנוגע להגנה על המידע </w:t>
      </w:r>
      <w:r w:rsidRPr="003B5D33">
        <w:rPr>
          <w:rFonts w:eastAsia="Calibri" w:hint="cs"/>
          <w:rtl/>
        </w:rPr>
        <w:t xml:space="preserve">ברשת הבלמ"ס, משרד החוץ מונחה </w:t>
      </w:r>
      <w:r w:rsidRPr="003B5D33">
        <w:rPr>
          <w:rFonts w:eastAsia="Calibri"/>
          <w:rtl/>
        </w:rPr>
        <w:t>על ידי יחידת ההגנה בסייבר במערך הדיגיטל</w:t>
      </w:r>
      <w:r w:rsidRPr="003B5D33">
        <w:rPr>
          <w:rFonts w:eastAsia="Calibri" w:hint="cs"/>
          <w:rtl/>
        </w:rPr>
        <w:t xml:space="preserve"> </w:t>
      </w:r>
      <w:r w:rsidRPr="003B5D33">
        <w:rPr>
          <w:rFonts w:eastAsia="Calibri"/>
          <w:rtl/>
        </w:rPr>
        <w:t>הלאומי</w:t>
      </w:r>
      <w:r w:rsidRPr="003B5D33">
        <w:rPr>
          <w:rFonts w:eastAsia="Calibri" w:hint="cs"/>
          <w:rtl/>
        </w:rPr>
        <w:t xml:space="preserve"> (להלן - יה"ב), והוא פועל בהתאם להנחיותיה (להלן - הנחיות יה"ב)</w:t>
      </w:r>
      <w:r>
        <w:rPr>
          <w:rFonts w:eastAsia="Calibri"/>
          <w:vertAlign w:val="superscript"/>
          <w:rtl/>
        </w:rPr>
        <w:footnoteReference w:id="5"/>
      </w:r>
      <w:r w:rsidRPr="003B5D33">
        <w:rPr>
          <w:rFonts w:eastAsia="Calibri" w:hint="cs"/>
          <w:rtl/>
        </w:rPr>
        <w:t>. בעבר, בשנים 2018 - 2023, הונחה המשרד על ידי מערך הסייבר הלאומי (להלן - מס"ל)</w:t>
      </w:r>
      <w:r>
        <w:rPr>
          <w:rFonts w:eastAsia="Calibri"/>
          <w:vertAlign w:val="superscript"/>
          <w:rtl/>
        </w:rPr>
        <w:footnoteReference w:id="6"/>
      </w:r>
      <w:r w:rsidRPr="003B5D33">
        <w:rPr>
          <w:rFonts w:eastAsia="Calibri" w:hint="cs"/>
          <w:rtl/>
        </w:rPr>
        <w:t>; ו</w:t>
      </w:r>
      <w:r w:rsidRPr="003B5D33">
        <w:rPr>
          <w:rFonts w:eastAsia="Calibri"/>
          <w:rtl/>
        </w:rPr>
        <w:t>שירות הביטחון הכללי</w:t>
      </w:r>
      <w:r w:rsidRPr="003B5D33">
        <w:rPr>
          <w:rFonts w:eastAsia="Calibri" w:hint="cs"/>
          <w:rtl/>
        </w:rPr>
        <w:t xml:space="preserve"> (להלן - השב"כ)</w:t>
      </w:r>
      <w:r>
        <w:rPr>
          <w:rFonts w:eastAsia="Calibri"/>
          <w:vertAlign w:val="superscript"/>
          <w:rtl/>
        </w:rPr>
        <w:footnoteReference w:id="7"/>
      </w:r>
      <w:r w:rsidRPr="003B5D33">
        <w:rPr>
          <w:rFonts w:eastAsia="Calibri"/>
          <w:rtl/>
        </w:rPr>
        <w:t xml:space="preserve"> </w:t>
      </w:r>
      <w:r w:rsidRPr="003B5D33">
        <w:rPr>
          <w:rFonts w:eastAsia="Calibri" w:hint="cs"/>
          <w:rtl/>
        </w:rPr>
        <w:t>מנחה אותו בכל הנוגע לרשתות מסוימות במשרד (</w:t>
      </w:r>
      <w:r w:rsidRPr="003B5D33">
        <w:rPr>
          <w:rFonts w:eastAsia="Calibri"/>
          <w:rtl/>
        </w:rPr>
        <w:t>להלן</w:t>
      </w:r>
      <w:r w:rsidRPr="003B5D33">
        <w:rPr>
          <w:rFonts w:eastAsia="Calibri" w:hint="cs"/>
          <w:rtl/>
        </w:rPr>
        <w:t xml:space="preserve"> ביחד</w:t>
      </w:r>
      <w:r w:rsidRPr="003B5D33">
        <w:rPr>
          <w:rFonts w:eastAsia="Calibri"/>
          <w:rtl/>
        </w:rPr>
        <w:t xml:space="preserve"> - </w:t>
      </w:r>
      <w:r w:rsidRPr="003B5D33">
        <w:rPr>
          <w:rFonts w:eastAsia="Calibri" w:hint="cs"/>
          <w:rtl/>
        </w:rPr>
        <w:t>הגורמים המנחים)</w:t>
      </w:r>
      <w:r w:rsidRPr="003B5D33">
        <w:rPr>
          <w:rFonts w:eastAsia="Calibri"/>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פגיעה </w:t>
      </w:r>
      <w:r w:rsidRPr="003B5D33">
        <w:rPr>
          <w:rFonts w:eastAsia="Calibri" w:hint="cs"/>
          <w:rtl/>
        </w:rPr>
        <w:t>במערכות המידע של משרד החוץ</w:t>
      </w:r>
      <w:r w:rsidRPr="003B5D33">
        <w:rPr>
          <w:rFonts w:eastAsia="Calibri"/>
          <w:rtl/>
        </w:rPr>
        <w:t xml:space="preserve"> עלולה לגרום לשיבוש מתן </w:t>
      </w:r>
      <w:r w:rsidRPr="003B5D33">
        <w:rPr>
          <w:rFonts w:eastAsia="Calibri" w:hint="cs"/>
          <w:rtl/>
        </w:rPr>
        <w:t>ה</w:t>
      </w:r>
      <w:r w:rsidRPr="003B5D33">
        <w:rPr>
          <w:rFonts w:eastAsia="Calibri"/>
          <w:rtl/>
        </w:rPr>
        <w:t>שירות ללקוחות</w:t>
      </w:r>
      <w:r w:rsidRPr="003B5D33">
        <w:rPr>
          <w:rFonts w:eastAsia="Calibri" w:hint="cs"/>
          <w:rtl/>
        </w:rPr>
        <w:t xml:space="preserve"> </w:t>
      </w:r>
      <w:r w:rsidRPr="003B5D33">
        <w:rPr>
          <w:rFonts w:eastAsia="Calibri"/>
          <w:rtl/>
        </w:rPr>
        <w:t>המשרד</w:t>
      </w:r>
      <w:r w:rsidRPr="003B5D33">
        <w:rPr>
          <w:rFonts w:eastAsia="Calibri" w:hint="cs"/>
          <w:rtl/>
        </w:rPr>
        <w:t xml:space="preserve"> או אף להפסקתו ולפגיעה בתפקוד המשרד בכללותו</w:t>
      </w:r>
      <w:r w:rsidRPr="003B5D33">
        <w:rPr>
          <w:rFonts w:eastAsia="Calibri"/>
          <w:rtl/>
        </w:rPr>
        <w:t>.</w:t>
      </w:r>
      <w:r w:rsidRPr="003B5D33">
        <w:rPr>
          <w:rFonts w:eastAsia="Calibri" w:hint="cs"/>
          <w:rtl/>
        </w:rPr>
        <w:t xml:space="preserve"> מערכות אלו</w:t>
      </w:r>
      <w:r w:rsidRPr="003B5D33">
        <w:rPr>
          <w:rFonts w:eastAsia="Calibri"/>
          <w:rtl/>
        </w:rPr>
        <w:t xml:space="preserve"> </w:t>
      </w:r>
      <w:r w:rsidRPr="003B5D33">
        <w:rPr>
          <w:rFonts w:eastAsia="Calibri" w:hint="cs"/>
          <w:rtl/>
        </w:rPr>
        <w:t xml:space="preserve">כוללות כאמור </w:t>
      </w:r>
      <w:r w:rsidRPr="003B5D33">
        <w:rPr>
          <w:rFonts w:eastAsia="Calibri"/>
          <w:rtl/>
        </w:rPr>
        <w:t>מידע רב, לרבות מידע רגיש.</w:t>
      </w:r>
      <w:r w:rsidRPr="003B5D33">
        <w:rPr>
          <w:rFonts w:eastAsia="Calibri" w:hint="cs"/>
          <w:rtl/>
        </w:rPr>
        <w:t xml:space="preserve"> </w:t>
      </w:r>
      <w:r w:rsidRPr="003B5D33">
        <w:rPr>
          <w:rFonts w:eastAsia="Calibri"/>
          <w:rtl/>
        </w:rPr>
        <w:t>פגיעה במידע זה</w:t>
      </w:r>
      <w:r w:rsidRPr="003B5D33">
        <w:rPr>
          <w:rFonts w:eastAsia="Calibri" w:hint="cs"/>
          <w:rtl/>
        </w:rPr>
        <w:t xml:space="preserve"> -</w:t>
      </w:r>
      <w:r w:rsidRPr="003B5D33">
        <w:rPr>
          <w:rFonts w:eastAsia="Calibri"/>
          <w:rtl/>
        </w:rPr>
        <w:t xml:space="preserve"> לרבות דליפת המידע, שיבושו או פגיעה בזמינותו</w:t>
      </w:r>
      <w:r w:rsidRPr="003B5D33">
        <w:rPr>
          <w:rFonts w:eastAsia="Calibri" w:hint="cs"/>
          <w:rtl/>
        </w:rPr>
        <w:t xml:space="preserve"> -</w:t>
      </w:r>
      <w:r w:rsidRPr="003B5D33">
        <w:rPr>
          <w:rFonts w:eastAsia="Calibri"/>
          <w:rtl/>
        </w:rPr>
        <w:t xml:space="preserve"> עלולה לגרום לנזק חמור לביטחון מדינת ישראל ויחסי החוץ שלה</w:t>
      </w:r>
      <w:r w:rsidRPr="003B5D33">
        <w:rPr>
          <w:rFonts w:eastAsia="Calibri" w:hint="cs"/>
          <w:rtl/>
        </w:rPr>
        <w:t xml:space="preserve">, </w:t>
      </w:r>
      <w:r w:rsidRPr="003B5D33">
        <w:rPr>
          <w:rFonts w:eastAsia="Calibri"/>
          <w:rtl/>
        </w:rPr>
        <w:t>לפגיעה בתדמית ישראל בעולם</w:t>
      </w:r>
      <w:r w:rsidRPr="003B5D33">
        <w:rPr>
          <w:rFonts w:eastAsia="Calibri" w:hint="cs"/>
          <w:rtl/>
        </w:rPr>
        <w:t>, כמו גם לפגיעה בפרטיות</w:t>
      </w:r>
      <w:r w:rsidRPr="003B5D33">
        <w:rPr>
          <w:rFonts w:eastAsia="Calibri"/>
          <w:rtl/>
        </w:rPr>
        <w:t>.</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הוא יעד</w:t>
      </w:r>
      <w:r w:rsidRPr="003B5D33">
        <w:rPr>
          <w:rFonts w:eastAsia="Calibri"/>
          <w:rtl/>
        </w:rPr>
        <w:t xml:space="preserve"> מרכזי </w:t>
      </w:r>
      <w:r w:rsidRPr="003B5D33">
        <w:rPr>
          <w:rFonts w:eastAsia="Calibri" w:hint="cs"/>
          <w:rtl/>
        </w:rPr>
        <w:t>ל</w:t>
      </w:r>
      <w:r w:rsidRPr="003B5D33">
        <w:rPr>
          <w:rFonts w:eastAsia="Calibri"/>
          <w:rtl/>
        </w:rPr>
        <w:t>תקיפות סייבר של מגוון יריבים</w:t>
      </w:r>
      <w:r w:rsidRPr="003B5D33">
        <w:rPr>
          <w:rFonts w:eastAsia="Calibri" w:hint="cs"/>
          <w:rtl/>
        </w:rPr>
        <w:t xml:space="preserve">, </w:t>
      </w:r>
      <w:r w:rsidRPr="003B5D33">
        <w:rPr>
          <w:rFonts w:eastAsia="Calibri"/>
          <w:rtl/>
        </w:rPr>
        <w:t xml:space="preserve">החל </w:t>
      </w:r>
      <w:r w:rsidRPr="003B5D33">
        <w:rPr>
          <w:rFonts w:eastAsia="Calibri" w:hint="cs"/>
          <w:rtl/>
        </w:rPr>
        <w:t>בפצחנים</w:t>
      </w:r>
      <w:r w:rsidRPr="003B5D33">
        <w:rPr>
          <w:rFonts w:eastAsia="Calibri"/>
          <w:rtl/>
        </w:rPr>
        <w:t xml:space="preserve"> בודדים</w:t>
      </w:r>
      <w:r w:rsidRPr="003B5D33">
        <w:rPr>
          <w:rFonts w:eastAsia="Calibri" w:hint="cs"/>
          <w:rtl/>
        </w:rPr>
        <w:t xml:space="preserve"> וכלה בגורמים מדינתיים</w:t>
      </w:r>
      <w:r w:rsidRPr="003B5D33">
        <w:rPr>
          <w:rFonts w:eastAsia="Calibri"/>
        </w:rPr>
        <w:t>.</w:t>
      </w:r>
      <w:r w:rsidRPr="003B5D33">
        <w:rPr>
          <w:rFonts w:eastAsia="Calibri"/>
          <w:rtl/>
        </w:rPr>
        <w:t xml:space="preserve"> </w:t>
      </w:r>
      <w:r w:rsidRPr="003B5D33">
        <w:rPr>
          <w:rFonts w:eastAsia="Calibri" w:hint="cs"/>
          <w:rtl/>
        </w:rPr>
        <w:t>פעילויות סייבר שזוהו במשך</w:t>
      </w:r>
      <w:r w:rsidRPr="003B5D33">
        <w:rPr>
          <w:rFonts w:eastAsia="Calibri"/>
          <w:rtl/>
        </w:rPr>
        <w:t xml:space="preserve"> השנים יוחס</w:t>
      </w:r>
      <w:r w:rsidRPr="003B5D33">
        <w:rPr>
          <w:rFonts w:eastAsia="Calibri" w:hint="cs"/>
          <w:rtl/>
        </w:rPr>
        <w:t>ו</w:t>
      </w:r>
      <w:r w:rsidRPr="003B5D33">
        <w:rPr>
          <w:rFonts w:eastAsia="Calibri"/>
          <w:rtl/>
        </w:rPr>
        <w:t xml:space="preserve"> לגורמים איראני</w:t>
      </w:r>
      <w:r w:rsidRPr="003B5D33">
        <w:rPr>
          <w:rFonts w:eastAsia="Calibri" w:hint="cs"/>
          <w:rtl/>
        </w:rPr>
        <w:t>י</w:t>
      </w:r>
      <w:r w:rsidRPr="003B5D33">
        <w:rPr>
          <w:rFonts w:eastAsia="Calibri"/>
          <w:rtl/>
        </w:rPr>
        <w:t xml:space="preserve">ם, </w:t>
      </w:r>
      <w:r w:rsidRPr="003B5D33">
        <w:rPr>
          <w:rFonts w:eastAsia="Calibri" w:hint="cs"/>
          <w:rtl/>
        </w:rPr>
        <w:t>לגורמים מ</w:t>
      </w:r>
      <w:r w:rsidRPr="003B5D33">
        <w:rPr>
          <w:rFonts w:eastAsia="Calibri"/>
          <w:rtl/>
        </w:rPr>
        <w:t>ח</w:t>
      </w:r>
      <w:r w:rsidRPr="003B5D33">
        <w:rPr>
          <w:rFonts w:eastAsia="Calibri" w:hint="cs"/>
          <w:rtl/>
        </w:rPr>
        <w:t>י</w:t>
      </w:r>
      <w:r w:rsidRPr="003B5D33">
        <w:rPr>
          <w:rFonts w:eastAsia="Calibri"/>
          <w:rtl/>
        </w:rPr>
        <w:t xml:space="preserve">זבאללה, </w:t>
      </w:r>
      <w:r w:rsidRPr="003B5D33">
        <w:rPr>
          <w:rFonts w:eastAsia="Calibri" w:hint="cs"/>
          <w:rtl/>
        </w:rPr>
        <w:t>מ</w:t>
      </w:r>
      <w:r w:rsidRPr="003B5D33">
        <w:rPr>
          <w:rFonts w:eastAsia="Calibri"/>
          <w:rtl/>
        </w:rPr>
        <w:t>חמאס ואחרים</w:t>
      </w:r>
      <w:r w:rsidRPr="003B5D33">
        <w:rPr>
          <w:rFonts w:eastAsia="Calibri" w:hint="cs"/>
          <w:rtl/>
        </w:rPr>
        <w:t>.</w:t>
      </w:r>
      <w:r w:rsidRPr="003B5D33">
        <w:rPr>
          <w:rFonts w:eastAsia="Calibri"/>
          <w:rtl/>
        </w:rPr>
        <w:t xml:space="preserve"> </w:t>
      </w:r>
    </w:p>
    <w:p w:rsidR="003B5D33" w:rsidRPr="003B5D33" w:rsidP="003B5D33">
      <w:pPr>
        <w:spacing w:line="269" w:lineRule="auto"/>
        <w:rPr>
          <w:rFonts w:eastAsia="Calibri"/>
          <w:rtl/>
        </w:rPr>
      </w:pPr>
    </w:p>
    <w:p w:rsidR="003B5D33" w:rsidRPr="003B5D33" w:rsidP="002E058E">
      <w:pPr>
        <w:spacing w:line="480" w:lineRule="auto"/>
        <w:rPr>
          <w:rFonts w:eastAsia="Calibri"/>
          <w:b/>
          <w:bCs/>
          <w:rtl/>
        </w:rPr>
      </w:pPr>
      <w:r w:rsidRPr="003B5D33">
        <w:rPr>
          <w:rFonts w:eastAsia="Calibri" w:hint="eastAsia"/>
          <w:rtl/>
        </w:rPr>
        <w:t>תרשים</w:t>
      </w:r>
      <w:r w:rsidRPr="003B5D33">
        <w:rPr>
          <w:rFonts w:eastAsia="Calibri"/>
          <w:rtl/>
        </w:rPr>
        <w:t xml:space="preserve"> </w:t>
      </w:r>
      <w:r w:rsidRPr="003B5D33">
        <w:rPr>
          <w:rFonts w:eastAsia="Calibri" w:hint="cs"/>
          <w:rtl/>
        </w:rPr>
        <w:t>3</w:t>
      </w:r>
      <w:r w:rsidRPr="003B5D33">
        <w:rPr>
          <w:rFonts w:eastAsia="Calibri"/>
          <w:rtl/>
        </w:rPr>
        <w:t>:</w:t>
      </w:r>
      <w:r w:rsidRPr="003B5D33">
        <w:rPr>
          <w:rFonts w:eastAsia="Calibri" w:hint="cs"/>
          <w:b/>
          <w:bCs/>
          <w:rtl/>
        </w:rPr>
        <w:t xml:space="preserve"> נזקים פוטנציאליים של </w:t>
      </w:r>
      <w:r w:rsidRPr="003B5D33">
        <w:rPr>
          <w:rFonts w:eastAsia="Calibri"/>
          <w:b/>
          <w:bCs/>
          <w:rtl/>
        </w:rPr>
        <w:t xml:space="preserve">התממשות סיכונים בתחום </w:t>
      </w:r>
      <w:r w:rsidRPr="003B5D33">
        <w:rPr>
          <w:rFonts w:eastAsia="Calibri" w:hint="cs"/>
          <w:b/>
          <w:bCs/>
          <w:rtl/>
        </w:rPr>
        <w:t>אבטחת המידע במשרד החוץ</w:t>
      </w:r>
    </w:p>
    <w:p w:rsidR="003B5D33" w:rsidRPr="003B5D33" w:rsidP="003B5D33">
      <w:pPr>
        <w:spacing w:line="269" w:lineRule="auto"/>
        <w:jc w:val="center"/>
        <w:rPr>
          <w:rFonts w:eastAsia="Calibri"/>
          <w:rtl/>
        </w:rPr>
      </w:pPr>
      <w:r w:rsidRPr="003B5D33">
        <w:rPr>
          <w:rFonts w:eastAsia="Calibri"/>
          <w:noProof/>
        </w:rPr>
        <w:drawing>
          <wp:inline distT="0" distB="0" distL="0" distR="0">
            <wp:extent cx="3673922" cy="2981534"/>
            <wp:effectExtent l="0" t="0" r="3175" b="0"/>
            <wp:docPr id="3" name="תמונה 3" descr="פגיעה בביטחון המדינה; פגיעה בנציגויות ישראל בעולם; פגיעה בכוח אדם; פגיעה בפרטיות; פגיעה ביחסי חוץ; ושיבוש או הפסקת מתן שירות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01984" cy="3004308"/>
                    </a:xfrm>
                    <a:prstGeom prst="rect">
                      <a:avLst/>
                    </a:prstGeom>
                    <a:noFill/>
                    <a:ln>
                      <a:noFill/>
                    </a:ln>
                  </pic:spPr>
                </pic:pic>
              </a:graphicData>
            </a:graphic>
          </wp:inline>
        </w:drawing>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יצוין כי בשנת 2024 היו ניסיונות דיוג (</w:t>
      </w:r>
      <w:r w:rsidRPr="003B5D33">
        <w:rPr>
          <w:rFonts w:eastAsia="Calibri"/>
          <w:sz w:val="24"/>
          <w:szCs w:val="32"/>
        </w:rPr>
        <w:t>phishing</w:t>
      </w:r>
      <w:r w:rsidRPr="003B5D33">
        <w:rPr>
          <w:rFonts w:eastAsia="Calibri" w:hint="cs"/>
          <w:rtl/>
        </w:rPr>
        <w:t>) כנגד עובדי המשרד; ובשנת 2023 היו תקיפות באמצעות דוא"ל חריג וכן מקרים של חשד לפריצה לדוא"ל או למחשב או לטלפון נייד של עובדי המשרד. במהלך מלחמת "חרבות ברזל"</w:t>
      </w:r>
      <w:r w:rsidRPr="003B5D33">
        <w:rPr>
          <w:rFonts w:eastAsia="Calibri"/>
          <w:rtl/>
        </w:rPr>
        <w:t xml:space="preserve"> </w:t>
      </w:r>
      <w:r w:rsidRPr="003B5D33">
        <w:rPr>
          <w:rFonts w:eastAsia="Calibri" w:hint="cs"/>
          <w:rtl/>
        </w:rPr>
        <w:t>אירעו</w:t>
      </w:r>
      <w:r w:rsidRPr="003B5D33">
        <w:rPr>
          <w:rFonts w:eastAsia="Calibri"/>
          <w:rtl/>
        </w:rPr>
        <w:t xml:space="preserve"> תקיפות רבות במרחב הסייבר כנגד </w:t>
      </w:r>
      <w:r w:rsidRPr="003B5D33">
        <w:rPr>
          <w:rFonts w:eastAsia="Calibri" w:hint="cs"/>
          <w:rtl/>
        </w:rPr>
        <w:t xml:space="preserve">המשרד ובכלל זה </w:t>
      </w:r>
      <w:r w:rsidRPr="003B5D33">
        <w:rPr>
          <w:rFonts w:eastAsia="Calibri"/>
          <w:rtl/>
        </w:rPr>
        <w:t>אתרים של המשרד, מערכות טכנולוגיות ועוד,</w:t>
      </w:r>
      <w:r w:rsidRPr="003B5D33">
        <w:rPr>
          <w:rFonts w:eastAsia="Calibri" w:hint="cs"/>
          <w:rtl/>
        </w:rPr>
        <w:t xml:space="preserve"> זאת בין היתר כדי להגיע</w:t>
      </w:r>
      <w:r w:rsidRPr="003B5D33">
        <w:rPr>
          <w:rFonts w:eastAsia="Calibri"/>
          <w:rtl/>
        </w:rPr>
        <w:t xml:space="preserve"> באמצעות</w:t>
      </w:r>
      <w:r w:rsidRPr="003B5D33">
        <w:rPr>
          <w:rFonts w:eastAsia="Calibri" w:hint="cs"/>
          <w:rtl/>
        </w:rPr>
        <w:t xml:space="preserve"> מרחב הסייבר לידי תקיפה של עובדי המשרד</w:t>
      </w:r>
      <w:r w:rsidRPr="003B5D33">
        <w:rPr>
          <w:rFonts w:eastAsia="Calibri"/>
          <w:rtl/>
        </w:rPr>
        <w:t xml:space="preserve">. </w:t>
      </w:r>
      <w:r w:rsidRPr="003B5D33">
        <w:rPr>
          <w:rFonts w:eastAsia="Calibri" w:hint="cs"/>
          <w:rtl/>
        </w:rPr>
        <w:t xml:space="preserve">כמו כן, </w:t>
      </w:r>
      <w:r w:rsidRPr="003B5D33">
        <w:rPr>
          <w:rFonts w:eastAsia="Calibri"/>
          <w:rtl/>
        </w:rPr>
        <w:t>במהלך מלחמת "חרבות ברזל" חל גידול של כ-500% באירועי הגנת מידע בנציגויות ישראל בחו"ל</w:t>
      </w:r>
      <w:r w:rsidRPr="003B5D33">
        <w:rPr>
          <w:rFonts w:eastAsia="Calibri" w:hint="cs"/>
          <w:rtl/>
        </w:rPr>
        <w:t xml:space="preserve"> ואירעו מאות</w:t>
      </w:r>
      <w:r w:rsidRPr="003B5D33">
        <w:rPr>
          <w:rFonts w:eastAsia="Calibri"/>
          <w:rtl/>
        </w:rPr>
        <w:t xml:space="preserve"> אירועים בשנת 2023.</w:t>
      </w:r>
    </w:p>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5" w:name="_Toc218592788"/>
      <w:r w:rsidRPr="003B5D33">
        <w:rPr>
          <w:rFonts w:eastAsia="Times New Roman" w:hint="cs"/>
          <w:bCs/>
          <w:szCs w:val="28"/>
          <w:u w:val="single"/>
          <w:rtl/>
        </w:rPr>
        <w:t>פעולות הביקורת</w:t>
      </w:r>
      <w:bookmarkEnd w:id="5"/>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בחודשים מרץ 2024 עד אפריל 2025, במהלך מלחמת "חרבות ברזל" ביצע משרד מבקר המדינה ביקורת על מערכות המידע ואבטחת המידע במשרד החוץ. הביקורת בחנה נדבכים הנוגעים לניהול ופיתוח של מערכות המידע במשרד: </w:t>
      </w:r>
      <w:r w:rsidRPr="003B5D33">
        <w:rPr>
          <w:rFonts w:eastAsia="Calibri"/>
          <w:rtl/>
        </w:rPr>
        <w:t xml:space="preserve">ממשל טכנולוגיות </w:t>
      </w:r>
      <w:r w:rsidRPr="003B5D33">
        <w:rPr>
          <w:rFonts w:eastAsia="Calibri" w:hint="cs"/>
          <w:rtl/>
        </w:rPr>
        <w:t>ה</w:t>
      </w:r>
      <w:r w:rsidRPr="003B5D33">
        <w:rPr>
          <w:rFonts w:eastAsia="Calibri"/>
          <w:rtl/>
        </w:rPr>
        <w:t>מידע</w:t>
      </w:r>
      <w:r w:rsidRPr="003B5D33">
        <w:rPr>
          <w:rFonts w:eastAsia="Calibri" w:hint="cs"/>
          <w:rtl/>
        </w:rPr>
        <w:t xml:space="preserve">; </w:t>
      </w:r>
      <w:r w:rsidRPr="003B5D33">
        <w:rPr>
          <w:rFonts w:eastAsia="Calibri"/>
          <w:rtl/>
        </w:rPr>
        <w:t>ניהול פרויקטים ופיתוח מערכות מידע</w:t>
      </w:r>
      <w:r w:rsidRPr="003B5D33">
        <w:rPr>
          <w:rFonts w:eastAsia="Calibri" w:hint="cs"/>
          <w:rtl/>
        </w:rPr>
        <w:t xml:space="preserve">; </w:t>
      </w:r>
      <w:r w:rsidRPr="003B5D33">
        <w:rPr>
          <w:rFonts w:eastAsia="Calibri"/>
          <w:rtl/>
        </w:rPr>
        <w:t>ת</w:t>
      </w:r>
      <w:r w:rsidRPr="003B5D33">
        <w:rPr>
          <w:rFonts w:eastAsia="Calibri" w:hint="cs"/>
          <w:rtl/>
        </w:rPr>
        <w:t>ו</w:t>
      </w:r>
      <w:r w:rsidRPr="003B5D33">
        <w:rPr>
          <w:rFonts w:eastAsia="Calibri"/>
          <w:rtl/>
        </w:rPr>
        <w:t>כנית התאוששות מאסון</w:t>
      </w:r>
      <w:r w:rsidRPr="003B5D33">
        <w:rPr>
          <w:rFonts w:eastAsia="Calibri" w:hint="cs"/>
          <w:rtl/>
        </w:rPr>
        <w:t xml:space="preserve">. כמו כן נבחנו נדבכים הנוגעים לאבטחת המידע והגנת הסייבר במשרד החוץ: </w:t>
      </w:r>
      <w:r w:rsidRPr="003B5D33">
        <w:rPr>
          <w:rFonts w:eastAsia="Calibri"/>
          <w:rtl/>
        </w:rPr>
        <w:t>ממשל אבטחת מידע</w:t>
      </w:r>
      <w:r w:rsidRPr="003B5D33">
        <w:rPr>
          <w:rFonts w:eastAsia="Calibri" w:hint="cs"/>
          <w:rtl/>
        </w:rPr>
        <w:t>;</w:t>
      </w:r>
      <w:r w:rsidRPr="003B5D33">
        <w:rPr>
          <w:rFonts w:eastAsia="Calibri"/>
          <w:rtl/>
        </w:rPr>
        <w:t xml:space="preserve"> הגנה על המידע ברשתות המחשוב</w:t>
      </w:r>
      <w:r w:rsidRPr="003B5D33">
        <w:rPr>
          <w:rFonts w:eastAsia="Calibri" w:hint="cs"/>
          <w:rtl/>
        </w:rPr>
        <w:t xml:space="preserve">; </w:t>
      </w:r>
      <w:r w:rsidRPr="003B5D33">
        <w:rPr>
          <w:rFonts w:eastAsia="Calibri"/>
          <w:rtl/>
        </w:rPr>
        <w:t>עדכניות תשתיות ומערכות המידע</w:t>
      </w:r>
      <w:r w:rsidRPr="003B5D33">
        <w:rPr>
          <w:rFonts w:eastAsia="Calibri" w:hint="cs"/>
          <w:rtl/>
        </w:rPr>
        <w:t>;</w:t>
      </w:r>
      <w:r w:rsidRPr="003B5D33">
        <w:rPr>
          <w:rFonts w:eastAsia="Calibri"/>
          <w:rtl/>
        </w:rPr>
        <w:t xml:space="preserve"> הגנה על רשת </w:t>
      </w:r>
      <w:r w:rsidRPr="003B5D33">
        <w:rPr>
          <w:rFonts w:eastAsia="Calibri" w:hint="cs"/>
          <w:rtl/>
        </w:rPr>
        <w:t xml:space="preserve">מסוימת במשרד; </w:t>
      </w:r>
      <w:r w:rsidRPr="003B5D33">
        <w:rPr>
          <w:rFonts w:eastAsia="Calibri"/>
          <w:rtl/>
        </w:rPr>
        <w:t>הזדהות משתמשים וניהול הרשאות</w:t>
      </w:r>
      <w:r w:rsidRPr="003B5D33">
        <w:rPr>
          <w:rFonts w:eastAsia="Calibri" w:hint="cs"/>
          <w:rtl/>
        </w:rPr>
        <w:t>;</w:t>
      </w:r>
      <w:r w:rsidRPr="003B5D33">
        <w:rPr>
          <w:rFonts w:eastAsia="Calibri"/>
          <w:rtl/>
        </w:rPr>
        <w:t xml:space="preserve"> הגנה על מאגרי מידע לפי חוק הגנת הפרטיות</w:t>
      </w:r>
      <w:r w:rsidRPr="003B5D33">
        <w:rPr>
          <w:rFonts w:eastAsia="Calibri" w:hint="cs"/>
          <w:rtl/>
        </w:rPr>
        <w:t xml:space="preserve">, התשמ"א-1981 (להלן - חוק הגנת הפרטיות).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כמו כן, במהלך חודש מרץ 2025 בוצע </w:t>
      </w:r>
      <w:r w:rsidRPr="003B5D33">
        <w:rPr>
          <w:rFonts w:eastAsia="Calibri"/>
          <w:rtl/>
        </w:rPr>
        <w:t>מבדק חוסן הכולל</w:t>
      </w:r>
      <w:r w:rsidRPr="003B5D33">
        <w:rPr>
          <w:rFonts w:eastAsia="Calibri" w:hint="cs"/>
          <w:rtl/>
        </w:rPr>
        <w:t xml:space="preserve"> </w:t>
      </w:r>
      <w:r w:rsidRPr="003B5D33">
        <w:rPr>
          <w:rFonts w:eastAsia="Calibri"/>
          <w:rtl/>
        </w:rPr>
        <w:t xml:space="preserve">סקר הערכת פגיעויות ומבדק חדירה </w:t>
      </w:r>
      <w:r w:rsidRPr="003B5D33">
        <w:rPr>
          <w:rFonts w:eastAsia="Calibri" w:hint="cs"/>
          <w:rtl/>
        </w:rPr>
        <w:t>באחת מ</w:t>
      </w:r>
      <w:r w:rsidRPr="003B5D33">
        <w:rPr>
          <w:rFonts w:eastAsia="Calibri"/>
          <w:rtl/>
        </w:rPr>
        <w:t>רשת</w:t>
      </w:r>
      <w:r w:rsidRPr="003B5D33">
        <w:rPr>
          <w:rFonts w:eastAsia="Calibri" w:hint="cs"/>
          <w:rtl/>
        </w:rPr>
        <w:t>ות</w:t>
      </w:r>
      <w:r w:rsidRPr="003B5D33">
        <w:rPr>
          <w:rFonts w:eastAsia="Calibri"/>
          <w:rtl/>
        </w:rPr>
        <w:t xml:space="preserve"> </w:t>
      </w:r>
      <w:r w:rsidRPr="003B5D33">
        <w:rPr>
          <w:rFonts w:eastAsia="Calibri" w:hint="cs"/>
          <w:rtl/>
        </w:rPr>
        <w:t>המשרד.</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הביקורת נערכה בעיקרה במשרד החוץ. בדיקות השלמה נעשו במערך הדיגיטל הלאומי, לרבות ביה"ב הפועלת בו, במס"ל ובשב"כ.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ועדת המשנה של הוועדה לענייני ביקורת המדינה של הכנסת החליטה שלא להניח דוח זה במלואו על שולחן הכנסת אלא לפרסם חלקים ממנו, לשם שמירה על ביטחון המדינה, בהתאם לסעיף 17 לחוק מבקר המדינה, התשי"ח-1958 [נוסח משולב]. </w:t>
      </w:r>
    </w:p>
    <w:p w:rsidR="003B5D33" w:rsidRPr="003B5D33" w:rsidP="003B5D33">
      <w:pPr>
        <w:spacing w:line="269" w:lineRule="auto"/>
        <w:rPr>
          <w:rFonts w:eastAsia="Calibri"/>
          <w:b/>
          <w:bCs/>
        </w:rPr>
      </w:pPr>
    </w:p>
    <w:p w:rsidR="003B5D33" w:rsidRPr="003B5D33" w:rsidP="003B5D33">
      <w:pPr>
        <w:keepNext/>
        <w:keepLines/>
        <w:spacing w:line="269" w:lineRule="auto"/>
        <w:jc w:val="center"/>
        <w:outlineLvl w:val="1"/>
        <w:rPr>
          <w:rFonts w:eastAsia="Times New Roman"/>
          <w:bCs/>
          <w:szCs w:val="32"/>
          <w:rtl/>
        </w:rPr>
      </w:pPr>
      <w:bookmarkStart w:id="6" w:name="_Toc218592789"/>
      <w:r w:rsidRPr="003B5D33">
        <w:rPr>
          <w:rFonts w:eastAsia="Times New Roman" w:hint="cs"/>
          <w:bCs/>
          <w:szCs w:val="32"/>
          <w:rtl/>
        </w:rPr>
        <w:t>ניהול ופיתוח של מערכות המידע במשרד החוץ</w:t>
      </w:r>
      <w:bookmarkEnd w:id="6"/>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המערכות הממוחשבות במשרד החוץ הן כאמור התשתית התפעולית של המשרד, והן חיוניות לפעולתו התקינה של המשרד ולמימוש יעדיו. המשרד פרוס על פני </w:t>
      </w:r>
      <w:r w:rsidRPr="003B5D33">
        <w:rPr>
          <w:rFonts w:eastAsia="Calibri"/>
          <w:rtl/>
        </w:rPr>
        <w:t>109</w:t>
      </w:r>
      <w:r w:rsidRPr="003B5D33">
        <w:rPr>
          <w:rFonts w:eastAsia="Calibri" w:hint="cs"/>
          <w:rtl/>
        </w:rPr>
        <w:t xml:space="preserve"> נציגויות בעולם, ובמטה המשרד ובנציגויות פרוסות רשתות בסיווגים שונים ואליהן מחוברים </w:t>
      </w:r>
      <w:r w:rsidRPr="003B5D33">
        <w:rPr>
          <w:rFonts w:eastAsia="Calibri" w:hint="eastAsia"/>
          <w:rtl/>
        </w:rPr>
        <w:t>אלפי</w:t>
      </w:r>
      <w:r w:rsidRPr="003B5D33">
        <w:rPr>
          <w:rFonts w:eastAsia="Calibri" w:hint="cs"/>
          <w:rtl/>
        </w:rPr>
        <w:t xml:space="preserve"> עמדות עבודה וציוד היקפי.</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בתוכנית העבודה של אגף התקשוב לשנת 2024 הגדיר האגף כמה יעדים מרכזיים לפעילותו, ובהם שדרוג יכולות שליטה ובקרה עולמית למערכות המשרד; אפיון ופיתוח מערכות ליבה חדשות; הנגשת מערכות ויישומים לעבודה מרחוק; הקמת תשתית ניהול תוכן; שדרוג תשתיות התקשוב בארץ ובנציגויות; הנגשת מערכות טכנולוגיות בסביבות מסוימות; מימוש אחריות המשרד להגנה ממתקפות סייבר והיערכות למעבר לעבודה בסביבת הענן.</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נכון לשנת 2024</w:t>
      </w:r>
      <w:r w:rsidRPr="003B5D33">
        <w:rPr>
          <w:rFonts w:eastAsia="Calibri" w:hint="cs"/>
          <w:rtl/>
        </w:rPr>
        <w:t>, אגף התקשוב מתחזק עשרות מערכות מידע, ובהן מערכת למתן שירותים קונסולריים לאזרחים וזרים בנציגויות, מערכת לניהול ובקרה של שילוח דואר דיפלומטי, מערכת לניהול המידע הארגוני, מערכת לניהול השליחים ומערכות לניהול פיננסי. חלק מהמערכות מיושנות ודורשות שדרוג או החלפה, אחרות מצויות בתהליכי פיתוח או שדרוג (ראו הרחבה להלן).</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נוסף על כך, האגף מוביל נכון לשנת 2024 עשרות פרויקטי תקשוב ובהם מערכת לזימון וניהול תורים; איחוד דומיינים; העברת הנציגויות לענן ועוד.</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פיתוח ותחזוקה של מערכות המידע מבוצעים ברובם בחטיבת היישומים שבאגף. החטיבה מונה עשרות אנשי פיתוח בתפקידים שונים, ובהם מנהלי פרויקטים, מנתחי מערכות ומתכנתים המאורגנים בצוותים, שנמצאים בכפיפות ישירה לראש חטיבת היישומים.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w:t>
      </w:r>
      <w:r w:rsidRPr="003B5D33">
        <w:rPr>
          <w:rFonts w:eastAsia="Calibri"/>
          <w:rtl/>
        </w:rPr>
        <w:t>החלטת</w:t>
      </w:r>
      <w:r w:rsidRPr="003B5D33">
        <w:rPr>
          <w:rFonts w:eastAsia="Calibri" w:hint="cs"/>
          <w:rtl/>
        </w:rPr>
        <w:t xml:space="preserve"> ה</w:t>
      </w:r>
      <w:r w:rsidRPr="003B5D33">
        <w:rPr>
          <w:rFonts w:eastAsia="Calibri"/>
          <w:rtl/>
        </w:rPr>
        <w:t>ממשלה</w:t>
      </w:r>
      <w:r w:rsidRPr="003B5D33">
        <w:rPr>
          <w:rFonts w:eastAsia="Calibri" w:hint="cs"/>
          <w:rtl/>
        </w:rPr>
        <w:t xml:space="preserve"> משנת 2014</w:t>
      </w:r>
      <w:r>
        <w:rPr>
          <w:rFonts w:eastAsia="Calibri"/>
          <w:vertAlign w:val="superscript"/>
          <w:rtl/>
        </w:rPr>
        <w:footnoteReference w:id="8"/>
      </w:r>
      <w:r w:rsidRPr="003B5D33">
        <w:rPr>
          <w:rFonts w:eastAsia="Calibri"/>
          <w:rtl/>
        </w:rPr>
        <w:t xml:space="preserve"> </w:t>
      </w:r>
      <w:r w:rsidRPr="003B5D33">
        <w:rPr>
          <w:rFonts w:eastAsia="Calibri" w:hint="cs"/>
          <w:rtl/>
        </w:rPr>
        <w:t xml:space="preserve">נקבעו תפקידי </w:t>
      </w:r>
      <w:r w:rsidRPr="003B5D33">
        <w:rPr>
          <w:rFonts w:eastAsia="Calibri"/>
          <w:rtl/>
        </w:rPr>
        <w:t>מערך הדיגיטל הלאומי</w:t>
      </w:r>
      <w:r>
        <w:rPr>
          <w:rFonts w:eastAsia="Calibri"/>
          <w:vertAlign w:val="superscript"/>
          <w:rtl/>
        </w:rPr>
        <w:footnoteReference w:id="9"/>
      </w:r>
      <w:r w:rsidRPr="003B5D33">
        <w:rPr>
          <w:rFonts w:eastAsia="Calibri" w:hint="cs"/>
          <w:rtl/>
        </w:rPr>
        <w:t>, ובהם קביעת</w:t>
      </w:r>
      <w:r w:rsidRPr="003B5D33">
        <w:rPr>
          <w:rFonts w:eastAsia="Calibri"/>
          <w:rtl/>
        </w:rPr>
        <w:t xml:space="preserve"> סטנדרטים בתחומי טכנולוגיות מידע</w:t>
      </w:r>
      <w:r w:rsidRPr="003B5D33">
        <w:rPr>
          <w:rFonts w:eastAsia="Calibri" w:hint="cs"/>
          <w:rtl/>
        </w:rPr>
        <w:t>, גיבוש</w:t>
      </w:r>
      <w:r w:rsidRPr="003B5D33">
        <w:rPr>
          <w:rFonts w:eastAsia="Calibri"/>
          <w:rtl/>
        </w:rPr>
        <w:t xml:space="preserve"> מתודולוגיה לניהול מחזור החיים של מערכות מידע</w:t>
      </w:r>
      <w:r w:rsidRPr="003B5D33">
        <w:rPr>
          <w:rFonts w:eastAsia="Calibri" w:hint="cs"/>
          <w:rtl/>
        </w:rPr>
        <w:t xml:space="preserve"> ול</w:t>
      </w:r>
      <w:r w:rsidRPr="003B5D33">
        <w:rPr>
          <w:rFonts w:eastAsia="Calibri"/>
          <w:rtl/>
        </w:rPr>
        <w:t>ניהול יעיל של פרויקטים</w:t>
      </w:r>
      <w:r w:rsidRPr="003B5D33">
        <w:rPr>
          <w:rFonts w:eastAsia="Calibri" w:hint="cs"/>
          <w:rtl/>
        </w:rPr>
        <w:t xml:space="preserve"> </w:t>
      </w:r>
      <w:r w:rsidRPr="003B5D33">
        <w:rPr>
          <w:rFonts w:eastAsia="Calibri"/>
          <w:rtl/>
        </w:rPr>
        <w:t>ותהליכים בתחום התקשוב</w:t>
      </w:r>
      <w:r>
        <w:rPr>
          <w:rFonts w:eastAsia="Calibri"/>
          <w:vertAlign w:val="superscript"/>
          <w:rtl/>
        </w:rPr>
        <w:footnoteReference w:id="10"/>
      </w:r>
      <w:r w:rsidRPr="003B5D33">
        <w:rPr>
          <w:rFonts w:eastAsia="Calibri" w:hint="cs"/>
          <w:rtl/>
        </w:rPr>
        <w:t xml:space="preserve">. עוד נקבע בהחלטה כי לשם כך יפרסם מערך הדיגיטל </w:t>
      </w:r>
      <w:r w:rsidRPr="003B5D33">
        <w:rPr>
          <w:rFonts w:eastAsia="Calibri"/>
          <w:rtl/>
        </w:rPr>
        <w:t xml:space="preserve">הנחיות מקצועיות מחייבות </w:t>
      </w:r>
      <w:r w:rsidRPr="003B5D33">
        <w:rPr>
          <w:rFonts w:eastAsia="Calibri" w:hint="cs"/>
          <w:rtl/>
        </w:rPr>
        <w:t>ל</w:t>
      </w:r>
      <w:r w:rsidRPr="003B5D33">
        <w:rPr>
          <w:rFonts w:eastAsia="Calibri"/>
          <w:rtl/>
        </w:rPr>
        <w:t>משרדי הממשלה</w:t>
      </w:r>
      <w:r>
        <w:rPr>
          <w:rFonts w:eastAsia="Calibri"/>
          <w:vertAlign w:val="superscript"/>
          <w:rtl/>
        </w:rPr>
        <w:footnoteReference w:id="11"/>
      </w:r>
      <w:r w:rsidRPr="003B5D33">
        <w:rPr>
          <w:rFonts w:eastAsia="Calibri" w:hint="cs"/>
          <w:rtl/>
        </w:rPr>
        <w:t xml:space="preserve"> (להלן - הנחיות מערך הדיגיטל או ההנחיות).</w:t>
      </w:r>
      <w:r w:rsidRPr="003B5D33">
        <w:rPr>
          <w:rFonts w:eastAsia="Calibri"/>
          <w:rtl/>
        </w:rPr>
        <w:t xml:space="preserve"> </w:t>
      </w:r>
      <w:r w:rsidRPr="003B5D33">
        <w:rPr>
          <w:rFonts w:eastAsia="Calibri" w:hint="cs"/>
          <w:rtl/>
        </w:rPr>
        <w:t>בהנחיות נקבע</w:t>
      </w:r>
      <w:r>
        <w:rPr>
          <w:rFonts w:eastAsia="Calibri"/>
          <w:vertAlign w:val="superscript"/>
          <w:rtl/>
        </w:rPr>
        <w:footnoteReference w:id="12"/>
      </w:r>
      <w:r w:rsidRPr="003B5D33">
        <w:rPr>
          <w:rFonts w:eastAsia="Calibri" w:hint="cs"/>
          <w:rtl/>
        </w:rPr>
        <w:t xml:space="preserve"> כי ב</w:t>
      </w:r>
      <w:r w:rsidRPr="003B5D33">
        <w:rPr>
          <w:rFonts w:eastAsia="Calibri"/>
          <w:rtl/>
        </w:rPr>
        <w:t>פעילות שאינ</w:t>
      </w:r>
      <w:r w:rsidRPr="003B5D33">
        <w:rPr>
          <w:rFonts w:eastAsia="Calibri" w:hint="cs"/>
          <w:rtl/>
        </w:rPr>
        <w:t>ה מטופלת על ידי ההנחיות וה</w:t>
      </w:r>
      <w:r w:rsidRPr="003B5D33">
        <w:rPr>
          <w:rFonts w:eastAsia="Calibri"/>
          <w:rtl/>
        </w:rPr>
        <w:t xml:space="preserve">מתודולוגיה </w:t>
      </w:r>
      <w:r w:rsidRPr="003B5D33">
        <w:rPr>
          <w:rFonts w:eastAsia="Calibri" w:hint="cs"/>
          <w:rtl/>
        </w:rPr>
        <w:t xml:space="preserve">הממשלתית חובה </w:t>
      </w:r>
      <w:r w:rsidRPr="003B5D33">
        <w:rPr>
          <w:rFonts w:eastAsia="Calibri"/>
          <w:rtl/>
        </w:rPr>
        <w:t xml:space="preserve">לפעול </w:t>
      </w:r>
      <w:r w:rsidRPr="003B5D33">
        <w:rPr>
          <w:rFonts w:eastAsia="Calibri" w:hint="cs"/>
          <w:rtl/>
        </w:rPr>
        <w:t>בהתאם ל</w:t>
      </w:r>
      <w:r w:rsidRPr="003B5D33">
        <w:rPr>
          <w:rFonts w:eastAsia="Calibri"/>
          <w:rtl/>
        </w:rPr>
        <w:t xml:space="preserve">מתודולוגיה </w:t>
      </w:r>
      <w:r w:rsidRPr="003B5D33">
        <w:rPr>
          <w:rFonts w:eastAsia="Calibri" w:hint="cs"/>
          <w:rtl/>
        </w:rPr>
        <w:t>מקובלת</w:t>
      </w:r>
      <w:r>
        <w:rPr>
          <w:rFonts w:eastAsia="Calibri"/>
          <w:vertAlign w:val="superscript"/>
          <w:rtl/>
        </w:rPr>
        <w:footnoteReference w:id="13"/>
      </w:r>
      <w:r w:rsidRPr="003B5D33">
        <w:rPr>
          <w:rFonts w:eastAsia="Calibri" w:hint="cs"/>
          <w:rtl/>
        </w:rPr>
        <w:t xml:space="preserve">. </w:t>
      </w:r>
      <w:r w:rsidRPr="003B5D33">
        <w:rPr>
          <w:rFonts w:eastAsia="Calibri"/>
          <w:rtl/>
        </w:rPr>
        <w:t>עוד נקבע בהנחיות כי על היחידות להגדיר בכתב וליישם נ</w:t>
      </w:r>
      <w:r w:rsidRPr="003B5D33">
        <w:rPr>
          <w:rFonts w:eastAsia="Calibri" w:hint="cs"/>
          <w:rtl/>
        </w:rPr>
        <w:t>ו</w:t>
      </w:r>
      <w:r w:rsidRPr="003B5D33">
        <w:rPr>
          <w:rFonts w:eastAsia="Calibri"/>
          <w:rtl/>
        </w:rPr>
        <w:t>הלי עבודה, הנחיות</w:t>
      </w:r>
      <w:r w:rsidRPr="003B5D33">
        <w:rPr>
          <w:rFonts w:eastAsia="Calibri" w:hint="cs"/>
          <w:rtl/>
        </w:rPr>
        <w:t xml:space="preserve"> ו</w:t>
      </w:r>
      <w:r w:rsidRPr="003B5D33">
        <w:rPr>
          <w:rFonts w:eastAsia="Calibri"/>
          <w:rtl/>
        </w:rPr>
        <w:t>הוראות תפעול ותבניות עבור הפעילויות ותהליכי העבודה העיקריים שלה</w:t>
      </w:r>
      <w:r w:rsidRPr="003B5D33">
        <w:rPr>
          <w:rFonts w:eastAsia="Calibri" w:hint="cs"/>
          <w:rtl/>
        </w:rPr>
        <w:t>ן</w:t>
      </w:r>
      <w:r w:rsidRPr="003B5D33">
        <w:rPr>
          <w:rFonts w:eastAsia="Calibri"/>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נוסף על הנחיות מערך הדיגיטל, הוציא אגף התקשוב במשרד החוץ סט נהלים פנימיים המתייחס לתהליכי ניהול פרויקטים ופיתוח מערכות מידע.</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מבקר המדינה בחן כמה </w:t>
      </w:r>
      <w:r w:rsidRPr="003B5D33">
        <w:rPr>
          <w:rFonts w:eastAsia="Calibri"/>
          <w:rtl/>
        </w:rPr>
        <w:t xml:space="preserve">היבטים בניהול </w:t>
      </w:r>
      <w:r w:rsidRPr="003B5D33">
        <w:rPr>
          <w:rFonts w:eastAsia="Calibri" w:hint="cs"/>
          <w:rtl/>
        </w:rPr>
        <w:t xml:space="preserve">ופיתוח </w:t>
      </w:r>
      <w:r w:rsidRPr="003B5D33">
        <w:rPr>
          <w:rFonts w:eastAsia="Calibri"/>
          <w:rtl/>
        </w:rPr>
        <w:t>מערכות המידע במשרד החוץ</w:t>
      </w:r>
      <w:r w:rsidRPr="003B5D33">
        <w:rPr>
          <w:rFonts w:eastAsia="Calibri" w:hint="cs"/>
          <w:rtl/>
        </w:rPr>
        <w:t xml:space="preserve"> - ממשל טכנולוגיות המידע במשרד; ניהול פרויקטים ופיתוח מערכות מידע; וקיום תוכנית התאוששות מאסון.</w:t>
      </w:r>
    </w:p>
    <w:p w:rsidR="003B5D33" w:rsidRPr="003B5D33" w:rsidP="003B5D33">
      <w:pPr>
        <w:spacing w:line="269" w:lineRule="auto"/>
        <w:rPr>
          <w:rFonts w:eastAsia="Calibri"/>
          <w:rtl/>
        </w:rPr>
      </w:pPr>
    </w:p>
    <w:p w:rsidR="003B5D33" w:rsidRPr="003B5D33" w:rsidP="003B5D33">
      <w:pPr>
        <w:keepNext/>
        <w:keepLines/>
        <w:spacing w:line="269" w:lineRule="auto"/>
        <w:jc w:val="center"/>
        <w:outlineLvl w:val="1"/>
        <w:rPr>
          <w:rFonts w:eastAsia="Times New Roman"/>
          <w:bCs/>
          <w:szCs w:val="32"/>
          <w:rtl/>
        </w:rPr>
      </w:pPr>
      <w:bookmarkStart w:id="7" w:name="_Toc218592790"/>
      <w:r w:rsidRPr="003B5D33">
        <w:rPr>
          <w:rFonts w:eastAsia="Times New Roman" w:hint="cs"/>
          <w:bCs/>
          <w:szCs w:val="32"/>
          <w:rtl/>
        </w:rPr>
        <w:t>ממשל טכנולוגיות מידע</w:t>
      </w:r>
      <w:bookmarkEnd w:id="7"/>
    </w:p>
    <w:p w:rsidR="003B5D33" w:rsidRPr="003B5D33" w:rsidP="003B5D33">
      <w:pPr>
        <w:spacing w:line="269" w:lineRule="auto"/>
        <w:rPr>
          <w:rFonts w:eastAsia="Calibri"/>
          <w:rtl/>
        </w:rPr>
      </w:pPr>
      <w:bookmarkStart w:id="8" w:name="_Hlk196235579"/>
    </w:p>
    <w:p w:rsidR="003B5D33" w:rsidRPr="003B5D33" w:rsidP="003B5D33">
      <w:pPr>
        <w:spacing w:line="269" w:lineRule="auto"/>
        <w:rPr>
          <w:rFonts w:eastAsia="Calibri"/>
          <w:rtl/>
        </w:rPr>
      </w:pPr>
      <w:r w:rsidRPr="003B5D33">
        <w:rPr>
          <w:rFonts w:eastAsia="Calibri"/>
          <w:rtl/>
        </w:rPr>
        <w:t>ממשל טכנולוגיות מידע</w:t>
      </w:r>
      <w:r w:rsidRPr="003B5D33">
        <w:rPr>
          <w:rFonts w:eastAsia="Calibri" w:hint="cs"/>
          <w:rtl/>
        </w:rPr>
        <w:t xml:space="preserve"> </w:t>
      </w:r>
      <w:bookmarkEnd w:id="8"/>
      <w:r w:rsidRPr="003B5D33">
        <w:rPr>
          <w:rFonts w:eastAsia="Calibri"/>
          <w:rtl/>
        </w:rPr>
        <w:t xml:space="preserve">הוא מסגרת של תהליכים, מדיניות, כלים </w:t>
      </w:r>
      <w:r w:rsidRPr="003B5D33">
        <w:rPr>
          <w:rFonts w:eastAsia="Calibri" w:hint="cs"/>
          <w:rtl/>
        </w:rPr>
        <w:t>ובקרות, ו</w:t>
      </w:r>
      <w:r w:rsidRPr="003B5D33">
        <w:rPr>
          <w:rFonts w:eastAsia="Calibri"/>
          <w:rtl/>
        </w:rPr>
        <w:t>מטרת</w:t>
      </w:r>
      <w:r w:rsidRPr="003B5D33">
        <w:rPr>
          <w:rFonts w:eastAsia="Calibri" w:hint="cs"/>
          <w:rtl/>
        </w:rPr>
        <w:t>ו</w:t>
      </w:r>
      <w:r w:rsidRPr="003B5D33">
        <w:rPr>
          <w:rFonts w:eastAsia="Calibri"/>
          <w:rtl/>
        </w:rPr>
        <w:t xml:space="preserve"> להבטיח כי טכנולוגיות המידע בארגון תומכות באופן מיטבי באסטרטגיה</w:t>
      </w:r>
      <w:r w:rsidRPr="003B5D33">
        <w:rPr>
          <w:rFonts w:eastAsia="Calibri" w:hint="cs"/>
          <w:rtl/>
        </w:rPr>
        <w:t xml:space="preserve"> של הארגון</w:t>
      </w:r>
      <w:r w:rsidRPr="003B5D33">
        <w:rPr>
          <w:rFonts w:eastAsia="Calibri"/>
          <w:rtl/>
        </w:rPr>
        <w:t>, במטרות העסקיות</w:t>
      </w:r>
      <w:r w:rsidRPr="003B5D33">
        <w:rPr>
          <w:rFonts w:eastAsia="Calibri" w:hint="cs"/>
          <w:rtl/>
        </w:rPr>
        <w:t xml:space="preserve"> שלו</w:t>
      </w:r>
      <w:r w:rsidRPr="003B5D33">
        <w:rPr>
          <w:rFonts w:eastAsia="Calibri"/>
          <w:rtl/>
        </w:rPr>
        <w:t xml:space="preserve"> ובערכים של</w:t>
      </w:r>
      <w:r w:rsidRPr="003B5D33">
        <w:rPr>
          <w:rFonts w:eastAsia="Calibri" w:hint="cs"/>
          <w:rtl/>
        </w:rPr>
        <w:t>ו</w:t>
      </w:r>
      <w:r w:rsidRPr="003B5D33">
        <w:rPr>
          <w:rFonts w:eastAsia="Calibri"/>
          <w:rtl/>
        </w:rPr>
        <w:t xml:space="preserve">. זהו תחום המשלב ניהול, מדיניות, טכנולוגיה ותפעול </w:t>
      </w:r>
      <w:r w:rsidRPr="003B5D33">
        <w:rPr>
          <w:rFonts w:eastAsia="Calibri" w:hint="cs"/>
          <w:rtl/>
        </w:rPr>
        <w:t>כדי</w:t>
      </w:r>
      <w:r w:rsidRPr="003B5D33">
        <w:rPr>
          <w:rFonts w:eastAsia="Calibri"/>
          <w:rtl/>
        </w:rPr>
        <w:t xml:space="preserve"> למקסם את התועלת מטכנולוגיות מידע תוך כדי ניהול סיכונים וציות לדרישות </w:t>
      </w:r>
      <w:r w:rsidRPr="003B5D33">
        <w:rPr>
          <w:rFonts w:eastAsia="Calibri" w:hint="cs"/>
          <w:rtl/>
        </w:rPr>
        <w:t>חוק ורגולציה.</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ההכרה בחשיבותם של תהליכי משילות מוסדרים בתחומי התקשוב הלכה וגברה ככל שהניסיון מתהליכי ניהול מערכות מידע, יחידות תקשוב ופרויקטים הלך והעמיק. חשיבות זו גם מקבלת ביטוי בפרקטיקות המקובלות לניהול מערכות מידע ובהן </w:t>
      </w:r>
      <w:r w:rsidRPr="003B5D33">
        <w:rPr>
          <w:rFonts w:eastAsia="Calibri" w:hint="cs"/>
        </w:rPr>
        <w:t>COBIT</w:t>
      </w:r>
      <w:r>
        <w:rPr>
          <w:rFonts w:eastAsia="Calibri"/>
          <w:vertAlign w:val="superscript"/>
          <w:rtl/>
        </w:rPr>
        <w:footnoteReference w:id="14"/>
      </w:r>
      <w:r w:rsidRPr="003B5D33">
        <w:rPr>
          <w:rFonts w:eastAsia="Calibri" w:hint="cs"/>
          <w:rtl/>
        </w:rPr>
        <w:t xml:space="preserve">, </w:t>
      </w:r>
      <w:r w:rsidRPr="003B5D33">
        <w:rPr>
          <w:rFonts w:eastAsia="Calibri" w:hint="cs"/>
        </w:rPr>
        <w:t>ISO</w:t>
      </w:r>
      <w:r>
        <w:rPr>
          <w:rFonts w:eastAsia="Calibri"/>
          <w:vertAlign w:val="superscript"/>
          <w:rtl/>
        </w:rPr>
        <w:footnoteReference w:id="15"/>
      </w:r>
      <w:r w:rsidRPr="003B5D33">
        <w:rPr>
          <w:rFonts w:eastAsia="Calibri" w:hint="cs"/>
          <w:rtl/>
        </w:rPr>
        <w:t xml:space="preserve">, </w:t>
      </w:r>
      <w:r w:rsidRPr="003B5D33">
        <w:rPr>
          <w:rFonts w:eastAsia="Calibri" w:hint="cs"/>
        </w:rPr>
        <w:t>PMI</w:t>
      </w:r>
      <w:r>
        <w:rPr>
          <w:rFonts w:eastAsia="Calibri"/>
          <w:vertAlign w:val="superscript"/>
          <w:rtl/>
        </w:rPr>
        <w:footnoteReference w:id="16"/>
      </w:r>
      <w:r w:rsidRPr="003B5D33">
        <w:rPr>
          <w:rFonts w:eastAsia="Calibri" w:hint="cs"/>
          <w:rtl/>
        </w:rPr>
        <w:t xml:space="preserve">, </w:t>
      </w:r>
      <w:r w:rsidRPr="003B5D33">
        <w:rPr>
          <w:rFonts w:eastAsia="Calibri" w:hint="cs"/>
        </w:rPr>
        <w:t>ITIL</w:t>
      </w:r>
      <w:r>
        <w:rPr>
          <w:rFonts w:eastAsia="Calibri"/>
          <w:vertAlign w:val="superscript"/>
          <w:rtl/>
        </w:rPr>
        <w:footnoteReference w:id="17"/>
      </w:r>
      <w:r w:rsidRPr="003B5D33">
        <w:rPr>
          <w:rFonts w:eastAsia="Calibri" w:hint="cs"/>
          <w:rtl/>
        </w:rPr>
        <w:t xml:space="preserve">. </w:t>
      </w:r>
    </w:p>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9" w:name="_Toc218592791"/>
      <w:r w:rsidRPr="003B5D33">
        <w:rPr>
          <w:rFonts w:eastAsia="Times New Roman" w:hint="cs"/>
          <w:bCs/>
          <w:szCs w:val="28"/>
          <w:u w:val="single"/>
          <w:rtl/>
        </w:rPr>
        <w:t xml:space="preserve">הקמת </w:t>
      </w:r>
      <w:r w:rsidRPr="003B5D33">
        <w:rPr>
          <w:rFonts w:eastAsia="Times New Roman"/>
          <w:bCs/>
          <w:szCs w:val="28"/>
          <w:u w:val="single"/>
          <w:rtl/>
        </w:rPr>
        <w:t xml:space="preserve">ועדת היגוי משרדית </w:t>
      </w:r>
      <w:r w:rsidRPr="003B5D33">
        <w:rPr>
          <w:rFonts w:eastAsia="Times New Roman" w:hint="cs"/>
          <w:bCs/>
          <w:szCs w:val="28"/>
          <w:u w:val="single"/>
          <w:rtl/>
        </w:rPr>
        <w:t xml:space="preserve">לתחום התקשוב </w:t>
      </w:r>
      <w:r w:rsidRPr="003B5D33">
        <w:rPr>
          <w:rFonts w:eastAsia="Times New Roman"/>
          <w:bCs/>
          <w:szCs w:val="28"/>
          <w:u w:val="single"/>
          <w:rtl/>
        </w:rPr>
        <w:t>ופעילותה</w:t>
      </w:r>
      <w:bookmarkEnd w:id="9"/>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בשנת 2014 קיבלה הממשלה החלטה (להלן - החלטת הממשלה 2097)</w:t>
      </w:r>
      <w:r>
        <w:rPr>
          <w:rFonts w:eastAsia="Calibri"/>
          <w:sz w:val="22"/>
          <w:szCs w:val="22"/>
          <w:vertAlign w:val="superscript"/>
          <w:rtl/>
        </w:rPr>
        <w:footnoteReference w:id="18"/>
      </w:r>
      <w:r w:rsidRPr="003B5D33">
        <w:rPr>
          <w:rFonts w:eastAsia="Calibri" w:hint="cs"/>
          <w:rtl/>
        </w:rPr>
        <w:t>, שבמסגרתה</w:t>
      </w:r>
      <w:r w:rsidRPr="003B5D33">
        <w:rPr>
          <w:rFonts w:eastAsia="Calibri"/>
          <w:rtl/>
        </w:rPr>
        <w:t xml:space="preserve"> הונחו מנכ"לי משרדי הממשלה ויחידות הסמך לבחון הקמת ועדת היגוי משרדית לתחום התקשוב, אשר תפעל לרתימת מערכות המידע וטכנולוגיות מתקדמות ל</w:t>
      </w:r>
      <w:r w:rsidRPr="003B5D33">
        <w:rPr>
          <w:rFonts w:eastAsia="Calibri" w:hint="cs"/>
          <w:rtl/>
        </w:rPr>
        <w:t xml:space="preserve">שם </w:t>
      </w:r>
      <w:r w:rsidRPr="003B5D33">
        <w:rPr>
          <w:rFonts w:eastAsia="Calibri"/>
          <w:rtl/>
        </w:rPr>
        <w:t>השגת יעדי המשרד ושיפור תהליכי הליבה העסקיים בו, תוך דיון בת</w:t>
      </w:r>
      <w:r w:rsidRPr="003B5D33">
        <w:rPr>
          <w:rFonts w:eastAsia="Calibri" w:hint="cs"/>
          <w:rtl/>
        </w:rPr>
        <w:t>ו</w:t>
      </w:r>
      <w:r w:rsidRPr="003B5D33">
        <w:rPr>
          <w:rFonts w:eastAsia="Calibri"/>
          <w:rtl/>
        </w:rPr>
        <w:t>כנית העבודה של אגף מערכות המידע ועריכת מעקב שוטף אחר ביצועה.</w:t>
      </w:r>
      <w:r w:rsidRPr="003B5D33">
        <w:rPr>
          <w:rFonts w:eastAsia="Calibri" w:hint="cs"/>
          <w:rtl/>
        </w:rPr>
        <w:t xml:space="preserve"> עוד נקבע בהחלטה כי </w:t>
      </w:r>
      <w:r w:rsidRPr="003B5D33">
        <w:rPr>
          <w:rFonts w:eastAsia="Calibri"/>
          <w:rtl/>
        </w:rPr>
        <w:t xml:space="preserve">סדרי עבודת הוועדות ייקבעו בהנחיות הממונה על התקשוב הממשלתי.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בהתאם, פרסם מערך הדיגיטל הנחיה שעניינה "</w:t>
      </w:r>
      <w:r w:rsidRPr="003B5D33">
        <w:rPr>
          <w:rFonts w:eastAsia="Calibri"/>
          <w:rtl/>
        </w:rPr>
        <w:t>ועדות היגוי משרדיות לתקשוב</w:t>
      </w:r>
      <w:r w:rsidRPr="003B5D33">
        <w:rPr>
          <w:rFonts w:eastAsia="Calibri" w:hint="cs"/>
          <w:rtl/>
        </w:rPr>
        <w:t>"</w:t>
      </w:r>
      <w:r w:rsidRPr="003B5D33">
        <w:rPr>
          <w:rFonts w:eastAsia="Calibri" w:hint="cs"/>
          <w:sz w:val="24"/>
          <w:rtl/>
        </w:rPr>
        <w:t xml:space="preserve">. </w:t>
      </w:r>
      <w:r w:rsidRPr="003B5D33">
        <w:rPr>
          <w:rFonts w:eastAsia="Calibri" w:hint="cs"/>
          <w:rtl/>
        </w:rPr>
        <w:t xml:space="preserve">בהנחיה מפורטים תפקידי הוועדה, ובכלל זה צוין כי </w:t>
      </w:r>
      <w:r w:rsidRPr="003B5D33">
        <w:rPr>
          <w:rFonts w:eastAsia="Calibri"/>
          <w:rtl/>
        </w:rPr>
        <w:t>ועדת ההיגוי המשרדית ת</w:t>
      </w:r>
      <w:r w:rsidRPr="003B5D33">
        <w:rPr>
          <w:rFonts w:eastAsia="Calibri" w:hint="cs"/>
          <w:rtl/>
        </w:rPr>
        <w:t xml:space="preserve">שמש </w:t>
      </w:r>
      <w:r w:rsidRPr="003B5D33">
        <w:rPr>
          <w:rFonts w:eastAsia="Calibri"/>
          <w:rtl/>
        </w:rPr>
        <w:t>הגורם הניהולי הבכיר ביותר, שתפקידו וסמכותו לאשר סוגיות מרכזיות בנושאי התקשוב</w:t>
      </w:r>
      <w:r w:rsidRPr="003B5D33">
        <w:rPr>
          <w:rFonts w:eastAsia="Calibri" w:hint="cs"/>
          <w:rtl/>
        </w:rPr>
        <w:t xml:space="preserve"> ולהכריע בהן</w:t>
      </w:r>
      <w:r w:rsidRPr="003B5D33">
        <w:rPr>
          <w:rFonts w:eastAsia="Calibri"/>
          <w:rtl/>
        </w:rPr>
        <w:t>, הן בנושאים שיובאו בפניה והן בנושאים שתבחר לדון בהם</w:t>
      </w:r>
      <w:r w:rsidRPr="003B5D33">
        <w:rPr>
          <w:rFonts w:eastAsia="Calibri" w:hint="cs"/>
          <w:rtl/>
        </w:rPr>
        <w:t xml:space="preserve">; </w:t>
      </w:r>
      <w:r w:rsidRPr="003B5D33">
        <w:rPr>
          <w:rFonts w:eastAsia="Calibri"/>
          <w:rtl/>
        </w:rPr>
        <w:t>הוועדה תקבע את האסטרטגיה</w:t>
      </w:r>
      <w:r w:rsidRPr="003B5D33">
        <w:rPr>
          <w:rFonts w:eastAsia="Calibri" w:hint="cs"/>
          <w:rtl/>
        </w:rPr>
        <w:t xml:space="preserve"> של המשרד</w:t>
      </w:r>
      <w:r w:rsidRPr="003B5D33">
        <w:rPr>
          <w:rFonts w:eastAsia="Calibri"/>
          <w:rtl/>
        </w:rPr>
        <w:t xml:space="preserve"> ומדיניות</w:t>
      </w:r>
      <w:r w:rsidRPr="003B5D33">
        <w:rPr>
          <w:rFonts w:eastAsia="Calibri" w:hint="cs"/>
          <w:rtl/>
        </w:rPr>
        <w:t>ו</w:t>
      </w:r>
      <w:r w:rsidRPr="003B5D33">
        <w:rPr>
          <w:rFonts w:eastAsia="Calibri"/>
          <w:rtl/>
        </w:rPr>
        <w:t xml:space="preserve"> בנושאי תקשוב בכפוף למדיניות כלל</w:t>
      </w:r>
      <w:r w:rsidRPr="003B5D33">
        <w:rPr>
          <w:rFonts w:eastAsia="Calibri" w:hint="cs"/>
          <w:rtl/>
        </w:rPr>
        <w:t>-</w:t>
      </w:r>
      <w:r w:rsidRPr="003B5D33">
        <w:rPr>
          <w:rFonts w:eastAsia="Calibri"/>
          <w:rtl/>
        </w:rPr>
        <w:t>ממשלתית</w:t>
      </w:r>
      <w:r w:rsidRPr="003B5D33">
        <w:rPr>
          <w:rFonts w:eastAsia="Calibri" w:hint="cs"/>
          <w:rtl/>
        </w:rPr>
        <w:t xml:space="preserve">; </w:t>
      </w:r>
      <w:r w:rsidRPr="003B5D33">
        <w:rPr>
          <w:rFonts w:eastAsia="Calibri"/>
          <w:rtl/>
        </w:rPr>
        <w:t>תאשר את יעדי אגף מערכות המידע ותוודא את התאמתן למטרות המשרד</w:t>
      </w:r>
      <w:r w:rsidRPr="003B5D33">
        <w:rPr>
          <w:rFonts w:eastAsia="Calibri" w:hint="cs"/>
          <w:rtl/>
        </w:rPr>
        <w:t xml:space="preserve"> ויעדיו; </w:t>
      </w:r>
      <w:r w:rsidRPr="003B5D33">
        <w:rPr>
          <w:rFonts w:eastAsia="Calibri"/>
          <w:rtl/>
        </w:rPr>
        <w:t>תאשר את תוכניות העבודה והתקציבים הרב-שנתיים והשנתיים של כלל הפעילויות</w:t>
      </w:r>
      <w:r w:rsidRPr="003B5D33">
        <w:rPr>
          <w:rFonts w:eastAsia="Calibri" w:hint="cs"/>
          <w:rtl/>
        </w:rPr>
        <w:t xml:space="preserve"> </w:t>
      </w:r>
      <w:r w:rsidRPr="003B5D33">
        <w:rPr>
          <w:rFonts w:eastAsia="Calibri"/>
          <w:rtl/>
        </w:rPr>
        <w:t>המתקיימות במשרד בתחומים של מערכות מידע ותקשוב</w:t>
      </w:r>
      <w:r w:rsidRPr="003B5D33">
        <w:rPr>
          <w:rFonts w:eastAsia="Calibri" w:hint="cs"/>
          <w:rtl/>
        </w:rPr>
        <w:t>;</w:t>
      </w:r>
      <w:r w:rsidRPr="003B5D33">
        <w:rPr>
          <w:rFonts w:eastAsia="Calibri"/>
          <w:rtl/>
        </w:rPr>
        <w:t xml:space="preserve"> תקבע ותאשרר סדרי עדיפות וחלוקת</w:t>
      </w:r>
      <w:r w:rsidRPr="003B5D33">
        <w:rPr>
          <w:rFonts w:eastAsia="Calibri" w:hint="cs"/>
          <w:rtl/>
        </w:rPr>
        <w:t xml:space="preserve"> </w:t>
      </w:r>
      <w:r w:rsidRPr="003B5D33">
        <w:rPr>
          <w:rFonts w:eastAsia="Calibri"/>
          <w:rtl/>
        </w:rPr>
        <w:t>משאבים</w:t>
      </w:r>
      <w:r w:rsidRPr="003B5D33">
        <w:rPr>
          <w:rFonts w:eastAsia="Calibri" w:hint="cs"/>
          <w:rtl/>
        </w:rPr>
        <w:t>;</w:t>
      </w:r>
      <w:r w:rsidRPr="003B5D33">
        <w:rPr>
          <w:rFonts w:eastAsia="Calibri"/>
          <w:rtl/>
        </w:rPr>
        <w:t xml:space="preserve"> תעקוב </w:t>
      </w:r>
      <w:r w:rsidRPr="003B5D33">
        <w:rPr>
          <w:rFonts w:eastAsia="Calibri" w:hint="cs"/>
          <w:rtl/>
        </w:rPr>
        <w:t xml:space="preserve">אחר </w:t>
      </w:r>
      <w:r w:rsidRPr="003B5D33">
        <w:rPr>
          <w:rFonts w:eastAsia="Calibri"/>
          <w:rtl/>
        </w:rPr>
        <w:t>ביצוע הת</w:t>
      </w:r>
      <w:r w:rsidRPr="003B5D33">
        <w:rPr>
          <w:rFonts w:eastAsia="Calibri" w:hint="cs"/>
          <w:rtl/>
        </w:rPr>
        <w:t>ו</w:t>
      </w:r>
      <w:r w:rsidRPr="003B5D33">
        <w:rPr>
          <w:rFonts w:eastAsia="Calibri"/>
          <w:rtl/>
        </w:rPr>
        <w:t xml:space="preserve">כניות </w:t>
      </w:r>
      <w:r w:rsidRPr="003B5D33">
        <w:rPr>
          <w:rFonts w:eastAsia="Calibri" w:hint="cs"/>
          <w:rtl/>
        </w:rPr>
        <w:t xml:space="preserve">ותוודא מימושן; </w:t>
      </w:r>
      <w:r w:rsidRPr="003B5D33">
        <w:rPr>
          <w:rFonts w:eastAsia="Calibri"/>
          <w:rtl/>
        </w:rPr>
        <w:t>ותאשר שינויים מהותיים בתקציב ות</w:t>
      </w:r>
      <w:r w:rsidRPr="003B5D33">
        <w:rPr>
          <w:rFonts w:eastAsia="Calibri" w:hint="cs"/>
          <w:rtl/>
        </w:rPr>
        <w:t>ו</w:t>
      </w:r>
      <w:r w:rsidRPr="003B5D33">
        <w:rPr>
          <w:rFonts w:eastAsia="Calibri"/>
          <w:rtl/>
        </w:rPr>
        <w:t>כניות העבודה</w:t>
      </w:r>
      <w:r w:rsidRPr="003B5D33">
        <w:rPr>
          <w:rFonts w:eastAsia="Calibri" w:hint="cs"/>
          <w:rtl/>
        </w:rPr>
        <w:t xml:space="preserve"> </w:t>
      </w:r>
      <w:r w:rsidRPr="003B5D33">
        <w:rPr>
          <w:rFonts w:eastAsia="Calibri"/>
          <w:rtl/>
        </w:rPr>
        <w:t>במהלך השנה</w:t>
      </w:r>
      <w:r w:rsidRPr="003B5D33">
        <w:rPr>
          <w:rFonts w:eastAsia="Calibri" w:hint="cs"/>
          <w:rtl/>
        </w:rPr>
        <w:t xml:space="preserve">. לפי ההנחיה, בראש הוועדה יעמוד מנכ"ל המשרד או המשנה למנכ"ל, ובין חבריה יהיו </w:t>
      </w:r>
      <w:r w:rsidRPr="003B5D33">
        <w:rPr>
          <w:rFonts w:eastAsia="Calibri"/>
          <w:rtl/>
        </w:rPr>
        <w:t xml:space="preserve">הסמנכ"לים </w:t>
      </w:r>
      <w:r w:rsidRPr="003B5D33">
        <w:rPr>
          <w:rFonts w:eastAsia="Calibri" w:hint="cs"/>
          <w:rtl/>
        </w:rPr>
        <w:t>-</w:t>
      </w:r>
      <w:r w:rsidRPr="003B5D33">
        <w:rPr>
          <w:rFonts w:eastAsia="Calibri"/>
          <w:rtl/>
        </w:rPr>
        <w:t xml:space="preserve"> הצרכנים העיקריים של שירותי התקשוב במשרד</w:t>
      </w:r>
      <w:r w:rsidRPr="003B5D33">
        <w:rPr>
          <w:rFonts w:eastAsia="Calibri" w:hint="cs"/>
          <w:rtl/>
        </w:rPr>
        <w:t>, מנהל מערכות המידע של המשרד ו</w:t>
      </w:r>
      <w:r w:rsidRPr="003B5D33">
        <w:rPr>
          <w:rFonts w:eastAsia="Calibri"/>
          <w:rtl/>
        </w:rPr>
        <w:t>ממונה הגנת הסייבר במשרד או נציגו</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עוד נקבע בהנחיה כי </w:t>
      </w:r>
      <w:r w:rsidRPr="003B5D33">
        <w:rPr>
          <w:rFonts w:eastAsia="Calibri"/>
          <w:rtl/>
        </w:rPr>
        <w:t xml:space="preserve">מומלץ </w:t>
      </w:r>
      <w:r w:rsidRPr="003B5D33">
        <w:rPr>
          <w:rFonts w:eastAsia="Calibri" w:hint="cs"/>
          <w:rtl/>
        </w:rPr>
        <w:t>ש</w:t>
      </w:r>
      <w:r w:rsidRPr="003B5D33">
        <w:rPr>
          <w:rFonts w:eastAsia="Calibri"/>
          <w:rtl/>
        </w:rPr>
        <w:t xml:space="preserve">תדירות מפגשי הוועדה תהיה לא פחות מאחת </w:t>
      </w:r>
      <w:r w:rsidR="002E058E">
        <w:rPr>
          <w:rFonts w:eastAsia="Calibri" w:hint="cs"/>
          <w:rtl/>
        </w:rPr>
        <w:t>למחצית</w:t>
      </w:r>
      <w:r w:rsidRPr="003B5D33">
        <w:rPr>
          <w:rFonts w:eastAsia="Calibri"/>
          <w:rtl/>
        </w:rPr>
        <w:t xml:space="preserve"> ולא יותר מאחת לרבעון, תלוי בהיקף</w:t>
      </w:r>
      <w:r w:rsidRPr="003B5D33">
        <w:rPr>
          <w:rFonts w:eastAsia="Calibri" w:hint="cs"/>
          <w:rtl/>
        </w:rPr>
        <w:t xml:space="preserve"> </w:t>
      </w:r>
      <w:r w:rsidRPr="003B5D33">
        <w:rPr>
          <w:rFonts w:eastAsia="Calibri"/>
          <w:rtl/>
        </w:rPr>
        <w:t>הפעילות ו</w:t>
      </w:r>
      <w:r w:rsidRPr="003B5D33">
        <w:rPr>
          <w:rFonts w:eastAsia="Calibri" w:hint="cs"/>
          <w:rtl/>
        </w:rPr>
        <w:t>ב</w:t>
      </w:r>
      <w:r w:rsidRPr="003B5D33">
        <w:rPr>
          <w:rFonts w:eastAsia="Calibri"/>
          <w:rtl/>
        </w:rPr>
        <w:t xml:space="preserve">מנגנוני הבקרה האחרים הפועלים במשרד </w:t>
      </w:r>
      <w:r w:rsidRPr="003B5D33">
        <w:rPr>
          <w:rFonts w:eastAsia="Calibri" w:hint="cs"/>
          <w:rtl/>
        </w:rPr>
        <w:t>(</w:t>
      </w:r>
      <w:r w:rsidRPr="003B5D33">
        <w:rPr>
          <w:rFonts w:eastAsia="Calibri"/>
          <w:rtl/>
        </w:rPr>
        <w:t>ועדות היגוי לפרויקטים עיקריים וכדומה</w:t>
      </w:r>
      <w:r w:rsidRPr="003B5D33">
        <w:rPr>
          <w:rFonts w:eastAsia="Calibri" w:hint="cs"/>
          <w:rtl/>
        </w:rPr>
        <w:t>)</w:t>
      </w:r>
      <w:r w:rsidRPr="003B5D33">
        <w:rPr>
          <w:rFonts w:eastAsia="Calibri"/>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בבקר</w:t>
      </w:r>
      <w:r w:rsidRPr="003B5D33">
        <w:rPr>
          <w:rFonts w:eastAsia="Calibri" w:hint="cs"/>
          <w:rtl/>
        </w:rPr>
        <w:t>ה</w:t>
      </w:r>
      <w:r w:rsidRPr="003B5D33">
        <w:rPr>
          <w:rFonts w:eastAsia="Calibri"/>
          <w:rtl/>
        </w:rPr>
        <w:t xml:space="preserve"> שעשה מערך הדיגיטל בשנ</w:t>
      </w:r>
      <w:r w:rsidRPr="003B5D33">
        <w:rPr>
          <w:rFonts w:eastAsia="Calibri" w:hint="cs"/>
          <w:rtl/>
        </w:rPr>
        <w:t>ת</w:t>
      </w:r>
      <w:r w:rsidRPr="003B5D33">
        <w:rPr>
          <w:rFonts w:eastAsia="Calibri"/>
          <w:rtl/>
        </w:rPr>
        <w:t xml:space="preserve"> 2019</w:t>
      </w:r>
      <w:r w:rsidRPr="003B5D33">
        <w:rPr>
          <w:rFonts w:eastAsia="Calibri" w:hint="cs"/>
          <w:rtl/>
        </w:rPr>
        <w:t xml:space="preserve"> על יישום הנחיותיו באגף התקשוב במשרד החוץ עלה כי ועדת ההיגוי המשרדית לתקשוב במשרד אינה מתכנסת באופן סדיר ופעילותה דעכה. בבקרת מעקב נוספת שביצע המערך בשנת 2020 דיווח המשרד למערך הדיגיטל שהוועדה הוקמה מחדש.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הביקורת העלתה כי ועדת ההיגוי המשרדית לתקשוב, שבהתאם להנחיה היה אמור לעמוד בראשה המנכ"ל או המשנה למנכ"ל, לא התכנסה במשך כשלוש שנים (2021 - 2023). זאת חרף הודעתו של </w:t>
      </w:r>
      <w:r w:rsidRPr="003B5D33">
        <w:rPr>
          <w:rFonts w:eastAsia="Calibri"/>
          <w:b/>
          <w:bCs/>
          <w:rtl/>
        </w:rPr>
        <w:t xml:space="preserve">משרד החוץ למערך הדיגיטל בשנת 2020 כי </w:t>
      </w:r>
      <w:r w:rsidRPr="003B5D33">
        <w:rPr>
          <w:rFonts w:eastAsia="Calibri" w:hint="cs"/>
          <w:b/>
          <w:bCs/>
          <w:rtl/>
        </w:rPr>
        <w:t xml:space="preserve">הוועדה </w:t>
      </w:r>
      <w:r w:rsidRPr="003B5D33">
        <w:rPr>
          <w:rFonts w:eastAsia="Calibri"/>
          <w:b/>
          <w:bCs/>
          <w:rtl/>
        </w:rPr>
        <w:t>הוקמה מחדש</w:t>
      </w:r>
      <w:r w:rsidRPr="003B5D33">
        <w:rPr>
          <w:rFonts w:eastAsia="Calibri" w:hint="cs"/>
          <w:b/>
          <w:bCs/>
          <w:rtl/>
        </w:rPr>
        <w:t>.</w:t>
      </w:r>
      <w:r w:rsidRPr="003B5D33">
        <w:rPr>
          <w:rFonts w:eastAsia="Calibri"/>
          <w:b/>
          <w:bCs/>
          <w:rtl/>
        </w:rPr>
        <w:t xml:space="preserve"> </w:t>
      </w:r>
      <w:r w:rsidRPr="003B5D33">
        <w:rPr>
          <w:rFonts w:eastAsia="Calibri" w:hint="cs"/>
          <w:b/>
          <w:bCs/>
          <w:rtl/>
        </w:rPr>
        <w:t xml:space="preserve">ועדת ההיגוי שבה והתכנסה רק באפריל 2024.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 xml:space="preserve">עוד הועלה כי בניגוד להמלצות מערך הדיגיטל, ולפיהן על ועדת ההיגוי להתכנס בתדירות של פעמיים עד ארבע פעמים בשנה, מאז התכנסותה הראשונה של הוועדה באפריל 2024 </w:t>
      </w:r>
      <w:r w:rsidRPr="003B5D33">
        <w:rPr>
          <w:rFonts w:eastAsia="Calibri" w:hint="cs"/>
          <w:b/>
          <w:bCs/>
          <w:rtl/>
        </w:rPr>
        <w:t>ועד למועד סיום הביקורת</w:t>
      </w:r>
      <w:r>
        <w:rPr>
          <w:rFonts w:eastAsia="Calibri"/>
          <w:b/>
          <w:bCs/>
          <w:vertAlign w:val="superscript"/>
          <w:rtl/>
        </w:rPr>
        <w:footnoteReference w:id="19"/>
      </w:r>
      <w:r w:rsidRPr="003B5D33">
        <w:rPr>
          <w:rFonts w:eastAsia="Calibri" w:hint="cs"/>
          <w:b/>
          <w:bCs/>
          <w:rtl/>
        </w:rPr>
        <w:t xml:space="preserve"> </w:t>
      </w:r>
      <w:r w:rsidRPr="003B5D33">
        <w:rPr>
          <w:rFonts w:eastAsia="Calibri"/>
          <w:b/>
          <w:bCs/>
          <w:rtl/>
        </w:rPr>
        <w:t>היא לא התכנסה בשנית</w:t>
      </w:r>
      <w:r w:rsidRPr="003B5D33">
        <w:rPr>
          <w:rFonts w:eastAsia="Calibri" w:hint="cs"/>
          <w:b/>
          <w:bCs/>
          <w:rtl/>
        </w:rPr>
        <w:t>,</w:t>
      </w:r>
      <w:r w:rsidRPr="003B5D33">
        <w:rPr>
          <w:rFonts w:eastAsia="Calibri"/>
          <w:b/>
          <w:bCs/>
          <w:rtl/>
        </w:rPr>
        <w:t xml:space="preserve"> </w:t>
      </w:r>
      <w:r w:rsidRPr="003B5D33">
        <w:rPr>
          <w:rFonts w:eastAsia="Calibri" w:hint="cs"/>
          <w:b/>
          <w:bCs/>
          <w:rtl/>
        </w:rPr>
        <w:t>ו</w:t>
      </w:r>
      <w:r w:rsidRPr="003B5D33">
        <w:rPr>
          <w:rFonts w:eastAsia="Calibri"/>
          <w:b/>
          <w:bCs/>
          <w:rtl/>
        </w:rPr>
        <w:t>היא אף לא דנה בתוכנית העבודה השנתית של אגף התקשוב לשנת 2025 ולא אישרה אותה.</w:t>
      </w:r>
      <w:r w:rsidRPr="003B5D33">
        <w:rPr>
          <w:rFonts w:eastAsia="Calibri" w:hint="cs"/>
          <w:b/>
          <w:bCs/>
          <w:rtl/>
        </w:rPr>
        <w:t xml:space="preserve"> זאת ועוד, מעיון ברשימת חברי הוועדה שנכחו בדיון ועדת ההיגוי האמור עולה כי </w:t>
      </w:r>
      <w:r w:rsidRPr="003B5D33">
        <w:rPr>
          <w:rFonts w:eastAsia="Calibri"/>
          <w:b/>
          <w:bCs/>
          <w:rtl/>
        </w:rPr>
        <w:t xml:space="preserve">הוועדה </w:t>
      </w:r>
      <w:r w:rsidRPr="003B5D33">
        <w:rPr>
          <w:rFonts w:eastAsia="Calibri" w:hint="cs"/>
          <w:b/>
          <w:bCs/>
          <w:rtl/>
        </w:rPr>
        <w:t>כללה</w:t>
      </w:r>
      <w:r w:rsidRPr="003B5D33">
        <w:rPr>
          <w:rFonts w:eastAsia="Calibri"/>
          <w:b/>
          <w:bCs/>
          <w:rtl/>
        </w:rPr>
        <w:t xml:space="preserve"> נציגים </w:t>
      </w:r>
      <w:r w:rsidRPr="003B5D33">
        <w:rPr>
          <w:rFonts w:eastAsia="Calibri" w:hint="cs"/>
          <w:b/>
          <w:bCs/>
          <w:rtl/>
        </w:rPr>
        <w:t xml:space="preserve">בכירים </w:t>
      </w:r>
      <w:r w:rsidRPr="003B5D33">
        <w:rPr>
          <w:rFonts w:eastAsia="Calibri"/>
          <w:b/>
          <w:bCs/>
          <w:rtl/>
        </w:rPr>
        <w:t>של אגפי המנהלה, אך</w:t>
      </w:r>
      <w:r w:rsidRPr="003B5D33">
        <w:rPr>
          <w:rFonts w:eastAsia="Calibri" w:hint="cs"/>
          <w:b/>
          <w:bCs/>
          <w:rtl/>
        </w:rPr>
        <w:t xml:space="preserve"> בניגוד להנחיית מערך הדיגיטל בנושא</w:t>
      </w:r>
      <w:r w:rsidRPr="003B5D33">
        <w:rPr>
          <w:rFonts w:eastAsia="Calibri"/>
          <w:b/>
          <w:bCs/>
          <w:rtl/>
        </w:rPr>
        <w:t xml:space="preserve"> </w:t>
      </w:r>
      <w:r w:rsidRPr="003B5D33">
        <w:rPr>
          <w:rFonts w:eastAsia="Calibri" w:hint="cs"/>
          <w:b/>
          <w:bCs/>
          <w:rtl/>
        </w:rPr>
        <w:t>לא כללה סמנכ"לים</w:t>
      </w:r>
      <w:r w:rsidRPr="003B5D33">
        <w:rPr>
          <w:rFonts w:eastAsia="Calibri"/>
          <w:b/>
          <w:bCs/>
          <w:rtl/>
        </w:rPr>
        <w:t xml:space="preserve"> </w:t>
      </w:r>
      <w:r w:rsidRPr="003B5D33">
        <w:rPr>
          <w:rFonts w:eastAsia="Calibri" w:hint="cs"/>
          <w:b/>
          <w:bCs/>
          <w:rtl/>
        </w:rPr>
        <w:t xml:space="preserve">מקצועיים במטה המשרד כגון: ראש המערך המדיני אסטרטגי, ראש האגף לעניינים קונסולריים וראש האגף לעניינים אסטרטגיים, שהם לקוחות משמעותיים של אגף התקשוב.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פעילות התקשוב </w:t>
      </w:r>
      <w:r w:rsidRPr="003B5D33">
        <w:rPr>
          <w:rFonts w:eastAsia="Calibri"/>
          <w:b/>
          <w:bCs/>
          <w:rtl/>
        </w:rPr>
        <w:t>במשרד החו</w:t>
      </w:r>
      <w:r w:rsidRPr="003B5D33">
        <w:rPr>
          <w:rFonts w:eastAsia="Calibri" w:hint="cs"/>
          <w:b/>
          <w:bCs/>
          <w:rtl/>
        </w:rPr>
        <w:t xml:space="preserve">ץ היא תשתית חיונית התומכת </w:t>
      </w:r>
      <w:r w:rsidRPr="003B5D33">
        <w:rPr>
          <w:rFonts w:eastAsia="Calibri"/>
          <w:b/>
          <w:bCs/>
          <w:rtl/>
        </w:rPr>
        <w:t>בעשי</w:t>
      </w:r>
      <w:r w:rsidRPr="003B5D33">
        <w:rPr>
          <w:rFonts w:eastAsia="Calibri" w:hint="cs"/>
          <w:b/>
          <w:bCs/>
          <w:rtl/>
        </w:rPr>
        <w:t>י</w:t>
      </w:r>
      <w:r w:rsidRPr="003B5D33">
        <w:rPr>
          <w:rFonts w:eastAsia="Calibri"/>
          <w:b/>
          <w:bCs/>
          <w:rtl/>
        </w:rPr>
        <w:t xml:space="preserve">ה המדינית והמנהלית </w:t>
      </w:r>
      <w:r w:rsidRPr="003B5D33">
        <w:rPr>
          <w:rFonts w:eastAsia="Calibri" w:hint="cs"/>
          <w:b/>
          <w:bCs/>
          <w:rtl/>
        </w:rPr>
        <w:t>של המשרד, והיא מאופיינת כאמור ב</w:t>
      </w:r>
      <w:r w:rsidRPr="003B5D33">
        <w:rPr>
          <w:rFonts w:eastAsia="Calibri"/>
          <w:b/>
          <w:bCs/>
          <w:rtl/>
        </w:rPr>
        <w:t>אתגר</w:t>
      </w:r>
      <w:r w:rsidRPr="003B5D33">
        <w:rPr>
          <w:rFonts w:eastAsia="Calibri" w:hint="cs"/>
          <w:b/>
          <w:bCs/>
          <w:rtl/>
        </w:rPr>
        <w:t>ים</w:t>
      </w:r>
      <w:r w:rsidRPr="003B5D33">
        <w:rPr>
          <w:rFonts w:eastAsia="Calibri"/>
          <w:b/>
          <w:bCs/>
          <w:rtl/>
        </w:rPr>
        <w:t xml:space="preserve"> </w:t>
      </w:r>
      <w:r w:rsidRPr="003B5D33">
        <w:rPr>
          <w:rFonts w:eastAsia="Calibri" w:hint="cs"/>
          <w:b/>
          <w:bCs/>
          <w:rtl/>
        </w:rPr>
        <w:t>ייחודיים שנגזרים מהצורך</w:t>
      </w:r>
      <w:r w:rsidRPr="003B5D33">
        <w:rPr>
          <w:rFonts w:eastAsia="Calibri"/>
          <w:b/>
          <w:bCs/>
          <w:rtl/>
        </w:rPr>
        <w:t xml:space="preserve"> לנהל מידע מדיני ודיפלומטי רגיש בין המטה </w:t>
      </w:r>
      <w:r w:rsidRPr="003B5D33">
        <w:rPr>
          <w:rFonts w:eastAsia="Calibri" w:hint="cs"/>
          <w:b/>
          <w:bCs/>
          <w:rtl/>
        </w:rPr>
        <w:t>ל</w:t>
      </w:r>
      <w:r w:rsidRPr="003B5D33">
        <w:rPr>
          <w:rFonts w:eastAsia="Calibri"/>
          <w:b/>
          <w:bCs/>
          <w:rtl/>
        </w:rPr>
        <w:t>נציגויות</w:t>
      </w:r>
      <w:r w:rsidRPr="003B5D33">
        <w:rPr>
          <w:rFonts w:eastAsia="Calibri" w:hint="cs"/>
          <w:b/>
          <w:bCs/>
          <w:rtl/>
        </w:rPr>
        <w:t xml:space="preserve">. מתוך כך נודעת חשיבות יתרה לקיומה ולפעילותה של </w:t>
      </w:r>
      <w:r w:rsidRPr="003B5D33">
        <w:rPr>
          <w:rFonts w:eastAsia="Calibri"/>
          <w:b/>
          <w:bCs/>
          <w:rtl/>
        </w:rPr>
        <w:t xml:space="preserve">ועדת היגוי </w:t>
      </w:r>
      <w:r w:rsidRPr="003B5D33">
        <w:rPr>
          <w:rFonts w:eastAsia="Calibri" w:hint="cs"/>
          <w:b/>
          <w:bCs/>
          <w:rtl/>
        </w:rPr>
        <w:t xml:space="preserve">משרדית </w:t>
      </w:r>
      <w:r w:rsidRPr="003B5D33">
        <w:rPr>
          <w:rFonts w:eastAsia="Calibri"/>
          <w:b/>
          <w:bCs/>
          <w:rtl/>
        </w:rPr>
        <w:t>ל</w:t>
      </w:r>
      <w:r w:rsidRPr="003B5D33">
        <w:rPr>
          <w:rFonts w:eastAsia="Calibri" w:hint="cs"/>
          <w:b/>
          <w:bCs/>
          <w:rtl/>
        </w:rPr>
        <w:t>תקשוב,</w:t>
      </w:r>
      <w:r w:rsidRPr="003B5D33">
        <w:rPr>
          <w:rFonts w:eastAsia="Calibri"/>
          <w:b/>
          <w:bCs/>
          <w:rtl/>
        </w:rPr>
        <w:t xml:space="preserve"> </w:t>
      </w:r>
      <w:r w:rsidRPr="003B5D33">
        <w:rPr>
          <w:rFonts w:eastAsia="Calibri" w:hint="cs"/>
          <w:b/>
          <w:bCs/>
          <w:rtl/>
        </w:rPr>
        <w:t>שתקבע</w:t>
      </w:r>
      <w:r w:rsidRPr="003B5D33">
        <w:rPr>
          <w:rFonts w:eastAsia="Calibri"/>
          <w:b/>
          <w:bCs/>
          <w:rtl/>
        </w:rPr>
        <w:t xml:space="preserve"> את האסטרטגיה</w:t>
      </w:r>
      <w:r w:rsidRPr="003B5D33">
        <w:rPr>
          <w:rFonts w:eastAsia="Calibri" w:hint="cs"/>
          <w:b/>
          <w:bCs/>
          <w:rtl/>
        </w:rPr>
        <w:t xml:space="preserve"> של המשרד</w:t>
      </w:r>
      <w:r w:rsidRPr="003B5D33">
        <w:rPr>
          <w:rFonts w:eastAsia="Calibri"/>
          <w:b/>
          <w:bCs/>
          <w:rtl/>
        </w:rPr>
        <w:t xml:space="preserve"> ומדיניות</w:t>
      </w:r>
      <w:r w:rsidRPr="003B5D33">
        <w:rPr>
          <w:rFonts w:eastAsia="Calibri" w:hint="cs"/>
          <w:b/>
          <w:bCs/>
          <w:rtl/>
        </w:rPr>
        <w:t>ו</w:t>
      </w:r>
      <w:r w:rsidRPr="003B5D33">
        <w:rPr>
          <w:rFonts w:eastAsia="Calibri"/>
          <w:b/>
          <w:bCs/>
          <w:rtl/>
        </w:rPr>
        <w:t xml:space="preserve"> בנושאי תקשוב</w:t>
      </w:r>
      <w:r w:rsidRPr="003B5D33">
        <w:rPr>
          <w:rFonts w:eastAsia="Calibri" w:hint="cs"/>
          <w:b/>
          <w:bCs/>
          <w:rtl/>
        </w:rPr>
        <w:t>, שתעקוב אחר יישום תוכנית העבודה של אגף התקשוב, שתכריע</w:t>
      </w:r>
      <w:r w:rsidRPr="003B5D33">
        <w:rPr>
          <w:rFonts w:eastAsia="Calibri"/>
          <w:b/>
          <w:bCs/>
          <w:rtl/>
        </w:rPr>
        <w:t xml:space="preserve"> בסוגיות מרכזיות</w:t>
      </w:r>
      <w:r w:rsidRPr="003B5D33">
        <w:rPr>
          <w:rFonts w:eastAsia="Calibri" w:hint="cs"/>
          <w:b/>
          <w:bCs/>
          <w:rtl/>
        </w:rPr>
        <w:t xml:space="preserve">, שתפתור חסמים מרכזיים ושתשמש גורם מתווך </w:t>
      </w:r>
      <w:r w:rsidRPr="003B5D33">
        <w:rPr>
          <w:rFonts w:eastAsia="Calibri"/>
          <w:b/>
          <w:bCs/>
          <w:rtl/>
        </w:rPr>
        <w:t xml:space="preserve">בין הנהלת המשרד, המטה והאגפים המקצועיים לאגף התקשוב. </w:t>
      </w:r>
      <w:r w:rsidRPr="003B5D33">
        <w:rPr>
          <w:rFonts w:eastAsia="Calibri" w:hint="cs"/>
          <w:b/>
          <w:bCs/>
          <w:rtl/>
        </w:rPr>
        <w:t xml:space="preserve">אי-התכנסותה של הוועדה כנדרש משליך בהכרח על היכולת לבצע בקרה שוטפת על יישום תוכניות העבודה של אגף התקשוב ועל מימוש יעדיו כך שיתמכו בליבת העשייה של המשרד.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מסר למשרד מבקר המדינה באוקטובר 2025 כי </w:t>
      </w:r>
      <w:r w:rsidRPr="003B5D33">
        <w:rPr>
          <w:rFonts w:eastAsia="Calibri"/>
          <w:rtl/>
        </w:rPr>
        <w:t>מנכ"ל</w:t>
      </w:r>
      <w:r w:rsidRPr="003B5D33">
        <w:rPr>
          <w:rFonts w:eastAsia="Calibri" w:hint="cs"/>
          <w:rtl/>
        </w:rPr>
        <w:t xml:space="preserve"> משרד החוץ</w:t>
      </w:r>
      <w:r w:rsidRPr="003B5D33">
        <w:rPr>
          <w:rFonts w:eastAsia="Calibri"/>
          <w:rtl/>
        </w:rPr>
        <w:t xml:space="preserve"> מאשר לכל סמנכ"ל את תקציבו השנתי</w:t>
      </w:r>
      <w:r w:rsidRPr="003B5D33">
        <w:rPr>
          <w:rFonts w:eastAsia="Calibri" w:hint="cs"/>
          <w:rtl/>
        </w:rPr>
        <w:t xml:space="preserve"> וכי </w:t>
      </w:r>
      <w:r w:rsidRPr="003B5D33">
        <w:rPr>
          <w:rFonts w:eastAsia="Calibri"/>
          <w:rtl/>
        </w:rPr>
        <w:t>לו</w:t>
      </w:r>
      <w:r w:rsidRPr="003B5D33">
        <w:rPr>
          <w:rFonts w:eastAsia="Calibri" w:hint="cs"/>
          <w:rtl/>
        </w:rPr>
        <w:t>ו</w:t>
      </w:r>
      <w:r w:rsidRPr="003B5D33">
        <w:rPr>
          <w:rFonts w:eastAsia="Calibri"/>
          <w:rtl/>
        </w:rPr>
        <w:t xml:space="preserve">עדת </w:t>
      </w:r>
      <w:r w:rsidRPr="003B5D33">
        <w:rPr>
          <w:rFonts w:eastAsia="Calibri" w:hint="cs"/>
          <w:rtl/>
        </w:rPr>
        <w:t>ההיגוי המשרדית לתקשוב</w:t>
      </w:r>
      <w:r w:rsidRPr="003B5D33">
        <w:rPr>
          <w:rFonts w:eastAsia="Calibri"/>
          <w:rtl/>
        </w:rPr>
        <w:t xml:space="preserve"> אין סמכות לאשר תקציב או ת</w:t>
      </w:r>
      <w:r w:rsidRPr="003B5D33">
        <w:rPr>
          <w:rFonts w:eastAsia="Calibri" w:hint="cs"/>
          <w:rtl/>
        </w:rPr>
        <w:t>ו</w:t>
      </w:r>
      <w:r w:rsidRPr="003B5D33">
        <w:rPr>
          <w:rFonts w:eastAsia="Calibri"/>
          <w:rtl/>
        </w:rPr>
        <w:t>כניות עבודה.</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לעניין זה משרד מבקר המדינה מציין כי בהנחיות מערך הדיגיטל נקבע כאמור כי על ועדת ההיגוי להתוות בין היתר </w:t>
      </w:r>
      <w:r w:rsidRPr="003B5D33">
        <w:rPr>
          <w:rFonts w:eastAsia="Calibri"/>
          <w:b/>
          <w:bCs/>
          <w:rtl/>
        </w:rPr>
        <w:t xml:space="preserve">את האסטרטגיה של המשרד ומדיניותו בנושאי תקשוב </w:t>
      </w:r>
      <w:r w:rsidRPr="003B5D33">
        <w:rPr>
          <w:rFonts w:eastAsia="Calibri" w:hint="cs"/>
          <w:b/>
          <w:bCs/>
          <w:rtl/>
        </w:rPr>
        <w:t>ול</w:t>
      </w:r>
      <w:r w:rsidRPr="003B5D33">
        <w:rPr>
          <w:rFonts w:eastAsia="Calibri"/>
          <w:b/>
          <w:bCs/>
          <w:rtl/>
        </w:rPr>
        <w:t>אשר את תוכניות העבודה והתקציבים הרב-שנתיים והשנתיים של כלל הפעילויות המתקיימות במשרד בתחומים של מערכות מידע ותקשוב</w:t>
      </w:r>
      <w:r w:rsidRPr="003B5D33">
        <w:rPr>
          <w:rFonts w:eastAsia="Calibri" w:hint="cs"/>
          <w:b/>
          <w:bCs/>
          <w:rtl/>
        </w:rPr>
        <w:t xml:space="preserve">. אף שלפי תשובת משרד החוץ מנכ"ל משרד החוץ מאשר את תקציב אגף התקשוב, אין בכך כדי לייתר את הצורך לקיים </w:t>
      </w:r>
      <w:r w:rsidRPr="003B5D33">
        <w:rPr>
          <w:rFonts w:eastAsia="Calibri"/>
          <w:b/>
          <w:bCs/>
          <w:rtl/>
        </w:rPr>
        <w:t>דיו</w:t>
      </w:r>
      <w:r w:rsidRPr="003B5D33">
        <w:rPr>
          <w:rFonts w:eastAsia="Calibri" w:hint="cs"/>
          <w:b/>
          <w:bCs/>
          <w:rtl/>
        </w:rPr>
        <w:t>נים</w:t>
      </w:r>
      <w:r w:rsidRPr="003B5D33">
        <w:rPr>
          <w:rFonts w:eastAsia="Calibri"/>
          <w:b/>
          <w:bCs/>
          <w:rtl/>
        </w:rPr>
        <w:t xml:space="preserve"> </w:t>
      </w:r>
      <w:r w:rsidRPr="003B5D33">
        <w:rPr>
          <w:rFonts w:eastAsia="Calibri" w:hint="cs"/>
          <w:b/>
          <w:bCs/>
          <w:rtl/>
        </w:rPr>
        <w:t xml:space="preserve">בוועדת ההיגוי על </w:t>
      </w:r>
      <w:r w:rsidRPr="003B5D33">
        <w:rPr>
          <w:rFonts w:eastAsia="Calibri"/>
          <w:b/>
          <w:bCs/>
          <w:rtl/>
        </w:rPr>
        <w:t xml:space="preserve">תוכנית העבודה </w:t>
      </w:r>
      <w:r w:rsidRPr="003B5D33">
        <w:rPr>
          <w:rFonts w:eastAsia="Calibri" w:hint="cs"/>
          <w:b/>
          <w:bCs/>
          <w:rtl/>
        </w:rPr>
        <w:t xml:space="preserve">והתקציב </w:t>
      </w:r>
      <w:r w:rsidRPr="003B5D33">
        <w:rPr>
          <w:rFonts w:eastAsia="Calibri"/>
          <w:b/>
          <w:bCs/>
          <w:rtl/>
        </w:rPr>
        <w:t xml:space="preserve">של </w:t>
      </w:r>
      <w:r w:rsidRPr="003B5D33">
        <w:rPr>
          <w:rFonts w:eastAsia="Calibri" w:hint="cs"/>
          <w:b/>
          <w:bCs/>
          <w:rtl/>
        </w:rPr>
        <w:t>תחום מערכות המידע והתקשוב במשרד</w:t>
      </w:r>
      <w:r w:rsidRPr="003B5D33">
        <w:rPr>
          <w:rFonts w:eastAsia="Calibri"/>
          <w:b/>
          <w:bCs/>
          <w:rtl/>
        </w:rPr>
        <w:t xml:space="preserve"> ועריכת מעקב שוטף אחר </w:t>
      </w:r>
      <w:r w:rsidRPr="003B5D33">
        <w:rPr>
          <w:rFonts w:eastAsia="Calibri" w:hint="cs"/>
          <w:b/>
          <w:bCs/>
          <w:rtl/>
        </w:rPr>
        <w:t>מימושם, והכול בהתאם להנחיות מערך הדיגיטל בנושא</w:t>
      </w:r>
      <w:r w:rsidRPr="003B5D33">
        <w:rPr>
          <w:rFonts w:eastAsia="Calibri"/>
          <w:b/>
          <w:bCs/>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על מנכ"ל משרד החוץ לוודא כי ועדת ההיגוי לתקשוב תתכנס באופן סדיר, בתדירות של פעמיים עד ארבע פעמים בשנה, ותמלא את כל תפקידיה כמוגדר בהנחיות מערך הדיגיטל, ובכלל זה אישור תוכנית העבודה והתקציבים </w:t>
      </w:r>
      <w:r w:rsidRPr="003B5D33">
        <w:rPr>
          <w:rFonts w:eastAsia="Calibri"/>
          <w:b/>
          <w:bCs/>
          <w:rtl/>
        </w:rPr>
        <w:t>של כלל הפעילויות המתקיימות במשרד בתחומים של מערכות מידע ותקשוב</w:t>
      </w:r>
      <w:r w:rsidRPr="003B5D33">
        <w:rPr>
          <w:rFonts w:eastAsia="Calibri" w:hint="cs"/>
          <w:b/>
          <w:bCs/>
          <w:rtl/>
        </w:rPr>
        <w:t xml:space="preserve"> ומעקב אחר יישומם. כמו כן עליו למנות לחברי הוועדה סמנכ"לים מקצועיים במשרד, שכן הם מושפעים בעבודתם השוטפת מתפקוד אגף התקשוב וממערכות המידע של הארגון ומביאים עימם תובנות בנוגע לצורכי היחידות.</w:t>
      </w:r>
      <w:r w:rsidRPr="003B5D33">
        <w:rPr>
          <w:rFonts w:eastAsia="Calibri"/>
          <w:rtl/>
        </w:rPr>
        <w:t xml:space="preserve"> </w:t>
      </w:r>
      <w:r w:rsidRPr="003B5D33">
        <w:rPr>
          <w:rFonts w:eastAsia="Calibri"/>
          <w:b/>
          <w:bCs/>
          <w:rtl/>
        </w:rPr>
        <w:t xml:space="preserve">זאת ועוד, </w:t>
      </w:r>
      <w:r w:rsidRPr="003B5D33">
        <w:rPr>
          <w:rFonts w:eastAsia="Calibri" w:hint="cs"/>
          <w:b/>
          <w:bCs/>
          <w:rtl/>
        </w:rPr>
        <w:t>כדי</w:t>
      </w:r>
      <w:r w:rsidRPr="003B5D33">
        <w:rPr>
          <w:rFonts w:eastAsia="Calibri"/>
          <w:b/>
          <w:bCs/>
          <w:rtl/>
        </w:rPr>
        <w:t xml:space="preserve"> להבטיח כי תוכנית התקשוב תיתן מענה מיטבי לכלל הגורמים העסקיים</w:t>
      </w:r>
      <w:r w:rsidRPr="003B5D33">
        <w:rPr>
          <w:rFonts w:eastAsia="Calibri" w:hint="cs"/>
          <w:b/>
          <w:bCs/>
          <w:rtl/>
        </w:rPr>
        <w:t>,</w:t>
      </w:r>
      <w:r w:rsidRPr="003B5D33">
        <w:rPr>
          <w:rFonts w:eastAsia="Calibri"/>
          <w:b/>
          <w:bCs/>
          <w:rtl/>
        </w:rPr>
        <w:t xml:space="preserve"> מומלץ </w:t>
      </w:r>
      <w:r w:rsidRPr="003B5D33">
        <w:rPr>
          <w:rFonts w:eastAsia="Calibri" w:hint="cs"/>
          <w:b/>
          <w:bCs/>
          <w:rtl/>
        </w:rPr>
        <w:t>ש</w:t>
      </w:r>
      <w:r w:rsidRPr="003B5D33">
        <w:rPr>
          <w:rFonts w:eastAsia="Calibri"/>
          <w:b/>
          <w:bCs/>
          <w:rtl/>
        </w:rPr>
        <w:t>האגף יבצע תהליך מובנה ושיטתי לאיסוף דרישות מהאגפים לטובת שילובן בתוכנית העבודה השנתית של אגף התקשוב</w:t>
      </w:r>
      <w:r w:rsidRPr="003B5D33">
        <w:rPr>
          <w:rFonts w:eastAsia="Calibri" w:hint="cs"/>
          <w:b/>
          <w:bCs/>
          <w:rtl/>
        </w:rPr>
        <w:t>.</w:t>
      </w:r>
    </w:p>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10" w:name="_Toc218592792"/>
      <w:r w:rsidRPr="003B5D33">
        <w:rPr>
          <w:rFonts w:eastAsia="Times New Roman" w:hint="cs"/>
          <w:bCs/>
          <w:szCs w:val="28"/>
          <w:u w:val="single"/>
          <w:rtl/>
        </w:rPr>
        <w:t>תוכנית אסטרטגיה דיגיטלית</w:t>
      </w:r>
      <w:bookmarkEnd w:id="10"/>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על פי תקנים מקובלים</w:t>
      </w:r>
      <w:r>
        <w:rPr>
          <w:rFonts w:eastAsia="Calibri"/>
          <w:vertAlign w:val="superscript"/>
          <w:rtl/>
        </w:rPr>
        <w:footnoteReference w:id="20"/>
      </w:r>
      <w:r w:rsidRPr="003B5D33">
        <w:rPr>
          <w:rFonts w:eastAsia="Calibri" w:hint="cs"/>
          <w:rtl/>
        </w:rPr>
        <w:t>, לכל ארגון צריכה להיות</w:t>
      </w:r>
      <w:r w:rsidRPr="003B5D33">
        <w:rPr>
          <w:rFonts w:eastAsia="Calibri"/>
          <w:rtl/>
        </w:rPr>
        <w:t xml:space="preserve"> </w:t>
      </w:r>
      <w:r w:rsidRPr="003B5D33">
        <w:rPr>
          <w:rFonts w:eastAsia="Calibri" w:hint="cs"/>
          <w:rtl/>
        </w:rPr>
        <w:t xml:space="preserve">תוכנית </w:t>
      </w:r>
      <w:r w:rsidRPr="003B5D33">
        <w:rPr>
          <w:rFonts w:eastAsia="Calibri"/>
          <w:rtl/>
        </w:rPr>
        <w:t>אסטרטגיה דיגיטלית</w:t>
      </w:r>
      <w:r w:rsidRPr="003B5D33">
        <w:rPr>
          <w:rFonts w:eastAsia="Calibri" w:hint="cs"/>
          <w:rtl/>
        </w:rPr>
        <w:t>,</w:t>
      </w:r>
      <w:r w:rsidRPr="003B5D33">
        <w:rPr>
          <w:rFonts w:eastAsia="Calibri"/>
          <w:rtl/>
        </w:rPr>
        <w:t xml:space="preserve"> </w:t>
      </w:r>
      <w:r w:rsidRPr="003B5D33">
        <w:rPr>
          <w:rFonts w:eastAsia="Calibri" w:hint="cs"/>
          <w:rtl/>
        </w:rPr>
        <w:t xml:space="preserve">שתוכן </w:t>
      </w:r>
      <w:r w:rsidRPr="003B5D33">
        <w:rPr>
          <w:rFonts w:eastAsia="Calibri"/>
          <w:rtl/>
        </w:rPr>
        <w:t xml:space="preserve">בשיתוף עם בעלי העניין הרלוונטיים, כדי להבטיח שהאסטרטגיה </w:t>
      </w:r>
      <w:r w:rsidRPr="003B5D33">
        <w:rPr>
          <w:rFonts w:eastAsia="Calibri" w:hint="cs"/>
          <w:rtl/>
        </w:rPr>
        <w:t xml:space="preserve">אכן </w:t>
      </w:r>
      <w:r w:rsidRPr="003B5D33">
        <w:rPr>
          <w:rFonts w:eastAsia="Calibri"/>
          <w:rtl/>
        </w:rPr>
        <w:t xml:space="preserve">תואמת לצרכים העסקיים ומובילה ליצירת ערך. </w:t>
      </w:r>
      <w:r w:rsidRPr="003B5D33">
        <w:rPr>
          <w:rFonts w:eastAsia="Calibri" w:hint="cs"/>
          <w:rtl/>
        </w:rPr>
        <w:t xml:space="preserve">התוכנית </w:t>
      </w:r>
      <w:r w:rsidRPr="003B5D33">
        <w:rPr>
          <w:rFonts w:eastAsia="Calibri"/>
          <w:rtl/>
        </w:rPr>
        <w:t xml:space="preserve">מאפשרת </w:t>
      </w:r>
      <w:r w:rsidRPr="003B5D33">
        <w:rPr>
          <w:rFonts w:eastAsia="Calibri" w:hint="cs"/>
          <w:rtl/>
        </w:rPr>
        <w:t>לאגף התקשוב להיערך למתן מענה טכנולוגי ודיגיטלי הולם למשרד, הן בתכנון הפרויקטים והתוכניות למיכון והן בהיערכות לתכנון</w:t>
      </w:r>
      <w:r w:rsidRPr="003B5D33">
        <w:rPr>
          <w:rFonts w:eastAsia="Calibri"/>
          <w:rtl/>
        </w:rPr>
        <w:t xml:space="preserve"> </w:t>
      </w:r>
      <w:r w:rsidRPr="003B5D33">
        <w:rPr>
          <w:rFonts w:eastAsia="Calibri" w:hint="cs"/>
          <w:rtl/>
        </w:rPr>
        <w:t>ה</w:t>
      </w:r>
      <w:r w:rsidRPr="003B5D33">
        <w:rPr>
          <w:rFonts w:eastAsia="Calibri"/>
          <w:rtl/>
        </w:rPr>
        <w:t>משאבים</w:t>
      </w:r>
      <w:r w:rsidRPr="003B5D33">
        <w:rPr>
          <w:rFonts w:eastAsia="Calibri" w:hint="cs"/>
          <w:rtl/>
        </w:rPr>
        <w:t xml:space="preserve"> הנדרשים כדי לאפשר תוכנית זו. בין המטרות שתוכנית אסטרטגית מסייעת למימושן ניתן למצוא </w:t>
      </w:r>
      <w:r w:rsidRPr="003B5D33">
        <w:rPr>
          <w:rFonts w:eastAsia="Calibri"/>
          <w:rtl/>
        </w:rPr>
        <w:t>קידום חדשנות</w:t>
      </w:r>
      <w:r w:rsidRPr="003B5D33">
        <w:rPr>
          <w:rFonts w:eastAsia="Calibri" w:hint="cs"/>
          <w:rtl/>
        </w:rPr>
        <w:t>;</w:t>
      </w:r>
      <w:r w:rsidRPr="003B5D33">
        <w:rPr>
          <w:rFonts w:eastAsia="Calibri"/>
          <w:rtl/>
        </w:rPr>
        <w:t xml:space="preserve"> שיפור השירותים הדיגיטליים הניתנים לאזרחים</w:t>
      </w:r>
      <w:r w:rsidRPr="003B5D33">
        <w:rPr>
          <w:rFonts w:eastAsia="Calibri" w:hint="cs"/>
          <w:rtl/>
        </w:rPr>
        <w:t>;</w:t>
      </w:r>
      <w:r w:rsidRPr="003B5D33">
        <w:rPr>
          <w:rFonts w:eastAsia="Calibri"/>
          <w:rtl/>
        </w:rPr>
        <w:t xml:space="preserve"> </w:t>
      </w:r>
      <w:r w:rsidRPr="003B5D33">
        <w:rPr>
          <w:rFonts w:eastAsia="Calibri" w:hint="cs"/>
          <w:rtl/>
        </w:rPr>
        <w:t>סיוע</w:t>
      </w:r>
      <w:r w:rsidRPr="003B5D33">
        <w:rPr>
          <w:rFonts w:eastAsia="Calibri"/>
          <w:rtl/>
        </w:rPr>
        <w:t xml:space="preserve"> בהתמודדות עם אתגרים טכנולוגיים </w:t>
      </w:r>
      <w:r w:rsidRPr="003B5D33">
        <w:rPr>
          <w:rFonts w:eastAsia="Calibri" w:hint="cs"/>
          <w:rtl/>
        </w:rPr>
        <w:t>קיימים; ו</w:t>
      </w:r>
      <w:r w:rsidRPr="003B5D33">
        <w:rPr>
          <w:rFonts w:eastAsia="Calibri"/>
          <w:rtl/>
        </w:rPr>
        <w:t>היערכות לשינויים עתידיים</w:t>
      </w:r>
      <w:r w:rsidRPr="003B5D33">
        <w:rPr>
          <w:rFonts w:eastAsia="Calibri" w:hint="cs"/>
          <w:rtl/>
        </w:rPr>
        <w:t>, טכנולוגיים ותהליכיים.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במהלך שנת 2023 פנה משרד החוץ לחברה חיצונית לצורך בחינת המבנה הארגוני הקיים של אגף התקשוב והכנת תוכנית אסטרטגית עבורו (להלן - התוכנית האסטרטגית). באפריל 2024 הגישה החברה את התוכנית לאגף התקשוב. התוכנית הציפה פערים משמעותיים בפעילות האגף בתחומי המבנה הארגוני, היקף כוח האדם המוקצה לתחום התקשוב, תהליכי העבודה, התשתיות הטכנולוגיות והתקציב. בין היתר, התוכנית מדגישה את החוב הטכנולוגי הגדול שנוצר בשל בניית פתרונות בטלאים לאורך שנים; עוד היא מציינת שהאגף </w:t>
      </w:r>
      <w:r w:rsidRPr="003B5D33">
        <w:rPr>
          <w:rFonts w:eastAsia="Calibri"/>
          <w:rtl/>
        </w:rPr>
        <w:t>נמצא במרדף אינסופי "אחרי הזנב של עצמו"</w:t>
      </w:r>
      <w:r w:rsidRPr="003B5D33">
        <w:rPr>
          <w:rFonts w:eastAsia="Calibri" w:hint="cs"/>
          <w:rtl/>
        </w:rPr>
        <w:t xml:space="preserve"> ו</w:t>
      </w:r>
      <w:r w:rsidRPr="003B5D33">
        <w:rPr>
          <w:rFonts w:eastAsia="Calibri"/>
          <w:rtl/>
        </w:rPr>
        <w:t>מוגבל ביכולתו להתקדם מ</w:t>
      </w:r>
      <w:r w:rsidRPr="003B5D33">
        <w:rPr>
          <w:rFonts w:eastAsia="Calibri" w:hint="cs"/>
          <w:rtl/>
        </w:rPr>
        <w:t xml:space="preserve">המשימות </w:t>
      </w:r>
      <w:r w:rsidRPr="003B5D33">
        <w:rPr>
          <w:rFonts w:eastAsia="Calibri"/>
          <w:rtl/>
        </w:rPr>
        <w:t>השוט</w:t>
      </w:r>
      <w:r w:rsidRPr="003B5D33">
        <w:rPr>
          <w:rFonts w:eastAsia="Calibri" w:hint="cs"/>
          <w:rtl/>
        </w:rPr>
        <w:t>פות,</w:t>
      </w:r>
      <w:r w:rsidRPr="003B5D33">
        <w:rPr>
          <w:rFonts w:eastAsia="Calibri"/>
          <w:rtl/>
        </w:rPr>
        <w:t xml:space="preserve"> </w:t>
      </w:r>
      <w:r w:rsidRPr="003B5D33">
        <w:rPr>
          <w:rFonts w:eastAsia="Calibri" w:hint="cs"/>
          <w:rtl/>
        </w:rPr>
        <w:t xml:space="preserve">היות שהוא </w:t>
      </w:r>
      <w:r w:rsidRPr="003B5D33">
        <w:rPr>
          <w:rFonts w:eastAsia="Calibri"/>
          <w:rtl/>
        </w:rPr>
        <w:t xml:space="preserve">משקיע את התקציב בפתרונות עבור שימור המצב הקיים ולא במקומות </w:t>
      </w:r>
      <w:r w:rsidRPr="003B5D33">
        <w:rPr>
          <w:rFonts w:eastAsia="Calibri" w:hint="cs"/>
          <w:rtl/>
        </w:rPr>
        <w:t>ש</w:t>
      </w:r>
      <w:r w:rsidRPr="003B5D33">
        <w:rPr>
          <w:rFonts w:eastAsia="Calibri"/>
          <w:rtl/>
        </w:rPr>
        <w:t>בהם האגף יכול להתקדם ולפרוץ קדימה</w:t>
      </w:r>
      <w:r w:rsidRPr="003B5D33">
        <w:rPr>
          <w:rFonts w:eastAsia="Calibri" w:hint="cs"/>
          <w:rtl/>
        </w:rPr>
        <w:t xml:space="preserve">; נוסף על כך התוכנית מציפה בעיות הקשורות להיעדר פונקציית </w:t>
      </w:r>
      <w:r w:rsidRPr="003B5D33">
        <w:rPr>
          <w:rFonts w:eastAsia="Calibri" w:hint="cs"/>
        </w:rPr>
        <w:t>OCIO</w:t>
      </w:r>
      <w:r>
        <w:rPr>
          <w:rFonts w:eastAsia="Calibri"/>
          <w:vertAlign w:val="superscript"/>
          <w:rtl/>
        </w:rPr>
        <w:footnoteReference w:id="21"/>
      </w:r>
      <w:r w:rsidRPr="003B5D33">
        <w:rPr>
          <w:rFonts w:eastAsia="Calibri" w:hint="cs"/>
          <w:rtl/>
        </w:rPr>
        <w:t xml:space="preserve"> באגף ולהיעדר כלים לניהול ובקרה של פרויקטים. התוכנית </w:t>
      </w:r>
      <w:r w:rsidRPr="003B5D33">
        <w:rPr>
          <w:rFonts w:eastAsia="Calibri"/>
          <w:rtl/>
        </w:rPr>
        <w:t>כוללת</w:t>
      </w:r>
      <w:r w:rsidRPr="003B5D33">
        <w:rPr>
          <w:rFonts w:eastAsia="Calibri" w:hint="cs"/>
          <w:rtl/>
        </w:rPr>
        <w:t xml:space="preserve"> גם</w:t>
      </w:r>
      <w:r w:rsidRPr="003B5D33">
        <w:rPr>
          <w:rFonts w:eastAsia="Calibri"/>
          <w:rtl/>
        </w:rPr>
        <w:t xml:space="preserve"> </w:t>
      </w:r>
      <w:r w:rsidRPr="003B5D33">
        <w:rPr>
          <w:rFonts w:eastAsia="Calibri" w:hint="cs"/>
          <w:rtl/>
        </w:rPr>
        <w:t xml:space="preserve">שורה של </w:t>
      </w:r>
      <w:r w:rsidRPr="003B5D33">
        <w:rPr>
          <w:rFonts w:eastAsia="Calibri"/>
          <w:rtl/>
        </w:rPr>
        <w:t>המלצות לשיפור תהליכי משילות מערכות המידע במשרד</w:t>
      </w:r>
      <w:r w:rsidRPr="003B5D33">
        <w:rPr>
          <w:rFonts w:eastAsia="Calibri" w:hint="cs"/>
          <w:rtl/>
        </w:rPr>
        <w:t xml:space="preserve"> וכן תיעדוף שלהן, תוך שימת דגש על צעדים שחייבים לנקוט (</w:t>
      </w:r>
      <w:r w:rsidRPr="003B5D33">
        <w:rPr>
          <w:rFonts w:eastAsia="Calibri"/>
        </w:rPr>
        <w:t>Must Have</w:t>
      </w:r>
      <w:r w:rsidRPr="003B5D33">
        <w:rPr>
          <w:rFonts w:eastAsia="Calibri" w:hint="cs"/>
          <w:rtl/>
        </w:rPr>
        <w:t>) והערכת תקציב ראשונית שנדרשת ליישומם.</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משרד מבקר המדינה מציין לחיוב את יוזמת המשרד לגיבוש הצעה לתוכנית אסטרטגית בתחום התקשוב בשנים 2023 - 2024. עם זאת, הביקורת העלתה כי על אף הפערים הניכרים שהתוכנית הציפה בנוגע לפעילות התקשובית במשרד החוץ ובהם פערים הנוגעים ל</w:t>
      </w:r>
      <w:r w:rsidRPr="003B5D33">
        <w:rPr>
          <w:rFonts w:eastAsia="Calibri"/>
          <w:b/>
          <w:bCs/>
          <w:rtl/>
        </w:rPr>
        <w:t xml:space="preserve">מבנה הארגוני, </w:t>
      </w:r>
      <w:r w:rsidRPr="003B5D33">
        <w:rPr>
          <w:rFonts w:eastAsia="Calibri" w:hint="cs"/>
          <w:b/>
          <w:bCs/>
          <w:rtl/>
        </w:rPr>
        <w:t>ל</w:t>
      </w:r>
      <w:r w:rsidRPr="003B5D33">
        <w:rPr>
          <w:rFonts w:eastAsia="Calibri"/>
          <w:b/>
          <w:bCs/>
          <w:rtl/>
        </w:rPr>
        <w:t xml:space="preserve">היקף כוח האדם המוקצה לתחום התקשוב, </w:t>
      </w:r>
      <w:r w:rsidRPr="003B5D33">
        <w:rPr>
          <w:rFonts w:eastAsia="Calibri" w:hint="cs"/>
          <w:b/>
          <w:bCs/>
          <w:rtl/>
        </w:rPr>
        <w:t>ל</w:t>
      </w:r>
      <w:r w:rsidRPr="003B5D33">
        <w:rPr>
          <w:rFonts w:eastAsia="Calibri"/>
          <w:b/>
          <w:bCs/>
          <w:rtl/>
        </w:rPr>
        <w:t xml:space="preserve">תהליכי העבודה, </w:t>
      </w:r>
      <w:r w:rsidRPr="003B5D33">
        <w:rPr>
          <w:rFonts w:eastAsia="Calibri" w:hint="cs"/>
          <w:b/>
          <w:bCs/>
          <w:rtl/>
        </w:rPr>
        <w:t>ל</w:t>
      </w:r>
      <w:r w:rsidRPr="003B5D33">
        <w:rPr>
          <w:rFonts w:eastAsia="Calibri"/>
          <w:b/>
          <w:bCs/>
          <w:rtl/>
        </w:rPr>
        <w:t>תשתיות הטכנולוגיות ו</w:t>
      </w:r>
      <w:r w:rsidRPr="003B5D33">
        <w:rPr>
          <w:rFonts w:eastAsia="Calibri" w:hint="cs"/>
          <w:b/>
          <w:bCs/>
          <w:rtl/>
        </w:rPr>
        <w:t>ל</w:t>
      </w:r>
      <w:r w:rsidRPr="003B5D33">
        <w:rPr>
          <w:rFonts w:eastAsia="Calibri"/>
          <w:b/>
          <w:bCs/>
          <w:rtl/>
        </w:rPr>
        <w:t>תקציב</w:t>
      </w:r>
      <w:r w:rsidRPr="003B5D33">
        <w:rPr>
          <w:rFonts w:eastAsia="Calibri" w:hint="cs"/>
          <w:b/>
          <w:bCs/>
          <w:rtl/>
        </w:rPr>
        <w:t xml:space="preserve"> התקשוב, עד פברואר 2025, יותר מתשעה חודשים ממועד הגשתה למשרד, התוכנית לא נדונה על ידי מנכ"ל המשרד או ב</w:t>
      </w:r>
      <w:r w:rsidRPr="003B5D33">
        <w:rPr>
          <w:rFonts w:eastAsia="Calibri"/>
          <w:b/>
          <w:bCs/>
          <w:rtl/>
        </w:rPr>
        <w:t>ו</w:t>
      </w:r>
      <w:r w:rsidRPr="003B5D33">
        <w:rPr>
          <w:rFonts w:eastAsia="Calibri" w:hint="cs"/>
          <w:b/>
          <w:bCs/>
          <w:rtl/>
        </w:rPr>
        <w:t>ו</w:t>
      </w:r>
      <w:r w:rsidRPr="003B5D33">
        <w:rPr>
          <w:rFonts w:eastAsia="Calibri"/>
          <w:b/>
          <w:bCs/>
          <w:rtl/>
        </w:rPr>
        <w:t xml:space="preserve">עדת </w:t>
      </w:r>
      <w:r w:rsidRPr="003B5D33">
        <w:rPr>
          <w:rFonts w:eastAsia="Calibri" w:hint="cs"/>
          <w:b/>
          <w:bCs/>
          <w:rtl/>
        </w:rPr>
        <w:t>ה</w:t>
      </w:r>
      <w:r w:rsidRPr="003B5D33">
        <w:rPr>
          <w:rFonts w:eastAsia="Calibri"/>
          <w:b/>
          <w:bCs/>
          <w:rtl/>
        </w:rPr>
        <w:t xml:space="preserve">היגוי </w:t>
      </w:r>
      <w:r w:rsidRPr="003B5D33">
        <w:rPr>
          <w:rFonts w:eastAsia="Calibri" w:hint="cs"/>
          <w:b/>
          <w:bCs/>
          <w:rtl/>
        </w:rPr>
        <w:t>ה</w:t>
      </w:r>
      <w:r w:rsidRPr="003B5D33">
        <w:rPr>
          <w:rFonts w:eastAsia="Calibri"/>
          <w:b/>
          <w:bCs/>
          <w:rtl/>
        </w:rPr>
        <w:t>משרדית לתקשוב</w:t>
      </w:r>
      <w:r w:rsidRPr="003B5D33">
        <w:rPr>
          <w:rFonts w:eastAsia="Calibri" w:hint="cs"/>
          <w:b/>
          <w:bCs/>
          <w:rtl/>
        </w:rPr>
        <w:t xml:space="preserve">, ולא נקבעו הצעדים הנדרשים למימושה.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מסר למשרד מבקר המדינה באוקטובר 2025 כי </w:t>
      </w:r>
      <w:r w:rsidRPr="003B5D33">
        <w:rPr>
          <w:rFonts w:eastAsia="Calibri"/>
          <w:rtl/>
        </w:rPr>
        <w:t xml:space="preserve">הפער הטכנולוגי נוצר בעקבות חסר של שנים </w:t>
      </w:r>
      <w:r w:rsidRPr="003B5D33">
        <w:rPr>
          <w:rFonts w:eastAsia="Calibri" w:hint="cs"/>
          <w:rtl/>
        </w:rPr>
        <w:t xml:space="preserve">בתקצוב </w:t>
      </w:r>
      <w:r w:rsidRPr="003B5D33">
        <w:rPr>
          <w:rFonts w:eastAsia="Calibri"/>
          <w:rtl/>
        </w:rPr>
        <w:t>למשרד החוץ בכלל ולאגף התקשוב בפרט.</w:t>
      </w:r>
      <w:r w:rsidRPr="003B5D33">
        <w:rPr>
          <w:rFonts w:eastAsia="Calibri" w:hint="cs"/>
          <w:rtl/>
        </w:rPr>
        <w:t xml:space="preserve"> מנכ"ל משרד החוץ מסר כי האתגרים העומדים בפניו, כפי שעמדו גם בפני קודמיו לתפקיד, ימשיכו להיות אתגרים של משאבים וסדרי עדיפויות, ובכלל זה תקציב מצומצם, כוח אדם שאינו מספק ומערכות שנדרש לשדרגן. עוד מסר המנכ"ל כי הוא הורה לסמנכ"ל תקשוב להציג תכנית עבודה לתיקון הליקויים.</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לנוכח האתגרים הייחודיים שעימם מתמודד כאמור אגף התקשוב במשרד החוץ, ולנוכח הצורך הדחוף בקידום הפעילות התקשובית במשרד וטיפול בפערים ובחסמים שהועלו במסגרת התוכנית האסטרטגית, על מנכ"ל משרד החוץ להידרש לנושא בהקדם, לכנס את ועדת ההיגוי המשרדית לשם דיון בתוכנית האסטרטגית ובהשלכותיה, ולקדם את קבלת ההחלטות הנדרשות לטיפול ולצמצום הפערים שהועלו, כמו גם לקביעת לוחות זמנים ותקציב נדרש לטובת הנושא.</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 xml:space="preserve">יש לתת את הדעת </w:t>
      </w:r>
      <w:r w:rsidRPr="003B5D33">
        <w:rPr>
          <w:rFonts w:eastAsia="Calibri" w:hint="cs"/>
          <w:b/>
          <w:bCs/>
          <w:rtl/>
        </w:rPr>
        <w:t>שאם לא יתקבלו החלטות ולא יינקטו בהקדם צעדים להתמודדות עם הפערים שהועלו בתוכנית האסטרטגית</w:t>
      </w:r>
      <w:r w:rsidRPr="003B5D33">
        <w:rPr>
          <w:rFonts w:eastAsia="Calibri"/>
          <w:b/>
          <w:bCs/>
          <w:rtl/>
        </w:rPr>
        <w:t xml:space="preserve">, הפערים </w:t>
      </w:r>
      <w:r w:rsidRPr="003B5D33">
        <w:rPr>
          <w:rFonts w:eastAsia="Calibri" w:hint="cs"/>
          <w:b/>
          <w:bCs/>
          <w:rtl/>
        </w:rPr>
        <w:t>שהוצפו</w:t>
      </w:r>
      <w:r w:rsidRPr="003B5D33">
        <w:rPr>
          <w:rFonts w:eastAsia="Calibri"/>
          <w:b/>
          <w:bCs/>
          <w:rtl/>
        </w:rPr>
        <w:t xml:space="preserve"> </w:t>
      </w:r>
      <w:r w:rsidRPr="003B5D33">
        <w:rPr>
          <w:rFonts w:eastAsia="Calibri" w:hint="cs"/>
          <w:b/>
          <w:bCs/>
          <w:rtl/>
        </w:rPr>
        <w:t>עלולים לגדול ולפגוע</w:t>
      </w:r>
      <w:r w:rsidRPr="003B5D33">
        <w:rPr>
          <w:rFonts w:eastAsia="Calibri"/>
          <w:b/>
          <w:bCs/>
          <w:rtl/>
        </w:rPr>
        <w:t xml:space="preserve"> ביכולת אגף </w:t>
      </w:r>
      <w:r w:rsidRPr="003B5D33">
        <w:rPr>
          <w:rFonts w:eastAsia="Calibri" w:hint="cs"/>
          <w:b/>
          <w:bCs/>
          <w:rtl/>
        </w:rPr>
        <w:t xml:space="preserve">התקשוב </w:t>
      </w:r>
      <w:r w:rsidRPr="003B5D33">
        <w:rPr>
          <w:rFonts w:eastAsia="Calibri"/>
          <w:b/>
          <w:bCs/>
          <w:rtl/>
        </w:rPr>
        <w:t>לתת מענה ראוי ואיכותי לצ</w:t>
      </w:r>
      <w:r w:rsidRPr="003B5D33">
        <w:rPr>
          <w:rFonts w:eastAsia="Calibri" w:hint="cs"/>
          <w:b/>
          <w:bCs/>
          <w:rtl/>
        </w:rPr>
        <w:t>ו</w:t>
      </w:r>
      <w:r w:rsidRPr="003B5D33">
        <w:rPr>
          <w:rFonts w:eastAsia="Calibri"/>
          <w:b/>
          <w:bCs/>
          <w:rtl/>
        </w:rPr>
        <w:t>רכי המשרד</w:t>
      </w:r>
      <w:r w:rsidRPr="003B5D33">
        <w:rPr>
          <w:rFonts w:eastAsia="Calibri" w:hint="cs"/>
          <w:b/>
          <w:bCs/>
          <w:rtl/>
        </w:rPr>
        <w:t xml:space="preserve"> כמו גם לשירות לציבור.</w:t>
      </w:r>
    </w:p>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11" w:name="_Toc218592793"/>
      <w:r w:rsidRPr="003B5D33">
        <w:rPr>
          <w:rFonts w:eastAsia="Times New Roman" w:hint="cs"/>
          <w:bCs/>
          <w:szCs w:val="28"/>
          <w:u w:val="single"/>
          <w:rtl/>
        </w:rPr>
        <w:t>תקציב אגף התקשוב</w:t>
      </w:r>
      <w:bookmarkEnd w:id="11"/>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תקציב </w:t>
      </w:r>
      <w:r w:rsidRPr="003B5D33">
        <w:rPr>
          <w:rFonts w:eastAsia="Calibri" w:hint="cs"/>
          <w:rtl/>
        </w:rPr>
        <w:t>אגף התקשוב הוא</w:t>
      </w:r>
      <w:r w:rsidRPr="003B5D33">
        <w:rPr>
          <w:rFonts w:eastAsia="Calibri"/>
          <w:rtl/>
        </w:rPr>
        <w:t xml:space="preserve"> הבסיס לניהול אפקטיבי של המשאבים הטכנולוגיים, תוך שמירה על איזון בין </w:t>
      </w:r>
      <w:r w:rsidRPr="003B5D33">
        <w:rPr>
          <w:rFonts w:eastAsia="Calibri" w:hint="cs"/>
          <w:rtl/>
        </w:rPr>
        <w:t>קיום התהליכים העסקיים השוטפים, מענה ל</w:t>
      </w:r>
      <w:r w:rsidRPr="003B5D33">
        <w:rPr>
          <w:rFonts w:eastAsia="Calibri"/>
          <w:rtl/>
        </w:rPr>
        <w:t>דרישות עסקיות</w:t>
      </w:r>
      <w:r w:rsidRPr="003B5D33">
        <w:rPr>
          <w:rFonts w:eastAsia="Calibri" w:hint="cs"/>
          <w:rtl/>
        </w:rPr>
        <w:t xml:space="preserve"> חדשות</w:t>
      </w:r>
      <w:r w:rsidRPr="003B5D33">
        <w:rPr>
          <w:rFonts w:eastAsia="Calibri"/>
          <w:rtl/>
        </w:rPr>
        <w:t xml:space="preserve">, </w:t>
      </w:r>
      <w:r w:rsidRPr="003B5D33">
        <w:rPr>
          <w:rFonts w:eastAsia="Calibri" w:hint="cs"/>
          <w:rtl/>
        </w:rPr>
        <w:t>שימוש ב</w:t>
      </w:r>
      <w:r w:rsidRPr="003B5D33">
        <w:rPr>
          <w:rFonts w:eastAsia="Calibri"/>
          <w:rtl/>
        </w:rPr>
        <w:t>טכנולוגיות חדשות ו</w:t>
      </w:r>
      <w:r w:rsidRPr="003B5D33">
        <w:rPr>
          <w:rFonts w:eastAsia="Calibri" w:hint="cs"/>
          <w:rtl/>
        </w:rPr>
        <w:t xml:space="preserve">השגת </w:t>
      </w:r>
      <w:r w:rsidRPr="003B5D33">
        <w:rPr>
          <w:rFonts w:eastAsia="Calibri"/>
          <w:rtl/>
        </w:rPr>
        <w:t xml:space="preserve">יעילות כלכלית.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במאי 2024 שלח מנהל אגף התקשוב למנכ"ל משרד החוץ דאז מסמך שעניינו "משבר תקצוב לשנת 2024". מהמסמך עולה כי תקציב ההוצאות הקשיחות של האגף עומד על סך של כ-103 מיליון ש"ח, ואילו בפועל תקציב האגף לשנת 2024 הועמד על כ-85.3 מיליון ש"ח. כלומר, מהמסמך עולה כי האגף מתוקצב בתקציב חסר של כ-18 מיליון ש"ח, תקציב שאינו מכסה לדבריו את ההוצאות הקשיחות של האגף, ואף אינו מאפשר שדרוג ותחזוקה של מערכות, התמודדות עם אתגרים בתחום הסייבר, מעבר לענן ושימוש בכלי בינה מלאכותית לפעילות דיפלומטית. עוד צוין במסמך כי לקראת דיוני תקציב 2024 העביר האגף בקשה לקבלת תקציב של כ-132.5 מיליון ש"ח, וכי לצורך עמידה בהוצאות הקשיחות, בתוכנית העבודה וביעדי המשרד יש צורך בתקצוב נוסף של לפחות 20 מיליון ש"ח (מעבר לתקציב שהועמד כאמור לרשות האגף).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המסמך כולל פירוט של 14 פרויקטים שפיתוחם יוקפא או יתעכב בהיעדר תקציב בתוכנית העבודה לשנת 2024, ובכלל זאת: שדרוג מערכת מרכב"ה חדשה בנציגויות; האטה בפיתוח המערכת החדשה לניהול הפעילות הקונסולרית, </w:t>
      </w:r>
      <w:r w:rsidRPr="003B5D33">
        <w:rPr>
          <w:rFonts w:eastAsia="Calibri"/>
          <w:rtl/>
        </w:rPr>
        <w:t>(</w:t>
      </w:r>
      <w:r w:rsidRPr="003B5D33">
        <w:rPr>
          <w:rFonts w:eastAsia="Calibri" w:hint="cs"/>
          <w:rtl/>
        </w:rPr>
        <w:t>להרחבה בעניין מערכת זו ראו בהמשך); עצירת פיתוח מערכת חדשה (מערכת תנאי שירות); עלייה לענן - אי-פיתוח מערכות שהיו בתוכנית השנתית ועצירת התקשרות עם ספקים וחברות בתחום.</w:t>
      </w:r>
    </w:p>
    <w:p w:rsidR="003B5D33" w:rsidRPr="003B5D33" w:rsidP="003B5D33">
      <w:pPr>
        <w:spacing w:line="269" w:lineRule="auto"/>
        <w:rPr>
          <w:rFonts w:eastAsia="Calibri"/>
          <w:rtl/>
        </w:rPr>
      </w:pPr>
    </w:p>
    <w:p w:rsidR="003B5D33" w:rsidRPr="003B5D33" w:rsidP="002E058E">
      <w:pPr>
        <w:keepNext/>
        <w:keepLines/>
        <w:spacing w:line="360" w:lineRule="auto"/>
        <w:jc w:val="center"/>
        <w:rPr>
          <w:rFonts w:eastAsia="Calibri"/>
          <w:b/>
          <w:bCs/>
          <w:rtl/>
        </w:rPr>
      </w:pPr>
      <w:r w:rsidRPr="003B5D33">
        <w:rPr>
          <w:rFonts w:eastAsia="Calibri" w:hint="eastAsia"/>
          <w:rtl/>
        </w:rPr>
        <w:t>תרשים</w:t>
      </w:r>
      <w:r w:rsidRPr="003B5D33">
        <w:rPr>
          <w:rFonts w:eastAsia="Calibri" w:hint="cs"/>
          <w:rtl/>
        </w:rPr>
        <w:t xml:space="preserve"> 4</w:t>
      </w:r>
      <w:r w:rsidRPr="003B5D33">
        <w:rPr>
          <w:rFonts w:eastAsia="Calibri"/>
          <w:rtl/>
        </w:rPr>
        <w:t>:</w:t>
      </w:r>
      <w:r w:rsidRPr="003B5D33">
        <w:rPr>
          <w:rFonts w:eastAsia="Calibri" w:hint="cs"/>
          <w:b/>
          <w:bCs/>
          <w:rtl/>
        </w:rPr>
        <w:t xml:space="preserve"> </w:t>
      </w:r>
      <w:r w:rsidRPr="003B5D33">
        <w:rPr>
          <w:rFonts w:eastAsia="Calibri"/>
          <w:b/>
          <w:bCs/>
          <w:rtl/>
        </w:rPr>
        <w:t xml:space="preserve">פרויקטים שפיתוחם </w:t>
      </w:r>
      <w:r w:rsidRPr="003B5D33">
        <w:rPr>
          <w:rFonts w:eastAsia="Calibri" w:hint="cs"/>
          <w:b/>
          <w:bCs/>
          <w:rtl/>
        </w:rPr>
        <w:t>י</w:t>
      </w:r>
      <w:r w:rsidRPr="003B5D33">
        <w:rPr>
          <w:rFonts w:eastAsia="Calibri"/>
          <w:b/>
          <w:bCs/>
          <w:rtl/>
        </w:rPr>
        <w:t>וקפא או יתעכב בה</w:t>
      </w:r>
      <w:r w:rsidRPr="003B5D33">
        <w:rPr>
          <w:rFonts w:eastAsia="Calibri" w:hint="cs"/>
          <w:b/>
          <w:bCs/>
          <w:rtl/>
        </w:rPr>
        <w:t>י</w:t>
      </w:r>
      <w:r w:rsidRPr="003B5D33">
        <w:rPr>
          <w:rFonts w:eastAsia="Calibri"/>
          <w:b/>
          <w:bCs/>
          <w:rtl/>
        </w:rPr>
        <w:t>עדר תקציב בתוכנית העבודה לשנת 2024</w:t>
      </w:r>
    </w:p>
    <w:p w:rsidR="003B5D33" w:rsidRPr="003B5D33" w:rsidP="003B5D33">
      <w:pPr>
        <w:spacing w:line="269" w:lineRule="auto"/>
        <w:jc w:val="center"/>
        <w:rPr>
          <w:rFonts w:eastAsia="Calibri"/>
          <w:sz w:val="16"/>
          <w:szCs w:val="20"/>
          <w:rtl/>
        </w:rPr>
      </w:pPr>
      <w:r w:rsidRPr="003B5D33">
        <w:rPr>
          <w:rFonts w:eastAsia="Calibri"/>
          <w:noProof/>
        </w:rPr>
        <w:drawing>
          <wp:inline distT="0" distB="0" distL="0" distR="0">
            <wp:extent cx="4441825" cy="3524492"/>
            <wp:effectExtent l="0" t="0" r="0" b="0"/>
            <wp:docPr id="8" name="תמונה 8" descr="האטה משמעותית בפיתוח המערכת הקונסולרית;&#10;אי-פיתוח מערכות שהיו בתוכנית השנתית;&#10;עצירת התקשרות עם ספקים במסגרת היערכות המשרד לשינויים טכנולוגיים;&#10;הקפאת הקמת אתר חיוני;&#10;שדרוג מערכת מרכבה בנציגויות;&#10;פגיעה ברכש מערכות חיוניות;&#10;עצירת רכש מערכת חלופית למערכת חופשות שקרסה;&#10;שינוי תשתית מערכת הכספים;&#10;אי-סיום פרויקט השתלמויות וקורסים;&#10;אי-קידום התאמת המערכות להסכם העובדים החדש;&#10;אי-אישור התקשרות לקידום מערכת לניהול תורים וחוזים;&#10;הקפאת מכרז למערכת הסעדה;&#10;עצירת פיתוח מערכת תנאי שירות;&#10;הפסקת שדרוג מערכ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t="8177" b="7414"/>
                    <a:stretch>
                      <a:fillRect/>
                    </a:stretch>
                  </pic:blipFill>
                  <pic:spPr bwMode="auto">
                    <a:xfrm>
                      <a:off x="0" y="0"/>
                      <a:ext cx="4451580" cy="353223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3B5D33" w:rsidRPr="003B5D33" w:rsidP="003B5D33">
      <w:pPr>
        <w:spacing w:line="269" w:lineRule="auto"/>
        <w:jc w:val="left"/>
        <w:rPr>
          <w:rFonts w:eastAsia="Calibri"/>
          <w:sz w:val="16"/>
          <w:szCs w:val="20"/>
          <w:rtl/>
        </w:rPr>
      </w:pPr>
      <w:r w:rsidRPr="003B5D33">
        <w:rPr>
          <w:rFonts w:eastAsia="Calibri" w:hint="eastAsia"/>
          <w:sz w:val="16"/>
          <w:szCs w:val="20"/>
          <w:rtl/>
        </w:rPr>
        <w:t>על</w:t>
      </w:r>
      <w:r w:rsidRPr="003B5D33">
        <w:rPr>
          <w:rFonts w:eastAsia="Calibri"/>
          <w:sz w:val="16"/>
          <w:szCs w:val="20"/>
          <w:rtl/>
        </w:rPr>
        <w:t xml:space="preserve"> פי </w:t>
      </w:r>
      <w:r w:rsidRPr="003B5D33">
        <w:rPr>
          <w:rFonts w:eastAsia="Calibri" w:hint="eastAsia"/>
          <w:sz w:val="16"/>
          <w:szCs w:val="20"/>
          <w:rtl/>
        </w:rPr>
        <w:t>מסמכי</w:t>
      </w:r>
      <w:r w:rsidRPr="003B5D33">
        <w:rPr>
          <w:rFonts w:eastAsia="Calibri"/>
          <w:sz w:val="16"/>
          <w:szCs w:val="20"/>
          <w:rtl/>
        </w:rPr>
        <w:t xml:space="preserve"> </w:t>
      </w:r>
      <w:r w:rsidRPr="003B5D33">
        <w:rPr>
          <w:rFonts w:eastAsia="Calibri" w:hint="eastAsia"/>
          <w:sz w:val="16"/>
          <w:szCs w:val="20"/>
          <w:rtl/>
        </w:rPr>
        <w:t>משרד</w:t>
      </w:r>
      <w:r w:rsidRPr="003B5D33">
        <w:rPr>
          <w:rFonts w:eastAsia="Calibri"/>
          <w:sz w:val="16"/>
          <w:szCs w:val="20"/>
          <w:rtl/>
        </w:rPr>
        <w:t xml:space="preserve"> </w:t>
      </w:r>
      <w:r w:rsidRPr="003B5D33">
        <w:rPr>
          <w:rFonts w:eastAsia="Calibri" w:hint="eastAsia"/>
          <w:sz w:val="16"/>
          <w:szCs w:val="20"/>
          <w:rtl/>
        </w:rPr>
        <w:t>החוץ</w:t>
      </w:r>
      <w:r w:rsidRPr="003B5D33">
        <w:rPr>
          <w:rFonts w:eastAsia="Calibri"/>
          <w:sz w:val="16"/>
          <w:szCs w:val="20"/>
          <w:rtl/>
        </w:rPr>
        <w:t xml:space="preserve">, </w:t>
      </w:r>
      <w:r w:rsidRPr="003B5D33">
        <w:rPr>
          <w:rFonts w:eastAsia="Calibri" w:hint="eastAsia"/>
          <w:sz w:val="16"/>
          <w:szCs w:val="20"/>
          <w:rtl/>
        </w:rPr>
        <w:t>בעיבוד</w:t>
      </w:r>
      <w:r w:rsidRPr="003B5D33">
        <w:rPr>
          <w:rFonts w:eastAsia="Calibri"/>
          <w:sz w:val="16"/>
          <w:szCs w:val="20"/>
          <w:rtl/>
        </w:rPr>
        <w:t xml:space="preserve"> </w:t>
      </w:r>
      <w:r w:rsidRPr="003B5D33">
        <w:rPr>
          <w:rFonts w:eastAsia="Calibri" w:hint="eastAsia"/>
          <w:sz w:val="16"/>
          <w:szCs w:val="20"/>
          <w:rtl/>
        </w:rPr>
        <w:t>משרד</w:t>
      </w:r>
      <w:r w:rsidRPr="003B5D33">
        <w:rPr>
          <w:rFonts w:eastAsia="Calibri"/>
          <w:sz w:val="16"/>
          <w:szCs w:val="20"/>
          <w:rtl/>
        </w:rPr>
        <w:t xml:space="preserve"> </w:t>
      </w:r>
      <w:r w:rsidRPr="003B5D33">
        <w:rPr>
          <w:rFonts w:eastAsia="Calibri" w:hint="eastAsia"/>
          <w:sz w:val="16"/>
          <w:szCs w:val="20"/>
          <w:rtl/>
        </w:rPr>
        <w:t>מבקר</w:t>
      </w:r>
      <w:r w:rsidRPr="003B5D33">
        <w:rPr>
          <w:rFonts w:eastAsia="Calibri"/>
          <w:sz w:val="16"/>
          <w:szCs w:val="20"/>
          <w:rtl/>
        </w:rPr>
        <w:t xml:space="preserve"> </w:t>
      </w:r>
      <w:r w:rsidRPr="003B5D33">
        <w:rPr>
          <w:rFonts w:eastAsia="Calibri" w:hint="eastAsia"/>
          <w:sz w:val="16"/>
          <w:szCs w:val="20"/>
          <w:rtl/>
        </w:rPr>
        <w:t>המדינה</w:t>
      </w:r>
      <w:r w:rsidRPr="003B5D33">
        <w:rPr>
          <w:rFonts w:eastAsia="Calibri"/>
          <w:sz w:val="16"/>
          <w:szCs w:val="20"/>
          <w:rtl/>
        </w:rPr>
        <w:t>.</w:t>
      </w:r>
    </w:p>
    <w:p w:rsidR="003B5D33" w:rsidRPr="003B5D33" w:rsidP="003B5D33">
      <w:pPr>
        <w:spacing w:line="269" w:lineRule="auto"/>
        <w:jc w:val="left"/>
        <w:rPr>
          <w:rFonts w:eastAsia="Calibri"/>
          <w:sz w:val="16"/>
          <w:szCs w:val="20"/>
          <w:rtl/>
        </w:rPr>
      </w:pPr>
    </w:p>
    <w:p w:rsidR="003B5D33" w:rsidRPr="003B5D33" w:rsidP="003B5D33">
      <w:pPr>
        <w:spacing w:line="269" w:lineRule="auto"/>
        <w:rPr>
          <w:rFonts w:eastAsia="Calibri"/>
          <w:rtl/>
        </w:rPr>
      </w:pPr>
      <w:r w:rsidRPr="003B5D33">
        <w:rPr>
          <w:rFonts w:eastAsia="Calibri" w:hint="cs"/>
          <w:rtl/>
        </w:rPr>
        <w:t>תיאור התקציב החסר בא לידי ביטוי גם בכמה פניות שהוציא מנהל אגף התקשוב במסגרת ההיערכות לשנת 2025 לכמה מנהלי יחידות, ובמסגרתן ריכז את</w:t>
      </w:r>
      <w:r w:rsidRPr="003B5D33">
        <w:rPr>
          <w:rFonts w:eastAsia="Calibri"/>
          <w:rtl/>
        </w:rPr>
        <w:t xml:space="preserve"> </w:t>
      </w:r>
      <w:r w:rsidRPr="003B5D33">
        <w:rPr>
          <w:rFonts w:eastAsia="Calibri" w:hint="cs"/>
          <w:rtl/>
        </w:rPr>
        <w:t>ה</w:t>
      </w:r>
      <w:r w:rsidRPr="003B5D33">
        <w:rPr>
          <w:rFonts w:eastAsia="Calibri"/>
          <w:rtl/>
        </w:rPr>
        <w:t xml:space="preserve">עלויות </w:t>
      </w:r>
      <w:r w:rsidRPr="003B5D33">
        <w:rPr>
          <w:rFonts w:eastAsia="Calibri" w:hint="cs"/>
          <w:rtl/>
        </w:rPr>
        <w:t>ה</w:t>
      </w:r>
      <w:r w:rsidRPr="003B5D33">
        <w:rPr>
          <w:rFonts w:eastAsia="Calibri"/>
          <w:rtl/>
        </w:rPr>
        <w:t>נדרשות לטובת</w:t>
      </w:r>
      <w:r w:rsidRPr="003B5D33">
        <w:rPr>
          <w:rFonts w:eastAsia="Calibri" w:hint="cs"/>
          <w:rtl/>
        </w:rPr>
        <w:t xml:space="preserve"> פיתוח,</w:t>
      </w:r>
      <w:r w:rsidRPr="003B5D33">
        <w:rPr>
          <w:rFonts w:eastAsia="Calibri"/>
          <w:rtl/>
        </w:rPr>
        <w:t xml:space="preserve"> תחזוקה ותמיכה </w:t>
      </w:r>
      <w:r w:rsidRPr="003B5D33">
        <w:rPr>
          <w:rFonts w:eastAsia="Calibri" w:hint="cs"/>
          <w:rtl/>
        </w:rPr>
        <w:t>ב</w:t>
      </w:r>
      <w:r w:rsidRPr="003B5D33">
        <w:rPr>
          <w:rFonts w:eastAsia="Calibri"/>
          <w:rtl/>
        </w:rPr>
        <w:t>מערכות</w:t>
      </w:r>
      <w:r w:rsidRPr="003B5D33">
        <w:rPr>
          <w:rFonts w:eastAsia="Calibri" w:hint="cs"/>
          <w:rtl/>
        </w:rPr>
        <w:t xml:space="preserve"> שנמצאות בשימוש על ידן. עוד ציין כי </w:t>
      </w:r>
      <w:r w:rsidRPr="003B5D33">
        <w:rPr>
          <w:rFonts w:eastAsia="Calibri"/>
          <w:rtl/>
        </w:rPr>
        <w:t>קידום הפרויקטים מותנה ב</w:t>
      </w:r>
      <w:r w:rsidRPr="003B5D33">
        <w:rPr>
          <w:rFonts w:eastAsia="Calibri" w:hint="cs"/>
          <w:rtl/>
        </w:rPr>
        <w:t xml:space="preserve">הקצאת </w:t>
      </w:r>
      <w:r w:rsidRPr="003B5D33">
        <w:rPr>
          <w:rFonts w:eastAsia="Calibri"/>
          <w:rtl/>
        </w:rPr>
        <w:t xml:space="preserve">תקציב ייעודי </w:t>
      </w:r>
      <w:r w:rsidRPr="003B5D33">
        <w:rPr>
          <w:rFonts w:eastAsia="Calibri" w:hint="cs"/>
          <w:rtl/>
        </w:rPr>
        <w:t>על ידם,</w:t>
      </w:r>
      <w:r w:rsidRPr="003B5D33">
        <w:rPr>
          <w:rFonts w:eastAsia="Calibri"/>
          <w:rtl/>
        </w:rPr>
        <w:t xml:space="preserve"> </w:t>
      </w:r>
      <w:r w:rsidRPr="003B5D33">
        <w:rPr>
          <w:rFonts w:eastAsia="Calibri" w:hint="cs"/>
          <w:rtl/>
        </w:rPr>
        <w:t>וש</w:t>
      </w:r>
      <w:r w:rsidRPr="003B5D33">
        <w:rPr>
          <w:rFonts w:eastAsia="Calibri"/>
          <w:rtl/>
        </w:rPr>
        <w:t xml:space="preserve">ללא תקצוב זה לא </w:t>
      </w:r>
      <w:r w:rsidRPr="003B5D33">
        <w:rPr>
          <w:rFonts w:eastAsia="Calibri" w:hint="cs"/>
          <w:rtl/>
        </w:rPr>
        <w:t xml:space="preserve">יהיה </w:t>
      </w:r>
      <w:r w:rsidRPr="003B5D33">
        <w:rPr>
          <w:rFonts w:eastAsia="Calibri"/>
          <w:rtl/>
        </w:rPr>
        <w:t>ניתן</w:t>
      </w:r>
      <w:r w:rsidRPr="003B5D33">
        <w:rPr>
          <w:rFonts w:eastAsia="Calibri" w:hint="cs"/>
          <w:rtl/>
        </w:rPr>
        <w:t xml:space="preserve"> </w:t>
      </w:r>
      <w:r w:rsidRPr="003B5D33">
        <w:rPr>
          <w:rFonts w:eastAsia="Calibri"/>
          <w:rtl/>
        </w:rPr>
        <w:t xml:space="preserve">להתקדם </w:t>
      </w:r>
      <w:r w:rsidRPr="003B5D33">
        <w:rPr>
          <w:rFonts w:eastAsia="Calibri" w:hint="cs"/>
          <w:rtl/>
        </w:rPr>
        <w:t>ל</w:t>
      </w:r>
      <w:r w:rsidRPr="003B5D33">
        <w:rPr>
          <w:rFonts w:eastAsia="Calibri"/>
          <w:rtl/>
        </w:rPr>
        <w:t xml:space="preserve">שדרוג ופיתוח </w:t>
      </w:r>
      <w:r w:rsidRPr="003B5D33">
        <w:rPr>
          <w:rFonts w:eastAsia="Calibri" w:hint="cs"/>
          <w:rtl/>
        </w:rPr>
        <w:t xml:space="preserve">של </w:t>
      </w:r>
      <w:r w:rsidRPr="003B5D33">
        <w:rPr>
          <w:rFonts w:eastAsia="Calibri"/>
          <w:rtl/>
        </w:rPr>
        <w:t>מערכות חדשות</w:t>
      </w:r>
      <w:r w:rsidRPr="003B5D33">
        <w:rPr>
          <w:rFonts w:eastAsia="Calibri" w:hint="cs"/>
          <w:rtl/>
        </w:rPr>
        <w:t>.</w:t>
      </w:r>
    </w:p>
    <w:p w:rsidR="003B5D33" w:rsidRPr="003B5D33" w:rsidP="003B5D33">
      <w:pPr>
        <w:spacing w:line="269" w:lineRule="auto"/>
        <w:rPr>
          <w:rFonts w:eastAsia="Calibri"/>
          <w:rtl/>
        </w:rPr>
      </w:pPr>
      <w:r w:rsidRPr="003B5D33">
        <w:rPr>
          <w:rFonts w:eastAsia="Calibri" w:hint="cs"/>
          <w:rtl/>
        </w:rPr>
        <w:t>היעדר תקצוב מספק עלה גם במסגרת התוכנית האסטרטגית. בתוכנית הוצג שהאגף נמצא ב"חוב טכנולוגי עצום שמשתק את יכולתו לנוע קדימה". בניתוח שמוצג במסמך עלה כי בהתייחס ל</w:t>
      </w:r>
      <w:r w:rsidRPr="003B5D33">
        <w:rPr>
          <w:rFonts w:eastAsia="Calibri"/>
          <w:rtl/>
        </w:rPr>
        <w:t xml:space="preserve">שיעור הוצאות תקשוב שוטפות </w:t>
      </w:r>
      <w:r w:rsidRPr="003B5D33">
        <w:rPr>
          <w:rFonts w:eastAsia="Calibri" w:hint="cs"/>
          <w:rtl/>
        </w:rPr>
        <w:t>(</w:t>
      </w:r>
      <w:r w:rsidRPr="003B5D33">
        <w:rPr>
          <w:rFonts w:eastAsia="Calibri"/>
        </w:rPr>
        <w:t>OPEX</w:t>
      </w:r>
      <w:r w:rsidRPr="003B5D33">
        <w:rPr>
          <w:rFonts w:eastAsia="Calibri" w:hint="cs"/>
          <w:rtl/>
        </w:rPr>
        <w:t>)</w:t>
      </w:r>
      <w:r w:rsidRPr="003B5D33">
        <w:rPr>
          <w:rFonts w:eastAsia="Calibri"/>
          <w:rtl/>
        </w:rPr>
        <w:t xml:space="preserve"> אל מול השקעות</w:t>
      </w:r>
      <w:r w:rsidRPr="003B5D33">
        <w:rPr>
          <w:rFonts w:eastAsia="Calibri" w:hint="cs"/>
          <w:rtl/>
        </w:rPr>
        <w:t xml:space="preserve"> </w:t>
      </w:r>
      <w:r w:rsidRPr="003B5D33">
        <w:rPr>
          <w:rFonts w:eastAsia="Calibri"/>
          <w:rtl/>
        </w:rPr>
        <w:t>(</w:t>
      </w:r>
      <w:r w:rsidRPr="003B5D33">
        <w:rPr>
          <w:rFonts w:eastAsia="Calibri"/>
        </w:rPr>
        <w:t>(CAPEX</w:t>
      </w:r>
      <w:r w:rsidRPr="003B5D33">
        <w:rPr>
          <w:rFonts w:eastAsia="Calibri" w:hint="cs"/>
          <w:rtl/>
        </w:rPr>
        <w:t xml:space="preserve">, </w:t>
      </w:r>
      <w:r w:rsidRPr="003B5D33">
        <w:rPr>
          <w:rFonts w:eastAsia="Calibri"/>
          <w:rtl/>
        </w:rPr>
        <w:t xml:space="preserve">שיעור הוצאות תקשוב </w:t>
      </w:r>
      <w:r w:rsidRPr="003B5D33">
        <w:rPr>
          <w:rFonts w:eastAsia="Calibri" w:hint="cs"/>
          <w:rtl/>
        </w:rPr>
        <w:t>ה</w:t>
      </w:r>
      <w:r w:rsidRPr="003B5D33">
        <w:rPr>
          <w:rFonts w:eastAsia="Calibri"/>
          <w:rtl/>
        </w:rPr>
        <w:t>שוטפות</w:t>
      </w:r>
      <w:r w:rsidRPr="003B5D33">
        <w:rPr>
          <w:rFonts w:eastAsia="Calibri" w:hint="cs"/>
          <w:rtl/>
        </w:rPr>
        <w:t xml:space="preserve"> עומד במשרד החוץ על כ-</w:t>
      </w:r>
      <w:r w:rsidRPr="003B5D33">
        <w:rPr>
          <w:rFonts w:ascii="David" w:eastAsia="Calibri" w:hAnsi="David"/>
          <w:sz w:val="24"/>
        </w:rPr>
        <w:t>98%</w:t>
      </w:r>
      <w:r w:rsidRPr="003B5D33">
        <w:rPr>
          <w:rFonts w:ascii="David" w:eastAsia="Calibri" w:hAnsi="David"/>
          <w:sz w:val="24"/>
          <w:rtl/>
        </w:rPr>
        <w:t xml:space="preserve"> </w:t>
      </w:r>
      <w:r w:rsidRPr="003B5D33">
        <w:rPr>
          <w:rFonts w:eastAsia="Calibri" w:hint="cs"/>
          <w:rtl/>
        </w:rPr>
        <w:t>מתוך סך תקציב התקשוב, ואילו ממוצע</w:t>
      </w:r>
      <w:r w:rsidRPr="003B5D33">
        <w:rPr>
          <w:rFonts w:eastAsia="Calibri"/>
          <w:rtl/>
        </w:rPr>
        <w:t xml:space="preserve"> הוצאות </w:t>
      </w:r>
      <w:r w:rsidRPr="003B5D33">
        <w:rPr>
          <w:rFonts w:eastAsia="Calibri" w:hint="cs"/>
          <w:rtl/>
        </w:rPr>
        <w:t>ה</w:t>
      </w:r>
      <w:r w:rsidRPr="003B5D33">
        <w:rPr>
          <w:rFonts w:eastAsia="Calibri"/>
          <w:rtl/>
        </w:rPr>
        <w:t xml:space="preserve">תקשוב </w:t>
      </w:r>
      <w:r w:rsidRPr="003B5D33">
        <w:rPr>
          <w:rFonts w:eastAsia="Calibri" w:hint="cs"/>
          <w:rtl/>
        </w:rPr>
        <w:t>ה</w:t>
      </w:r>
      <w:r w:rsidRPr="003B5D33">
        <w:rPr>
          <w:rFonts w:eastAsia="Calibri"/>
          <w:rtl/>
        </w:rPr>
        <w:t>שוטפות</w:t>
      </w:r>
      <w:r w:rsidRPr="003B5D33">
        <w:rPr>
          <w:rFonts w:eastAsia="Calibri" w:hint="cs"/>
          <w:rtl/>
        </w:rPr>
        <w:t xml:space="preserve"> במשרדי הממשלה בישראל עומד על כ-44%. עוד עולה מהמסמך ששיעור עובדי התקשוב מתוך כלל עובדי המשרד במשרד החוץ הוא 4.1%, ואילו הממוצע במשרדי הממשלה הוא 9.8%. פערי כוח אדם ניכרים בתחומי התשתיות והתמיכה ובטכנאים הוצגו גם בסקר הסיכונים, שבו צוין כי </w:t>
      </w:r>
      <w:r w:rsidRPr="003B5D33">
        <w:rPr>
          <w:rFonts w:eastAsia="Calibri"/>
          <w:rtl/>
        </w:rPr>
        <w:t>היחס של כמות הטכנאים למספר המשתמשים יוצר עומסים רבים ודחי</w:t>
      </w:r>
      <w:r w:rsidRPr="003B5D33">
        <w:rPr>
          <w:rFonts w:eastAsia="Calibri" w:hint="cs"/>
          <w:rtl/>
        </w:rPr>
        <w:t>י</w:t>
      </w:r>
      <w:r w:rsidRPr="003B5D33">
        <w:rPr>
          <w:rFonts w:eastAsia="Calibri"/>
          <w:rtl/>
        </w:rPr>
        <w:t>ה במענה לקריאות</w:t>
      </w:r>
      <w:r w:rsidRPr="003B5D33">
        <w:rPr>
          <w:rFonts w:eastAsia="Calibri" w:hint="cs"/>
          <w:rtl/>
        </w:rPr>
        <w:t xml:space="preserve">. </w:t>
      </w:r>
    </w:p>
    <w:p w:rsidR="003B5D33" w:rsidRPr="003B5D33" w:rsidP="003B5D33">
      <w:pPr>
        <w:spacing w:line="269" w:lineRule="auto"/>
        <w:rPr>
          <w:rFonts w:eastAsia="Calibri"/>
          <w:b/>
          <w:bCs/>
          <w:rtl/>
        </w:rPr>
      </w:pPr>
      <w:bookmarkStart w:id="12" w:name="_Hlk196153144"/>
    </w:p>
    <w:p w:rsidR="003B5D33" w:rsidRPr="003B5D33" w:rsidP="003B5D33">
      <w:pPr>
        <w:spacing w:line="269" w:lineRule="auto"/>
        <w:rPr>
          <w:rFonts w:eastAsia="Calibri"/>
          <w:b/>
          <w:bCs/>
          <w:rtl/>
        </w:rPr>
      </w:pPr>
      <w:r w:rsidRPr="003B5D33">
        <w:rPr>
          <w:rFonts w:eastAsia="Calibri" w:hint="cs"/>
          <w:b/>
          <w:bCs/>
          <w:rtl/>
        </w:rPr>
        <w:t>ממסמכי אגף התקשוב</w:t>
      </w:r>
      <w:r w:rsidRPr="003B5D33">
        <w:rPr>
          <w:rFonts w:eastAsia="Calibri"/>
          <w:b/>
          <w:bCs/>
          <w:rtl/>
        </w:rPr>
        <w:t xml:space="preserve"> עולה </w:t>
      </w:r>
      <w:r w:rsidRPr="003B5D33">
        <w:rPr>
          <w:rFonts w:eastAsia="Calibri" w:hint="cs"/>
          <w:b/>
          <w:bCs/>
          <w:rtl/>
        </w:rPr>
        <w:t xml:space="preserve">שנכון לשנת 2024 </w:t>
      </w:r>
      <w:r w:rsidRPr="003B5D33">
        <w:rPr>
          <w:rFonts w:eastAsia="Calibri"/>
          <w:b/>
          <w:bCs/>
          <w:rtl/>
        </w:rPr>
        <w:t xml:space="preserve">התקציב שהוקצה לתפעול שוטף של </w:t>
      </w:r>
      <w:r w:rsidRPr="003B5D33">
        <w:rPr>
          <w:rFonts w:eastAsia="Calibri" w:hint="cs"/>
          <w:b/>
          <w:bCs/>
          <w:rtl/>
        </w:rPr>
        <w:t>תחום</w:t>
      </w:r>
      <w:r w:rsidRPr="003B5D33">
        <w:rPr>
          <w:rFonts w:eastAsia="Calibri"/>
          <w:b/>
          <w:bCs/>
          <w:rtl/>
        </w:rPr>
        <w:t xml:space="preserve"> התקשוב אינו מספק ואינו תואם את צ</w:t>
      </w:r>
      <w:r w:rsidRPr="003B5D33">
        <w:rPr>
          <w:rFonts w:eastAsia="Calibri" w:hint="cs"/>
          <w:b/>
          <w:bCs/>
          <w:rtl/>
        </w:rPr>
        <w:t>ו</w:t>
      </w:r>
      <w:r w:rsidRPr="003B5D33">
        <w:rPr>
          <w:rFonts w:eastAsia="Calibri"/>
          <w:b/>
          <w:bCs/>
          <w:rtl/>
        </w:rPr>
        <w:t>רכי המשרד בפועל</w:t>
      </w:r>
      <w:r w:rsidRPr="003B5D33">
        <w:rPr>
          <w:rFonts w:eastAsia="Calibri" w:hint="cs"/>
          <w:b/>
          <w:bCs/>
          <w:rtl/>
        </w:rPr>
        <w:t xml:space="preserve">, וכי </w:t>
      </w:r>
      <w:r w:rsidRPr="003B5D33">
        <w:rPr>
          <w:rFonts w:eastAsia="Calibri"/>
          <w:b/>
          <w:bCs/>
          <w:rtl/>
        </w:rPr>
        <w:t>יש צורך בתקצוב נוסף של לפחות 20 מיליון ש"ח. כתוצאה מכך,</w:t>
      </w:r>
      <w:r w:rsidRPr="003B5D33">
        <w:rPr>
          <w:rFonts w:eastAsia="Calibri" w:hint="cs"/>
          <w:b/>
          <w:bCs/>
          <w:rtl/>
        </w:rPr>
        <w:t xml:space="preserve"> נכון לשנת 2024, </w:t>
      </w:r>
      <w:r w:rsidRPr="003B5D33">
        <w:rPr>
          <w:rFonts w:eastAsia="Calibri"/>
          <w:b/>
          <w:bCs/>
          <w:rtl/>
        </w:rPr>
        <w:t xml:space="preserve">14 </w:t>
      </w:r>
      <w:r w:rsidRPr="003B5D33">
        <w:rPr>
          <w:rFonts w:eastAsia="Calibri" w:hint="cs"/>
          <w:b/>
          <w:bCs/>
          <w:rtl/>
        </w:rPr>
        <w:t xml:space="preserve">פרויקטים כאמור - ובהם שדרוג מערכת מרכב"ה, המערכת הקונסולרית, ותהליכי מעבר לענן - </w:t>
      </w:r>
      <w:r w:rsidRPr="003B5D33">
        <w:rPr>
          <w:rFonts w:eastAsia="Calibri"/>
          <w:b/>
          <w:bCs/>
          <w:rtl/>
        </w:rPr>
        <w:t>הוקפא</w:t>
      </w:r>
      <w:r w:rsidRPr="003B5D33">
        <w:rPr>
          <w:rFonts w:eastAsia="Calibri" w:hint="cs"/>
          <w:b/>
          <w:bCs/>
          <w:rtl/>
        </w:rPr>
        <w:t>ו</w:t>
      </w:r>
      <w:r w:rsidRPr="003B5D33">
        <w:rPr>
          <w:rFonts w:eastAsia="Calibri"/>
          <w:b/>
          <w:bCs/>
          <w:rtl/>
        </w:rPr>
        <w:t xml:space="preserve"> או </w:t>
      </w:r>
      <w:r w:rsidRPr="003B5D33">
        <w:rPr>
          <w:rFonts w:eastAsia="Calibri" w:hint="cs"/>
          <w:b/>
          <w:bCs/>
          <w:rtl/>
        </w:rPr>
        <w:t>עוכבו</w:t>
      </w:r>
      <w:r w:rsidRPr="003B5D33">
        <w:rPr>
          <w:rFonts w:eastAsia="Calibri"/>
          <w:b/>
          <w:bCs/>
          <w:rtl/>
        </w:rPr>
        <w:t xml:space="preserve"> בשל היעדר תקציב</w:t>
      </w:r>
      <w:r w:rsidRPr="003B5D33">
        <w:rPr>
          <w:rFonts w:eastAsia="Calibri" w:hint="cs"/>
          <w:b/>
          <w:bCs/>
          <w:rtl/>
        </w:rPr>
        <w:t xml:space="preserve">. כמו כן היו </w:t>
      </w:r>
      <w:r w:rsidRPr="003B5D33">
        <w:rPr>
          <w:rFonts w:eastAsia="Calibri"/>
          <w:b/>
          <w:bCs/>
          <w:rtl/>
        </w:rPr>
        <w:t>פערים בתחזוקת מערכות קיימות</w:t>
      </w:r>
      <w:r w:rsidRPr="003B5D33">
        <w:rPr>
          <w:rFonts w:eastAsia="Calibri" w:hint="cs"/>
          <w:b/>
          <w:bCs/>
          <w:rtl/>
        </w:rPr>
        <w:t xml:space="preserve"> ו</w:t>
      </w:r>
      <w:r w:rsidRPr="003B5D33">
        <w:rPr>
          <w:rFonts w:eastAsia="Calibri"/>
          <w:b/>
          <w:bCs/>
          <w:rtl/>
        </w:rPr>
        <w:t>עיכובים בשדרוג תשתיות חיוניות</w:t>
      </w:r>
      <w:r w:rsidRPr="003B5D33">
        <w:rPr>
          <w:rFonts w:eastAsia="Calibri" w:hint="cs"/>
          <w:b/>
          <w:bCs/>
          <w:rtl/>
        </w:rPr>
        <w:t>. זאת ועוד,</w:t>
      </w:r>
      <w:r w:rsidRPr="003B5D33">
        <w:rPr>
          <w:rFonts w:eastAsia="Calibri"/>
          <w:b/>
          <w:bCs/>
          <w:rtl/>
        </w:rPr>
        <w:t xml:space="preserve"> </w:t>
      </w:r>
      <w:r w:rsidRPr="003B5D33">
        <w:rPr>
          <w:rFonts w:eastAsia="Calibri" w:hint="cs"/>
          <w:b/>
          <w:bCs/>
          <w:rtl/>
        </w:rPr>
        <w:t>מהמסמכים עולה כי הדבר השליך גם על היכולת</w:t>
      </w:r>
      <w:r w:rsidRPr="003B5D33">
        <w:rPr>
          <w:rFonts w:eastAsia="Calibri"/>
          <w:b/>
          <w:bCs/>
          <w:rtl/>
        </w:rPr>
        <w:t xml:space="preserve"> </w:t>
      </w:r>
      <w:r w:rsidRPr="003B5D33">
        <w:rPr>
          <w:rFonts w:eastAsia="Calibri" w:hint="cs"/>
          <w:b/>
          <w:bCs/>
          <w:rtl/>
        </w:rPr>
        <w:t>להשקיע ברכש מערכות מסוימות.</w:t>
      </w:r>
      <w:r w:rsidRPr="003B5D33">
        <w:rPr>
          <w:rFonts w:eastAsia="Calibri"/>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גם בשורה של פגישות שקיים משרד מבקר המדינה עם נציגי אגף התקשוב עלה כי לדבריהם </w:t>
      </w:r>
      <w:r w:rsidRPr="003B5D33">
        <w:rPr>
          <w:rFonts w:eastAsia="Calibri"/>
          <w:b/>
          <w:bCs/>
          <w:rtl/>
        </w:rPr>
        <w:t xml:space="preserve">התקציב החסר משפיע באופן </w:t>
      </w:r>
      <w:r w:rsidRPr="003B5D33">
        <w:rPr>
          <w:rFonts w:eastAsia="Calibri" w:hint="cs"/>
          <w:b/>
          <w:bCs/>
          <w:rtl/>
        </w:rPr>
        <w:t>ניכר</w:t>
      </w:r>
      <w:r w:rsidRPr="003B5D33">
        <w:rPr>
          <w:rFonts w:eastAsia="Calibri"/>
          <w:b/>
          <w:bCs/>
          <w:rtl/>
        </w:rPr>
        <w:t xml:space="preserve"> על פעולות ליבתיות של יחידות המשרד.</w:t>
      </w:r>
      <w:r w:rsidRPr="003B5D33">
        <w:rPr>
          <w:rFonts w:eastAsia="Calibri" w:hint="cs"/>
          <w:b/>
          <w:bCs/>
          <w:rtl/>
        </w:rPr>
        <w:t xml:space="preserve"> </w:t>
      </w:r>
      <w:r w:rsidRPr="003B5D33">
        <w:rPr>
          <w:rFonts w:eastAsia="Calibri"/>
          <w:b/>
          <w:bCs/>
          <w:rtl/>
        </w:rPr>
        <w:t xml:space="preserve">כך למשל </w:t>
      </w:r>
      <w:r w:rsidRPr="003B5D33">
        <w:rPr>
          <w:rFonts w:eastAsia="Calibri" w:hint="cs"/>
          <w:b/>
          <w:bCs/>
          <w:rtl/>
        </w:rPr>
        <w:t>עלה</w:t>
      </w:r>
      <w:r w:rsidRPr="003B5D33">
        <w:rPr>
          <w:rFonts w:eastAsia="Calibri"/>
          <w:b/>
          <w:bCs/>
          <w:rtl/>
        </w:rPr>
        <w:t xml:space="preserve"> כי בשל שיקולים תקציביים </w:t>
      </w:r>
      <w:r w:rsidRPr="003B5D33">
        <w:rPr>
          <w:rFonts w:eastAsia="Calibri" w:hint="cs"/>
          <w:b/>
          <w:bCs/>
          <w:rtl/>
        </w:rPr>
        <w:t xml:space="preserve">קיים איוש חלקי של </w:t>
      </w:r>
      <w:r w:rsidRPr="003B5D33">
        <w:rPr>
          <w:rFonts w:eastAsia="Calibri"/>
          <w:b/>
          <w:bCs/>
          <w:rtl/>
        </w:rPr>
        <w:t xml:space="preserve">טכנאים אזוריים בכל </w:t>
      </w:r>
      <w:r w:rsidRPr="003B5D33">
        <w:rPr>
          <w:rFonts w:eastAsia="Calibri" w:hint="cs"/>
          <w:b/>
          <w:bCs/>
          <w:rtl/>
        </w:rPr>
        <w:t>ה</w:t>
      </w:r>
      <w:r w:rsidRPr="003B5D33">
        <w:rPr>
          <w:rFonts w:eastAsia="Calibri"/>
          <w:b/>
          <w:bCs/>
          <w:rtl/>
        </w:rPr>
        <w:t>עולם ו</w:t>
      </w:r>
      <w:r w:rsidRPr="003B5D33">
        <w:rPr>
          <w:rFonts w:eastAsia="Calibri" w:hint="cs"/>
          <w:b/>
          <w:bCs/>
          <w:rtl/>
        </w:rPr>
        <w:t>קיים</w:t>
      </w:r>
      <w:r w:rsidRPr="003B5D33">
        <w:rPr>
          <w:rFonts w:eastAsia="Calibri"/>
          <w:b/>
          <w:bCs/>
          <w:rtl/>
        </w:rPr>
        <w:t xml:space="preserve"> קושי לשלוח טכנאים מהארץ לחו"ל, דבר שמשליך על יכולת האגף לתת מענה סביר לתקלות מחשוב ותקשורת בחו"ל.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ציין בתשובתו למשרד מבקר המדינה מאוקטובר 2025 ש</w:t>
      </w:r>
      <w:r w:rsidRPr="003B5D33">
        <w:rPr>
          <w:rFonts w:eastAsia="Calibri"/>
          <w:rtl/>
        </w:rPr>
        <w:t xml:space="preserve">עם כניסת המנכ"ל הנוכחי תוגבר תקציב התקשוב בסוף שנת 2024 בתוספת של כ-12 מיליון </w:t>
      </w:r>
      <w:r w:rsidRPr="003B5D33">
        <w:rPr>
          <w:rFonts w:eastAsia="Calibri" w:hint="cs"/>
          <w:rtl/>
        </w:rPr>
        <w:t>ש"ח</w:t>
      </w:r>
      <w:r w:rsidRPr="003B5D33">
        <w:rPr>
          <w:rFonts w:eastAsia="Calibri"/>
          <w:rtl/>
        </w:rPr>
        <w:t xml:space="preserve">, </w:t>
      </w:r>
      <w:r w:rsidRPr="003B5D33">
        <w:rPr>
          <w:rFonts w:eastAsia="Calibri" w:hint="cs"/>
          <w:rtl/>
        </w:rPr>
        <w:t xml:space="preserve">וזאת </w:t>
      </w:r>
      <w:r w:rsidRPr="003B5D33">
        <w:rPr>
          <w:rFonts w:eastAsia="Calibri"/>
          <w:rtl/>
        </w:rPr>
        <w:t>ל</w:t>
      </w:r>
      <w:r w:rsidRPr="003B5D33">
        <w:rPr>
          <w:rFonts w:eastAsia="Calibri" w:hint="cs"/>
          <w:rtl/>
        </w:rPr>
        <w:t xml:space="preserve">שם </w:t>
      </w:r>
      <w:r w:rsidRPr="003B5D33">
        <w:rPr>
          <w:rFonts w:eastAsia="Calibri"/>
          <w:rtl/>
        </w:rPr>
        <w:t xml:space="preserve">התחלת טיפול בבעיות שהועלו </w:t>
      </w:r>
      <w:r w:rsidRPr="003B5D33">
        <w:rPr>
          <w:rFonts w:eastAsia="Calibri" w:hint="cs"/>
          <w:rtl/>
        </w:rPr>
        <w:t>על ידי מנהל אגף התקשוב</w:t>
      </w:r>
      <w:r w:rsidRPr="003B5D33">
        <w:rPr>
          <w:rFonts w:eastAsia="Calibri"/>
          <w:rtl/>
        </w:rPr>
        <w:t>.</w:t>
      </w:r>
      <w:r w:rsidRPr="003B5D33">
        <w:rPr>
          <w:rFonts w:eastAsia="Calibri" w:hint="cs"/>
          <w:rtl/>
        </w:rPr>
        <w:t xml:space="preserve"> עוד מסר המשרד כי </w:t>
      </w:r>
      <w:r w:rsidRPr="003B5D33">
        <w:rPr>
          <w:rFonts w:eastAsia="Calibri"/>
          <w:rtl/>
        </w:rPr>
        <w:t>בשנת 2025 עמד תקציב תקשוב על</w:t>
      </w:r>
      <w:r w:rsidRPr="003B5D33">
        <w:rPr>
          <w:rFonts w:eastAsia="Calibri" w:hint="cs"/>
          <w:rtl/>
        </w:rPr>
        <w:t xml:space="preserve"> כ-105.5 מיליון ש"ח</w:t>
      </w:r>
      <w:r w:rsidRPr="003B5D33">
        <w:rPr>
          <w:rFonts w:eastAsia="Calibri"/>
          <w:rtl/>
        </w:rPr>
        <w:t xml:space="preserve">, בתוספת עודפים בסך </w:t>
      </w:r>
      <w:r w:rsidRPr="003B5D33">
        <w:rPr>
          <w:rFonts w:eastAsia="Calibri" w:hint="cs"/>
          <w:rtl/>
        </w:rPr>
        <w:t xml:space="preserve">של </w:t>
      </w:r>
      <w:r w:rsidRPr="003B5D33">
        <w:rPr>
          <w:rFonts w:eastAsia="Calibri"/>
          <w:rtl/>
        </w:rPr>
        <w:t>כ</w:t>
      </w:r>
      <w:r w:rsidRPr="003B5D33">
        <w:rPr>
          <w:rFonts w:eastAsia="Calibri" w:hint="cs"/>
          <w:rtl/>
        </w:rPr>
        <w:t>-8.5 מיליון</w:t>
      </w:r>
      <w:r w:rsidRPr="003B5D33">
        <w:rPr>
          <w:rFonts w:eastAsia="Calibri"/>
          <w:rtl/>
        </w:rPr>
        <w:t xml:space="preserve"> </w:t>
      </w:r>
      <w:r w:rsidRPr="003B5D33">
        <w:rPr>
          <w:rFonts w:eastAsia="Calibri" w:hint="cs"/>
          <w:rtl/>
        </w:rPr>
        <w:t>ש"ח</w:t>
      </w:r>
      <w:r w:rsidRPr="003B5D33">
        <w:rPr>
          <w:rFonts w:eastAsia="Calibri"/>
          <w:rtl/>
        </w:rPr>
        <w:t xml:space="preserve"> שהתקבלו לקראת סוף שנת העבודה. משרד החוץ </w:t>
      </w:r>
      <w:r w:rsidRPr="003B5D33">
        <w:rPr>
          <w:rFonts w:eastAsia="Calibri" w:hint="cs"/>
          <w:rtl/>
        </w:rPr>
        <w:t>הוסיף</w:t>
      </w:r>
      <w:r w:rsidRPr="003B5D33">
        <w:rPr>
          <w:rFonts w:eastAsia="Calibri"/>
          <w:rtl/>
        </w:rPr>
        <w:t xml:space="preserve"> כי חלק מהמערכות שהוזכרו בדוח טופלו והוחלפו, אך חלק עדיין לא טופל</w:t>
      </w:r>
      <w:r w:rsidRPr="003B5D33">
        <w:rPr>
          <w:rFonts w:eastAsia="Calibri" w:hint="cs"/>
          <w:rtl/>
        </w:rPr>
        <w:t>,</w:t>
      </w:r>
      <w:r w:rsidRPr="003B5D33">
        <w:rPr>
          <w:rFonts w:eastAsia="Calibri"/>
          <w:rtl/>
        </w:rPr>
        <w:t xml:space="preserve"> </w:t>
      </w:r>
      <w:r w:rsidRPr="003B5D33">
        <w:rPr>
          <w:rFonts w:eastAsia="Calibri" w:hint="cs"/>
          <w:rtl/>
        </w:rPr>
        <w:t>הואיל</w:t>
      </w:r>
      <w:r w:rsidRPr="003B5D33">
        <w:rPr>
          <w:rFonts w:eastAsia="Calibri"/>
          <w:rtl/>
        </w:rPr>
        <w:t xml:space="preserve"> ו</w:t>
      </w:r>
      <w:r w:rsidRPr="003B5D33">
        <w:rPr>
          <w:rFonts w:eastAsia="Calibri" w:hint="cs"/>
          <w:rtl/>
        </w:rPr>
        <w:t>נדרש לכך</w:t>
      </w:r>
      <w:r w:rsidRPr="003B5D33">
        <w:rPr>
          <w:rFonts w:eastAsia="Calibri"/>
          <w:rtl/>
        </w:rPr>
        <w:t xml:space="preserve"> תקציב ייעודי.</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תקציב מאפשר הוא תנאי הכרחי למימוש אפקטיבי של ממשל טכנולוגיות מידע, שכן ללא תקצוב מספק, הארגון חשוף לסיכוני תפעול ואבטחה רבים.</w:t>
      </w:r>
      <w:r w:rsidRPr="003B5D33">
        <w:rPr>
          <w:rFonts w:eastAsia="Calibri" w:hint="cs"/>
          <w:b/>
          <w:bCs/>
          <w:rtl/>
        </w:rPr>
        <w:t xml:space="preserve"> לאור הקשיים המשמעותיים שהוצפו בעניין זה, נדרש כי מנכ"ל משרד החוץ יבצע </w:t>
      </w:r>
      <w:r w:rsidRPr="003B5D33">
        <w:rPr>
          <w:rFonts w:eastAsia="Calibri"/>
          <w:b/>
          <w:bCs/>
          <w:rtl/>
        </w:rPr>
        <w:t xml:space="preserve">בחינה </w:t>
      </w:r>
      <w:r w:rsidRPr="003B5D33">
        <w:rPr>
          <w:rFonts w:eastAsia="Calibri" w:hint="cs"/>
          <w:b/>
          <w:bCs/>
          <w:rtl/>
        </w:rPr>
        <w:t xml:space="preserve">מעמיקה בנוגע </w:t>
      </w:r>
      <w:r w:rsidRPr="003B5D33">
        <w:rPr>
          <w:rFonts w:eastAsia="Calibri"/>
          <w:b/>
          <w:bCs/>
          <w:rtl/>
        </w:rPr>
        <w:t xml:space="preserve">לתקצוב </w:t>
      </w:r>
      <w:r w:rsidRPr="003B5D33">
        <w:rPr>
          <w:rFonts w:eastAsia="Calibri" w:hint="cs"/>
          <w:b/>
          <w:bCs/>
          <w:rtl/>
        </w:rPr>
        <w:t>תחום</w:t>
      </w:r>
      <w:r w:rsidRPr="003B5D33">
        <w:rPr>
          <w:rFonts w:eastAsia="Calibri"/>
          <w:b/>
          <w:bCs/>
          <w:rtl/>
        </w:rPr>
        <w:t xml:space="preserve"> התקשוב</w:t>
      </w:r>
      <w:r w:rsidRPr="003B5D33">
        <w:rPr>
          <w:rFonts w:eastAsia="Calibri" w:hint="cs"/>
          <w:b/>
          <w:bCs/>
          <w:rtl/>
        </w:rPr>
        <w:t>, במטרה להבטיח כי במציאות של מחסור יסודי במשאבים התקציב מנוצל בהלימה לסדרי העדיפויות המשרדיים. כמו כן עליו לוודא כי המחסור בתקציב לא יוצר סיכונים עכשוויים או עתידיים שהמשרד אינו יכול לקבל (למשל בתחום אבטחת מידע, ביצוע משימות ליבה או הערכות עתידית לעבודה בענן).</w:t>
      </w:r>
    </w:p>
    <w:bookmarkEnd w:id="12"/>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13" w:name="_Toc218592794"/>
      <w:r w:rsidRPr="003B5D33">
        <w:rPr>
          <w:rFonts w:eastAsia="Times New Roman" w:hint="cs"/>
          <w:bCs/>
          <w:szCs w:val="28"/>
          <w:u w:val="single"/>
          <w:rtl/>
        </w:rPr>
        <w:t>ניהול סיכונים</w:t>
      </w:r>
      <w:bookmarkEnd w:id="13"/>
    </w:p>
    <w:p w:rsidR="003B5D33" w:rsidRPr="003B5D33" w:rsidP="003B5D33">
      <w:pPr>
        <w:spacing w:line="269" w:lineRule="auto"/>
        <w:rPr>
          <w:rFonts w:eastAsia="Calibri"/>
          <w:rtl/>
        </w:rPr>
      </w:pPr>
      <w:bookmarkStart w:id="14" w:name="_Hlk184227005"/>
    </w:p>
    <w:p w:rsidR="003B5D33" w:rsidRPr="003B5D33" w:rsidP="003B5D33">
      <w:pPr>
        <w:spacing w:line="269" w:lineRule="auto"/>
        <w:rPr>
          <w:rFonts w:eastAsia="Calibri"/>
          <w:rtl/>
        </w:rPr>
      </w:pPr>
      <w:r w:rsidRPr="003B5D33">
        <w:rPr>
          <w:rFonts w:eastAsia="Calibri"/>
          <w:rtl/>
        </w:rPr>
        <w:t>בהתאם להנחיות מערך הדיגיטל</w:t>
      </w:r>
      <w:r>
        <w:rPr>
          <w:rFonts w:eastAsia="Calibri"/>
          <w:vertAlign w:val="superscript"/>
          <w:rtl/>
        </w:rPr>
        <w:footnoteReference w:id="22"/>
      </w:r>
      <w:r w:rsidRPr="003B5D33">
        <w:rPr>
          <w:rFonts w:eastAsia="Calibri"/>
          <w:rtl/>
        </w:rPr>
        <w:t xml:space="preserve">, משרדי הממשלה נדרשים </w:t>
      </w:r>
      <w:r w:rsidRPr="003B5D33">
        <w:rPr>
          <w:rFonts w:eastAsia="Calibri" w:hint="cs"/>
          <w:rtl/>
        </w:rPr>
        <w:t>לנהל את סיכוני התקשוב במשרד</w:t>
      </w:r>
      <w:r>
        <w:rPr>
          <w:rFonts w:eastAsia="Calibri"/>
          <w:vertAlign w:val="superscript"/>
          <w:rtl/>
        </w:rPr>
        <w:footnoteReference w:id="23"/>
      </w:r>
      <w:r w:rsidRPr="003B5D33">
        <w:rPr>
          <w:rFonts w:eastAsia="Calibri"/>
          <w:rtl/>
        </w:rPr>
        <w:t xml:space="preserve">. מטרות </w:t>
      </w:r>
      <w:r w:rsidRPr="003B5D33">
        <w:rPr>
          <w:rFonts w:eastAsia="Calibri" w:hint="cs"/>
          <w:rtl/>
        </w:rPr>
        <w:t>ה</w:t>
      </w:r>
      <w:r w:rsidRPr="003B5D33">
        <w:rPr>
          <w:rFonts w:eastAsia="Calibri"/>
          <w:rtl/>
        </w:rPr>
        <w:t xml:space="preserve">תהליך הן זיהוי ומיפוי </w:t>
      </w:r>
      <w:r w:rsidRPr="003B5D33">
        <w:rPr>
          <w:rFonts w:eastAsia="Calibri" w:hint="cs"/>
          <w:rtl/>
        </w:rPr>
        <w:t xml:space="preserve">של </w:t>
      </w:r>
      <w:r w:rsidRPr="003B5D33">
        <w:rPr>
          <w:rFonts w:eastAsia="Calibri"/>
          <w:rtl/>
        </w:rPr>
        <w:t xml:space="preserve">חשיפות ואיומים על נכסי המידע המשרדיים, תיעדוף והקצאה </w:t>
      </w:r>
      <w:r w:rsidRPr="003B5D33">
        <w:rPr>
          <w:rFonts w:eastAsia="Calibri" w:hint="cs"/>
          <w:rtl/>
        </w:rPr>
        <w:t>יעילה</w:t>
      </w:r>
      <w:r w:rsidRPr="003B5D33">
        <w:rPr>
          <w:rFonts w:eastAsia="Calibri"/>
          <w:rtl/>
        </w:rPr>
        <w:t xml:space="preserve"> של משאבים ומתן מענה לשינויים בסביבת הפעילות של המשרד. </w:t>
      </w:r>
      <w:r w:rsidRPr="003B5D33">
        <w:rPr>
          <w:rFonts w:eastAsia="Calibri" w:hint="cs"/>
          <w:rtl/>
        </w:rPr>
        <w:t>כמו כן</w:t>
      </w:r>
      <w:r w:rsidRPr="003B5D33">
        <w:rPr>
          <w:rFonts w:eastAsia="Calibri"/>
          <w:rtl/>
        </w:rPr>
        <w:t xml:space="preserve"> התהליך נועד </w:t>
      </w:r>
      <w:r w:rsidRPr="003B5D33">
        <w:rPr>
          <w:rFonts w:eastAsia="Calibri" w:hint="cs"/>
          <w:rtl/>
        </w:rPr>
        <w:t>לסייע ב</w:t>
      </w:r>
      <w:r w:rsidRPr="003B5D33">
        <w:rPr>
          <w:rFonts w:eastAsia="Calibri"/>
          <w:rtl/>
        </w:rPr>
        <w:t xml:space="preserve">גיבוש תוכניות טיפול מותאמות </w:t>
      </w:r>
      <w:r w:rsidRPr="003B5D33">
        <w:rPr>
          <w:rFonts w:eastAsia="Calibri" w:hint="cs"/>
          <w:rtl/>
        </w:rPr>
        <w:t xml:space="preserve">ואפקטיביות </w:t>
      </w:r>
      <w:r w:rsidRPr="003B5D33">
        <w:rPr>
          <w:rFonts w:eastAsia="Calibri"/>
          <w:rtl/>
        </w:rPr>
        <w:t>לסיכונים שזוהו</w:t>
      </w:r>
      <w:r w:rsidRPr="003B5D33">
        <w:rPr>
          <w:rFonts w:eastAsia="Calibri" w:hint="cs"/>
          <w:rtl/>
        </w:rPr>
        <w:t>, כולל ל</w:t>
      </w:r>
      <w:r w:rsidRPr="003B5D33">
        <w:rPr>
          <w:rFonts w:eastAsia="Calibri"/>
          <w:rtl/>
        </w:rPr>
        <w:t>סיכונים ייעודיים בתחומי ניהול פרויקטי תקשוב ותחזוקת מערכות ותשתיות.</w:t>
      </w:r>
      <w:r w:rsidRPr="003B5D33">
        <w:rPr>
          <w:rFonts w:eastAsia="Calibri" w:hint="cs"/>
          <w:rtl/>
        </w:rPr>
        <w:t xml:space="preserve"> בהתאם להנחיות אלה יש לדווח להנהלת המשרד על </w:t>
      </w:r>
      <w:r w:rsidRPr="003B5D33">
        <w:rPr>
          <w:rFonts w:eastAsia="Calibri"/>
          <w:rtl/>
        </w:rPr>
        <w:t>ממצאי סקרי הסיכונים, הסיכונים</w:t>
      </w:r>
      <w:r w:rsidRPr="003B5D33">
        <w:rPr>
          <w:rFonts w:eastAsia="Calibri" w:hint="cs"/>
          <w:rtl/>
        </w:rPr>
        <w:t xml:space="preserve"> </w:t>
      </w:r>
      <w:r w:rsidRPr="003B5D33">
        <w:rPr>
          <w:rFonts w:eastAsia="Calibri"/>
          <w:rtl/>
        </w:rPr>
        <w:t>המהותיים והתקדמות ביצוע ת</w:t>
      </w:r>
      <w:r w:rsidRPr="003B5D33">
        <w:rPr>
          <w:rFonts w:eastAsia="Calibri" w:hint="cs"/>
          <w:rtl/>
        </w:rPr>
        <w:t>ו</w:t>
      </w:r>
      <w:r w:rsidRPr="003B5D33">
        <w:rPr>
          <w:rFonts w:eastAsia="Calibri"/>
          <w:rtl/>
        </w:rPr>
        <w:t>כניות הטיפול</w:t>
      </w:r>
      <w:r w:rsidRPr="003B5D33">
        <w:rPr>
          <w:rFonts w:eastAsia="Calibri" w:hint="cs"/>
          <w:rtl/>
        </w:rPr>
        <w:t xml:space="preserve"> </w:t>
      </w:r>
      <w:r w:rsidRPr="003B5D33">
        <w:rPr>
          <w:rFonts w:eastAsia="Calibri" w:hint="cs"/>
          <w:rtl/>
        </w:rPr>
        <w:t xml:space="preserve">בסיכונים שעלו. עוד נקבע כי </w:t>
      </w:r>
      <w:r w:rsidRPr="003B5D33">
        <w:rPr>
          <w:rFonts w:eastAsia="Calibri"/>
          <w:rtl/>
        </w:rPr>
        <w:t>הסיכונים שמופו י</w:t>
      </w:r>
      <w:r w:rsidRPr="003B5D33">
        <w:rPr>
          <w:rFonts w:eastAsia="Calibri" w:hint="cs"/>
          <w:rtl/>
        </w:rPr>
        <w:t>י</w:t>
      </w:r>
      <w:r w:rsidRPr="003B5D33">
        <w:rPr>
          <w:rFonts w:eastAsia="Calibri"/>
          <w:rtl/>
        </w:rPr>
        <w:t>דונו בפני ועדת ההיגוי המשרדית או הפרויקטלית</w:t>
      </w:r>
      <w:r w:rsidRPr="003B5D33">
        <w:rPr>
          <w:rFonts w:eastAsia="Calibri" w:hint="cs"/>
          <w:rtl/>
        </w:rPr>
        <w:t xml:space="preserve"> לפי העניין</w:t>
      </w:r>
      <w:r w:rsidRPr="003B5D33">
        <w:rPr>
          <w:rFonts w:eastAsia="Calibri"/>
          <w:rtl/>
        </w:rPr>
        <w:t>, אשר תאשר את רשימת סיכוני</w:t>
      </w:r>
      <w:r w:rsidRPr="003B5D33">
        <w:rPr>
          <w:rFonts w:eastAsia="Calibri" w:hint="cs"/>
          <w:rtl/>
        </w:rPr>
        <w:t xml:space="preserve"> </w:t>
      </w:r>
      <w:r w:rsidRPr="003B5D33">
        <w:rPr>
          <w:rFonts w:eastAsia="Calibri"/>
          <w:rtl/>
        </w:rPr>
        <w:t>המפתח</w:t>
      </w:r>
      <w:r w:rsidRPr="003B5D33">
        <w:rPr>
          <w:rFonts w:eastAsia="Calibri" w:hint="cs"/>
          <w:rtl/>
        </w:rPr>
        <w:t xml:space="preserve"> </w:t>
      </w:r>
      <w:r w:rsidRPr="003B5D33">
        <w:rPr>
          <w:rFonts w:eastAsia="Calibri"/>
          <w:rtl/>
        </w:rPr>
        <w:t>ותחליט על נחיצות ת</w:t>
      </w:r>
      <w:r w:rsidRPr="003B5D33">
        <w:rPr>
          <w:rFonts w:eastAsia="Calibri" w:hint="cs"/>
          <w:rtl/>
        </w:rPr>
        <w:t>ו</w:t>
      </w:r>
      <w:r w:rsidRPr="003B5D33">
        <w:rPr>
          <w:rFonts w:eastAsia="Calibri"/>
          <w:rtl/>
        </w:rPr>
        <w:t>כנית טיפול עבורם.</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במהלך השנים 2022 - 2024 בוצע על ידי חברה חיצונית סקר סיכוני תקשוב משרדי. הסקר </w:t>
      </w:r>
      <w:r w:rsidRPr="003B5D33">
        <w:rPr>
          <w:rFonts w:eastAsia="Calibri"/>
          <w:b/>
          <w:bCs/>
          <w:rtl/>
        </w:rPr>
        <w:t>הוצג להנהלת אגף</w:t>
      </w:r>
      <w:r w:rsidRPr="003B5D33">
        <w:rPr>
          <w:rFonts w:eastAsia="Calibri" w:hint="cs"/>
          <w:b/>
          <w:bCs/>
          <w:rtl/>
        </w:rPr>
        <w:t xml:space="preserve"> התקשוב</w:t>
      </w:r>
      <w:r w:rsidRPr="003B5D33">
        <w:rPr>
          <w:rFonts w:eastAsia="Calibri"/>
          <w:b/>
          <w:bCs/>
          <w:rtl/>
        </w:rPr>
        <w:t xml:space="preserve"> בחודש מאי 2024</w:t>
      </w:r>
      <w:r w:rsidRPr="003B5D33">
        <w:rPr>
          <w:rFonts w:eastAsia="Calibri" w:hint="cs"/>
          <w:b/>
          <w:bCs/>
          <w:rtl/>
        </w:rPr>
        <w:t xml:space="preserve"> (להלן - סקר הסיכונים)</w:t>
      </w:r>
      <w:r w:rsidRPr="003B5D33">
        <w:rPr>
          <w:rFonts w:eastAsia="Calibri"/>
          <w:b/>
          <w:bCs/>
          <w:rtl/>
        </w:rPr>
        <w:t xml:space="preserve">. </w:t>
      </w:r>
      <w:r w:rsidRPr="003B5D33">
        <w:rPr>
          <w:rFonts w:eastAsia="Calibri" w:hint="cs"/>
          <w:b/>
          <w:bCs/>
          <w:rtl/>
        </w:rPr>
        <w:t xml:space="preserve">הסקר העלה ממצאים מהותיים ביחס למשילות בתחום התקשוב, ובכלל זה אובדן ידע ומידע, חשיפה לסיכוני רגולציה וציות, במיוחד בתחומי הגנת הפרטיות, סיכונים לעמידה בתוכנית העבודה לנוכח היעדר סנכרון בין החטיבות, היעדר תמונת מצב רוחבית על ניהול הפרויקטים, היעדר פגישות עבודה קבועות בין </w:t>
      </w:r>
      <w:r w:rsidR="00031CA3">
        <w:rPr>
          <w:rFonts w:eastAsia="Calibri" w:hint="cs"/>
          <w:b/>
          <w:bCs/>
          <w:rtl/>
        </w:rPr>
        <w:t>מנהל מערכות המידע הראשי (</w:t>
      </w:r>
      <w:r w:rsidRPr="003B5D33">
        <w:rPr>
          <w:rFonts w:eastAsia="Calibri" w:hint="cs"/>
          <w:b/>
          <w:bCs/>
          <w:rtl/>
        </w:rPr>
        <w:t>המנמ"ר</w:t>
      </w:r>
      <w:r w:rsidR="00031CA3">
        <w:rPr>
          <w:rFonts w:eastAsia="Calibri" w:hint="cs"/>
          <w:b/>
          <w:bCs/>
          <w:rtl/>
        </w:rPr>
        <w:t>)</w:t>
      </w:r>
      <w:r w:rsidRPr="003B5D33">
        <w:rPr>
          <w:rFonts w:eastAsia="Calibri" w:hint="cs"/>
          <w:b/>
          <w:bCs/>
          <w:rtl/>
        </w:rPr>
        <w:t xml:space="preserve"> לראשי החטיבות, מבנה ארגוני לקוי, מיומנויות חסרות והיעדר הכשרות מספקות, ועיכובים באספקת מערכות המידע.</w:t>
      </w:r>
    </w:p>
    <w:p w:rsidR="003B5D33" w:rsidRPr="003B5D33" w:rsidP="003B5D33">
      <w:pPr>
        <w:spacing w:line="269" w:lineRule="auto"/>
        <w:rPr>
          <w:rFonts w:eastAsia="Calibri"/>
          <w:b/>
          <w:bCs/>
          <w:rtl/>
        </w:rPr>
      </w:pPr>
      <w:bookmarkStart w:id="15" w:name="_Hlk219026556"/>
    </w:p>
    <w:p w:rsidR="003B5D33" w:rsidRPr="003B5D33" w:rsidP="003B5D33">
      <w:pPr>
        <w:spacing w:line="269" w:lineRule="auto"/>
        <w:rPr>
          <w:rFonts w:eastAsia="Calibri"/>
          <w:b/>
          <w:bCs/>
          <w:rtl/>
        </w:rPr>
      </w:pPr>
      <w:r w:rsidRPr="003B5D33">
        <w:rPr>
          <w:rFonts w:eastAsia="Calibri" w:hint="cs"/>
          <w:b/>
          <w:bCs/>
          <w:rtl/>
        </w:rPr>
        <w:t xml:space="preserve">קיומו של סקר סיכוני תקשוב משרדי הוא צעד חשוב והכרחי לניהול סדור ושיטתי של סיכוני התקשוב. משרד מבקר המדינה מציין לחיוב את קיום סקר סיכוני התקשוב על ידי משרד החוץ במאי 2024. </w:t>
      </w:r>
      <w:bookmarkStart w:id="16" w:name="_Hlk219026074"/>
      <w:r w:rsidRPr="003B5D33">
        <w:rPr>
          <w:rFonts w:eastAsia="Calibri" w:hint="cs"/>
          <w:b/>
          <w:bCs/>
          <w:rtl/>
        </w:rPr>
        <w:t xml:space="preserve">עם זאת </w:t>
      </w:r>
      <w:r w:rsidRPr="003B5D33">
        <w:rPr>
          <w:rFonts w:eastAsia="Calibri" w:hint="eastAsia"/>
          <w:b/>
          <w:bCs/>
          <w:rtl/>
        </w:rPr>
        <w:t>נמצא</w:t>
      </w:r>
      <w:r w:rsidRPr="003B5D33">
        <w:rPr>
          <w:rFonts w:eastAsia="Calibri"/>
          <w:b/>
          <w:bCs/>
          <w:rtl/>
        </w:rPr>
        <w:t xml:space="preserve"> </w:t>
      </w:r>
      <w:r w:rsidRPr="003B5D33">
        <w:rPr>
          <w:rFonts w:eastAsia="Calibri" w:hint="eastAsia"/>
          <w:b/>
          <w:bCs/>
          <w:rtl/>
        </w:rPr>
        <w:t>כי</w:t>
      </w:r>
      <w:r w:rsidRPr="003B5D33">
        <w:rPr>
          <w:rFonts w:eastAsia="Calibri"/>
          <w:b/>
          <w:bCs/>
          <w:rtl/>
        </w:rPr>
        <w:t xml:space="preserve"> </w:t>
      </w:r>
      <w:r w:rsidRPr="003B5D33">
        <w:rPr>
          <w:rFonts w:eastAsia="Calibri" w:hint="eastAsia"/>
          <w:b/>
          <w:bCs/>
          <w:rtl/>
        </w:rPr>
        <w:t>על</w:t>
      </w:r>
      <w:r w:rsidRPr="003B5D33">
        <w:rPr>
          <w:rFonts w:eastAsia="Calibri"/>
          <w:b/>
          <w:bCs/>
          <w:rtl/>
        </w:rPr>
        <w:t xml:space="preserve"> </w:t>
      </w:r>
      <w:r w:rsidRPr="003B5D33">
        <w:rPr>
          <w:rFonts w:eastAsia="Calibri" w:hint="eastAsia"/>
          <w:b/>
          <w:bCs/>
          <w:rtl/>
        </w:rPr>
        <w:t>אף</w:t>
      </w:r>
      <w:r w:rsidRPr="003B5D33">
        <w:rPr>
          <w:rFonts w:eastAsia="Calibri"/>
          <w:b/>
          <w:bCs/>
          <w:rtl/>
        </w:rPr>
        <w:t xml:space="preserve"> הסיכונים המהותיים שהועלו בסקר, </w:t>
      </w:r>
      <w:r w:rsidRPr="003B5D33">
        <w:rPr>
          <w:rFonts w:eastAsia="Calibri" w:hint="eastAsia"/>
          <w:b/>
          <w:bCs/>
          <w:rtl/>
        </w:rPr>
        <w:t>ובניגוד</w:t>
      </w:r>
      <w:r w:rsidRPr="003B5D33">
        <w:rPr>
          <w:rFonts w:eastAsia="Calibri"/>
          <w:b/>
          <w:bCs/>
          <w:rtl/>
        </w:rPr>
        <w:t xml:space="preserve"> </w:t>
      </w:r>
      <w:r w:rsidRPr="003B5D33">
        <w:rPr>
          <w:rFonts w:eastAsia="Calibri" w:hint="eastAsia"/>
          <w:b/>
          <w:bCs/>
          <w:rtl/>
        </w:rPr>
        <w:t>להנחיות</w:t>
      </w:r>
      <w:r w:rsidRPr="003B5D33">
        <w:rPr>
          <w:rFonts w:eastAsia="Calibri"/>
          <w:b/>
          <w:bCs/>
          <w:rtl/>
        </w:rPr>
        <w:t xml:space="preserve"> </w:t>
      </w:r>
      <w:r w:rsidRPr="003B5D33">
        <w:rPr>
          <w:rFonts w:eastAsia="Calibri" w:hint="eastAsia"/>
          <w:b/>
          <w:bCs/>
          <w:rtl/>
        </w:rPr>
        <w:t>מערך</w:t>
      </w:r>
      <w:r w:rsidRPr="003B5D33">
        <w:rPr>
          <w:rFonts w:eastAsia="Calibri"/>
          <w:b/>
          <w:bCs/>
          <w:rtl/>
        </w:rPr>
        <w:t xml:space="preserve"> </w:t>
      </w:r>
      <w:r w:rsidRPr="003B5D33">
        <w:rPr>
          <w:rFonts w:eastAsia="Calibri" w:hint="eastAsia"/>
          <w:b/>
          <w:bCs/>
          <w:rtl/>
        </w:rPr>
        <w:t>הדיגיטל</w:t>
      </w:r>
      <w:r w:rsidRPr="003B5D33">
        <w:rPr>
          <w:rFonts w:eastAsia="Calibri"/>
          <w:b/>
          <w:bCs/>
          <w:rtl/>
        </w:rPr>
        <w:t xml:space="preserve">, </w:t>
      </w:r>
      <w:r w:rsidRPr="003B5D33">
        <w:rPr>
          <w:rFonts w:eastAsia="Calibri" w:hint="eastAsia"/>
          <w:b/>
          <w:bCs/>
          <w:rtl/>
        </w:rPr>
        <w:t>נכון</w:t>
      </w:r>
      <w:r w:rsidRPr="003B5D33">
        <w:rPr>
          <w:rFonts w:eastAsia="Calibri"/>
          <w:b/>
          <w:bCs/>
          <w:rtl/>
        </w:rPr>
        <w:t xml:space="preserve"> </w:t>
      </w:r>
      <w:r w:rsidRPr="003B5D33">
        <w:rPr>
          <w:rFonts w:eastAsia="Calibri" w:hint="eastAsia"/>
          <w:b/>
          <w:bCs/>
          <w:rtl/>
        </w:rPr>
        <w:t>לינואר</w:t>
      </w:r>
      <w:r w:rsidRPr="003B5D33">
        <w:rPr>
          <w:rFonts w:eastAsia="Calibri"/>
          <w:b/>
          <w:bCs/>
          <w:rtl/>
        </w:rPr>
        <w:t xml:space="preserve"> 2025, </w:t>
      </w:r>
      <w:r w:rsidRPr="003B5D33">
        <w:rPr>
          <w:rFonts w:eastAsia="Calibri" w:hint="eastAsia"/>
          <w:b/>
          <w:bCs/>
          <w:rtl/>
        </w:rPr>
        <w:t>מעל</w:t>
      </w:r>
      <w:r w:rsidRPr="003B5D33">
        <w:rPr>
          <w:rFonts w:eastAsia="Calibri"/>
          <w:b/>
          <w:bCs/>
          <w:rtl/>
        </w:rPr>
        <w:t xml:space="preserve"> </w:t>
      </w:r>
      <w:r w:rsidRPr="003B5D33">
        <w:rPr>
          <w:rFonts w:eastAsia="Calibri" w:hint="eastAsia"/>
          <w:b/>
          <w:bCs/>
          <w:rtl/>
        </w:rPr>
        <w:t>חצי</w:t>
      </w:r>
      <w:r w:rsidRPr="003B5D33">
        <w:rPr>
          <w:rFonts w:eastAsia="Calibri"/>
          <w:b/>
          <w:bCs/>
          <w:rtl/>
        </w:rPr>
        <w:t xml:space="preserve"> </w:t>
      </w:r>
      <w:r w:rsidRPr="003B5D33">
        <w:rPr>
          <w:rFonts w:eastAsia="Calibri" w:hint="eastAsia"/>
          <w:b/>
          <w:bCs/>
          <w:rtl/>
        </w:rPr>
        <w:t>שנה</w:t>
      </w:r>
      <w:r w:rsidRPr="003B5D33">
        <w:rPr>
          <w:rFonts w:eastAsia="Calibri"/>
          <w:b/>
          <w:bCs/>
          <w:rtl/>
        </w:rPr>
        <w:t xml:space="preserve"> ממועד הגשת</w:t>
      </w:r>
      <w:r w:rsidRPr="003B5D33">
        <w:rPr>
          <w:rFonts w:eastAsia="Calibri" w:hint="eastAsia"/>
          <w:b/>
          <w:bCs/>
          <w:rtl/>
        </w:rPr>
        <w:t>ו</w:t>
      </w:r>
      <w:r w:rsidRPr="003B5D33">
        <w:rPr>
          <w:rFonts w:eastAsia="Calibri"/>
          <w:b/>
          <w:bCs/>
          <w:rtl/>
        </w:rPr>
        <w:t xml:space="preserve"> למשרד, </w:t>
      </w:r>
      <w:r w:rsidRPr="003B5D33">
        <w:rPr>
          <w:rFonts w:eastAsia="Calibri" w:hint="eastAsia"/>
          <w:b/>
          <w:bCs/>
          <w:rtl/>
        </w:rPr>
        <w:t>ועדת</w:t>
      </w:r>
      <w:r w:rsidRPr="003B5D33">
        <w:rPr>
          <w:rFonts w:eastAsia="Calibri"/>
          <w:b/>
          <w:bCs/>
          <w:rtl/>
        </w:rPr>
        <w:t xml:space="preserve"> </w:t>
      </w:r>
      <w:r w:rsidRPr="003B5D33">
        <w:rPr>
          <w:rFonts w:eastAsia="Calibri" w:hint="eastAsia"/>
          <w:b/>
          <w:bCs/>
          <w:rtl/>
        </w:rPr>
        <w:t>ההיגוי</w:t>
      </w:r>
      <w:r w:rsidRPr="003B5D33">
        <w:rPr>
          <w:rFonts w:eastAsia="Calibri"/>
          <w:b/>
          <w:bCs/>
          <w:rtl/>
        </w:rPr>
        <w:t xml:space="preserve"> </w:t>
      </w:r>
      <w:r w:rsidRPr="003B5D33">
        <w:rPr>
          <w:rFonts w:eastAsia="Calibri" w:hint="eastAsia"/>
          <w:b/>
          <w:bCs/>
          <w:rtl/>
        </w:rPr>
        <w:t>המשרדית</w:t>
      </w:r>
      <w:r w:rsidRPr="003B5D33">
        <w:rPr>
          <w:rFonts w:eastAsia="Calibri"/>
          <w:b/>
          <w:bCs/>
          <w:rtl/>
        </w:rPr>
        <w:t xml:space="preserve"> </w:t>
      </w:r>
      <w:r w:rsidRPr="003B5D33">
        <w:rPr>
          <w:rFonts w:eastAsia="Calibri" w:hint="eastAsia"/>
          <w:b/>
          <w:bCs/>
          <w:rtl/>
        </w:rPr>
        <w:t>עדיין</w:t>
      </w:r>
      <w:r w:rsidRPr="003B5D33">
        <w:rPr>
          <w:rFonts w:eastAsia="Calibri"/>
          <w:b/>
          <w:bCs/>
          <w:rtl/>
        </w:rPr>
        <w:t xml:space="preserve"> </w:t>
      </w:r>
      <w:r w:rsidRPr="003B5D33">
        <w:rPr>
          <w:rFonts w:eastAsia="Calibri" w:hint="eastAsia"/>
          <w:b/>
          <w:bCs/>
          <w:rtl/>
        </w:rPr>
        <w:t>לא</w:t>
      </w:r>
      <w:r w:rsidRPr="003B5D33">
        <w:rPr>
          <w:rFonts w:eastAsia="Calibri"/>
          <w:b/>
          <w:bCs/>
          <w:rtl/>
        </w:rPr>
        <w:t xml:space="preserve"> </w:t>
      </w:r>
      <w:r w:rsidRPr="003B5D33">
        <w:rPr>
          <w:rFonts w:eastAsia="Calibri" w:hint="eastAsia"/>
          <w:b/>
          <w:bCs/>
          <w:rtl/>
        </w:rPr>
        <w:t>דנה</w:t>
      </w:r>
      <w:r w:rsidRPr="003B5D33">
        <w:rPr>
          <w:rFonts w:eastAsia="Calibri"/>
          <w:b/>
          <w:bCs/>
          <w:rtl/>
        </w:rPr>
        <w:t xml:space="preserve"> </w:t>
      </w:r>
      <w:r w:rsidRPr="003B5D33">
        <w:rPr>
          <w:rFonts w:eastAsia="Calibri" w:hint="eastAsia"/>
          <w:b/>
          <w:bCs/>
          <w:rtl/>
        </w:rPr>
        <w:t>ב</w:t>
      </w:r>
      <w:r w:rsidRPr="003B5D33">
        <w:rPr>
          <w:rFonts w:eastAsia="Calibri"/>
          <w:b/>
          <w:bCs/>
          <w:rtl/>
        </w:rPr>
        <w:t xml:space="preserve">תוצאות הסקר והשלכותיו, </w:t>
      </w:r>
      <w:r w:rsidRPr="003B5D33">
        <w:rPr>
          <w:rFonts w:eastAsia="Calibri" w:hint="eastAsia"/>
          <w:b/>
          <w:bCs/>
          <w:rtl/>
        </w:rPr>
        <w:t>ולא</w:t>
      </w:r>
      <w:r w:rsidRPr="003B5D33">
        <w:rPr>
          <w:rFonts w:eastAsia="Calibri"/>
          <w:b/>
          <w:bCs/>
          <w:rtl/>
        </w:rPr>
        <w:t xml:space="preserve"> </w:t>
      </w:r>
      <w:r w:rsidRPr="003B5D33">
        <w:rPr>
          <w:rFonts w:eastAsia="Calibri" w:hint="eastAsia"/>
          <w:b/>
          <w:bCs/>
          <w:rtl/>
        </w:rPr>
        <w:t>אושרה</w:t>
      </w:r>
      <w:r w:rsidRPr="003B5D33">
        <w:rPr>
          <w:rFonts w:eastAsia="Calibri"/>
          <w:b/>
          <w:bCs/>
          <w:rtl/>
        </w:rPr>
        <w:t xml:space="preserve"> </w:t>
      </w:r>
      <w:r w:rsidRPr="003B5D33">
        <w:rPr>
          <w:rFonts w:eastAsia="Calibri" w:hint="eastAsia"/>
          <w:b/>
          <w:bCs/>
          <w:rtl/>
        </w:rPr>
        <w:t>על</w:t>
      </w:r>
      <w:r w:rsidRPr="003B5D33">
        <w:rPr>
          <w:rFonts w:eastAsia="Calibri"/>
          <w:b/>
          <w:bCs/>
          <w:rtl/>
        </w:rPr>
        <w:t xml:space="preserve"> ידה תוכנית </w:t>
      </w:r>
      <w:r w:rsidRPr="003B5D33">
        <w:rPr>
          <w:rFonts w:eastAsia="Calibri" w:hint="eastAsia"/>
          <w:b/>
          <w:bCs/>
          <w:rtl/>
        </w:rPr>
        <w:t>לטיפול</w:t>
      </w:r>
      <w:r w:rsidRPr="003B5D33">
        <w:rPr>
          <w:rFonts w:eastAsia="Calibri"/>
          <w:b/>
          <w:bCs/>
          <w:rtl/>
        </w:rPr>
        <w:t xml:space="preserve"> </w:t>
      </w:r>
      <w:r w:rsidRPr="003B5D33">
        <w:rPr>
          <w:rFonts w:eastAsia="Calibri" w:hint="eastAsia"/>
          <w:b/>
          <w:bCs/>
          <w:rtl/>
        </w:rPr>
        <w:t>בסיכונים</w:t>
      </w:r>
      <w:r w:rsidRPr="003B5D33">
        <w:rPr>
          <w:rFonts w:eastAsia="Calibri"/>
          <w:b/>
          <w:bCs/>
          <w:rtl/>
        </w:rPr>
        <w:t xml:space="preserve"> </w:t>
      </w:r>
      <w:r w:rsidRPr="003B5D33">
        <w:rPr>
          <w:rFonts w:eastAsia="Calibri" w:hint="eastAsia"/>
          <w:b/>
          <w:bCs/>
          <w:rtl/>
        </w:rPr>
        <w:t>שהועלו</w:t>
      </w:r>
      <w:r w:rsidRPr="003B5D33">
        <w:rPr>
          <w:rFonts w:eastAsia="Calibri"/>
          <w:b/>
          <w:bCs/>
          <w:rtl/>
        </w:rPr>
        <w:t xml:space="preserve">. </w:t>
      </w:r>
      <w:r w:rsidRPr="003B5D33">
        <w:rPr>
          <w:rFonts w:eastAsia="Calibri" w:hint="eastAsia"/>
          <w:b/>
          <w:bCs/>
          <w:rtl/>
        </w:rPr>
        <w:t>התנהלות</w:t>
      </w:r>
      <w:r w:rsidRPr="003B5D33">
        <w:rPr>
          <w:rFonts w:eastAsia="Calibri"/>
          <w:b/>
          <w:bCs/>
          <w:rtl/>
        </w:rPr>
        <w:t xml:space="preserve"> זו </w:t>
      </w:r>
      <w:r w:rsidRPr="003B5D33">
        <w:rPr>
          <w:rFonts w:eastAsia="Calibri" w:hint="eastAsia"/>
          <w:b/>
          <w:bCs/>
          <w:rtl/>
        </w:rPr>
        <w:t>עלולה</w:t>
      </w:r>
      <w:r w:rsidRPr="003B5D33">
        <w:rPr>
          <w:rFonts w:eastAsia="Calibri"/>
          <w:b/>
          <w:bCs/>
          <w:rtl/>
        </w:rPr>
        <w:t xml:space="preserve"> לפגוע ביכולתו של משרד החוץ להתמודד עם הסיכונים שהועלו. </w:t>
      </w:r>
    </w:p>
    <w:bookmarkEnd w:id="15"/>
    <w:bookmarkEnd w:id="16"/>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מסר למשרד מבקר המדינה באוקטובר 2025 כי </w:t>
      </w:r>
      <w:r w:rsidRPr="003B5D33">
        <w:rPr>
          <w:rFonts w:eastAsia="Calibri"/>
          <w:rtl/>
        </w:rPr>
        <w:t>סקר הסיכונים שבוצע לא אושר ע</w:t>
      </w:r>
      <w:r w:rsidRPr="003B5D33">
        <w:rPr>
          <w:rFonts w:eastAsia="Calibri" w:hint="cs"/>
          <w:rtl/>
        </w:rPr>
        <w:t>ל יד</w:t>
      </w:r>
      <w:r w:rsidRPr="003B5D33">
        <w:rPr>
          <w:rFonts w:eastAsia="Calibri"/>
          <w:rtl/>
        </w:rPr>
        <w:t>י המשרד ויש בו פערים שהחברה נדרשה להשלים.</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על משרד החוץ לפעול להשלים בהקדם את סקר הסיכונים</w:t>
      </w:r>
      <w:r w:rsidRPr="003B5D33">
        <w:rPr>
          <w:rFonts w:eastAsia="Calibri"/>
          <w:b/>
          <w:bCs/>
          <w:rtl/>
        </w:rPr>
        <w:t xml:space="preserve"> </w:t>
      </w:r>
      <w:r w:rsidRPr="003B5D33">
        <w:rPr>
          <w:rFonts w:eastAsia="Calibri" w:hint="cs"/>
          <w:b/>
          <w:bCs/>
          <w:rtl/>
        </w:rPr>
        <w:t xml:space="preserve">שכן </w:t>
      </w:r>
      <w:r w:rsidRPr="003B5D33">
        <w:rPr>
          <w:rFonts w:eastAsia="Calibri"/>
          <w:b/>
          <w:bCs/>
          <w:rtl/>
        </w:rPr>
        <w:t>ככל שחולף הזמן מביצוע הסקר, תמונת הסיכונים הולכת ומשתנה, וההשלכות של התממשות הסיכונים על המשרד עלולות להיות רחבות יותר.</w:t>
      </w:r>
      <w:r w:rsidRPr="003B5D33">
        <w:rPr>
          <w:rFonts w:eastAsia="Calibri" w:hint="cs"/>
          <w:b/>
          <w:bCs/>
          <w:rtl/>
        </w:rPr>
        <w:t xml:space="preserve"> לאחר השלמת הסקר על מנכ"ל המשרד וועדת ההיגוי המשרדית לדון בממצאי סקר הסיכונים ובתוכנית לטיפול בסיכונים ולאשרה, ולעקוב אחר תהליך ההתמודדות עם סיכונים אלו לשם הפחתתם.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ניהול הסיכונים הלקוי בתחום מערכות המידע בא לידי ביטוי גם בתמונת המערכות שבאחריות אגף התקשוב</w:t>
      </w:r>
      <w:r w:rsidRPr="003B5D33">
        <w:rPr>
          <w:rFonts w:eastAsia="Calibri"/>
          <w:rtl/>
        </w:rPr>
        <w:t xml:space="preserve"> </w:t>
      </w:r>
      <w:r w:rsidRPr="003B5D33">
        <w:rPr>
          <w:rFonts w:eastAsia="Calibri" w:hint="cs"/>
          <w:rtl/>
        </w:rPr>
        <w:t xml:space="preserve">המשקפת כי ישנן </w:t>
      </w:r>
      <w:r w:rsidRPr="003B5D33">
        <w:rPr>
          <w:rFonts w:eastAsia="Calibri"/>
          <w:rtl/>
        </w:rPr>
        <w:t xml:space="preserve">מערכות </w:t>
      </w:r>
      <w:r w:rsidRPr="003B5D33">
        <w:rPr>
          <w:rFonts w:eastAsia="Calibri" w:hint="cs"/>
          <w:rtl/>
        </w:rPr>
        <w:t xml:space="preserve">מיושנות, </w:t>
      </w:r>
      <w:r w:rsidRPr="003B5D33">
        <w:rPr>
          <w:rFonts w:eastAsia="Calibri"/>
          <w:rtl/>
        </w:rPr>
        <w:t xml:space="preserve">הנמצאות בפער טכנולוגי או פונקציונלי </w:t>
      </w:r>
      <w:r w:rsidRPr="003B5D33">
        <w:rPr>
          <w:rFonts w:eastAsia="Calibri" w:hint="cs"/>
          <w:rtl/>
        </w:rPr>
        <w:t>ש</w:t>
      </w:r>
      <w:r w:rsidRPr="003B5D33">
        <w:rPr>
          <w:rFonts w:eastAsia="Calibri"/>
          <w:rtl/>
        </w:rPr>
        <w:t>מחייב שדרוג או החלפה</w:t>
      </w:r>
      <w:r w:rsidRPr="003B5D33">
        <w:rPr>
          <w:rFonts w:eastAsia="Calibri" w:hint="cs"/>
          <w:rtl/>
        </w:rPr>
        <w:t xml:space="preserve">. </w:t>
      </w:r>
    </w:p>
    <w:p w:rsidR="003B5D33" w:rsidRPr="003B5D33" w:rsidP="003B5D33">
      <w:pPr>
        <w:spacing w:line="269" w:lineRule="auto"/>
        <w:jc w:val="center"/>
        <w:rPr>
          <w:rFonts w:eastAsia="Calibri"/>
          <w:b/>
          <w:bCs/>
          <w:rtl/>
        </w:rPr>
      </w:pPr>
    </w:p>
    <w:p w:rsidR="003B5D33" w:rsidRPr="003B5D33" w:rsidP="003B5D33">
      <w:pPr>
        <w:spacing w:line="269" w:lineRule="auto"/>
        <w:rPr>
          <w:rFonts w:eastAsia="Calibri"/>
          <w:b/>
          <w:bCs/>
          <w:rtl/>
        </w:rPr>
      </w:pPr>
      <w:r w:rsidRPr="003B5D33">
        <w:rPr>
          <w:rFonts w:eastAsia="Calibri" w:hint="cs"/>
          <w:b/>
          <w:bCs/>
          <w:rtl/>
        </w:rPr>
        <w:t>ניתוח נתוני משרד החוץ העלה כי נכון לשנת 2024 קיימות מערכות מסוימות שהוגדרו כ-</w:t>
      </w:r>
      <w:r w:rsidRPr="003B5D33">
        <w:rPr>
          <w:rFonts w:eastAsia="Calibri" w:hint="cs"/>
          <w:b/>
          <w:bCs/>
        </w:rPr>
        <w:t>EOL</w:t>
      </w:r>
      <w:r w:rsidRPr="003B5D33">
        <w:rPr>
          <w:rFonts w:eastAsia="Calibri" w:hint="cs"/>
          <w:b/>
          <w:bCs/>
          <w:rtl/>
        </w:rPr>
        <w:t xml:space="preserve"> (</w:t>
      </w:r>
      <w:r w:rsidRPr="003B5D33">
        <w:rPr>
          <w:rFonts w:eastAsia="Calibri"/>
          <w:b/>
          <w:bCs/>
        </w:rPr>
        <w:t xml:space="preserve">End </w:t>
      </w:r>
      <w:bookmarkStart w:id="17" w:name="_Hlk196147202"/>
      <w:r w:rsidRPr="003B5D33">
        <w:rPr>
          <w:rFonts w:eastAsia="Calibri"/>
          <w:b/>
          <w:bCs/>
        </w:rPr>
        <w:t>Of Life</w:t>
      </w:r>
      <w:bookmarkEnd w:id="17"/>
      <w:r w:rsidRPr="003B5D33">
        <w:rPr>
          <w:rFonts w:eastAsia="Calibri" w:hint="cs"/>
          <w:b/>
          <w:bCs/>
          <w:rtl/>
        </w:rPr>
        <w:t>), או ככאלו הדורשות שדרוג או החלפה.</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שימוש במערכות מידע מיושנות</w:t>
      </w:r>
      <w:r w:rsidRPr="003B5D33">
        <w:rPr>
          <w:rFonts w:eastAsia="Calibri" w:hint="cs"/>
          <w:b/>
          <w:bCs/>
          <w:rtl/>
        </w:rPr>
        <w:t xml:space="preserve"> בכלל</w:t>
      </w:r>
      <w:r w:rsidRPr="003B5D33">
        <w:rPr>
          <w:rFonts w:eastAsia="Calibri"/>
          <w:b/>
          <w:bCs/>
          <w:rtl/>
        </w:rPr>
        <w:t xml:space="preserve"> וכאלה שהגיעו לסוף חיי התמיכה שלהן (</w:t>
      </w:r>
      <w:r w:rsidRPr="003B5D33">
        <w:rPr>
          <w:rFonts w:eastAsia="Calibri"/>
          <w:b/>
          <w:bCs/>
        </w:rPr>
        <w:t>EOL</w:t>
      </w:r>
      <w:r w:rsidRPr="003B5D33">
        <w:rPr>
          <w:rFonts w:eastAsia="Calibri"/>
          <w:b/>
          <w:bCs/>
          <w:rtl/>
        </w:rPr>
        <w:t>)</w:t>
      </w:r>
      <w:r w:rsidRPr="003B5D33">
        <w:rPr>
          <w:rFonts w:eastAsia="Calibri" w:hint="cs"/>
          <w:b/>
          <w:bCs/>
          <w:rtl/>
        </w:rPr>
        <w:t xml:space="preserve"> בפרט </w:t>
      </w:r>
      <w:r w:rsidRPr="003B5D33">
        <w:rPr>
          <w:rFonts w:eastAsia="Calibri"/>
          <w:b/>
          <w:bCs/>
          <w:rtl/>
        </w:rPr>
        <w:t>טומן בחובו סיכונים משמעותיים</w:t>
      </w:r>
      <w:r w:rsidRPr="003B5D33">
        <w:rPr>
          <w:rFonts w:eastAsia="Calibri" w:hint="cs"/>
          <w:b/>
          <w:bCs/>
          <w:rtl/>
        </w:rPr>
        <w:t>:</w:t>
      </w:r>
      <w:r w:rsidRPr="003B5D33">
        <w:rPr>
          <w:rFonts w:eastAsia="Calibri"/>
          <w:b/>
          <w:bCs/>
          <w:rtl/>
        </w:rPr>
        <w:t xml:space="preserve"> בהיעדר תמיכה טכנית, המערכ</w:t>
      </w:r>
      <w:r w:rsidRPr="003B5D33">
        <w:rPr>
          <w:rFonts w:eastAsia="Calibri" w:hint="cs"/>
          <w:b/>
          <w:bCs/>
          <w:rtl/>
        </w:rPr>
        <w:t>ו</w:t>
      </w:r>
      <w:r w:rsidRPr="003B5D33">
        <w:rPr>
          <w:rFonts w:eastAsia="Calibri"/>
          <w:b/>
          <w:bCs/>
          <w:rtl/>
        </w:rPr>
        <w:t>ת חשופ</w:t>
      </w:r>
      <w:r w:rsidRPr="003B5D33">
        <w:rPr>
          <w:rFonts w:eastAsia="Calibri" w:hint="cs"/>
          <w:b/>
          <w:bCs/>
          <w:rtl/>
        </w:rPr>
        <w:t>ות</w:t>
      </w:r>
      <w:r w:rsidRPr="003B5D33">
        <w:rPr>
          <w:rFonts w:eastAsia="Calibri"/>
          <w:b/>
          <w:bCs/>
          <w:rtl/>
        </w:rPr>
        <w:t xml:space="preserve"> יותר </w:t>
      </w:r>
      <w:r w:rsidRPr="003B5D33">
        <w:rPr>
          <w:rFonts w:eastAsia="Calibri" w:hint="cs"/>
          <w:b/>
          <w:bCs/>
          <w:rtl/>
        </w:rPr>
        <w:t>ל</w:t>
      </w:r>
      <w:r w:rsidRPr="003B5D33">
        <w:rPr>
          <w:rFonts w:eastAsia="Calibri"/>
          <w:b/>
          <w:bCs/>
          <w:rtl/>
        </w:rPr>
        <w:t>תקלות בלתי צפויות</w:t>
      </w:r>
      <w:r w:rsidRPr="003B5D33">
        <w:rPr>
          <w:rFonts w:eastAsia="Calibri" w:hint="cs"/>
          <w:b/>
          <w:bCs/>
          <w:rtl/>
        </w:rPr>
        <w:t>,</w:t>
      </w:r>
      <w:r w:rsidRPr="003B5D33">
        <w:rPr>
          <w:rFonts w:eastAsia="Calibri"/>
          <w:b/>
          <w:bCs/>
          <w:rtl/>
        </w:rPr>
        <w:t xml:space="preserve"> </w:t>
      </w:r>
      <w:r w:rsidRPr="003B5D33">
        <w:rPr>
          <w:rFonts w:eastAsia="Calibri" w:hint="cs"/>
          <w:b/>
          <w:bCs/>
          <w:rtl/>
        </w:rPr>
        <w:t>ל</w:t>
      </w:r>
      <w:r w:rsidRPr="003B5D33">
        <w:rPr>
          <w:rFonts w:eastAsia="Calibri"/>
          <w:b/>
          <w:bCs/>
          <w:rtl/>
        </w:rPr>
        <w:t>אי-התאמה לדרישות רגולציה עדכניות</w:t>
      </w:r>
      <w:r w:rsidRPr="003B5D33">
        <w:rPr>
          <w:rFonts w:eastAsia="Calibri" w:hint="cs"/>
          <w:b/>
          <w:bCs/>
          <w:rtl/>
        </w:rPr>
        <w:t>, לקשיים בביצוע שינויים ושיפורים במערכות בהתאם לשינויים בתהליכי העבודה ואף לחוסר יכולת לבצעם;</w:t>
      </w:r>
      <w:r w:rsidRPr="003B5D33">
        <w:rPr>
          <w:rFonts w:eastAsia="Calibri"/>
          <w:b/>
          <w:bCs/>
          <w:rtl/>
        </w:rPr>
        <w:t xml:space="preserve"> התחזוקה השוטפת של מערכות אלו הופכת ליקרה ומורכבת יותר, ועלולה לפגוע ביעילות ובזמינות השירותים </w:t>
      </w:r>
      <w:r w:rsidRPr="003B5D33">
        <w:rPr>
          <w:rFonts w:eastAsia="Calibri" w:hint="cs"/>
          <w:b/>
          <w:bCs/>
          <w:rtl/>
        </w:rPr>
        <w:t xml:space="preserve">לארגון ולציבור, כפי שגם קרה בפועל במערכת אימותים (בעניין זה ראו בהרחבה בדוח מבקר המדינה בנושא </w:t>
      </w:r>
      <w:r w:rsidRPr="003B5D33">
        <w:rPr>
          <w:rFonts w:eastAsia="Calibri"/>
          <w:b/>
          <w:bCs/>
          <w:rtl/>
        </w:rPr>
        <w:t>אימות מסמכים ציבוריים במשרד החוץ - אפוסטיל</w:t>
      </w:r>
      <w:r w:rsidRPr="003B5D33">
        <w:rPr>
          <w:rFonts w:eastAsia="Calibri" w:hint="cs"/>
          <w:b/>
          <w:bCs/>
          <w:rtl/>
        </w:rPr>
        <w:t>); קיומן של מערכות מיושנות אלו עלול גם לפגוע</w:t>
      </w:r>
      <w:r w:rsidRPr="003B5D33">
        <w:rPr>
          <w:rFonts w:eastAsia="Calibri"/>
          <w:b/>
          <w:bCs/>
          <w:rtl/>
        </w:rPr>
        <w:t xml:space="preserve"> בתאימות ו</w:t>
      </w:r>
      <w:r w:rsidRPr="003B5D33">
        <w:rPr>
          <w:rFonts w:eastAsia="Calibri" w:hint="cs"/>
          <w:b/>
          <w:bCs/>
          <w:rtl/>
        </w:rPr>
        <w:t>ב</w:t>
      </w:r>
      <w:r w:rsidRPr="003B5D33">
        <w:rPr>
          <w:rFonts w:eastAsia="Calibri"/>
          <w:b/>
          <w:bCs/>
          <w:rtl/>
        </w:rPr>
        <w:t xml:space="preserve">יכולת </w:t>
      </w:r>
      <w:r w:rsidRPr="003B5D33">
        <w:rPr>
          <w:rFonts w:eastAsia="Calibri" w:hint="cs"/>
          <w:b/>
          <w:bCs/>
          <w:rtl/>
        </w:rPr>
        <w:t>ה</w:t>
      </w:r>
      <w:r w:rsidRPr="003B5D33">
        <w:rPr>
          <w:rFonts w:eastAsia="Calibri"/>
          <w:b/>
          <w:bCs/>
          <w:rtl/>
        </w:rPr>
        <w:t>אינטגרציה</w:t>
      </w:r>
      <w:r w:rsidRPr="003B5D33">
        <w:rPr>
          <w:rFonts w:eastAsia="Calibri" w:hint="cs"/>
          <w:b/>
          <w:bCs/>
          <w:rtl/>
        </w:rPr>
        <w:t xml:space="preserve"> עם מערכות חדשות.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זאת ועוד, המשך השימוש במערכות המיושנות עלול להוביל לפגיעה בעבודת האגפים המקצועיים במשרד החוץ; בשירותים הקונסולריים של מדינת ישראל; וביכולתו של המשרד לשמור על רציפות תפקודית.</w:t>
      </w:r>
      <w:r w:rsidRPr="003B5D33">
        <w:rPr>
          <w:rFonts w:eastAsia="Calibri" w:hint="cs"/>
          <w:b/>
          <w:bCs/>
          <w:highlight w:val="yellow"/>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b/>
          <w:bCs/>
          <w:rtl/>
        </w:rPr>
      </w:pPr>
      <w:r w:rsidRPr="003B5D33">
        <w:rPr>
          <w:rFonts w:eastAsia="Calibri" w:hint="cs"/>
          <w:rtl/>
        </w:rPr>
        <w:t xml:space="preserve">במרץ 2025 העביר משרד החוץ למשרד מבקר המדינה </w:t>
      </w:r>
      <w:bookmarkStart w:id="18" w:name="_Hlk196224435"/>
      <w:r w:rsidRPr="003B5D33">
        <w:rPr>
          <w:rFonts w:eastAsia="Calibri" w:hint="cs"/>
          <w:rtl/>
        </w:rPr>
        <w:t>התייחסות בנוגע לשדרוג של כמה מערכות שהוגדרו כ-</w:t>
      </w:r>
      <w:r w:rsidRPr="003B5D33">
        <w:rPr>
          <w:rFonts w:eastAsia="Calibri" w:hint="cs"/>
        </w:rPr>
        <w:t>EOL</w:t>
      </w:r>
      <w:r w:rsidRPr="003B5D33">
        <w:rPr>
          <w:rFonts w:eastAsia="Calibri" w:hint="cs"/>
          <w:rtl/>
        </w:rPr>
        <w:t xml:space="preserve">, ששדרוגן אמור להסתיים במהלך שנת 2025. אשר ליתר המערכות, צוין כי הפעולות הנדרשות בעניינן יבוצעו במסגרת תוכנית עבודה רב-שנתית, הכוללת גם הגירה לענן של חלק מהמערכות. </w:t>
      </w:r>
      <w:bookmarkEnd w:id="18"/>
      <w:r w:rsidRPr="003B5D33">
        <w:rPr>
          <w:rFonts w:eastAsia="Calibri" w:hint="cs"/>
          <w:rtl/>
        </w:rPr>
        <w:t xml:space="preserve">עיון בתוכנית העלה כי </w:t>
      </w:r>
      <w:bookmarkStart w:id="19" w:name="_Hlk196224817"/>
      <w:r w:rsidRPr="003B5D33">
        <w:rPr>
          <w:rFonts w:eastAsia="Calibri" w:hint="cs"/>
          <w:rtl/>
        </w:rPr>
        <w:t xml:space="preserve">המעבר לענן מתוכנן להתבצע בכמה גלי הגירה על בסיס </w:t>
      </w:r>
      <w:r w:rsidRPr="003B5D33">
        <w:rPr>
          <w:rFonts w:eastAsia="Calibri" w:hint="cs"/>
          <w:rtl/>
        </w:rPr>
        <w:t>ערך עסקי ואומדן עלויות</w:t>
      </w:r>
      <w:bookmarkEnd w:id="19"/>
      <w:r w:rsidRPr="003B5D33">
        <w:rPr>
          <w:rFonts w:eastAsia="Calibri" w:hint="cs"/>
          <w:rtl/>
        </w:rPr>
        <w:t>, בעלות כוללת של 126 מיליון ש"ח. גל ההגירה האחרון מיועד להסתיים בשנת 2029</w:t>
      </w:r>
      <w:r>
        <w:rPr>
          <w:rFonts w:eastAsia="Calibri"/>
          <w:vertAlign w:val="superscript"/>
          <w:rtl/>
        </w:rPr>
        <w:footnoteReference w:id="24"/>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מסר למשרד מבקר המדינה באוקטובר 2025 כי הפער הטכנולוגי נוצר בעקבות חסר של שנים בתקצוב למשרד החוץ בכלל ולאגף התקשוב בפרט. עוד צוין על ידו כי </w:t>
      </w:r>
      <w:r w:rsidRPr="003B5D33">
        <w:rPr>
          <w:rFonts w:eastAsia="Calibri"/>
          <w:rtl/>
        </w:rPr>
        <w:t xml:space="preserve">כל מערכת </w:t>
      </w:r>
      <w:r w:rsidRPr="003B5D33">
        <w:rPr>
          <w:rFonts w:eastAsia="Calibri" w:hint="cs"/>
          <w:rtl/>
        </w:rPr>
        <w:t xml:space="preserve">שנמצאת </w:t>
      </w:r>
      <w:r w:rsidRPr="003B5D33">
        <w:rPr>
          <w:rFonts w:eastAsia="Calibri"/>
          <w:rtl/>
        </w:rPr>
        <w:t xml:space="preserve">בסטטוס </w:t>
      </w:r>
      <w:r w:rsidRPr="003B5D33">
        <w:rPr>
          <w:rFonts w:eastAsia="Calibri" w:hint="cs"/>
        </w:rPr>
        <w:t>EOL</w:t>
      </w:r>
      <w:r w:rsidRPr="003B5D33">
        <w:rPr>
          <w:rFonts w:eastAsia="Calibri" w:hint="cs"/>
          <w:rtl/>
        </w:rPr>
        <w:t xml:space="preserve"> </w:t>
      </w:r>
      <w:r w:rsidRPr="003B5D33">
        <w:rPr>
          <w:rFonts w:eastAsia="Calibri"/>
          <w:rtl/>
        </w:rPr>
        <w:t>או מתקדמת לכיוון זה, מועמדת להגירה לענן ונבחנת מול חלופות אחרות.</w:t>
      </w:r>
    </w:p>
    <w:p w:rsidR="003B5D33" w:rsidRPr="003B5D33" w:rsidP="003B5D33">
      <w:pPr>
        <w:spacing w:line="269" w:lineRule="auto"/>
        <w:rPr>
          <w:rFonts w:eastAsia="Calibri"/>
          <w:b/>
          <w:bCs/>
          <w:rtl/>
        </w:rPr>
      </w:pPr>
      <w:bookmarkStart w:id="20" w:name="_Hlk196224745"/>
    </w:p>
    <w:p w:rsidR="003B5D33" w:rsidRPr="003B5D33" w:rsidP="003B5D33">
      <w:pPr>
        <w:spacing w:line="269" w:lineRule="auto"/>
        <w:rPr>
          <w:rFonts w:eastAsia="Times New Roman"/>
          <w:bCs/>
          <w:szCs w:val="26"/>
          <w:rtl/>
        </w:rPr>
      </w:pPr>
      <w:r w:rsidRPr="003B5D33">
        <w:rPr>
          <w:rFonts w:eastAsia="Calibri" w:hint="cs"/>
          <w:b/>
          <w:bCs/>
          <w:rtl/>
        </w:rPr>
        <w:t>מהאמור עולה כי משרד החוץ גיבש תוכנית רב-שנתית לטיפול במערכות המידע של המשרד, לרבות באמצעות הגירה לענן, שבמסגרתה ישודרגו או יוחלפו מערכות ישנות. עם זאת, כדי לוודא כי ניתן מענה במסגרת מעבר לענן או בתצורה אחרת לכלל המערכות הישנות, ולנוכח החשש כי חלקן עלול לקרוס עוד לפני שיסתיימו גלי ההגירה לענן בשנת 2029, או שהתקציב שיוקצה לנושא יהיה בחסר, על ועדת ההיגוי לעקוב ולפקח באופן הדוק אחר מימוש התוכנית</w:t>
      </w:r>
      <w:r w:rsidRPr="003B5D33">
        <w:rPr>
          <w:rFonts w:eastAsia="Times New Roman" w:hint="cs"/>
          <w:bCs/>
          <w:szCs w:val="26"/>
          <w:rtl/>
        </w:rPr>
        <w:t>.</w:t>
      </w:r>
    </w:p>
    <w:p w:rsidR="003B5D33" w:rsidRPr="003B5D33" w:rsidP="003B5D33">
      <w:pPr>
        <w:spacing w:line="269" w:lineRule="auto"/>
        <w:rPr>
          <w:rFonts w:eastAsia="Times New Roman"/>
          <w:bCs/>
          <w:szCs w:val="26"/>
          <w:rtl/>
        </w:rPr>
      </w:pPr>
    </w:p>
    <w:p w:rsidR="003B5D33" w:rsidRPr="003B5D33" w:rsidP="003B5D33">
      <w:pPr>
        <w:keepNext/>
        <w:keepLines/>
        <w:spacing w:line="269" w:lineRule="auto"/>
        <w:outlineLvl w:val="3"/>
        <w:rPr>
          <w:rFonts w:eastAsia="Times New Roman"/>
          <w:bCs/>
          <w:szCs w:val="26"/>
          <w:rtl/>
        </w:rPr>
      </w:pPr>
      <w:r w:rsidRPr="003B5D33">
        <w:rPr>
          <w:rFonts w:eastAsia="Times New Roman" w:hint="cs"/>
          <w:bCs/>
          <w:szCs w:val="26"/>
          <w:rtl/>
        </w:rPr>
        <w:t>נהלים וסטנדרטים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על פי </w:t>
      </w:r>
      <w:r w:rsidRPr="003B5D33">
        <w:rPr>
          <w:rFonts w:eastAsia="Calibri"/>
          <w:sz w:val="24"/>
          <w:rtl/>
        </w:rPr>
        <w:t>הנחי</w:t>
      </w:r>
      <w:r w:rsidRPr="003B5D33">
        <w:rPr>
          <w:rFonts w:eastAsia="Calibri" w:hint="cs"/>
          <w:sz w:val="24"/>
          <w:rtl/>
        </w:rPr>
        <w:t>ו</w:t>
      </w:r>
      <w:r w:rsidRPr="003B5D33">
        <w:rPr>
          <w:rFonts w:eastAsia="Calibri"/>
          <w:sz w:val="24"/>
          <w:rtl/>
        </w:rPr>
        <w:t>ת מערך הדיגיטל</w:t>
      </w:r>
      <w:r>
        <w:rPr>
          <w:rFonts w:eastAsia="Calibri"/>
          <w:sz w:val="24"/>
          <w:vertAlign w:val="superscript"/>
          <w:rtl/>
        </w:rPr>
        <w:footnoteReference w:id="25"/>
      </w:r>
      <w:r w:rsidRPr="003B5D33">
        <w:rPr>
          <w:rFonts w:eastAsia="Calibri" w:hint="cs"/>
          <w:sz w:val="24"/>
          <w:rtl/>
        </w:rPr>
        <w:t xml:space="preserve"> </w:t>
      </w:r>
      <w:r w:rsidRPr="003B5D33">
        <w:rPr>
          <w:rFonts w:eastAsia="Calibri"/>
          <w:rtl/>
        </w:rPr>
        <w:t xml:space="preserve">בכדי לפעול באפקטיביות וביעילות, על היחידות </w:t>
      </w:r>
      <w:r w:rsidRPr="003B5D33">
        <w:rPr>
          <w:rFonts w:eastAsia="Calibri" w:hint="cs"/>
          <w:rtl/>
        </w:rPr>
        <w:t>ה</w:t>
      </w:r>
      <w:r w:rsidRPr="003B5D33">
        <w:rPr>
          <w:rFonts w:eastAsia="Calibri"/>
          <w:rtl/>
        </w:rPr>
        <w:t>מונחות</w:t>
      </w:r>
      <w:r w:rsidRPr="003B5D33">
        <w:rPr>
          <w:rFonts w:eastAsia="Calibri" w:hint="cs"/>
          <w:rtl/>
        </w:rPr>
        <w:t xml:space="preserve"> על ידי</w:t>
      </w:r>
      <w:r w:rsidRPr="003B5D33">
        <w:rPr>
          <w:rFonts w:eastAsia="Calibri"/>
          <w:rtl/>
        </w:rPr>
        <w:t xml:space="preserve"> רשות התקשוב להגדיר וליישם </w:t>
      </w:r>
      <w:r w:rsidRPr="003B5D33">
        <w:rPr>
          <w:rFonts w:eastAsia="Calibri" w:hint="cs"/>
          <w:rtl/>
        </w:rPr>
        <w:t>הוראות ו</w:t>
      </w:r>
      <w:r w:rsidRPr="003B5D33">
        <w:rPr>
          <w:rFonts w:eastAsia="Calibri"/>
          <w:rtl/>
        </w:rPr>
        <w:t>נ</w:t>
      </w:r>
      <w:r w:rsidRPr="003B5D33">
        <w:rPr>
          <w:rFonts w:eastAsia="Calibri" w:hint="cs"/>
          <w:rtl/>
        </w:rPr>
        <w:t>ו</w:t>
      </w:r>
      <w:r w:rsidRPr="003B5D33">
        <w:rPr>
          <w:rFonts w:eastAsia="Calibri"/>
          <w:rtl/>
        </w:rPr>
        <w:t>הלי עבודה</w:t>
      </w:r>
      <w:r w:rsidRPr="003B5D33">
        <w:rPr>
          <w:rFonts w:eastAsia="Calibri" w:hint="cs"/>
          <w:rtl/>
        </w:rPr>
        <w:t xml:space="preserve"> </w:t>
      </w:r>
      <w:r w:rsidRPr="003B5D33">
        <w:rPr>
          <w:rFonts w:eastAsia="Calibri"/>
          <w:rtl/>
        </w:rPr>
        <w:t>עבור הפעילויות ותהליכי העבודה העיקריים שלה</w:t>
      </w:r>
      <w:r w:rsidRPr="003B5D33">
        <w:rPr>
          <w:rFonts w:eastAsia="Calibri" w:hint="cs"/>
          <w:rtl/>
        </w:rPr>
        <w:t>ן</w:t>
      </w:r>
      <w:r w:rsidRPr="003B5D33">
        <w:rPr>
          <w:rFonts w:eastAsia="Calibri"/>
          <w:rtl/>
        </w:rPr>
        <w:t>.</w:t>
      </w:r>
      <w:r w:rsidRPr="003B5D33">
        <w:rPr>
          <w:rFonts w:eastAsia="Calibri" w:hint="cs"/>
          <w:rtl/>
        </w:rPr>
        <w:t xml:space="preserve"> בהנחיות צוין כי </w:t>
      </w:r>
      <w:r w:rsidRPr="003B5D33">
        <w:rPr>
          <w:rFonts w:eastAsia="Calibri"/>
          <w:rtl/>
        </w:rPr>
        <w:t>מסמכי מתודולוגיה עדכניים, כתובים וזמינים הכרחיים כדי לשמר ידע, לוודא הבנה ועמידה בדרישות</w:t>
      </w:r>
      <w:r w:rsidRPr="003B5D33">
        <w:rPr>
          <w:rFonts w:eastAsia="Calibri" w:hint="cs"/>
          <w:rtl/>
        </w:rPr>
        <w:t xml:space="preserve"> ו</w:t>
      </w:r>
      <w:r w:rsidRPr="003B5D33">
        <w:rPr>
          <w:rFonts w:eastAsia="Calibri"/>
          <w:rtl/>
        </w:rPr>
        <w:t>להשיג שפה אחידה,</w:t>
      </w:r>
      <w:r w:rsidRPr="003B5D33">
        <w:rPr>
          <w:rFonts w:eastAsia="Calibri" w:hint="cs"/>
          <w:rtl/>
        </w:rPr>
        <w:t xml:space="preserve"> </w:t>
      </w:r>
      <w:r w:rsidRPr="003B5D33">
        <w:rPr>
          <w:rFonts w:eastAsia="Calibri"/>
          <w:rtl/>
        </w:rPr>
        <w:t xml:space="preserve">עקבית, ברורה ומובנת. </w:t>
      </w:r>
      <w:r w:rsidRPr="003B5D33">
        <w:rPr>
          <w:rFonts w:eastAsia="Calibri" w:hint="cs"/>
          <w:rtl/>
        </w:rPr>
        <w:t xml:space="preserve">כמו כן, </w:t>
      </w:r>
      <w:r w:rsidRPr="003B5D33">
        <w:rPr>
          <w:rFonts w:eastAsia="Calibri"/>
          <w:rtl/>
        </w:rPr>
        <w:t>מסמכים כתובים יאפשרו לוודא אי</w:t>
      </w:r>
      <w:r w:rsidRPr="003B5D33">
        <w:rPr>
          <w:rFonts w:eastAsia="Calibri" w:hint="cs"/>
          <w:rtl/>
        </w:rPr>
        <w:t>-</w:t>
      </w:r>
      <w:r w:rsidRPr="003B5D33">
        <w:rPr>
          <w:rFonts w:eastAsia="Calibri"/>
          <w:rtl/>
        </w:rPr>
        <w:t>תלות בזמינות אנשים שמכירים וזוכרים את המתודולוגיה,</w:t>
      </w:r>
      <w:r w:rsidRPr="003B5D33">
        <w:rPr>
          <w:rFonts w:eastAsia="Calibri" w:hint="cs"/>
          <w:rtl/>
        </w:rPr>
        <w:t xml:space="preserve"> </w:t>
      </w:r>
      <w:r w:rsidRPr="003B5D33">
        <w:rPr>
          <w:rFonts w:eastAsia="Calibri"/>
          <w:rtl/>
        </w:rPr>
        <w:t>יקלו על הנחלתה לאנשים חדשים בארגון, וימנעו תקלות שעלולות להתרחש בעת עבודה שאינה תואמת למתודולוגיה</w:t>
      </w:r>
      <w:r w:rsidRPr="003B5D33">
        <w:rPr>
          <w:rFonts w:eastAsia="Calibri" w:hint="cs"/>
          <w:rtl/>
        </w:rPr>
        <w:t xml:space="preserve"> </w:t>
      </w:r>
      <w:r w:rsidRPr="003B5D33">
        <w:rPr>
          <w:rFonts w:eastAsia="Calibri"/>
          <w:rtl/>
        </w:rPr>
        <w:t>ומסתמכת על "התורה שבע</w:t>
      </w:r>
      <w:r w:rsidRPr="003B5D33">
        <w:rPr>
          <w:rFonts w:eastAsia="Calibri" w:hint="cs"/>
          <w:rtl/>
        </w:rPr>
        <w:t>ל-פה</w:t>
      </w:r>
      <w:r w:rsidRPr="003B5D33">
        <w:rPr>
          <w:rFonts w:eastAsia="Calibri"/>
          <w:rtl/>
        </w:rPr>
        <w:t>".</w:t>
      </w:r>
      <w:r w:rsidRPr="003B5D33">
        <w:rPr>
          <w:rFonts w:eastAsia="Calibri" w:hint="cs"/>
          <w:rtl/>
        </w:rPr>
        <w:t xml:space="preserve"> מצד אחד, הוראות העבודה צריכות להיות בהלימה עם</w:t>
      </w:r>
      <w:r w:rsidRPr="003B5D33">
        <w:rPr>
          <w:rFonts w:eastAsia="Calibri"/>
          <w:rtl/>
        </w:rPr>
        <w:t xml:space="preserve"> </w:t>
      </w:r>
      <w:r w:rsidRPr="003B5D33">
        <w:rPr>
          <w:rFonts w:eastAsia="Calibri" w:hint="cs"/>
          <w:rtl/>
        </w:rPr>
        <w:t>ה</w:t>
      </w:r>
      <w:r w:rsidRPr="003B5D33">
        <w:rPr>
          <w:rFonts w:eastAsia="Calibri"/>
          <w:rtl/>
        </w:rPr>
        <w:t xml:space="preserve">מדיניות, </w:t>
      </w:r>
      <w:r w:rsidRPr="003B5D33">
        <w:rPr>
          <w:rFonts w:eastAsia="Calibri" w:hint="cs"/>
          <w:rtl/>
        </w:rPr>
        <w:t>ה</w:t>
      </w:r>
      <w:r w:rsidRPr="003B5D33">
        <w:rPr>
          <w:rFonts w:eastAsia="Calibri"/>
          <w:rtl/>
        </w:rPr>
        <w:t>תקנים ו</w:t>
      </w:r>
      <w:r w:rsidRPr="003B5D33">
        <w:rPr>
          <w:rFonts w:eastAsia="Calibri" w:hint="cs"/>
          <w:rtl/>
        </w:rPr>
        <w:t>ה</w:t>
      </w:r>
      <w:r w:rsidRPr="003B5D33">
        <w:rPr>
          <w:rFonts w:eastAsia="Calibri"/>
          <w:rtl/>
        </w:rPr>
        <w:t>קווים המנחים ש</w:t>
      </w:r>
      <w:r w:rsidRPr="003B5D33">
        <w:rPr>
          <w:rFonts w:eastAsia="Calibri" w:hint="cs"/>
          <w:rtl/>
        </w:rPr>
        <w:t>מוגדרים</w:t>
      </w:r>
      <w:r w:rsidRPr="003B5D33">
        <w:rPr>
          <w:rFonts w:eastAsia="Calibri"/>
          <w:rtl/>
        </w:rPr>
        <w:t xml:space="preserve"> על</w:t>
      </w:r>
      <w:r w:rsidRPr="003B5D33">
        <w:rPr>
          <w:rFonts w:eastAsia="Calibri" w:hint="cs"/>
          <w:rtl/>
        </w:rPr>
        <w:t xml:space="preserve"> </w:t>
      </w:r>
      <w:r w:rsidRPr="003B5D33">
        <w:rPr>
          <w:rFonts w:eastAsia="Calibri"/>
          <w:rtl/>
        </w:rPr>
        <w:t>ידי מערך הדיגיטל הלאומי</w:t>
      </w:r>
      <w:r w:rsidRPr="003B5D33">
        <w:rPr>
          <w:rFonts w:eastAsia="Calibri" w:hint="cs"/>
          <w:rtl/>
        </w:rPr>
        <w:t>,</w:t>
      </w:r>
      <w:r w:rsidRPr="003B5D33">
        <w:rPr>
          <w:rFonts w:eastAsia="Calibri"/>
          <w:rtl/>
        </w:rPr>
        <w:t xml:space="preserve"> ומצד שני </w:t>
      </w:r>
      <w:r w:rsidRPr="003B5D33">
        <w:rPr>
          <w:rFonts w:eastAsia="Calibri" w:hint="cs"/>
          <w:rtl/>
        </w:rPr>
        <w:t xml:space="preserve">עם </w:t>
      </w:r>
      <w:r w:rsidRPr="003B5D33">
        <w:rPr>
          <w:rFonts w:eastAsia="Calibri"/>
          <w:rtl/>
        </w:rPr>
        <w:t xml:space="preserve">סביבת העבודה המקומית </w:t>
      </w:r>
      <w:r w:rsidRPr="003B5D33">
        <w:rPr>
          <w:rFonts w:eastAsia="Calibri" w:hint="cs"/>
          <w:rtl/>
        </w:rPr>
        <w:t xml:space="preserve">במשרד. הצורך בעבודה על פי נהלים וסטנדרטים מסודרים ומעודכנים ביחידות התקשוב הארגוניות מודגש גם בפרקטיקה המקובלת.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בבקרה שביצע מערך הדיגיטל במשרד החוץ בשנת 2019 על יישום הנחיותיו, העיר המערך למשרד החוץ על פערים ניכרים בקיום נהלים ומתודולוגיה לעבודה סדורה באגף התקשוב. בין היתר צוין כי</w:t>
      </w:r>
      <w:r w:rsidRPr="003B5D33">
        <w:rPr>
          <w:rFonts w:eastAsia="Calibri"/>
          <w:rtl/>
        </w:rPr>
        <w:t xml:space="preserve"> חסרים נהלים העוסקים בפעילויות רוחביות</w:t>
      </w:r>
      <w:r w:rsidRPr="003B5D33">
        <w:rPr>
          <w:rFonts w:eastAsia="Calibri" w:hint="cs"/>
          <w:rtl/>
        </w:rPr>
        <w:t xml:space="preserve">, כגון ניהול סיכונים וניהול לקחים, וכי </w:t>
      </w:r>
      <w:r w:rsidRPr="003B5D33">
        <w:rPr>
          <w:rFonts w:eastAsia="Calibri"/>
          <w:rtl/>
        </w:rPr>
        <w:t>בנוהל המתודולוגי</w:t>
      </w:r>
      <w:r w:rsidRPr="003B5D33">
        <w:rPr>
          <w:rFonts w:eastAsia="Calibri" w:hint="cs"/>
          <w:rtl/>
        </w:rPr>
        <w:t>ה</w:t>
      </w:r>
      <w:r w:rsidRPr="003B5D33">
        <w:rPr>
          <w:rFonts w:eastAsia="Calibri"/>
          <w:rtl/>
        </w:rPr>
        <w:t xml:space="preserve"> המרכזי יש הפניה לתבניות ונהלים רבים שלא קיימים</w:t>
      </w:r>
      <w:r w:rsidRPr="003B5D33">
        <w:rPr>
          <w:rFonts w:eastAsia="Calibri" w:hint="cs"/>
          <w:rtl/>
        </w:rPr>
        <w:t>,</w:t>
      </w:r>
      <w:r w:rsidRPr="003B5D33">
        <w:rPr>
          <w:rFonts w:eastAsia="Calibri"/>
          <w:rtl/>
        </w:rPr>
        <w:t xml:space="preserve"> או כבר לא</w:t>
      </w:r>
      <w:r w:rsidRPr="003B5D33">
        <w:rPr>
          <w:rFonts w:eastAsia="Calibri" w:hint="cs"/>
          <w:rtl/>
        </w:rPr>
        <w:t xml:space="preserve"> </w:t>
      </w:r>
      <w:r w:rsidRPr="003B5D33">
        <w:rPr>
          <w:rFonts w:eastAsia="Calibri"/>
          <w:rtl/>
        </w:rPr>
        <w:t>רלוונטיים</w:t>
      </w:r>
      <w:r w:rsidRPr="003B5D33">
        <w:rPr>
          <w:rFonts w:eastAsia="Calibri" w:hint="cs"/>
          <w:rtl/>
        </w:rPr>
        <w:t xml:space="preserve">, או לא </w:t>
      </w:r>
      <w:r w:rsidRPr="003B5D33">
        <w:rPr>
          <w:rFonts w:eastAsia="Calibri"/>
          <w:rtl/>
        </w:rPr>
        <w:t>מעודכנים</w:t>
      </w:r>
      <w:r w:rsidRPr="003B5D33">
        <w:rPr>
          <w:rFonts w:eastAsia="Calibri" w:hint="cs"/>
          <w:rtl/>
        </w:rPr>
        <w:t>, "</w:t>
      </w:r>
      <w:r w:rsidRPr="003B5D33">
        <w:rPr>
          <w:rFonts w:eastAsia="Calibri"/>
          <w:rtl/>
        </w:rPr>
        <w:t>נהלים רבים</w:t>
      </w:r>
      <w:r w:rsidRPr="003B5D33">
        <w:rPr>
          <w:rFonts w:eastAsia="Calibri" w:hint="cs"/>
          <w:rtl/>
        </w:rPr>
        <w:t xml:space="preserve"> </w:t>
      </w:r>
      <w:r w:rsidRPr="003B5D33">
        <w:rPr>
          <w:rFonts w:eastAsia="Calibri"/>
          <w:rtl/>
        </w:rPr>
        <w:t>עודכנו לאחרונה לפני 10-20 שנים, מה שמעלה בספק את תקפותם</w:t>
      </w:r>
      <w:r w:rsidRPr="003B5D33">
        <w:rPr>
          <w:rFonts w:eastAsia="Calibri" w:hint="cs"/>
          <w:rtl/>
        </w:rPr>
        <w:t>"</w:t>
      </w:r>
      <w:r w:rsidRPr="003B5D33">
        <w:rPr>
          <w:rFonts w:eastAsia="Calibri"/>
          <w:rtl/>
        </w:rPr>
        <w:t>.</w:t>
      </w:r>
      <w:r w:rsidRPr="003B5D33">
        <w:rPr>
          <w:rFonts w:eastAsia="Calibri" w:hint="cs"/>
          <w:rtl/>
        </w:rPr>
        <w:t xml:space="preserve"> בבקרה צוין כי </w:t>
      </w:r>
      <w:bookmarkStart w:id="21" w:name="_Hlk196061933"/>
      <w:r w:rsidRPr="003B5D33">
        <w:rPr>
          <w:rFonts w:eastAsia="Calibri"/>
          <w:rtl/>
        </w:rPr>
        <w:t xml:space="preserve">נדרש לעדכן את הנהלים ולוודא </w:t>
      </w:r>
      <w:r w:rsidRPr="003B5D33">
        <w:rPr>
          <w:rFonts w:eastAsia="Calibri" w:hint="cs"/>
          <w:rtl/>
        </w:rPr>
        <w:t xml:space="preserve">את </w:t>
      </w:r>
      <w:r w:rsidRPr="003B5D33">
        <w:rPr>
          <w:rFonts w:eastAsia="Calibri"/>
          <w:rtl/>
        </w:rPr>
        <w:t>עדכניותם לפחות אחת לשנה</w:t>
      </w:r>
      <w:bookmarkEnd w:id="21"/>
      <w:r w:rsidRPr="003B5D33">
        <w:rPr>
          <w:rFonts w:eastAsia="Calibri"/>
          <w:rtl/>
        </w:rPr>
        <w:t>.</w:t>
      </w:r>
      <w:r w:rsidRPr="003B5D33">
        <w:rPr>
          <w:rFonts w:eastAsia="Calibri" w:hint="cs"/>
          <w:rtl/>
        </w:rPr>
        <w:t xml:space="preserve"> בבקרת מעקב נוספת שביצע המערך על יישום הנחיותיו בסוף שנת 2020 עלה כי </w:t>
      </w:r>
      <w:r w:rsidRPr="003B5D33">
        <w:rPr>
          <w:rFonts w:eastAsia="Calibri"/>
          <w:rtl/>
        </w:rPr>
        <w:t xml:space="preserve">הושלמו </w:t>
      </w:r>
      <w:r w:rsidRPr="003B5D33">
        <w:rPr>
          <w:rFonts w:eastAsia="Calibri" w:hint="cs"/>
          <w:rtl/>
        </w:rPr>
        <w:t>כמה</w:t>
      </w:r>
      <w:r w:rsidRPr="003B5D33">
        <w:rPr>
          <w:rFonts w:eastAsia="Calibri"/>
          <w:rtl/>
        </w:rPr>
        <w:t xml:space="preserve"> נהלים בשנת 2020, ובתוכנית העבודה של שנת 2021 </w:t>
      </w:r>
      <w:r w:rsidRPr="003B5D33">
        <w:rPr>
          <w:rFonts w:eastAsia="Calibri" w:hint="cs"/>
          <w:rtl/>
        </w:rPr>
        <w:t>תוכננה</w:t>
      </w:r>
      <w:r w:rsidRPr="003B5D33">
        <w:rPr>
          <w:rFonts w:eastAsia="Calibri"/>
          <w:rtl/>
        </w:rPr>
        <w:t xml:space="preserve"> הכנה והטמעה של נהלים נוספים ו</w:t>
      </w:r>
      <w:r w:rsidRPr="003B5D33">
        <w:rPr>
          <w:rFonts w:eastAsia="Calibri" w:hint="cs"/>
          <w:rtl/>
        </w:rPr>
        <w:t xml:space="preserve">כן </w:t>
      </w:r>
      <w:r w:rsidRPr="003B5D33">
        <w:rPr>
          <w:rFonts w:eastAsia="Calibri"/>
          <w:rtl/>
        </w:rPr>
        <w:t>שחזו</w:t>
      </w:r>
      <w:r w:rsidRPr="003B5D33">
        <w:rPr>
          <w:rFonts w:eastAsia="Calibri" w:hint="cs"/>
          <w:rtl/>
        </w:rPr>
        <w:t xml:space="preserve">ר או </w:t>
      </w:r>
      <w:r w:rsidRPr="003B5D33">
        <w:rPr>
          <w:rFonts w:eastAsia="Calibri"/>
          <w:rtl/>
        </w:rPr>
        <w:t>עדכון של נהל</w:t>
      </w:r>
      <w:r w:rsidRPr="003B5D33">
        <w:rPr>
          <w:rFonts w:eastAsia="Calibri" w:hint="cs"/>
          <w:rtl/>
        </w:rPr>
        <w:t>ים</w:t>
      </w:r>
      <w:r w:rsidRPr="003B5D33">
        <w:rPr>
          <w:rFonts w:eastAsia="Calibri"/>
          <w:rtl/>
        </w:rPr>
        <w:t xml:space="preserve"> קיי</w:t>
      </w:r>
      <w:r w:rsidRPr="003B5D33">
        <w:rPr>
          <w:rFonts w:eastAsia="Calibri" w:hint="cs"/>
          <w:rtl/>
        </w:rPr>
        <w:t>מים</w:t>
      </w:r>
      <w:r w:rsidRPr="003B5D33">
        <w:rPr>
          <w:rFonts w:eastAsia="Calibri"/>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rtl/>
        </w:rPr>
        <w:t xml:space="preserve">בסקר </w:t>
      </w:r>
      <w:r w:rsidRPr="003B5D33">
        <w:rPr>
          <w:rFonts w:eastAsia="Calibri" w:hint="cs"/>
          <w:rtl/>
        </w:rPr>
        <w:t>ה</w:t>
      </w:r>
      <w:r w:rsidRPr="003B5D33">
        <w:rPr>
          <w:rFonts w:eastAsia="Calibri"/>
          <w:rtl/>
        </w:rPr>
        <w:t xml:space="preserve">סיכונים שבוצע </w:t>
      </w:r>
      <w:r w:rsidRPr="003B5D33">
        <w:rPr>
          <w:rFonts w:eastAsia="Calibri" w:hint="cs"/>
          <w:rtl/>
        </w:rPr>
        <w:t>בשנת 2024</w:t>
      </w:r>
      <w:r w:rsidRPr="003B5D33">
        <w:rPr>
          <w:rFonts w:eastAsia="Calibri"/>
          <w:rtl/>
        </w:rPr>
        <w:t xml:space="preserve"> </w:t>
      </w:r>
      <w:r w:rsidRPr="003B5D33">
        <w:rPr>
          <w:rFonts w:eastAsia="Calibri" w:hint="cs"/>
          <w:rtl/>
        </w:rPr>
        <w:t xml:space="preserve">צוין כי חסרים נהלים ובהם </w:t>
      </w:r>
      <w:r w:rsidRPr="003B5D33">
        <w:rPr>
          <w:rFonts w:eastAsia="Calibri"/>
          <w:rtl/>
        </w:rPr>
        <w:t>נוהל קליטת עובד חדש באגף</w:t>
      </w:r>
      <w:r w:rsidRPr="003B5D33">
        <w:rPr>
          <w:rFonts w:eastAsia="Calibri" w:hint="cs"/>
          <w:rtl/>
        </w:rPr>
        <w:t xml:space="preserve">, </w:t>
      </w:r>
      <w:r w:rsidRPr="003B5D33">
        <w:rPr>
          <w:rFonts w:eastAsia="Calibri"/>
          <w:rtl/>
        </w:rPr>
        <w:t>נוהל תיעוד פיתוח, שינויים ותחזוקה במערכות מידע</w:t>
      </w:r>
      <w:r w:rsidRPr="003B5D33">
        <w:rPr>
          <w:rFonts w:eastAsia="Calibri" w:hint="cs"/>
          <w:rtl/>
        </w:rPr>
        <w:t xml:space="preserve"> (</w:t>
      </w:r>
      <w:r w:rsidRPr="003B5D33">
        <w:rPr>
          <w:rFonts w:eastAsia="Calibri"/>
          <w:rtl/>
        </w:rPr>
        <w:t>תיק</w:t>
      </w:r>
      <w:r w:rsidRPr="003B5D33">
        <w:rPr>
          <w:rFonts w:eastAsia="Calibri" w:hint="cs"/>
          <w:rtl/>
        </w:rPr>
        <w:t xml:space="preserve"> </w:t>
      </w:r>
      <w:r w:rsidRPr="003B5D33">
        <w:rPr>
          <w:rFonts w:eastAsia="Calibri"/>
          <w:rtl/>
        </w:rPr>
        <w:t>תחזוקה</w:t>
      </w:r>
      <w:r w:rsidRPr="003B5D33">
        <w:rPr>
          <w:rFonts w:eastAsia="Calibri" w:hint="cs"/>
          <w:rtl/>
        </w:rPr>
        <w:t>)</w:t>
      </w:r>
      <w:r w:rsidRPr="003B5D33">
        <w:rPr>
          <w:rFonts w:eastAsia="Calibri"/>
          <w:rtl/>
        </w:rPr>
        <w:t xml:space="preserve"> כפי שמופיע בנוהל פיתוח מערכות של </w:t>
      </w:r>
      <w:r w:rsidRPr="003B5D33">
        <w:rPr>
          <w:rFonts w:eastAsia="Calibri" w:hint="cs"/>
          <w:rtl/>
        </w:rPr>
        <w:t xml:space="preserve">מערך הדיגיטל, </w:t>
      </w:r>
      <w:r w:rsidRPr="003B5D33">
        <w:rPr>
          <w:rFonts w:eastAsia="Calibri"/>
          <w:rtl/>
        </w:rPr>
        <w:t>נוהל הערכת עובד ברמה מקצועית</w:t>
      </w:r>
      <w:r w:rsidRPr="003B5D33">
        <w:rPr>
          <w:rFonts w:eastAsia="Calibri" w:hint="cs"/>
          <w:rtl/>
        </w:rPr>
        <w:t xml:space="preserve">, </w:t>
      </w:r>
      <w:r w:rsidRPr="003B5D33">
        <w:rPr>
          <w:rFonts w:eastAsia="Calibri"/>
          <w:rtl/>
        </w:rPr>
        <w:t xml:space="preserve">נוהל </w:t>
      </w:r>
      <w:r w:rsidRPr="003B5D33">
        <w:rPr>
          <w:rFonts w:eastAsia="Calibri" w:hint="cs"/>
          <w:rtl/>
        </w:rPr>
        <w:t>ביצוע רכש באגף, נוהל ל</w:t>
      </w:r>
      <w:r w:rsidRPr="003B5D33">
        <w:rPr>
          <w:rFonts w:eastAsia="Calibri"/>
          <w:rtl/>
        </w:rPr>
        <w:t>ביצוע מעקב אחר תוכנית עבודה והרכש</w:t>
      </w:r>
      <w:r w:rsidRPr="003B5D33">
        <w:rPr>
          <w:rFonts w:eastAsia="Calibri" w:hint="cs"/>
          <w:rtl/>
        </w:rPr>
        <w:t xml:space="preserve">, נוהל לבנייה של תוכנית עבודה ונוהל לבקרת תוכנית עבודה. כאמור, </w:t>
      </w:r>
      <w:r w:rsidRPr="003B5D33">
        <w:rPr>
          <w:rFonts w:eastAsia="Calibri"/>
          <w:rtl/>
        </w:rPr>
        <w:t xml:space="preserve">הסקר </w:t>
      </w:r>
      <w:r w:rsidRPr="003B5D33">
        <w:rPr>
          <w:rFonts w:eastAsia="Calibri" w:hint="cs"/>
          <w:rtl/>
        </w:rPr>
        <w:t>טרם</w:t>
      </w:r>
      <w:r w:rsidRPr="003B5D33">
        <w:rPr>
          <w:rFonts w:eastAsia="Calibri"/>
          <w:rtl/>
        </w:rPr>
        <w:t xml:space="preserve"> אושר </w:t>
      </w:r>
      <w:r w:rsidRPr="003B5D33">
        <w:rPr>
          <w:rFonts w:eastAsia="Calibri" w:hint="cs"/>
          <w:rtl/>
        </w:rPr>
        <w:t xml:space="preserve">על ידי המשרד </w:t>
      </w:r>
      <w:r w:rsidRPr="003B5D33">
        <w:rPr>
          <w:rFonts w:eastAsia="Calibri"/>
          <w:rtl/>
        </w:rPr>
        <w:t>עקב השלמות</w:t>
      </w:r>
      <w:r w:rsidRPr="003B5D33">
        <w:rPr>
          <w:rFonts w:eastAsia="Calibri" w:hint="cs"/>
          <w:rtl/>
        </w:rPr>
        <w:t xml:space="preserve"> שנדרשו מהחברה החיצונית שביצעה אותו.</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בחינה שביצע משרד מבקר המדינה בנוגע לסט נוהלי התקשוב שהועבר אליו ממשרד החוץ במאי 2024 העלתה כי סט הנהלים הקיים נותר חסר. כך למשל חלק מהנהלים החסרים שזוהו בסקר הסיכונים, משנת 2019 לא הוכנסו ואושרו. במועד סיום הביקורת חסרים נהלים בתחומי פעילות משמעותיים, כגון </w:t>
      </w:r>
      <w:r w:rsidRPr="003B5D33">
        <w:rPr>
          <w:rFonts w:eastAsia="Calibri"/>
          <w:b/>
          <w:bCs/>
          <w:rtl/>
        </w:rPr>
        <w:t>נוהל לביצוע תהליכי תחקיר והפקת לקחים לפרויקטים</w:t>
      </w:r>
      <w:r w:rsidRPr="003B5D33">
        <w:rPr>
          <w:rFonts w:eastAsia="Calibri" w:hint="cs"/>
          <w:b/>
          <w:bCs/>
          <w:rtl/>
        </w:rPr>
        <w:t xml:space="preserve">; נוהל מסודר לביצוע </w:t>
      </w:r>
      <w:r w:rsidRPr="003B5D33">
        <w:rPr>
          <w:rFonts w:eastAsia="Calibri" w:hint="cs"/>
          <w:b/>
          <w:bCs/>
          <w:rtl/>
        </w:rPr>
        <w:t>בדיקות על סוגיהן השונים בתהליך הפיתוח (למעט בדיקות הנדרשות בעת ביצוע שינויים); נוהל מנחה לעבודה במתודולוגיית הפיתוח הזריז (מתודולוגיית אג'ייל)</w:t>
      </w:r>
      <w:r>
        <w:rPr>
          <w:rFonts w:eastAsia="Calibri"/>
          <w:b/>
          <w:bCs/>
          <w:vertAlign w:val="superscript"/>
          <w:rtl/>
        </w:rPr>
        <w:footnoteReference w:id="26"/>
      </w:r>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עבודה לפי </w:t>
      </w:r>
      <w:r w:rsidRPr="003B5D33">
        <w:rPr>
          <w:rFonts w:eastAsia="Calibri"/>
          <w:b/>
          <w:bCs/>
          <w:rtl/>
        </w:rPr>
        <w:t xml:space="preserve">נהלים וסטנדרטים </w:t>
      </w:r>
      <w:r w:rsidRPr="003B5D33">
        <w:rPr>
          <w:rFonts w:eastAsia="Calibri" w:hint="cs"/>
          <w:b/>
          <w:bCs/>
          <w:rtl/>
        </w:rPr>
        <w:t xml:space="preserve">היא אבן יסוד </w:t>
      </w:r>
      <w:r w:rsidRPr="003B5D33">
        <w:rPr>
          <w:rFonts w:eastAsia="Calibri"/>
          <w:b/>
          <w:bCs/>
          <w:rtl/>
        </w:rPr>
        <w:t>בממשל מערכות מידע</w:t>
      </w:r>
      <w:r w:rsidRPr="003B5D33">
        <w:rPr>
          <w:rFonts w:eastAsia="Calibri" w:hint="cs"/>
          <w:b/>
          <w:bCs/>
          <w:rtl/>
        </w:rPr>
        <w:t>. הנהלים יוצרים אחידות בתהליכי העבודה, מפחיתים טעויות אנוש, ממזערים סיכונים תפעוליים,</w:t>
      </w:r>
      <w:r w:rsidRPr="003B5D33">
        <w:rPr>
          <w:rFonts w:eastAsia="Calibri"/>
          <w:b/>
          <w:bCs/>
          <w:rtl/>
        </w:rPr>
        <w:t xml:space="preserve"> </w:t>
      </w:r>
      <w:r w:rsidRPr="003B5D33">
        <w:rPr>
          <w:rFonts w:eastAsia="Calibri" w:hint="cs"/>
          <w:b/>
          <w:bCs/>
          <w:rtl/>
        </w:rPr>
        <w:t>תורמים לשימור הידע הארגוני</w:t>
      </w:r>
      <w:r w:rsidRPr="003B5D33">
        <w:rPr>
          <w:rFonts w:eastAsia="Calibri"/>
          <w:b/>
          <w:bCs/>
          <w:rtl/>
        </w:rPr>
        <w:t xml:space="preserve"> </w:t>
      </w:r>
      <w:r w:rsidRPr="003B5D33">
        <w:rPr>
          <w:rFonts w:eastAsia="Calibri" w:hint="cs"/>
          <w:b/>
          <w:bCs/>
          <w:rtl/>
        </w:rPr>
        <w:t xml:space="preserve">ומסייעים בשמירה על איכות העבודה ובעמידה בדרישות רגולציה ותקינה.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לנוכח חשיבות הנושא, מנהל אגף התקשוב נדרש ליזום </w:t>
      </w:r>
      <w:r w:rsidRPr="003B5D33">
        <w:rPr>
          <w:rFonts w:eastAsia="Calibri"/>
          <w:b/>
          <w:bCs/>
          <w:rtl/>
        </w:rPr>
        <w:t>תהליך מסודר לעדכון וכתיב</w:t>
      </w:r>
      <w:r w:rsidRPr="003B5D33">
        <w:rPr>
          <w:rFonts w:eastAsia="Calibri" w:hint="cs"/>
          <w:b/>
          <w:bCs/>
          <w:rtl/>
        </w:rPr>
        <w:t>ה של</w:t>
      </w:r>
      <w:r w:rsidRPr="003B5D33">
        <w:rPr>
          <w:rFonts w:eastAsia="Calibri"/>
          <w:b/>
          <w:bCs/>
          <w:rtl/>
        </w:rPr>
        <w:t xml:space="preserve"> נ</w:t>
      </w:r>
      <w:r w:rsidRPr="003B5D33">
        <w:rPr>
          <w:rFonts w:eastAsia="Calibri" w:hint="cs"/>
          <w:b/>
          <w:bCs/>
          <w:rtl/>
        </w:rPr>
        <w:t>ו</w:t>
      </w:r>
      <w:r w:rsidRPr="003B5D33">
        <w:rPr>
          <w:rFonts w:eastAsia="Calibri"/>
          <w:b/>
          <w:bCs/>
          <w:rtl/>
        </w:rPr>
        <w:t>הלי העבודה</w:t>
      </w:r>
      <w:r w:rsidRPr="003B5D33">
        <w:rPr>
          <w:rFonts w:eastAsia="Calibri" w:hint="cs"/>
          <w:b/>
          <w:bCs/>
          <w:rtl/>
        </w:rPr>
        <w:t xml:space="preserve"> החסרים</w:t>
      </w:r>
      <w:r w:rsidRPr="003B5D33">
        <w:rPr>
          <w:rFonts w:eastAsia="Calibri"/>
          <w:b/>
          <w:bCs/>
          <w:rtl/>
        </w:rPr>
        <w:t xml:space="preserve"> באגף מערכות מידע, תוך </w:t>
      </w:r>
      <w:r w:rsidRPr="003B5D33">
        <w:rPr>
          <w:rFonts w:eastAsia="Calibri" w:hint="cs"/>
          <w:b/>
          <w:bCs/>
          <w:rtl/>
        </w:rPr>
        <w:t xml:space="preserve">עדכון החוסרים הקיימים על סמך </w:t>
      </w:r>
      <w:r w:rsidRPr="003B5D33">
        <w:rPr>
          <w:rFonts w:eastAsia="Calibri"/>
          <w:b/>
          <w:bCs/>
          <w:rtl/>
        </w:rPr>
        <w:t xml:space="preserve">זיהוי פערים והתאמה לדרישות רגולציה, אבטחת מידע ושינויים טכנולוגיים. </w:t>
      </w:r>
      <w:r w:rsidRPr="003B5D33">
        <w:rPr>
          <w:rFonts w:eastAsia="Calibri" w:hint="cs"/>
          <w:b/>
          <w:bCs/>
          <w:rtl/>
        </w:rPr>
        <w:t>כמו כן</w:t>
      </w:r>
      <w:r w:rsidRPr="003B5D33">
        <w:rPr>
          <w:rFonts w:eastAsia="Calibri"/>
          <w:b/>
          <w:bCs/>
          <w:rtl/>
        </w:rPr>
        <w:t xml:space="preserve"> </w:t>
      </w:r>
      <w:r w:rsidRPr="003B5D33">
        <w:rPr>
          <w:rFonts w:eastAsia="Calibri" w:hint="cs"/>
          <w:b/>
          <w:bCs/>
          <w:rtl/>
        </w:rPr>
        <w:t xml:space="preserve">עליו </w:t>
      </w:r>
      <w:r w:rsidRPr="003B5D33">
        <w:rPr>
          <w:rFonts w:eastAsia="Calibri"/>
          <w:b/>
          <w:bCs/>
          <w:rtl/>
        </w:rPr>
        <w:t>ליישם מנגנון לבקרה ועדכון תקופתי של הנהלים</w:t>
      </w:r>
      <w:r w:rsidRPr="003B5D33">
        <w:rPr>
          <w:rFonts w:eastAsia="Calibri" w:hint="cs"/>
          <w:b/>
          <w:bCs/>
          <w:rtl/>
        </w:rPr>
        <w:t xml:space="preserve"> כדי</w:t>
      </w:r>
      <w:r w:rsidRPr="003B5D33">
        <w:rPr>
          <w:rFonts w:eastAsia="Calibri"/>
          <w:b/>
          <w:bCs/>
          <w:rtl/>
        </w:rPr>
        <w:t xml:space="preserve"> להבטיח תפקוד </w:t>
      </w:r>
      <w:r w:rsidRPr="003B5D33">
        <w:rPr>
          <w:rFonts w:eastAsia="Calibri" w:hint="cs"/>
          <w:b/>
          <w:bCs/>
          <w:rtl/>
        </w:rPr>
        <w:t>יעיל</w:t>
      </w:r>
      <w:r w:rsidRPr="003B5D33">
        <w:rPr>
          <w:rFonts w:eastAsia="Calibri"/>
          <w:b/>
          <w:bCs/>
          <w:rtl/>
        </w:rPr>
        <w:t xml:space="preserve"> של האגף</w:t>
      </w:r>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מוצע כי השלמת הנהלים החסרים תתבצע בשיתוף ובליווי של מערך הדיגיטל. כמו כן, לנוכח הפערים בנושא ולנוכח הבקרות שבוצעו בעבר על ידי מערך הדיגיטל, מומלץ כי המערך ימשיך לעקוב אחר הנושא. </w:t>
      </w:r>
    </w:p>
    <w:bookmarkEnd w:id="20"/>
    <w:p w:rsidR="003B5D33" w:rsidRPr="003B5D33" w:rsidP="003B5D33">
      <w:pPr>
        <w:spacing w:line="269" w:lineRule="auto"/>
        <w:rPr>
          <w:rFonts w:eastAsia="Calibri"/>
          <w:rtl/>
        </w:rPr>
      </w:pPr>
    </w:p>
    <w:p w:rsidR="003B5D33" w:rsidRPr="003B5D33" w:rsidP="003B5D33">
      <w:pPr>
        <w:keepNext/>
        <w:keepLines/>
        <w:spacing w:line="269" w:lineRule="auto"/>
        <w:jc w:val="center"/>
        <w:outlineLvl w:val="1"/>
        <w:rPr>
          <w:rFonts w:eastAsia="Times New Roman"/>
          <w:bCs/>
          <w:szCs w:val="32"/>
          <w:rtl/>
        </w:rPr>
      </w:pPr>
      <w:bookmarkStart w:id="22" w:name="_Hlk194413339"/>
      <w:bookmarkStart w:id="23" w:name="_Toc218592795"/>
      <w:bookmarkEnd w:id="22"/>
      <w:r w:rsidRPr="003B5D33">
        <w:rPr>
          <w:rFonts w:eastAsia="Times New Roman"/>
          <w:bCs/>
          <w:szCs w:val="32"/>
          <w:rtl/>
        </w:rPr>
        <w:t>ניהול פרויקטים ופיתוח מערכות</w:t>
      </w:r>
      <w:r w:rsidRPr="003B5D33">
        <w:rPr>
          <w:rFonts w:eastAsia="Times New Roman" w:hint="cs"/>
          <w:bCs/>
          <w:szCs w:val="32"/>
          <w:rtl/>
        </w:rPr>
        <w:t xml:space="preserve"> מידע</w:t>
      </w:r>
      <w:bookmarkEnd w:id="23"/>
      <w:r w:rsidRPr="003B5D33">
        <w:rPr>
          <w:rFonts w:eastAsia="Times New Roman" w:hint="cs"/>
          <w:bCs/>
          <w:szCs w:val="32"/>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ניהול פרויקטים מחייב תכנון ויישום שיטתי</w:t>
      </w:r>
      <w:r w:rsidRPr="003B5D33">
        <w:rPr>
          <w:rFonts w:eastAsia="Calibri" w:hint="cs"/>
          <w:rtl/>
        </w:rPr>
        <w:t>ים</w:t>
      </w:r>
      <w:r w:rsidRPr="003B5D33">
        <w:rPr>
          <w:rFonts w:eastAsia="Calibri"/>
          <w:rtl/>
        </w:rPr>
        <w:t xml:space="preserve"> </w:t>
      </w:r>
      <w:r w:rsidRPr="003B5D33">
        <w:rPr>
          <w:rFonts w:eastAsia="Calibri" w:hint="cs"/>
          <w:rtl/>
        </w:rPr>
        <w:t xml:space="preserve">תוך ייעול </w:t>
      </w:r>
      <w:r w:rsidRPr="003B5D33">
        <w:rPr>
          <w:rFonts w:eastAsia="Calibri"/>
          <w:rtl/>
        </w:rPr>
        <w:t>השימוש במשאבים</w:t>
      </w:r>
      <w:r w:rsidRPr="003B5D33">
        <w:rPr>
          <w:rFonts w:eastAsia="Calibri" w:hint="cs"/>
          <w:rtl/>
        </w:rPr>
        <w:t xml:space="preserve">, הגברת </w:t>
      </w:r>
      <w:r w:rsidRPr="003B5D33">
        <w:rPr>
          <w:rFonts w:eastAsia="Calibri"/>
          <w:rtl/>
        </w:rPr>
        <w:t xml:space="preserve">שיתוף הפעולה </w:t>
      </w:r>
      <w:r w:rsidRPr="003B5D33">
        <w:rPr>
          <w:rFonts w:eastAsia="Calibri" w:hint="cs"/>
          <w:rtl/>
        </w:rPr>
        <w:t xml:space="preserve">והתיאום </w:t>
      </w:r>
      <w:r w:rsidRPr="003B5D33">
        <w:rPr>
          <w:rFonts w:eastAsia="Calibri"/>
          <w:rtl/>
        </w:rPr>
        <w:t xml:space="preserve">בין </w:t>
      </w:r>
      <w:r w:rsidRPr="003B5D33">
        <w:rPr>
          <w:rFonts w:eastAsia="Calibri" w:hint="cs"/>
          <w:rtl/>
        </w:rPr>
        <w:t>כל בעלי העניין</w:t>
      </w:r>
      <w:r w:rsidRPr="003B5D33">
        <w:rPr>
          <w:rFonts w:eastAsia="Calibri"/>
          <w:rtl/>
        </w:rPr>
        <w:t xml:space="preserve"> במטרה להבטיח עמידה ביעדי הפרויקט ולוחות הזמנים, שמירה על התקציב ודרישות האיכות</w:t>
      </w:r>
      <w:r w:rsidRPr="003B5D33">
        <w:rPr>
          <w:rFonts w:eastAsia="Calibri" w:hint="cs"/>
          <w:rtl/>
        </w:rPr>
        <w:t xml:space="preserve"> </w:t>
      </w:r>
      <w:bookmarkStart w:id="24" w:name="_Hlk194924361"/>
      <w:r w:rsidRPr="003B5D33">
        <w:rPr>
          <w:rFonts w:eastAsia="Calibri" w:hint="cs"/>
          <w:rtl/>
        </w:rPr>
        <w:t xml:space="preserve">והגדלת סיכויי </w:t>
      </w:r>
      <w:r w:rsidRPr="003B5D33">
        <w:rPr>
          <w:rFonts w:eastAsia="Calibri"/>
          <w:rtl/>
        </w:rPr>
        <w:t>הצלחת הפרויקט והגשמת יעדיו</w:t>
      </w:r>
      <w:bookmarkEnd w:id="24"/>
      <w:r>
        <w:rPr>
          <w:rFonts w:eastAsia="Calibri"/>
          <w:vertAlign w:val="superscript"/>
          <w:rtl/>
        </w:rPr>
        <w:footnoteReference w:id="27"/>
      </w:r>
      <w:r w:rsidRPr="003B5D33">
        <w:rPr>
          <w:rFonts w:eastAsia="Calibri"/>
          <w:rtl/>
        </w:rPr>
        <w:t>.</w:t>
      </w:r>
      <w:r w:rsidRPr="003B5D33">
        <w:rPr>
          <w:rFonts w:eastAsia="Calibri" w:hint="cs"/>
          <w:rtl/>
        </w:rPr>
        <w:t xml:space="preserve"> </w:t>
      </w:r>
      <w:r w:rsidRPr="003B5D33">
        <w:rPr>
          <w:rFonts w:eastAsia="Times New Roman"/>
          <w:rtl/>
        </w:rPr>
        <w:t xml:space="preserve">חשיבות זו מקבלת ביטוי </w:t>
      </w:r>
      <w:r w:rsidRPr="003B5D33">
        <w:rPr>
          <w:rFonts w:eastAsia="Times New Roman" w:hint="cs"/>
          <w:rtl/>
        </w:rPr>
        <w:t xml:space="preserve">גם </w:t>
      </w:r>
      <w:r w:rsidRPr="003B5D33">
        <w:rPr>
          <w:rFonts w:eastAsia="Times New Roman"/>
          <w:rtl/>
        </w:rPr>
        <w:t>ב</w:t>
      </w:r>
      <w:r w:rsidRPr="003B5D33">
        <w:rPr>
          <w:rFonts w:eastAsia="Times New Roman" w:hint="cs"/>
          <w:rtl/>
        </w:rPr>
        <w:t xml:space="preserve">מתודולוגיות </w:t>
      </w:r>
      <w:r w:rsidRPr="003B5D33">
        <w:rPr>
          <w:rFonts w:eastAsia="Times New Roman"/>
          <w:rtl/>
        </w:rPr>
        <w:t xml:space="preserve">לניהול </w:t>
      </w:r>
      <w:r w:rsidRPr="003B5D33">
        <w:rPr>
          <w:rFonts w:eastAsia="Times New Roman" w:hint="cs"/>
          <w:rtl/>
        </w:rPr>
        <w:t xml:space="preserve">ופיתוח של </w:t>
      </w:r>
      <w:r w:rsidRPr="003B5D33">
        <w:rPr>
          <w:rFonts w:eastAsia="Times New Roman"/>
          <w:rtl/>
        </w:rPr>
        <w:t>מערכות מידע המ</w:t>
      </w:r>
      <w:r w:rsidRPr="003B5D33">
        <w:rPr>
          <w:rFonts w:eastAsia="Times New Roman" w:hint="cs"/>
          <w:rtl/>
        </w:rPr>
        <w:t>וכרות והמ</w:t>
      </w:r>
      <w:r w:rsidRPr="003B5D33">
        <w:rPr>
          <w:rFonts w:eastAsia="Times New Roman"/>
          <w:rtl/>
        </w:rPr>
        <w:t xml:space="preserve">קובלות </w:t>
      </w:r>
      <w:r w:rsidRPr="003B5D33">
        <w:rPr>
          <w:rFonts w:eastAsia="Times New Roman" w:hint="cs"/>
          <w:rtl/>
        </w:rPr>
        <w:t>בארץ ובעולם</w:t>
      </w:r>
      <w:r w:rsidRPr="003B5D33">
        <w:rPr>
          <w:rFonts w:eastAsia="Times New Roman"/>
          <w:rtl/>
        </w:rPr>
        <w:t xml:space="preserve"> </w:t>
      </w:r>
      <w:r w:rsidRPr="003B5D33">
        <w:rPr>
          <w:rFonts w:eastAsia="Times New Roman" w:hint="cs"/>
          <w:rtl/>
        </w:rPr>
        <w:t>ובהן נוהל מפת"ח</w:t>
      </w:r>
      <w:r>
        <w:rPr>
          <w:rFonts w:eastAsia="Times New Roman"/>
          <w:vertAlign w:val="superscript"/>
          <w:rtl/>
        </w:rPr>
        <w:footnoteReference w:id="28"/>
      </w:r>
      <w:r w:rsidRPr="003B5D33">
        <w:rPr>
          <w:rFonts w:eastAsia="Times New Roman" w:hint="cs"/>
          <w:rtl/>
        </w:rPr>
        <w:t>,</w:t>
      </w:r>
      <w:r w:rsidRPr="003B5D33">
        <w:rPr>
          <w:rFonts w:eastAsia="Times New Roman"/>
          <w:rtl/>
        </w:rPr>
        <w:t xml:space="preserve"> </w:t>
      </w:r>
      <w:r w:rsidRPr="003B5D33">
        <w:rPr>
          <w:rFonts w:eastAsia="Times New Roman"/>
        </w:rPr>
        <w:t>COBIT</w:t>
      </w:r>
      <w:r w:rsidRPr="003B5D33">
        <w:rPr>
          <w:rFonts w:eastAsia="Times New Roman"/>
          <w:rtl/>
        </w:rPr>
        <w:t>,</w:t>
      </w:r>
      <w:r w:rsidRPr="003B5D33">
        <w:rPr>
          <w:rFonts w:eastAsia="Times New Roman" w:hint="cs"/>
          <w:rtl/>
        </w:rPr>
        <w:t xml:space="preserve"> </w:t>
      </w:r>
      <w:r w:rsidRPr="003B5D33">
        <w:rPr>
          <w:rFonts w:eastAsia="Times New Roman"/>
        </w:rPr>
        <w:t>PMBOK</w:t>
      </w:r>
      <w:r>
        <w:rPr>
          <w:rFonts w:eastAsia="Times New Roman"/>
          <w:vertAlign w:val="superscript"/>
          <w:rtl/>
        </w:rPr>
        <w:footnoteReference w:id="29"/>
      </w:r>
      <w:r w:rsidRPr="003B5D33">
        <w:rPr>
          <w:rFonts w:eastAsia="Times New Roman"/>
          <w:rtl/>
        </w:rPr>
        <w:t xml:space="preserve">, </w:t>
      </w:r>
      <w:r w:rsidRPr="003B5D33">
        <w:rPr>
          <w:rFonts w:eastAsia="Times New Roman"/>
        </w:rPr>
        <w:t>ITIL</w:t>
      </w:r>
      <w:r w:rsidRPr="003B5D33">
        <w:rPr>
          <w:rFonts w:eastAsia="Times New Roman" w:hint="cs"/>
          <w:rtl/>
        </w:rPr>
        <w:t xml:space="preserve"> (להלן - המתודולוגיות המקובלות)</w:t>
      </w:r>
      <w:r w:rsidRPr="003B5D33">
        <w:rPr>
          <w:rFonts w:eastAsia="Times New Roman"/>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מתוך הבנה כי נדרש</w:t>
      </w:r>
      <w:r w:rsidRPr="003B5D33">
        <w:rPr>
          <w:rFonts w:eastAsia="Calibri"/>
          <w:rtl/>
        </w:rPr>
        <w:t xml:space="preserve"> להגדיל במידה ניכרת את אחוזי ההצלחה של פרויקטי תקשוב</w:t>
      </w:r>
      <w:r w:rsidRPr="003B5D33">
        <w:rPr>
          <w:rFonts w:eastAsia="Calibri" w:hint="cs"/>
          <w:rtl/>
        </w:rPr>
        <w:t xml:space="preserve"> ו</w:t>
      </w:r>
      <w:r w:rsidRPr="003B5D33">
        <w:rPr>
          <w:rFonts w:eastAsia="Calibri"/>
          <w:rtl/>
        </w:rPr>
        <w:t>את ה</w:t>
      </w:r>
      <w:r w:rsidRPr="003B5D33">
        <w:rPr>
          <w:rFonts w:eastAsia="Calibri" w:hint="cs"/>
          <w:rtl/>
        </w:rPr>
        <w:t>יעילות</w:t>
      </w:r>
      <w:r w:rsidRPr="003B5D33">
        <w:rPr>
          <w:rFonts w:eastAsia="Calibri"/>
          <w:rtl/>
        </w:rPr>
        <w:t xml:space="preserve"> של מערכות </w:t>
      </w:r>
      <w:r w:rsidRPr="003B5D33">
        <w:rPr>
          <w:rFonts w:eastAsia="Calibri" w:hint="cs"/>
          <w:rtl/>
        </w:rPr>
        <w:t>ה</w:t>
      </w:r>
      <w:r w:rsidRPr="003B5D33">
        <w:rPr>
          <w:rFonts w:eastAsia="Calibri"/>
          <w:rtl/>
        </w:rPr>
        <w:t>מידע</w:t>
      </w:r>
      <w:r w:rsidRPr="003B5D33">
        <w:rPr>
          <w:rFonts w:eastAsia="Calibri" w:hint="cs"/>
          <w:rtl/>
        </w:rPr>
        <w:t xml:space="preserve"> </w:t>
      </w:r>
      <w:r w:rsidRPr="003B5D33">
        <w:rPr>
          <w:rFonts w:eastAsia="Calibri"/>
          <w:rtl/>
        </w:rPr>
        <w:t xml:space="preserve">ונכסי </w:t>
      </w:r>
      <w:r w:rsidRPr="003B5D33">
        <w:rPr>
          <w:rFonts w:eastAsia="Calibri" w:hint="cs"/>
          <w:rtl/>
        </w:rPr>
        <w:t>ה</w:t>
      </w:r>
      <w:r w:rsidRPr="003B5D33">
        <w:rPr>
          <w:rFonts w:eastAsia="Calibri"/>
          <w:rtl/>
        </w:rPr>
        <w:t>תקשוב</w:t>
      </w:r>
      <w:r w:rsidRPr="003B5D33">
        <w:rPr>
          <w:rFonts w:eastAsia="Calibri" w:hint="cs"/>
          <w:rtl/>
        </w:rPr>
        <w:t xml:space="preserve"> בממשלה, מערך הדיגיטל הלאומי פרסם הנחיות הנוגעות לניהול פרויקטים, תוך הבחנה בין השלבים השונים ב</w:t>
      </w:r>
      <w:r w:rsidRPr="003B5D33">
        <w:rPr>
          <w:rFonts w:eastAsia="Calibri"/>
          <w:rtl/>
        </w:rPr>
        <w:t xml:space="preserve">מחזור </w:t>
      </w:r>
      <w:r w:rsidRPr="003B5D33">
        <w:rPr>
          <w:rFonts w:eastAsia="Calibri" w:hint="cs"/>
          <w:rtl/>
        </w:rPr>
        <w:t>ה</w:t>
      </w:r>
      <w:r w:rsidRPr="003B5D33">
        <w:rPr>
          <w:rFonts w:eastAsia="Calibri"/>
          <w:rtl/>
        </w:rPr>
        <w:t>חיי</w:t>
      </w:r>
      <w:r w:rsidRPr="003B5D33">
        <w:rPr>
          <w:rFonts w:eastAsia="Calibri" w:hint="cs"/>
          <w:rtl/>
        </w:rPr>
        <w:t>ם של</w:t>
      </w:r>
      <w:r w:rsidRPr="003B5D33">
        <w:rPr>
          <w:rFonts w:eastAsia="Calibri"/>
          <w:rtl/>
        </w:rPr>
        <w:t xml:space="preserve"> מערכת תקשוב</w:t>
      </w:r>
      <w:r>
        <w:rPr>
          <w:rFonts w:eastAsia="Calibri"/>
          <w:vertAlign w:val="superscript"/>
          <w:rtl/>
        </w:rPr>
        <w:footnoteReference w:id="30"/>
      </w:r>
      <w:r w:rsidRPr="003B5D33">
        <w:rPr>
          <w:rFonts w:eastAsia="Calibri" w:hint="cs"/>
          <w:rtl/>
        </w:rPr>
        <w:t xml:space="preserve">: </w:t>
      </w:r>
      <w:r w:rsidRPr="003B5D33">
        <w:rPr>
          <w:rFonts w:eastAsia="Calibri"/>
          <w:rtl/>
        </w:rPr>
        <w:t>הייזום</w:t>
      </w:r>
      <w:r w:rsidRPr="003B5D33">
        <w:rPr>
          <w:rFonts w:eastAsia="Calibri" w:hint="cs"/>
          <w:rtl/>
        </w:rPr>
        <w:t>, התכנון, הביצוע, העלייה לאוויר, הייצוב, התחזוקה השוטפת - ולבסוף הורדת המערכת. בהנחיות שפורסמו בעניין זה צוין כי הן בגדר תקן ממשלתי מחייב. תכלית ההנחיות היא ל</w:t>
      </w:r>
      <w:r w:rsidRPr="003B5D33">
        <w:rPr>
          <w:rFonts w:eastAsia="Calibri"/>
          <w:rtl/>
        </w:rPr>
        <w:t>ספק שיטות וכלים שיסייעו לוודא</w:t>
      </w:r>
      <w:r w:rsidRPr="003B5D33">
        <w:rPr>
          <w:rFonts w:eastAsia="Calibri" w:hint="cs"/>
          <w:rtl/>
        </w:rPr>
        <w:t xml:space="preserve"> ש"</w:t>
      </w:r>
      <w:r w:rsidRPr="003B5D33">
        <w:rPr>
          <w:rFonts w:eastAsia="Calibri"/>
          <w:rtl/>
        </w:rPr>
        <w:t>הפעילויות מנוהלות ולא מתנהלות</w:t>
      </w:r>
      <w:r w:rsidRPr="003B5D33">
        <w:rPr>
          <w:rFonts w:eastAsia="Calibri" w:hint="cs"/>
          <w:rtl/>
        </w:rPr>
        <w:t>"</w:t>
      </w:r>
      <w:r w:rsidRPr="003B5D33">
        <w:rPr>
          <w:rFonts w:eastAsia="Calibri"/>
          <w:rtl/>
        </w:rPr>
        <w:t>, בדגש על התאמה לצרכים, איכות, עלויות, עמידה בלוחות זמנים</w:t>
      </w:r>
      <w:r w:rsidRPr="003B5D33">
        <w:rPr>
          <w:rFonts w:eastAsia="Calibri" w:hint="cs"/>
          <w:rtl/>
        </w:rPr>
        <w:t>,</w:t>
      </w:r>
      <w:r w:rsidRPr="003B5D33">
        <w:rPr>
          <w:rFonts w:eastAsia="Calibri"/>
          <w:rtl/>
        </w:rPr>
        <w:t xml:space="preserve"> ניהול</w:t>
      </w:r>
      <w:r w:rsidRPr="003B5D33">
        <w:rPr>
          <w:rFonts w:eastAsia="Calibri" w:hint="cs"/>
          <w:rtl/>
        </w:rPr>
        <w:t xml:space="preserve"> </w:t>
      </w:r>
      <w:r w:rsidRPr="003B5D33">
        <w:rPr>
          <w:rFonts w:eastAsia="Calibri"/>
          <w:rtl/>
        </w:rPr>
        <w:t>סיכונים</w:t>
      </w:r>
      <w:r w:rsidRPr="003B5D33">
        <w:rPr>
          <w:rFonts w:eastAsia="Calibri" w:hint="cs"/>
          <w:rtl/>
        </w:rPr>
        <w:t xml:space="preserve"> </w:t>
      </w:r>
      <w:r w:rsidRPr="003B5D33">
        <w:rPr>
          <w:rFonts w:eastAsia="Calibri"/>
          <w:rtl/>
        </w:rPr>
        <w:t>ו</w:t>
      </w:r>
      <w:r w:rsidRPr="003B5D33">
        <w:rPr>
          <w:rFonts w:eastAsia="Calibri" w:hint="cs"/>
          <w:rtl/>
        </w:rPr>
        <w:t>קיום</w:t>
      </w:r>
      <w:r w:rsidRPr="003B5D33">
        <w:rPr>
          <w:rFonts w:eastAsia="Calibri"/>
          <w:rtl/>
        </w:rPr>
        <w:t xml:space="preserve"> תהליך של הפקת לקחים</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מנהל בו-זמנית עשרות פרויקטים בתחום התקשוב לשימוש בארץ ובעולם בתחומים שונים של פעילות המשרד. משרד מבקר המדינה בחן כמה היבטים הנוגעים לפיתוח פרויקטים ומערכות אלו. במסגרת זו בחן שישה פרויקטי פיתוח בשלבים שונים מהשנים האחרונות. כמו כן בוצעה בחינה ספציפית בנוגע לפיתוח אחת ממערכות </w:t>
      </w:r>
      <w:r w:rsidRPr="003B5D33">
        <w:rPr>
          <w:rFonts w:eastAsia="Calibri" w:hint="eastAsia"/>
          <w:rtl/>
        </w:rPr>
        <w:t>המשרד</w:t>
      </w:r>
      <w:r w:rsidRPr="003B5D33">
        <w:rPr>
          <w:rFonts w:eastAsia="Calibri"/>
          <w:rtl/>
        </w:rPr>
        <w:t>.</w:t>
      </w:r>
      <w:r w:rsidRPr="003B5D33">
        <w:rPr>
          <w:rFonts w:eastAsia="Calibri" w:hint="cs"/>
          <w:rtl/>
        </w:rPr>
        <w:t xml:space="preserve"> להלן הפרטים. </w:t>
      </w:r>
    </w:p>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25" w:name="_Toc218592796"/>
      <w:r w:rsidRPr="003B5D33">
        <w:rPr>
          <w:rFonts w:eastAsia="Times New Roman"/>
          <w:bCs/>
          <w:szCs w:val="28"/>
          <w:u w:val="single"/>
          <w:rtl/>
        </w:rPr>
        <w:t xml:space="preserve">ועדות היגוי </w:t>
      </w:r>
      <w:r w:rsidRPr="003B5D33">
        <w:rPr>
          <w:rFonts w:eastAsia="Times New Roman" w:hint="cs"/>
          <w:bCs/>
          <w:szCs w:val="28"/>
          <w:u w:val="single"/>
          <w:rtl/>
        </w:rPr>
        <w:t>לפרויקטים</w:t>
      </w:r>
      <w:bookmarkEnd w:id="25"/>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ועדת היגוי לפרויקט מערכות מידע היא </w:t>
      </w:r>
      <w:r w:rsidRPr="003B5D33">
        <w:rPr>
          <w:rFonts w:eastAsia="Calibri" w:hint="cs"/>
          <w:rtl/>
        </w:rPr>
        <w:t>נדבך הכרחי לניהול</w:t>
      </w:r>
      <w:r w:rsidRPr="003B5D33">
        <w:rPr>
          <w:rFonts w:eastAsia="Calibri"/>
          <w:rtl/>
        </w:rPr>
        <w:t xml:space="preserve"> הפרויקט, שכן </w:t>
      </w:r>
      <w:r w:rsidRPr="003B5D33">
        <w:rPr>
          <w:rFonts w:eastAsia="Calibri" w:hint="cs"/>
          <w:rtl/>
        </w:rPr>
        <w:t>תפקידה לפקח</w:t>
      </w:r>
      <w:r w:rsidRPr="003B5D33">
        <w:rPr>
          <w:rFonts w:eastAsia="Calibri"/>
          <w:rtl/>
        </w:rPr>
        <w:t xml:space="preserve"> על התקדמותו, </w:t>
      </w:r>
      <w:r w:rsidRPr="003B5D33">
        <w:rPr>
          <w:rFonts w:eastAsia="Calibri" w:hint="cs"/>
          <w:rtl/>
        </w:rPr>
        <w:t>לוודא</w:t>
      </w:r>
      <w:r w:rsidRPr="003B5D33">
        <w:rPr>
          <w:rFonts w:eastAsia="Calibri"/>
          <w:rtl/>
        </w:rPr>
        <w:t xml:space="preserve"> עמידה ביעדים</w:t>
      </w:r>
      <w:r w:rsidRPr="003B5D33">
        <w:rPr>
          <w:rFonts w:eastAsia="Calibri" w:hint="cs"/>
          <w:rtl/>
        </w:rPr>
        <w:t xml:space="preserve">, </w:t>
      </w:r>
      <w:r w:rsidRPr="003B5D33">
        <w:rPr>
          <w:rFonts w:eastAsia="Calibri"/>
          <w:rtl/>
        </w:rPr>
        <w:t>בתקציב</w:t>
      </w:r>
      <w:r w:rsidRPr="003B5D33">
        <w:rPr>
          <w:rFonts w:eastAsia="Calibri" w:hint="cs"/>
          <w:rtl/>
        </w:rPr>
        <w:t xml:space="preserve"> ובלוחות הזמנים</w:t>
      </w:r>
      <w:r w:rsidRPr="003B5D33">
        <w:rPr>
          <w:rFonts w:eastAsia="Calibri"/>
          <w:rtl/>
        </w:rPr>
        <w:t xml:space="preserve">, </w:t>
      </w:r>
      <w:r w:rsidRPr="003B5D33">
        <w:rPr>
          <w:rFonts w:eastAsia="Calibri" w:hint="cs"/>
          <w:rtl/>
        </w:rPr>
        <w:t xml:space="preserve">לקבל החלטות קריטיות אם אכן נדרשות, לזהות חסמים </w:t>
      </w:r>
      <w:r w:rsidRPr="003B5D33">
        <w:rPr>
          <w:rFonts w:eastAsia="Calibri"/>
          <w:rtl/>
        </w:rPr>
        <w:t>ו</w:t>
      </w:r>
      <w:r w:rsidRPr="003B5D33">
        <w:rPr>
          <w:rFonts w:eastAsia="Calibri" w:hint="cs"/>
          <w:rtl/>
        </w:rPr>
        <w:t>לסייע</w:t>
      </w:r>
      <w:r w:rsidRPr="003B5D33">
        <w:rPr>
          <w:rFonts w:eastAsia="Calibri"/>
          <w:rtl/>
        </w:rPr>
        <w:t xml:space="preserve"> </w:t>
      </w:r>
      <w:r w:rsidRPr="003B5D33">
        <w:rPr>
          <w:rFonts w:eastAsia="Calibri" w:hint="cs"/>
          <w:rtl/>
        </w:rPr>
        <w:t>בפתיחתם, לסייע בפתרון בעיות וב</w:t>
      </w:r>
      <w:r w:rsidRPr="003B5D33">
        <w:rPr>
          <w:rFonts w:eastAsia="Calibri"/>
          <w:rtl/>
        </w:rPr>
        <w:t xml:space="preserve">תיאום בין כל הגורמים המעורבים.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ה</w:t>
      </w:r>
      <w:r w:rsidRPr="003B5D33">
        <w:rPr>
          <w:rFonts w:eastAsia="Calibri" w:hint="cs"/>
          <w:rtl/>
        </w:rPr>
        <w:t>נחיות מערך הדיגיטל הלאומי</w:t>
      </w:r>
      <w:r>
        <w:rPr>
          <w:rFonts w:eastAsia="Calibri"/>
          <w:vertAlign w:val="superscript"/>
          <w:rtl/>
        </w:rPr>
        <w:footnoteReference w:id="31"/>
      </w:r>
      <w:r w:rsidRPr="003B5D33">
        <w:rPr>
          <w:rFonts w:eastAsia="Calibri"/>
          <w:rtl/>
        </w:rPr>
        <w:t xml:space="preserve"> מחייבות</w:t>
      </w:r>
      <w:r w:rsidRPr="003B5D33">
        <w:rPr>
          <w:rFonts w:eastAsia="Calibri" w:hint="cs"/>
          <w:rtl/>
        </w:rPr>
        <w:t xml:space="preserve"> מינוי </w:t>
      </w:r>
      <w:r w:rsidRPr="003B5D33">
        <w:rPr>
          <w:rFonts w:eastAsia="Calibri"/>
          <w:rtl/>
        </w:rPr>
        <w:t xml:space="preserve">ועדת היגוי בפרויקטים </w:t>
      </w:r>
      <w:r w:rsidRPr="003B5D33">
        <w:rPr>
          <w:rFonts w:eastAsia="Calibri" w:hint="cs"/>
          <w:rtl/>
        </w:rPr>
        <w:t>של מערכות מידע</w:t>
      </w:r>
      <w:r w:rsidRPr="003B5D33">
        <w:rPr>
          <w:rFonts w:eastAsia="Calibri"/>
          <w:rtl/>
        </w:rPr>
        <w:t xml:space="preserve"> ל</w:t>
      </w:r>
      <w:r w:rsidRPr="003B5D33">
        <w:rPr>
          <w:rFonts w:eastAsia="Calibri" w:hint="cs"/>
          <w:rtl/>
        </w:rPr>
        <w:t xml:space="preserve">כל </w:t>
      </w:r>
      <w:r w:rsidRPr="003B5D33">
        <w:rPr>
          <w:rFonts w:eastAsia="Calibri"/>
          <w:rtl/>
        </w:rPr>
        <w:t xml:space="preserve">פרויקט </w:t>
      </w:r>
      <w:r w:rsidRPr="003B5D33">
        <w:rPr>
          <w:rFonts w:eastAsia="Calibri" w:hint="cs"/>
          <w:rtl/>
        </w:rPr>
        <w:t>שאינו קטן</w:t>
      </w:r>
      <w:r>
        <w:rPr>
          <w:rFonts w:eastAsia="Calibri"/>
          <w:vertAlign w:val="superscript"/>
          <w:rtl/>
        </w:rPr>
        <w:footnoteReference w:id="32"/>
      </w:r>
      <w:r w:rsidRPr="003B5D33">
        <w:rPr>
          <w:rFonts w:eastAsia="Calibri" w:hint="cs"/>
          <w:rtl/>
        </w:rPr>
        <w:t xml:space="preserve"> ולפרויקטים מורכבים</w:t>
      </w:r>
      <w:r>
        <w:rPr>
          <w:rFonts w:eastAsia="Calibri"/>
          <w:vertAlign w:val="superscript"/>
          <w:rtl/>
        </w:rPr>
        <w:footnoteReference w:id="33"/>
      </w:r>
      <w:r w:rsidRPr="003B5D33">
        <w:rPr>
          <w:rFonts w:eastAsia="Calibri" w:hint="cs"/>
          <w:rtl/>
        </w:rPr>
        <w:t xml:space="preserve">. </w:t>
      </w:r>
      <w:r w:rsidRPr="003B5D33">
        <w:rPr>
          <w:rFonts w:eastAsia="Calibri"/>
          <w:rtl/>
        </w:rPr>
        <w:t>תפקיד</w:t>
      </w:r>
      <w:r w:rsidRPr="003B5D33">
        <w:rPr>
          <w:rFonts w:eastAsia="Calibri" w:hint="cs"/>
          <w:rtl/>
        </w:rPr>
        <w:t xml:space="preserve"> הוועדה בהתאם להנחיות הוא </w:t>
      </w:r>
      <w:r w:rsidRPr="003B5D33">
        <w:rPr>
          <w:rFonts w:eastAsia="Calibri"/>
          <w:rtl/>
        </w:rPr>
        <w:t>ללוות את הפרויקט לכל אורכו</w:t>
      </w:r>
      <w:r w:rsidRPr="003B5D33">
        <w:rPr>
          <w:rFonts w:eastAsia="Calibri" w:hint="cs"/>
          <w:rtl/>
        </w:rPr>
        <w:t xml:space="preserve">, והיא </w:t>
      </w:r>
      <w:r w:rsidRPr="003B5D33">
        <w:rPr>
          <w:rFonts w:eastAsia="Calibri"/>
          <w:rtl/>
        </w:rPr>
        <w:t>מופקדת על פיקוח, הנחיה, אישור אבני דרך</w:t>
      </w:r>
      <w:r w:rsidRPr="003B5D33">
        <w:rPr>
          <w:rFonts w:eastAsia="Calibri" w:hint="cs"/>
          <w:rtl/>
        </w:rPr>
        <w:t xml:space="preserve">, דיון באתגרים ובסיכונים </w:t>
      </w:r>
      <w:r w:rsidRPr="003B5D33">
        <w:rPr>
          <w:rFonts w:eastAsia="Calibri"/>
          <w:rtl/>
        </w:rPr>
        <w:t>והבטחת עמידה ביעדי הפרויקט</w:t>
      </w:r>
      <w:r>
        <w:rPr>
          <w:rFonts w:eastAsia="Calibri"/>
          <w:vertAlign w:val="superscript"/>
          <w:rtl/>
        </w:rPr>
        <w:footnoteReference w:id="34"/>
      </w:r>
      <w:r w:rsidRPr="003B5D33">
        <w:rPr>
          <w:rFonts w:eastAsia="Calibri"/>
          <w:rtl/>
        </w:rPr>
        <w:t>.</w:t>
      </w:r>
      <w:r w:rsidRPr="003B5D33">
        <w:rPr>
          <w:rFonts w:eastAsia="Calibri" w:hint="cs"/>
          <w:rtl/>
        </w:rPr>
        <w:t xml:space="preserve"> ל</w:t>
      </w:r>
      <w:r w:rsidRPr="003B5D33">
        <w:rPr>
          <w:rFonts w:eastAsia="Calibri"/>
          <w:rtl/>
        </w:rPr>
        <w:t>ראש</w:t>
      </w:r>
      <w:r w:rsidRPr="003B5D33">
        <w:rPr>
          <w:rFonts w:eastAsia="Calibri" w:hint="cs"/>
          <w:rtl/>
        </w:rPr>
        <w:t xml:space="preserve"> הוועדה יש למנות </w:t>
      </w:r>
      <w:r w:rsidRPr="003B5D33">
        <w:rPr>
          <w:rFonts w:eastAsia="Calibri"/>
          <w:rtl/>
        </w:rPr>
        <w:t xml:space="preserve">נציג בכיר של הנהלת המשרד או מנהל </w:t>
      </w:r>
      <w:r w:rsidRPr="003B5D33">
        <w:rPr>
          <w:rFonts w:eastAsia="Calibri" w:hint="cs"/>
          <w:rtl/>
        </w:rPr>
        <w:t xml:space="preserve">של </w:t>
      </w:r>
      <w:r w:rsidRPr="003B5D33">
        <w:rPr>
          <w:rFonts w:eastAsia="Calibri"/>
          <w:rtl/>
        </w:rPr>
        <w:t>היחידה העסקית</w:t>
      </w:r>
      <w:r w:rsidRPr="003B5D33">
        <w:rPr>
          <w:rFonts w:eastAsia="Calibri" w:hint="cs"/>
          <w:rtl/>
        </w:rPr>
        <w:t>,</w:t>
      </w:r>
      <w:r w:rsidRPr="003B5D33">
        <w:rPr>
          <w:rFonts w:eastAsia="Calibri"/>
          <w:rtl/>
        </w:rPr>
        <w:t xml:space="preserve"> </w:t>
      </w:r>
      <w:r w:rsidRPr="003B5D33">
        <w:rPr>
          <w:rFonts w:eastAsia="Calibri" w:hint="cs"/>
          <w:rtl/>
        </w:rPr>
        <w:t xml:space="preserve">ועם חבריה נמנים </w:t>
      </w:r>
      <w:r w:rsidRPr="003B5D33">
        <w:rPr>
          <w:rFonts w:eastAsia="Calibri"/>
          <w:rtl/>
        </w:rPr>
        <w:t xml:space="preserve">נציג בכיר של יחידת התקשוב, נציג </w:t>
      </w:r>
      <w:r w:rsidRPr="003B5D33">
        <w:rPr>
          <w:rFonts w:eastAsia="Calibri" w:hint="cs"/>
          <w:rtl/>
        </w:rPr>
        <w:t>היחידה</w:t>
      </w:r>
      <w:r w:rsidRPr="003B5D33">
        <w:rPr>
          <w:rFonts w:eastAsia="Calibri"/>
          <w:rtl/>
        </w:rPr>
        <w:t xml:space="preserve"> העסקית, חברי מינהלת הפרויקט ונציגי</w:t>
      </w:r>
      <w:r w:rsidRPr="003B5D33">
        <w:rPr>
          <w:rFonts w:eastAsia="Calibri" w:hint="cs"/>
          <w:rtl/>
        </w:rPr>
        <w:t xml:space="preserve"> </w:t>
      </w:r>
      <w:r w:rsidRPr="003B5D33">
        <w:rPr>
          <w:rFonts w:eastAsia="Calibri"/>
          <w:rtl/>
        </w:rPr>
        <w:t>המשתמשים העיקריים</w:t>
      </w:r>
      <w:r>
        <w:rPr>
          <w:rFonts w:eastAsia="Calibri"/>
          <w:vertAlign w:val="superscript"/>
          <w:rtl/>
        </w:rPr>
        <w:footnoteReference w:id="35"/>
      </w:r>
      <w:r w:rsidRPr="003B5D33">
        <w:rPr>
          <w:rFonts w:eastAsia="Calibri" w:hint="cs"/>
          <w:rtl/>
        </w:rPr>
        <w:t>. חובת מינוי ועדת היגוי נקבעה גם בנוהל משרד החוץ שעניינו "ניהול פרויקט פיתוח מערכת מידע"</w:t>
      </w:r>
      <w:r>
        <w:rPr>
          <w:rFonts w:eastAsia="Calibri"/>
          <w:vertAlign w:val="superscript"/>
          <w:rtl/>
        </w:rPr>
        <w:footnoteReference w:id="36"/>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מסר לביקורת בפברואר 2025 כי הצורך בקיום ועדת היגוי הוא תלוי פרויקט - כאשר נדרשת מעורבות גדולה או כשהפרויקט מהותי לארגון. עוד מסר שבפועל לרוב הפרויקטים המנוהלים במשרד בשנים האחרונות לא הוקמו ועדות היגוי.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בביקורת עלה </w:t>
      </w:r>
      <w:r w:rsidRPr="003B5D33">
        <w:rPr>
          <w:rFonts w:eastAsia="Calibri"/>
          <w:b/>
          <w:bCs/>
          <w:rtl/>
        </w:rPr>
        <w:t>כי</w:t>
      </w:r>
      <w:r w:rsidRPr="003B5D33">
        <w:rPr>
          <w:rFonts w:eastAsia="Calibri" w:hint="cs"/>
          <w:b/>
          <w:bCs/>
          <w:rtl/>
        </w:rPr>
        <w:t xml:space="preserve"> בניגוד להנחיות מערך הדיגיטל לפיהן יש </w:t>
      </w:r>
      <w:r w:rsidRPr="003B5D33">
        <w:rPr>
          <w:rFonts w:eastAsia="Calibri"/>
          <w:b/>
          <w:bCs/>
          <w:rtl/>
        </w:rPr>
        <w:t>להקים ועדות היגוי לכל פרויקט פיתוח מערכת מידע המוגדר מורכב או שבגודל בינוני ומעלה</w:t>
      </w:r>
      <w:r w:rsidRPr="003B5D33">
        <w:rPr>
          <w:rFonts w:eastAsia="Calibri" w:hint="cs"/>
          <w:b/>
          <w:bCs/>
          <w:rtl/>
        </w:rPr>
        <w:t xml:space="preserve"> ולנוהלי המשרד, משרד החוץ לא מינה </w:t>
      </w:r>
      <w:r w:rsidRPr="003B5D33">
        <w:rPr>
          <w:rFonts w:eastAsia="Calibri"/>
          <w:b/>
          <w:bCs/>
          <w:rtl/>
        </w:rPr>
        <w:t xml:space="preserve">ועדות היגוי </w:t>
      </w:r>
      <w:r w:rsidRPr="003B5D33">
        <w:rPr>
          <w:rFonts w:eastAsia="Calibri" w:hint="cs"/>
          <w:b/>
          <w:bCs/>
          <w:rtl/>
        </w:rPr>
        <w:t xml:space="preserve">לארבעה מתוך שישה </w:t>
      </w:r>
      <w:r w:rsidRPr="003B5D33">
        <w:rPr>
          <w:rFonts w:eastAsia="Calibri"/>
          <w:b/>
          <w:bCs/>
          <w:rtl/>
        </w:rPr>
        <w:t>פרויקטים</w:t>
      </w:r>
      <w:r w:rsidRPr="003B5D33">
        <w:rPr>
          <w:rFonts w:eastAsia="Calibri" w:hint="cs"/>
          <w:b/>
          <w:bCs/>
          <w:rtl/>
        </w:rPr>
        <w:t xml:space="preserve"> משמעותיים שנבדקו.</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באוקטובר 2025 מסר משרד החוץ בתשובתו כי </w:t>
      </w:r>
      <w:r w:rsidRPr="003B5D33">
        <w:rPr>
          <w:rFonts w:eastAsia="Calibri"/>
          <w:rtl/>
        </w:rPr>
        <w:t>הפרויקטים</w:t>
      </w:r>
      <w:r w:rsidRPr="003B5D33">
        <w:rPr>
          <w:rFonts w:eastAsia="Calibri" w:hint="cs"/>
          <w:rtl/>
        </w:rPr>
        <w:t>, לרבות הוספת תכולות,</w:t>
      </w:r>
      <w:r w:rsidRPr="003B5D33">
        <w:rPr>
          <w:rFonts w:eastAsia="Calibri"/>
          <w:rtl/>
        </w:rPr>
        <w:t xml:space="preserve"> מבוצעים יחד עם הלקוח</w:t>
      </w:r>
      <w:r w:rsidRPr="003B5D33">
        <w:rPr>
          <w:rFonts w:eastAsia="Calibri" w:hint="cs"/>
          <w:rtl/>
        </w:rPr>
        <w:t>ות</w:t>
      </w:r>
      <w:r w:rsidRPr="003B5D33">
        <w:rPr>
          <w:rFonts w:eastAsia="Calibri"/>
          <w:rtl/>
        </w:rPr>
        <w:t xml:space="preserve"> העסקי</w:t>
      </w:r>
      <w:r w:rsidRPr="003B5D33">
        <w:rPr>
          <w:rFonts w:eastAsia="Calibri" w:hint="cs"/>
          <w:rtl/>
        </w:rPr>
        <w:t>ים ותוך קיום ישיבות סטטוס</w:t>
      </w:r>
      <w:r w:rsidRPr="003B5D33">
        <w:rPr>
          <w:rFonts w:eastAsia="Calibri"/>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משרד מבקר המדינה מעיר כי ביצוע הפרויקט בשיתוף היחידה העסקית וקיום </w:t>
      </w:r>
      <w:r w:rsidRPr="003B5D33">
        <w:rPr>
          <w:rFonts w:eastAsia="Calibri"/>
          <w:b/>
          <w:bCs/>
          <w:rtl/>
        </w:rPr>
        <w:t xml:space="preserve">פגישות סטטוס </w:t>
      </w:r>
      <w:r w:rsidRPr="003B5D33">
        <w:rPr>
          <w:rFonts w:eastAsia="Calibri" w:hint="cs"/>
          <w:b/>
          <w:bCs/>
          <w:rtl/>
        </w:rPr>
        <w:t xml:space="preserve">אינם מייתרים </w:t>
      </w:r>
      <w:r w:rsidRPr="003B5D33">
        <w:rPr>
          <w:rFonts w:eastAsia="Calibri"/>
          <w:b/>
          <w:bCs/>
          <w:rtl/>
        </w:rPr>
        <w:t>את הצורך ב</w:t>
      </w:r>
      <w:r w:rsidRPr="003B5D33">
        <w:rPr>
          <w:rFonts w:eastAsia="Calibri" w:hint="cs"/>
          <w:b/>
          <w:bCs/>
          <w:rtl/>
        </w:rPr>
        <w:t xml:space="preserve">דבר </w:t>
      </w:r>
      <w:r w:rsidRPr="003B5D33">
        <w:rPr>
          <w:rFonts w:eastAsia="Calibri"/>
          <w:b/>
          <w:bCs/>
          <w:rtl/>
        </w:rPr>
        <w:t>קיום ועדת היגוי</w:t>
      </w:r>
      <w:r w:rsidRPr="003B5D33">
        <w:rPr>
          <w:rFonts w:eastAsia="Calibri" w:hint="cs"/>
          <w:b/>
          <w:bCs/>
          <w:rtl/>
        </w:rPr>
        <w:t xml:space="preserve"> לפרויקטים מורכבים ומשמעותיים, שתפקידה לפקח על קיומן של </w:t>
      </w:r>
      <w:r w:rsidRPr="003B5D33">
        <w:rPr>
          <w:rFonts w:eastAsia="Calibri"/>
          <w:b/>
          <w:bCs/>
          <w:rtl/>
        </w:rPr>
        <w:t xml:space="preserve">אבני </w:t>
      </w:r>
      <w:r w:rsidRPr="003B5D33">
        <w:rPr>
          <w:rFonts w:eastAsia="Calibri" w:hint="cs"/>
          <w:b/>
          <w:bCs/>
          <w:rtl/>
        </w:rPr>
        <w:t>ה</w:t>
      </w:r>
      <w:r w:rsidRPr="003B5D33">
        <w:rPr>
          <w:rFonts w:eastAsia="Calibri"/>
          <w:b/>
          <w:bCs/>
          <w:rtl/>
        </w:rPr>
        <w:t>דרך</w:t>
      </w:r>
      <w:r w:rsidRPr="003B5D33">
        <w:rPr>
          <w:rFonts w:eastAsia="Calibri" w:hint="cs"/>
          <w:b/>
          <w:bCs/>
          <w:rtl/>
        </w:rPr>
        <w:t xml:space="preserve"> ולאשרן</w:t>
      </w:r>
      <w:r w:rsidRPr="003B5D33">
        <w:rPr>
          <w:rFonts w:eastAsia="Calibri"/>
          <w:b/>
          <w:bCs/>
          <w:rtl/>
        </w:rPr>
        <w:t xml:space="preserve">, </w:t>
      </w:r>
      <w:r w:rsidRPr="003B5D33">
        <w:rPr>
          <w:rFonts w:eastAsia="Calibri" w:hint="cs"/>
          <w:b/>
          <w:bCs/>
          <w:rtl/>
        </w:rPr>
        <w:t xml:space="preserve">לדון </w:t>
      </w:r>
      <w:r w:rsidRPr="003B5D33">
        <w:rPr>
          <w:rFonts w:eastAsia="Calibri"/>
          <w:b/>
          <w:bCs/>
          <w:rtl/>
        </w:rPr>
        <w:t>באתגרים ובסיכונים ו</w:t>
      </w:r>
      <w:r w:rsidRPr="003B5D33">
        <w:rPr>
          <w:rFonts w:eastAsia="Calibri" w:hint="cs"/>
          <w:b/>
          <w:bCs/>
          <w:rtl/>
        </w:rPr>
        <w:t>להבטיח את</w:t>
      </w:r>
      <w:r w:rsidRPr="003B5D33">
        <w:rPr>
          <w:rFonts w:eastAsia="Calibri"/>
          <w:b/>
          <w:bCs/>
          <w:rtl/>
        </w:rPr>
        <w:t xml:space="preserve"> עמיד</w:t>
      </w:r>
      <w:r w:rsidRPr="003B5D33">
        <w:rPr>
          <w:rFonts w:eastAsia="Calibri" w:hint="cs"/>
          <w:b/>
          <w:bCs/>
          <w:rtl/>
        </w:rPr>
        <w:t>ת</w:t>
      </w:r>
      <w:r w:rsidRPr="003B5D33">
        <w:rPr>
          <w:rFonts w:eastAsia="Calibri"/>
          <w:b/>
          <w:bCs/>
          <w:rtl/>
        </w:rPr>
        <w:t xml:space="preserve"> הפרויקט</w:t>
      </w:r>
      <w:r w:rsidRPr="003B5D33">
        <w:rPr>
          <w:rFonts w:eastAsia="Calibri" w:hint="cs"/>
          <w:b/>
          <w:bCs/>
          <w:rtl/>
        </w:rPr>
        <w:t xml:space="preserve"> ביעדיו.</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b/>
          <w:bCs/>
          <w:rtl/>
        </w:rPr>
        <w:t xml:space="preserve">בהיעדר ועדת היגוי </w:t>
      </w:r>
      <w:r w:rsidRPr="003B5D33">
        <w:rPr>
          <w:rFonts w:eastAsia="Calibri" w:hint="cs"/>
          <w:b/>
          <w:bCs/>
          <w:rtl/>
        </w:rPr>
        <w:t>ל</w:t>
      </w:r>
      <w:r w:rsidRPr="003B5D33">
        <w:rPr>
          <w:rFonts w:eastAsia="Calibri"/>
          <w:b/>
          <w:bCs/>
          <w:rtl/>
        </w:rPr>
        <w:t>פרויקט</w:t>
      </w:r>
      <w:r w:rsidRPr="003B5D33">
        <w:rPr>
          <w:rFonts w:eastAsia="Calibri" w:hint="cs"/>
          <w:b/>
          <w:bCs/>
          <w:rtl/>
        </w:rPr>
        <w:t xml:space="preserve"> </w:t>
      </w:r>
      <w:r w:rsidRPr="003B5D33">
        <w:rPr>
          <w:rFonts w:eastAsia="Calibri"/>
          <w:b/>
          <w:bCs/>
          <w:rtl/>
        </w:rPr>
        <w:t xml:space="preserve">לא </w:t>
      </w:r>
      <w:r w:rsidRPr="003B5D33">
        <w:rPr>
          <w:rFonts w:eastAsia="Calibri" w:hint="cs"/>
          <w:b/>
          <w:bCs/>
          <w:rtl/>
        </w:rPr>
        <w:t xml:space="preserve">יכול להתבצע הליך סדור ומיטבי של פיקוח והנחיה, אישור אבני דרך, </w:t>
      </w:r>
      <w:r w:rsidRPr="003B5D33">
        <w:rPr>
          <w:rFonts w:eastAsia="Calibri"/>
          <w:b/>
          <w:bCs/>
          <w:rtl/>
        </w:rPr>
        <w:t>ניתוח וניהול סיכונים</w:t>
      </w:r>
      <w:r w:rsidRPr="003B5D33">
        <w:rPr>
          <w:rFonts w:eastAsia="Calibri" w:hint="cs"/>
          <w:b/>
          <w:bCs/>
          <w:rtl/>
        </w:rPr>
        <w:t xml:space="preserve">, </w:t>
      </w:r>
      <w:r w:rsidRPr="003B5D33">
        <w:rPr>
          <w:rFonts w:eastAsia="Calibri"/>
          <w:b/>
          <w:bCs/>
          <w:rtl/>
        </w:rPr>
        <w:t xml:space="preserve">בקרה שוטפת </w:t>
      </w:r>
      <w:r w:rsidRPr="003B5D33">
        <w:rPr>
          <w:rFonts w:eastAsia="Calibri" w:hint="cs"/>
          <w:b/>
          <w:bCs/>
          <w:rtl/>
        </w:rPr>
        <w:t xml:space="preserve">של </w:t>
      </w:r>
      <w:r w:rsidRPr="003B5D33">
        <w:rPr>
          <w:rFonts w:eastAsia="Calibri"/>
          <w:b/>
          <w:bCs/>
          <w:rtl/>
        </w:rPr>
        <w:t>ביצוע מול תכנון</w:t>
      </w:r>
      <w:r w:rsidRPr="003B5D33">
        <w:rPr>
          <w:rFonts w:eastAsia="Calibri" w:hint="cs"/>
          <w:b/>
          <w:bCs/>
          <w:rtl/>
        </w:rPr>
        <w:t xml:space="preserve"> וק</w:t>
      </w:r>
      <w:r w:rsidRPr="003B5D33">
        <w:rPr>
          <w:rFonts w:eastAsia="Calibri"/>
          <w:b/>
          <w:bCs/>
          <w:rtl/>
        </w:rPr>
        <w:t xml:space="preserve">ביעת דרכי </w:t>
      </w:r>
      <w:r w:rsidRPr="003B5D33">
        <w:rPr>
          <w:rFonts w:eastAsia="Calibri" w:hint="cs"/>
          <w:b/>
          <w:bCs/>
          <w:rtl/>
        </w:rPr>
        <w:t>ה</w:t>
      </w:r>
      <w:r w:rsidRPr="003B5D33">
        <w:rPr>
          <w:rFonts w:eastAsia="Calibri"/>
          <w:b/>
          <w:bCs/>
          <w:rtl/>
        </w:rPr>
        <w:t>פעולה</w:t>
      </w:r>
      <w:r w:rsidRPr="003B5D33">
        <w:rPr>
          <w:rFonts w:eastAsia="Calibri" w:hint="cs"/>
          <w:b/>
          <w:bCs/>
          <w:rtl/>
        </w:rPr>
        <w:t xml:space="preserve"> </w:t>
      </w:r>
      <w:r w:rsidRPr="003B5D33">
        <w:rPr>
          <w:rFonts w:eastAsia="Calibri"/>
          <w:b/>
          <w:bCs/>
          <w:rtl/>
        </w:rPr>
        <w:t>להתמודדות עם אתגרים</w:t>
      </w:r>
      <w:r w:rsidRPr="003B5D33">
        <w:rPr>
          <w:rFonts w:eastAsia="Calibri" w:hint="cs"/>
          <w:b/>
          <w:bCs/>
          <w:rtl/>
        </w:rPr>
        <w:t xml:space="preserve"> שעולים</w:t>
      </w:r>
      <w:r w:rsidRPr="003B5D33">
        <w:rPr>
          <w:rFonts w:eastAsia="Calibri"/>
          <w:b/>
          <w:bCs/>
          <w:rtl/>
        </w:rPr>
        <w:t xml:space="preserve">. </w:t>
      </w:r>
      <w:r w:rsidRPr="003B5D33">
        <w:rPr>
          <w:rFonts w:eastAsia="Calibri" w:hint="cs"/>
          <w:b/>
          <w:bCs/>
          <w:rtl/>
        </w:rPr>
        <w:t>יתרה מזו,</w:t>
      </w:r>
      <w:r w:rsidRPr="003B5D33">
        <w:rPr>
          <w:rFonts w:eastAsia="Calibri"/>
          <w:b/>
          <w:bCs/>
          <w:rtl/>
        </w:rPr>
        <w:t xml:space="preserve"> היעדר </w:t>
      </w:r>
      <w:r w:rsidRPr="003B5D33">
        <w:rPr>
          <w:rFonts w:eastAsia="Calibri" w:hint="cs"/>
          <w:b/>
          <w:bCs/>
          <w:rtl/>
        </w:rPr>
        <w:t>ועדת היגוי לפרויקט משליך</w:t>
      </w:r>
      <w:r w:rsidRPr="003B5D33">
        <w:rPr>
          <w:rFonts w:eastAsia="Calibri"/>
          <w:b/>
          <w:bCs/>
          <w:rtl/>
        </w:rPr>
        <w:t xml:space="preserve"> </w:t>
      </w:r>
      <w:r w:rsidRPr="003B5D33">
        <w:rPr>
          <w:rFonts w:eastAsia="Calibri" w:hint="cs"/>
          <w:b/>
          <w:bCs/>
          <w:rtl/>
        </w:rPr>
        <w:t>על</w:t>
      </w:r>
      <w:r w:rsidRPr="003B5D33">
        <w:rPr>
          <w:rFonts w:eastAsia="Calibri"/>
          <w:b/>
          <w:bCs/>
          <w:rtl/>
        </w:rPr>
        <w:t xml:space="preserve"> </w:t>
      </w:r>
      <w:r w:rsidRPr="003B5D33">
        <w:rPr>
          <w:rFonts w:eastAsia="Calibri" w:hint="cs"/>
          <w:b/>
          <w:bCs/>
          <w:rtl/>
        </w:rPr>
        <w:t xml:space="preserve">מעורבות </w:t>
      </w:r>
      <w:r w:rsidRPr="003B5D33">
        <w:rPr>
          <w:rFonts w:eastAsia="Calibri"/>
          <w:b/>
          <w:bCs/>
          <w:rtl/>
        </w:rPr>
        <w:t xml:space="preserve">ההנהלה </w:t>
      </w:r>
      <w:r w:rsidRPr="003B5D33">
        <w:rPr>
          <w:rFonts w:eastAsia="Calibri" w:hint="cs"/>
          <w:b/>
          <w:bCs/>
          <w:rtl/>
        </w:rPr>
        <w:t xml:space="preserve">והגורמים העסקיים ועל היכולת לקבל </w:t>
      </w:r>
      <w:r w:rsidRPr="003B5D33">
        <w:rPr>
          <w:rFonts w:eastAsia="Calibri"/>
          <w:b/>
          <w:bCs/>
          <w:rtl/>
        </w:rPr>
        <w:t xml:space="preserve">החלטות מרכזיות </w:t>
      </w:r>
      <w:r w:rsidRPr="003B5D33">
        <w:rPr>
          <w:rFonts w:eastAsia="Calibri" w:hint="cs"/>
          <w:b/>
          <w:bCs/>
          <w:rtl/>
        </w:rPr>
        <w:t xml:space="preserve">לשם </w:t>
      </w:r>
      <w:r w:rsidRPr="003B5D33">
        <w:rPr>
          <w:rFonts w:eastAsia="Calibri"/>
          <w:b/>
          <w:bCs/>
          <w:rtl/>
        </w:rPr>
        <w:t>קידום הפרויקט</w:t>
      </w:r>
      <w:r w:rsidRPr="003B5D33">
        <w:rPr>
          <w:rFonts w:eastAsia="Calibri" w:hint="cs"/>
          <w:b/>
          <w:bCs/>
          <w:rtl/>
        </w:rPr>
        <w:t>, ועלול להגדיל את הסיכון</w:t>
      </w:r>
      <w:r w:rsidRPr="003B5D33">
        <w:rPr>
          <w:rFonts w:eastAsia="Calibri"/>
          <w:b/>
          <w:bCs/>
          <w:rtl/>
        </w:rPr>
        <w:t xml:space="preserve"> ל</w:t>
      </w:r>
      <w:r w:rsidRPr="003B5D33">
        <w:rPr>
          <w:rFonts w:eastAsia="Calibri" w:hint="cs"/>
          <w:b/>
          <w:bCs/>
          <w:rtl/>
        </w:rPr>
        <w:t xml:space="preserve">פגיעה </w:t>
      </w:r>
      <w:r w:rsidRPr="003B5D33">
        <w:rPr>
          <w:rFonts w:eastAsia="Calibri"/>
          <w:b/>
          <w:bCs/>
          <w:rtl/>
        </w:rPr>
        <w:t>ב</w:t>
      </w:r>
      <w:r w:rsidRPr="003B5D33">
        <w:rPr>
          <w:rFonts w:eastAsia="Calibri" w:hint="cs"/>
          <w:b/>
          <w:bCs/>
          <w:rtl/>
        </w:rPr>
        <w:t xml:space="preserve">עמידה </w:t>
      </w:r>
      <w:r w:rsidRPr="003B5D33">
        <w:rPr>
          <w:rFonts w:eastAsia="Calibri"/>
          <w:b/>
          <w:bCs/>
          <w:rtl/>
        </w:rPr>
        <w:t>ביעדי</w:t>
      </w:r>
      <w:r w:rsidRPr="003B5D33">
        <w:rPr>
          <w:rFonts w:eastAsia="Calibri" w:hint="cs"/>
          <w:b/>
          <w:bCs/>
          <w:rtl/>
        </w:rPr>
        <w:t xml:space="preserve"> הפרויקט, ל</w:t>
      </w:r>
      <w:r w:rsidRPr="003B5D33">
        <w:rPr>
          <w:rFonts w:eastAsia="Calibri"/>
          <w:b/>
          <w:bCs/>
          <w:rtl/>
        </w:rPr>
        <w:t xml:space="preserve">התארכות לוחות הזמנים, לחריגה </w:t>
      </w:r>
      <w:r w:rsidRPr="003B5D33">
        <w:rPr>
          <w:rFonts w:eastAsia="Calibri" w:hint="cs"/>
          <w:b/>
          <w:bCs/>
          <w:rtl/>
        </w:rPr>
        <w:t>תקציבית ו</w:t>
      </w:r>
      <w:r w:rsidRPr="003B5D33">
        <w:rPr>
          <w:rFonts w:eastAsia="Calibri"/>
          <w:b/>
          <w:bCs/>
          <w:rtl/>
        </w:rPr>
        <w:t>לפגיעה באיכות התוצרים.</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יצוין כי גם בתוכנית האסטרטגית הועלה כי </w:t>
      </w:r>
      <w:r w:rsidRPr="003B5D33">
        <w:rPr>
          <w:rFonts w:eastAsia="Calibri"/>
          <w:rtl/>
        </w:rPr>
        <w:t xml:space="preserve">חסרה ועדת היגוי שמתכנסת אחת לכמה שבועות </w:t>
      </w:r>
      <w:r w:rsidRPr="003B5D33">
        <w:rPr>
          <w:rFonts w:eastAsia="Calibri" w:hint="cs"/>
          <w:rtl/>
        </w:rPr>
        <w:t xml:space="preserve">כדי </w:t>
      </w:r>
      <w:r w:rsidRPr="003B5D33">
        <w:rPr>
          <w:rFonts w:eastAsia="Calibri"/>
          <w:rtl/>
        </w:rPr>
        <w:t xml:space="preserve">לדון </w:t>
      </w:r>
      <w:r w:rsidRPr="003B5D33">
        <w:rPr>
          <w:rFonts w:eastAsia="Calibri" w:hint="cs"/>
          <w:rtl/>
        </w:rPr>
        <w:t>ב</w:t>
      </w:r>
      <w:r w:rsidRPr="003B5D33">
        <w:rPr>
          <w:rFonts w:eastAsia="Calibri"/>
          <w:rtl/>
        </w:rPr>
        <w:t>התקדמות הפרויקט</w:t>
      </w:r>
      <w:r w:rsidRPr="003B5D33">
        <w:rPr>
          <w:rFonts w:eastAsia="Calibri" w:hint="cs"/>
          <w:rtl/>
        </w:rPr>
        <w:t xml:space="preserve">, וזאת כאחד ממקורות בעיות האגף וחלק מממדי השינוי המרכזיים </w:t>
      </w:r>
      <w:r w:rsidRPr="003B5D33">
        <w:rPr>
          <w:rFonts w:eastAsia="Calibri" w:hint="cs"/>
          <w:rtl/>
        </w:rPr>
        <w:t>הנדרשים בו. כמו כן, גם בסקר הסיכונים שבוצע עבור המשרד</w:t>
      </w:r>
      <w:r>
        <w:rPr>
          <w:rFonts w:eastAsia="Calibri"/>
          <w:vertAlign w:val="superscript"/>
          <w:rtl/>
        </w:rPr>
        <w:footnoteReference w:id="37"/>
      </w:r>
      <w:r w:rsidRPr="003B5D33">
        <w:rPr>
          <w:rFonts w:eastAsia="Calibri" w:hint="cs"/>
          <w:rtl/>
        </w:rPr>
        <w:t xml:space="preserve"> עלה כי </w:t>
      </w:r>
      <w:r w:rsidRPr="003B5D33">
        <w:rPr>
          <w:rFonts w:eastAsia="Calibri"/>
          <w:rtl/>
        </w:rPr>
        <w:t>לא קיימת ועדת היגוי בחלק מהפרויקטים</w:t>
      </w:r>
      <w:r w:rsidRPr="003B5D33">
        <w:rPr>
          <w:rFonts w:eastAsia="Calibri" w:hint="cs"/>
          <w:rtl/>
        </w:rPr>
        <w:t xml:space="preserve"> והומלץ להגדיר ועדת היגוי לכל אחד מהפרויקטים באגף התקשוב.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בהתאם להנחיות מערך הדיגיטל הלאומי</w:t>
      </w:r>
      <w:r w:rsidRPr="003B5D33">
        <w:rPr>
          <w:rFonts w:eastAsia="Calibri" w:hint="cs"/>
          <w:b/>
          <w:bCs/>
          <w:rtl/>
        </w:rPr>
        <w:t>,</w:t>
      </w:r>
      <w:r w:rsidRPr="003B5D33">
        <w:rPr>
          <w:rFonts w:eastAsia="Calibri"/>
          <w:b/>
          <w:bCs/>
          <w:rtl/>
        </w:rPr>
        <w:t xml:space="preserve"> משרד </w:t>
      </w:r>
      <w:r w:rsidRPr="003B5D33">
        <w:rPr>
          <w:rFonts w:eastAsia="Calibri" w:hint="cs"/>
          <w:b/>
          <w:bCs/>
          <w:rtl/>
        </w:rPr>
        <w:t>החוץ נדרש להקים</w:t>
      </w:r>
      <w:r w:rsidRPr="003B5D33">
        <w:rPr>
          <w:rFonts w:eastAsia="Calibri"/>
          <w:b/>
          <w:bCs/>
          <w:rtl/>
        </w:rPr>
        <w:t xml:space="preserve"> ועדות היגוי לכל פרויקט פיתוח מערכת מידע </w:t>
      </w:r>
      <w:r w:rsidRPr="003B5D33">
        <w:rPr>
          <w:rFonts w:eastAsia="Calibri" w:hint="cs"/>
          <w:b/>
          <w:bCs/>
          <w:rtl/>
        </w:rPr>
        <w:t xml:space="preserve">המוגדר מורכב או שבגודל </w:t>
      </w:r>
      <w:r w:rsidRPr="003B5D33">
        <w:rPr>
          <w:rFonts w:eastAsia="Calibri"/>
          <w:b/>
          <w:bCs/>
          <w:rtl/>
        </w:rPr>
        <w:t>בינוני ומעלה. על ועדות ההיגוי לכלול נציגים בכירים מהנהלת המשרד</w:t>
      </w:r>
      <w:r w:rsidRPr="003B5D33">
        <w:rPr>
          <w:rFonts w:eastAsia="Calibri" w:hint="cs"/>
          <w:b/>
          <w:bCs/>
          <w:rtl/>
        </w:rPr>
        <w:t xml:space="preserve">, נציגי </w:t>
      </w:r>
      <w:r w:rsidRPr="003B5D33">
        <w:rPr>
          <w:rFonts w:eastAsia="Calibri"/>
          <w:b/>
          <w:bCs/>
          <w:rtl/>
        </w:rPr>
        <w:t>משתמשים</w:t>
      </w:r>
      <w:r w:rsidRPr="003B5D33">
        <w:rPr>
          <w:rFonts w:eastAsia="Calibri" w:hint="cs"/>
          <w:b/>
          <w:bCs/>
          <w:rtl/>
        </w:rPr>
        <w:t xml:space="preserve"> ונציגים כמפורט בהנחיות</w:t>
      </w:r>
      <w:r w:rsidRPr="003B5D33">
        <w:rPr>
          <w:rFonts w:eastAsia="Calibri"/>
          <w:b/>
          <w:bCs/>
          <w:rtl/>
        </w:rPr>
        <w:t>,</w:t>
      </w:r>
      <w:r w:rsidRPr="003B5D33">
        <w:rPr>
          <w:rFonts w:eastAsia="Calibri" w:hint="cs"/>
          <w:b/>
          <w:bCs/>
          <w:rtl/>
        </w:rPr>
        <w:t xml:space="preserve"> ולה</w:t>
      </w:r>
      <w:r w:rsidRPr="003B5D33">
        <w:rPr>
          <w:rFonts w:eastAsia="Calibri"/>
          <w:b/>
          <w:bCs/>
          <w:rtl/>
        </w:rPr>
        <w:t>תכנס בתדירות שתאפשר בקרה מיטבית על ביצוע הפרויקט</w:t>
      </w:r>
      <w:r w:rsidRPr="003B5D33">
        <w:rPr>
          <w:rFonts w:eastAsia="Calibri" w:hint="cs"/>
          <w:b/>
          <w:bCs/>
          <w:rtl/>
        </w:rPr>
        <w:t xml:space="preserve"> וקבלת החלטות במידת הצורך</w:t>
      </w:r>
      <w:r w:rsidRPr="003B5D33">
        <w:rPr>
          <w:rFonts w:eastAsia="Calibri"/>
          <w:b/>
          <w:bCs/>
          <w:rtl/>
        </w:rPr>
        <w:t xml:space="preserve">. </w:t>
      </w:r>
      <w:r w:rsidRPr="003B5D33">
        <w:rPr>
          <w:rFonts w:eastAsia="Calibri" w:hint="cs"/>
          <w:b/>
          <w:bCs/>
          <w:rtl/>
        </w:rPr>
        <w:t>כמו כן</w:t>
      </w:r>
      <w:r w:rsidRPr="003B5D33">
        <w:rPr>
          <w:rFonts w:eastAsia="Calibri"/>
          <w:b/>
          <w:bCs/>
          <w:rtl/>
        </w:rPr>
        <w:t xml:space="preserve"> מומלץ להטמיע מערכת לדיווח ומעקב שוטף, שתאפשר בקרה </w:t>
      </w:r>
      <w:r w:rsidRPr="003B5D33">
        <w:rPr>
          <w:rFonts w:eastAsia="Calibri" w:hint="cs"/>
          <w:b/>
          <w:bCs/>
          <w:rtl/>
        </w:rPr>
        <w:t xml:space="preserve">מיטבית </w:t>
      </w:r>
      <w:r w:rsidRPr="003B5D33">
        <w:rPr>
          <w:rFonts w:eastAsia="Calibri"/>
          <w:b/>
          <w:bCs/>
          <w:rtl/>
        </w:rPr>
        <w:t xml:space="preserve">על התקדמות הפרויקטים ותסייע במימוש </w:t>
      </w:r>
      <w:r w:rsidRPr="003B5D33">
        <w:rPr>
          <w:rFonts w:eastAsia="Calibri" w:hint="cs"/>
          <w:b/>
          <w:bCs/>
          <w:rtl/>
        </w:rPr>
        <w:t>יעדיהם</w:t>
      </w:r>
      <w:r w:rsidRPr="003B5D33">
        <w:rPr>
          <w:rFonts w:eastAsia="Calibri"/>
          <w:b/>
          <w:bCs/>
        </w:rPr>
        <w:t>.</w:t>
      </w:r>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26" w:name="_Toc218592797"/>
      <w:r w:rsidRPr="003B5D33">
        <w:rPr>
          <w:rFonts w:eastAsia="Times New Roman"/>
          <w:bCs/>
          <w:szCs w:val="28"/>
          <w:u w:val="single"/>
          <w:rtl/>
        </w:rPr>
        <w:t xml:space="preserve">ניהול סיכונים </w:t>
      </w:r>
      <w:r w:rsidRPr="003B5D33">
        <w:rPr>
          <w:rFonts w:eastAsia="Times New Roman" w:hint="cs"/>
          <w:bCs/>
          <w:szCs w:val="28"/>
          <w:u w:val="single"/>
          <w:rtl/>
        </w:rPr>
        <w:t>ב</w:t>
      </w:r>
      <w:r w:rsidRPr="003B5D33">
        <w:rPr>
          <w:rFonts w:eastAsia="Times New Roman"/>
          <w:bCs/>
          <w:szCs w:val="28"/>
          <w:u w:val="single"/>
          <w:rtl/>
        </w:rPr>
        <w:t>פרויקטים</w:t>
      </w:r>
      <w:bookmarkEnd w:id="26"/>
      <w:r w:rsidRPr="003B5D33">
        <w:rPr>
          <w:rFonts w:eastAsia="Times New Roman"/>
          <w:bCs/>
          <w:szCs w:val="28"/>
          <w:u w:val="single"/>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פרויקט</w:t>
      </w:r>
      <w:r w:rsidRPr="003B5D33">
        <w:rPr>
          <w:rFonts w:eastAsia="Calibri" w:hint="cs"/>
          <w:rtl/>
        </w:rPr>
        <w:t>ים של מערכות מידע הם בעלי מורכבות גבוהה מטבעם</w:t>
      </w:r>
      <w:r w:rsidRPr="003B5D33">
        <w:rPr>
          <w:rFonts w:eastAsia="Calibri"/>
          <w:rtl/>
        </w:rPr>
        <w:t xml:space="preserve">, </w:t>
      </w:r>
      <w:r w:rsidRPr="003B5D33">
        <w:rPr>
          <w:rFonts w:eastAsia="Calibri" w:hint="cs"/>
          <w:rtl/>
        </w:rPr>
        <w:t>וכוללים ת</w:t>
      </w:r>
      <w:r w:rsidRPr="003B5D33">
        <w:rPr>
          <w:rFonts w:eastAsia="Calibri"/>
          <w:rtl/>
        </w:rPr>
        <w:t>כנון וביצוע של משימות רבות ה</w:t>
      </w:r>
      <w:r w:rsidRPr="003B5D33">
        <w:rPr>
          <w:rFonts w:eastAsia="Calibri" w:hint="cs"/>
          <w:rtl/>
        </w:rPr>
        <w:t xml:space="preserve">שלובות </w:t>
      </w:r>
      <w:r w:rsidRPr="003B5D33">
        <w:rPr>
          <w:rFonts w:eastAsia="Calibri"/>
          <w:rtl/>
        </w:rPr>
        <w:t xml:space="preserve">זו בזו, </w:t>
      </w:r>
      <w:r w:rsidRPr="003B5D33">
        <w:rPr>
          <w:rFonts w:eastAsia="Calibri" w:hint="cs"/>
          <w:rtl/>
        </w:rPr>
        <w:t xml:space="preserve">עם מעורבות של </w:t>
      </w:r>
      <w:r w:rsidRPr="003B5D33">
        <w:rPr>
          <w:rFonts w:eastAsia="Calibri"/>
          <w:rtl/>
        </w:rPr>
        <w:t>אנשי מקצוע בעלי התמחויות שונות, תקציב מוגבל</w:t>
      </w:r>
      <w:r w:rsidRPr="003B5D33">
        <w:rPr>
          <w:rFonts w:eastAsia="Calibri" w:hint="cs"/>
          <w:rtl/>
        </w:rPr>
        <w:t>,</w:t>
      </w:r>
      <w:r w:rsidRPr="003B5D33">
        <w:rPr>
          <w:rFonts w:eastAsia="Calibri"/>
          <w:rtl/>
        </w:rPr>
        <w:t xml:space="preserve"> לוח זמנים קצוב</w:t>
      </w:r>
      <w:r w:rsidRPr="003B5D33">
        <w:rPr>
          <w:rFonts w:eastAsia="Calibri" w:hint="cs"/>
          <w:rtl/>
        </w:rPr>
        <w:t xml:space="preserve"> וצורך בת</w:t>
      </w:r>
      <w:r w:rsidRPr="003B5D33">
        <w:rPr>
          <w:rFonts w:eastAsia="Calibri"/>
          <w:rtl/>
        </w:rPr>
        <w:t>יאו</w:t>
      </w:r>
      <w:r w:rsidRPr="003B5D33">
        <w:rPr>
          <w:rFonts w:eastAsia="Calibri" w:hint="cs"/>
          <w:rtl/>
        </w:rPr>
        <w:t xml:space="preserve">ם הדוק </w:t>
      </w:r>
      <w:r w:rsidRPr="003B5D33">
        <w:rPr>
          <w:rFonts w:eastAsia="Calibri"/>
          <w:rtl/>
        </w:rPr>
        <w:t xml:space="preserve">מול </w:t>
      </w:r>
      <w:r w:rsidRPr="003B5D33">
        <w:rPr>
          <w:rFonts w:eastAsia="Calibri" w:hint="cs"/>
          <w:rtl/>
        </w:rPr>
        <w:t>ה</w:t>
      </w:r>
      <w:r w:rsidRPr="003B5D33">
        <w:rPr>
          <w:rFonts w:eastAsia="Calibri"/>
          <w:rtl/>
        </w:rPr>
        <w:t>לקוחות. משכך, פרויקטי</w:t>
      </w:r>
      <w:r w:rsidRPr="003B5D33">
        <w:rPr>
          <w:rFonts w:eastAsia="Calibri" w:hint="cs"/>
          <w:rtl/>
        </w:rPr>
        <w:t xml:space="preserve">ם אלו מצויים בחשיפה גבוהה </w:t>
      </w:r>
      <w:r w:rsidRPr="003B5D33">
        <w:rPr>
          <w:rFonts w:eastAsia="Calibri"/>
          <w:rtl/>
        </w:rPr>
        <w:t xml:space="preserve">לסיכונים שעלולים לפגוע ביכולת </w:t>
      </w:r>
      <w:r w:rsidRPr="003B5D33">
        <w:rPr>
          <w:rFonts w:eastAsia="Calibri" w:hint="cs"/>
          <w:rtl/>
        </w:rPr>
        <w:t xml:space="preserve">העמידה </w:t>
      </w:r>
      <w:r w:rsidRPr="003B5D33">
        <w:rPr>
          <w:rFonts w:eastAsia="Calibri"/>
          <w:rtl/>
        </w:rPr>
        <w:t>בלוחות הזמנים הקצובים, בתכולה הנדרשת</w:t>
      </w:r>
      <w:r w:rsidRPr="003B5D33">
        <w:rPr>
          <w:rFonts w:eastAsia="Calibri" w:hint="cs"/>
          <w:rtl/>
        </w:rPr>
        <w:t xml:space="preserve">, </w:t>
      </w:r>
      <w:r w:rsidRPr="003B5D33">
        <w:rPr>
          <w:rFonts w:eastAsia="Calibri"/>
          <w:rtl/>
        </w:rPr>
        <w:t>במשאבים שהוקצו ל</w:t>
      </w:r>
      <w:r w:rsidRPr="003B5D33">
        <w:rPr>
          <w:rFonts w:eastAsia="Calibri" w:hint="cs"/>
          <w:rtl/>
        </w:rPr>
        <w:t>הם וביעדיהם</w:t>
      </w:r>
      <w:r w:rsidRPr="003B5D33">
        <w:rPr>
          <w:rFonts w:eastAsia="Calibri"/>
          <w:rtl/>
        </w:rPr>
        <w:t>. לשם הגדלת סיכויי ההצלחה של הפרויקט</w:t>
      </w:r>
      <w:r w:rsidRPr="003B5D33">
        <w:rPr>
          <w:rFonts w:eastAsia="Calibri" w:hint="cs"/>
          <w:rtl/>
        </w:rPr>
        <w:t xml:space="preserve">, חיוני לבצע זיהוי והערכה של הסיכונים האפשריים </w:t>
      </w:r>
      <w:r w:rsidRPr="003B5D33">
        <w:rPr>
          <w:rFonts w:eastAsia="Calibri"/>
          <w:rtl/>
        </w:rPr>
        <w:t>ו</w:t>
      </w:r>
      <w:r w:rsidRPr="003B5D33">
        <w:rPr>
          <w:rFonts w:eastAsia="Calibri" w:hint="cs"/>
          <w:rtl/>
        </w:rPr>
        <w:t>לטפל</w:t>
      </w:r>
      <w:r w:rsidRPr="003B5D33">
        <w:rPr>
          <w:rFonts w:eastAsia="Calibri"/>
          <w:rtl/>
        </w:rPr>
        <w:t xml:space="preserve"> בהפחתתם</w:t>
      </w:r>
      <w:r w:rsidRPr="003B5D33">
        <w:rPr>
          <w:rFonts w:eastAsia="Calibri" w:hint="cs"/>
          <w:rtl/>
        </w:rPr>
        <w:t xml:space="preserve"> לכל </w:t>
      </w:r>
      <w:r w:rsidRPr="003B5D33">
        <w:rPr>
          <w:rFonts w:eastAsia="Calibri"/>
          <w:rtl/>
        </w:rPr>
        <w:t>אורך מחזור החיים של הפרויקט.</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לפי </w:t>
      </w:r>
      <w:r w:rsidRPr="003B5D33">
        <w:rPr>
          <w:rFonts w:eastAsia="Calibri"/>
          <w:rtl/>
        </w:rPr>
        <w:t>ה</w:t>
      </w:r>
      <w:r w:rsidRPr="003B5D33">
        <w:rPr>
          <w:rFonts w:eastAsia="Calibri" w:hint="cs"/>
          <w:rtl/>
        </w:rPr>
        <w:t>נחיות מערך הדיגיטל הלאומי</w:t>
      </w:r>
      <w:r w:rsidRPr="003B5D33">
        <w:rPr>
          <w:rFonts w:eastAsia="Calibri"/>
          <w:rtl/>
        </w:rPr>
        <w:t xml:space="preserve">, ניהול סיכונים </w:t>
      </w:r>
      <w:r w:rsidRPr="003B5D33">
        <w:rPr>
          <w:rFonts w:eastAsia="Calibri" w:hint="cs"/>
          <w:rtl/>
        </w:rPr>
        <w:t xml:space="preserve">הוא </w:t>
      </w:r>
      <w:r w:rsidRPr="003B5D33">
        <w:rPr>
          <w:rFonts w:eastAsia="Calibri"/>
          <w:rtl/>
        </w:rPr>
        <w:t xml:space="preserve">מרכיב </w:t>
      </w:r>
      <w:r w:rsidRPr="003B5D33">
        <w:rPr>
          <w:rFonts w:eastAsia="Calibri" w:hint="cs"/>
          <w:rtl/>
        </w:rPr>
        <w:t xml:space="preserve">הכרחי </w:t>
      </w:r>
      <w:r w:rsidRPr="003B5D33">
        <w:rPr>
          <w:rFonts w:eastAsia="Calibri"/>
          <w:rtl/>
        </w:rPr>
        <w:t xml:space="preserve">בניהול </w:t>
      </w:r>
      <w:r w:rsidRPr="003B5D33">
        <w:rPr>
          <w:rFonts w:eastAsia="Calibri" w:hint="cs"/>
          <w:rtl/>
        </w:rPr>
        <w:t>ה</w:t>
      </w:r>
      <w:r w:rsidRPr="003B5D33">
        <w:rPr>
          <w:rFonts w:eastAsia="Calibri"/>
          <w:rtl/>
        </w:rPr>
        <w:t>פרויקט</w:t>
      </w:r>
      <w:r w:rsidRPr="003B5D33">
        <w:rPr>
          <w:rFonts w:eastAsia="Calibri" w:hint="cs"/>
          <w:rtl/>
        </w:rPr>
        <w:t xml:space="preserve"> בשלביו השונים</w:t>
      </w:r>
      <w:r>
        <w:rPr>
          <w:rFonts w:eastAsia="Calibri"/>
          <w:vertAlign w:val="superscript"/>
          <w:rtl/>
        </w:rPr>
        <w:footnoteReference w:id="38"/>
      </w:r>
      <w:r w:rsidRPr="003B5D33">
        <w:rPr>
          <w:rFonts w:eastAsia="Calibri" w:hint="cs"/>
          <w:rtl/>
        </w:rPr>
        <w:t>. החל מהגדרת מטרת פרויקט: "</w:t>
      </w:r>
      <w:r w:rsidRPr="003B5D33">
        <w:rPr>
          <w:rFonts w:eastAsia="Calibri"/>
          <w:rtl/>
        </w:rPr>
        <w:t>להביא ללקוח ערך מקסימלי, תוך אופטימיזציה של משאבים (כ</w:t>
      </w:r>
      <w:r w:rsidRPr="003B5D33">
        <w:rPr>
          <w:rFonts w:eastAsia="Calibri" w:hint="cs"/>
          <w:rtl/>
        </w:rPr>
        <w:t>וח אדם</w:t>
      </w:r>
      <w:r w:rsidRPr="003B5D33">
        <w:rPr>
          <w:rFonts w:eastAsia="Calibri"/>
          <w:rtl/>
        </w:rPr>
        <w:t xml:space="preserve"> וכסף) וסיכונים"</w:t>
      </w:r>
      <w:r>
        <w:rPr>
          <w:rFonts w:eastAsia="Calibri"/>
          <w:vertAlign w:val="superscript"/>
          <w:rtl/>
        </w:rPr>
        <w:footnoteReference w:id="39"/>
      </w:r>
      <w:r w:rsidRPr="003B5D33">
        <w:rPr>
          <w:rFonts w:eastAsia="Calibri" w:hint="cs"/>
          <w:rtl/>
        </w:rPr>
        <w:t>, המשך בשלב הייזום, בהכנת רשימת סיכונים</w:t>
      </w:r>
      <w:r>
        <w:rPr>
          <w:rFonts w:eastAsia="Calibri"/>
          <w:vertAlign w:val="superscript"/>
          <w:rtl/>
        </w:rPr>
        <w:footnoteReference w:id="40"/>
      </w:r>
      <w:r w:rsidRPr="003B5D33">
        <w:rPr>
          <w:rFonts w:eastAsia="Calibri" w:hint="cs"/>
          <w:rtl/>
        </w:rPr>
        <w:t xml:space="preserve"> ובעריכת ניתוח סיכונים ראשוני לפרויקט</w:t>
      </w:r>
      <w:r>
        <w:rPr>
          <w:rFonts w:eastAsia="Calibri"/>
          <w:vertAlign w:val="superscript"/>
          <w:rtl/>
        </w:rPr>
        <w:footnoteReference w:id="41"/>
      </w:r>
      <w:r w:rsidRPr="003B5D33">
        <w:rPr>
          <w:rFonts w:eastAsia="Calibri" w:hint="cs"/>
          <w:rtl/>
        </w:rPr>
        <w:t xml:space="preserve">, עבור בהצגת </w:t>
      </w:r>
      <w:r w:rsidRPr="003B5D33">
        <w:rPr>
          <w:rFonts w:eastAsia="Calibri"/>
          <w:rtl/>
        </w:rPr>
        <w:t>ניהול סיכונים מעודכן</w:t>
      </w:r>
      <w:r w:rsidRPr="003B5D33">
        <w:rPr>
          <w:rFonts w:eastAsia="Calibri" w:hint="cs"/>
          <w:rtl/>
        </w:rPr>
        <w:t xml:space="preserve"> לחברי ועדת ההיגוי בכל שלבי הפרויקט</w:t>
      </w:r>
      <w:r>
        <w:rPr>
          <w:rFonts w:eastAsia="Calibri"/>
          <w:vertAlign w:val="superscript"/>
          <w:rtl/>
        </w:rPr>
        <w:footnoteReference w:id="42"/>
      </w:r>
      <w:r w:rsidRPr="003B5D33">
        <w:rPr>
          <w:rFonts w:eastAsia="Calibri"/>
          <w:rtl/>
        </w:rPr>
        <w:t>,</w:t>
      </w:r>
      <w:r w:rsidRPr="003B5D33">
        <w:rPr>
          <w:rFonts w:eastAsia="Calibri" w:hint="cs"/>
          <w:rtl/>
        </w:rPr>
        <w:t xml:space="preserve"> ועד חובת ביצוע תוכנית הפחתת סיכוני תפעול ותחזוקת המערכת טרם עלייה לאוויר</w:t>
      </w:r>
      <w:r>
        <w:rPr>
          <w:rFonts w:eastAsia="Calibri"/>
          <w:vertAlign w:val="superscript"/>
          <w:rtl/>
        </w:rPr>
        <w:footnoteReference w:id="43"/>
      </w:r>
      <w:r w:rsidRPr="003B5D33">
        <w:rPr>
          <w:rFonts w:eastAsia="Calibri" w:hint="cs"/>
          <w:rtl/>
        </w:rPr>
        <w:t>.</w:t>
      </w:r>
    </w:p>
    <w:p w:rsidR="003B5D33" w:rsidRPr="003B5D33" w:rsidP="003B5D33">
      <w:pPr>
        <w:spacing w:line="269" w:lineRule="auto"/>
        <w:rPr>
          <w:rFonts w:eastAsia="Calibri"/>
          <w:szCs w:val="20"/>
          <w:rtl/>
        </w:rPr>
      </w:pPr>
    </w:p>
    <w:p w:rsidR="003B5D33" w:rsidRPr="003B5D33" w:rsidP="003B5D33">
      <w:pPr>
        <w:spacing w:line="269" w:lineRule="auto"/>
        <w:rPr>
          <w:rFonts w:eastAsia="Calibri"/>
          <w:rtl/>
        </w:rPr>
      </w:pPr>
      <w:r w:rsidRPr="003B5D33">
        <w:rPr>
          <w:rFonts w:eastAsia="Calibri" w:hint="cs"/>
          <w:rtl/>
        </w:rPr>
        <w:t>בהתאם, גם בנוהל משרד החוץ שעניינו "</w:t>
      </w:r>
      <w:r w:rsidRPr="003B5D33">
        <w:rPr>
          <w:rFonts w:eastAsia="Calibri"/>
          <w:rtl/>
        </w:rPr>
        <w:t>ניהול פרויקט פיתוח מערכת מידע</w:t>
      </w:r>
      <w:r w:rsidRPr="003B5D33">
        <w:rPr>
          <w:rFonts w:eastAsia="Calibri" w:hint="cs"/>
          <w:rtl/>
        </w:rPr>
        <w:t xml:space="preserve">" נקבעה חובה לבצע </w:t>
      </w:r>
      <w:r w:rsidRPr="003B5D33">
        <w:rPr>
          <w:rFonts w:eastAsia="Calibri"/>
          <w:rtl/>
        </w:rPr>
        <w:t>ניתוח סיכונים בפרויקט ו</w:t>
      </w:r>
      <w:r w:rsidRPr="003B5D33">
        <w:rPr>
          <w:rFonts w:eastAsia="Calibri" w:hint="cs"/>
          <w:rtl/>
        </w:rPr>
        <w:t xml:space="preserve">לגבש </w:t>
      </w:r>
      <w:r w:rsidRPr="003B5D33">
        <w:rPr>
          <w:rFonts w:eastAsia="Calibri"/>
          <w:rtl/>
        </w:rPr>
        <w:t>תוכנית</w:t>
      </w:r>
      <w:r w:rsidRPr="003B5D33">
        <w:rPr>
          <w:rFonts w:eastAsia="Calibri" w:hint="cs"/>
          <w:rtl/>
        </w:rPr>
        <w:t xml:space="preserve"> הפחתה מפורטת ל</w:t>
      </w:r>
      <w:r w:rsidRPr="003B5D33">
        <w:rPr>
          <w:rFonts w:eastAsia="Calibri"/>
          <w:rtl/>
        </w:rPr>
        <w:t xml:space="preserve">התמודדות עם </w:t>
      </w:r>
      <w:r w:rsidRPr="003B5D33">
        <w:rPr>
          <w:rFonts w:eastAsia="Calibri" w:hint="cs"/>
          <w:rtl/>
        </w:rPr>
        <w:t>ה</w:t>
      </w:r>
      <w:r w:rsidRPr="003B5D33">
        <w:rPr>
          <w:rFonts w:eastAsia="Calibri"/>
          <w:rtl/>
        </w:rPr>
        <w:t>סיכונים</w:t>
      </w:r>
      <w:r>
        <w:rPr>
          <w:rFonts w:eastAsia="Calibri"/>
          <w:vertAlign w:val="superscript"/>
          <w:rtl/>
        </w:rPr>
        <w:footnoteReference w:id="44"/>
      </w:r>
      <w:r w:rsidRPr="003B5D33">
        <w:rPr>
          <w:rFonts w:eastAsia="Calibri" w:hint="cs"/>
          <w:rtl/>
        </w:rPr>
        <w:t>. בנוהל נוסף העוסק ב"</w:t>
      </w:r>
      <w:r w:rsidRPr="003B5D33">
        <w:rPr>
          <w:rFonts w:eastAsia="Calibri"/>
          <w:rtl/>
        </w:rPr>
        <w:t>עלי</w:t>
      </w:r>
      <w:r w:rsidRPr="003B5D33">
        <w:rPr>
          <w:rFonts w:eastAsia="Calibri" w:hint="cs"/>
          <w:rtl/>
        </w:rPr>
        <w:t>י</w:t>
      </w:r>
      <w:r w:rsidRPr="003B5D33">
        <w:rPr>
          <w:rFonts w:eastAsia="Calibri"/>
          <w:rtl/>
        </w:rPr>
        <w:t>ה לאוויר מערכת מידע</w:t>
      </w:r>
      <w:r w:rsidRPr="003B5D33">
        <w:rPr>
          <w:rFonts w:eastAsia="Calibri" w:hint="cs"/>
          <w:rtl/>
        </w:rPr>
        <w:t>" של המשרד נקבעה חובת תיעוד ביצוע "בקרת סגירת או צמצום סיכונים" כתנאי להתקנה של מערכת</w:t>
      </w:r>
      <w:r>
        <w:rPr>
          <w:rFonts w:eastAsia="Calibri"/>
          <w:vertAlign w:val="superscript"/>
          <w:rtl/>
        </w:rPr>
        <w:footnoteReference w:id="45"/>
      </w:r>
      <w:r w:rsidRPr="003B5D33">
        <w:rPr>
          <w:rFonts w:eastAsia="Calibri" w:hint="cs"/>
          <w:rtl/>
        </w:rPr>
        <w:t>.</w:t>
      </w:r>
      <w:r w:rsidRPr="003B5D33">
        <w:rPr>
          <w:rFonts w:eastAsia="Calibri"/>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בפברואר 2025 מסר משרד החוץ כי עד כה לא היה - ועדיין אין - ניהול סיכונים בפרויקטים. עוד מסר המשרד כי לאחרונה</w:t>
      </w:r>
      <w:r w:rsidRPr="003B5D33">
        <w:rPr>
          <w:rFonts w:eastAsia="Calibri"/>
          <w:rtl/>
        </w:rPr>
        <w:t xml:space="preserve"> מונה </w:t>
      </w:r>
      <w:r w:rsidRPr="003B5D33">
        <w:rPr>
          <w:rFonts w:eastAsia="Calibri" w:hint="cs"/>
          <w:rtl/>
        </w:rPr>
        <w:t xml:space="preserve">באגף </w:t>
      </w:r>
      <w:r w:rsidRPr="003B5D33">
        <w:rPr>
          <w:rFonts w:eastAsia="Calibri"/>
          <w:rtl/>
        </w:rPr>
        <w:t>מנהל סיכוני</w:t>
      </w:r>
      <w:r w:rsidRPr="003B5D33">
        <w:rPr>
          <w:rFonts w:eastAsia="Calibri" w:hint="cs"/>
          <w:rtl/>
        </w:rPr>
        <w:t xml:space="preserve"> תקשוב, וכי הכוונה היא להתחיל ליישם בשנה זו </w:t>
      </w:r>
      <w:r w:rsidRPr="003B5D33">
        <w:rPr>
          <w:rFonts w:eastAsia="Calibri"/>
          <w:rtl/>
        </w:rPr>
        <w:t>תהליך של ניהול סיכונים</w:t>
      </w:r>
      <w:r w:rsidRPr="003B5D33">
        <w:rPr>
          <w:rFonts w:eastAsia="Calibri" w:hint="cs"/>
          <w:rtl/>
        </w:rPr>
        <w:t xml:space="preserve"> ב</w:t>
      </w:r>
      <w:r w:rsidRPr="003B5D33">
        <w:rPr>
          <w:rFonts w:eastAsia="Calibri"/>
          <w:rtl/>
        </w:rPr>
        <w:t>פרויקטים</w:t>
      </w:r>
      <w:r w:rsidRPr="003B5D33">
        <w:rPr>
          <w:rFonts w:eastAsia="Calibri" w:hint="cs"/>
          <w:rtl/>
        </w:rPr>
        <w:t xml:space="preserve"> שיוגדרו בתיעדוף גבוה</w:t>
      </w:r>
      <w:r w:rsidRPr="003B5D33">
        <w:rPr>
          <w:rFonts w:eastAsia="Calibri"/>
          <w:rtl/>
        </w:rPr>
        <w:t>, ובהמשך להרחיב</w:t>
      </w:r>
      <w:r w:rsidRPr="003B5D33">
        <w:rPr>
          <w:rFonts w:eastAsia="Calibri" w:hint="cs"/>
          <w:rtl/>
        </w:rPr>
        <w:t xml:space="preserve"> את ניהול הסיכונים לפרויקטים נוספים. </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hint="cs"/>
          <w:b/>
          <w:bCs/>
          <w:rtl/>
        </w:rPr>
        <w:t xml:space="preserve">הביקורת </w:t>
      </w:r>
      <w:r w:rsidRPr="003B5D33">
        <w:rPr>
          <w:rFonts w:eastAsia="Calibri"/>
          <w:b/>
          <w:bCs/>
          <w:rtl/>
        </w:rPr>
        <w:t xml:space="preserve">העלתה כי </w:t>
      </w:r>
      <w:r w:rsidRPr="003B5D33">
        <w:rPr>
          <w:rFonts w:eastAsia="Calibri" w:hint="cs"/>
          <w:b/>
          <w:bCs/>
          <w:rtl/>
        </w:rPr>
        <w:t>בניגוד לנדרש בהנחיות מערך הדיגיטל ובנהלי המשרד לפיהן</w:t>
      </w:r>
      <w:r w:rsidRPr="003B5D33">
        <w:rPr>
          <w:rFonts w:eastAsia="Calibri"/>
          <w:rtl/>
        </w:rPr>
        <w:t xml:space="preserve"> </w:t>
      </w:r>
      <w:r w:rsidRPr="003B5D33">
        <w:rPr>
          <w:rFonts w:eastAsia="Calibri"/>
          <w:b/>
          <w:bCs/>
          <w:rtl/>
        </w:rPr>
        <w:t>ניהול סיכונים הוא מרכיב הכרחי בניהול הפרויקט בשלביו השונים</w:t>
      </w:r>
      <w:r w:rsidRPr="003B5D33">
        <w:rPr>
          <w:rFonts w:eastAsia="Calibri" w:hint="cs"/>
          <w:b/>
          <w:bCs/>
          <w:rtl/>
        </w:rPr>
        <w:t xml:space="preserve">, משרד החוץ אינו מקיים תהליכים של ניהול סיכונים בפרויקטים לכל אורך מחזור חיי הפרויקט. זאת, אף על פי שמדובר בפרויקטים משמעותיים, שמטבעם בעלי </w:t>
      </w:r>
      <w:r w:rsidRPr="003B5D33">
        <w:rPr>
          <w:rFonts w:eastAsia="Calibri"/>
          <w:b/>
          <w:bCs/>
          <w:rtl/>
        </w:rPr>
        <w:t xml:space="preserve">סיכונים טכנולוגיים, פיננסיים ותפעוליים </w:t>
      </w:r>
      <w:r w:rsidRPr="003B5D33">
        <w:rPr>
          <w:rFonts w:eastAsia="Calibri" w:hint="cs"/>
          <w:b/>
          <w:bCs/>
          <w:rtl/>
        </w:rPr>
        <w:t xml:space="preserve">למשרד החוץ. יצוין כי </w:t>
      </w:r>
      <w:r w:rsidRPr="003B5D33">
        <w:rPr>
          <w:rFonts w:eastAsia="Calibri" w:hint="cs"/>
          <w:b/>
          <w:bCs/>
          <w:rtl/>
        </w:rPr>
        <w:t xml:space="preserve">גם בסקר הסיכונים שביצע המשרד עלה כי </w:t>
      </w:r>
      <w:r w:rsidRPr="003B5D33">
        <w:rPr>
          <w:rFonts w:eastAsia="Calibri"/>
          <w:b/>
          <w:bCs/>
          <w:rtl/>
        </w:rPr>
        <w:t>לא בכל הפרויקטים מבוצעת הערכת סיכונים ב</w:t>
      </w:r>
      <w:r w:rsidRPr="003B5D33">
        <w:rPr>
          <w:rFonts w:eastAsia="Calibri" w:hint="cs"/>
          <w:b/>
          <w:bCs/>
          <w:rtl/>
        </w:rPr>
        <w:t>תחילת הפרויקט, וכן לא מיושמת</w:t>
      </w:r>
      <w:r w:rsidRPr="003B5D33">
        <w:rPr>
          <w:rFonts w:eastAsia="Calibri"/>
          <w:b/>
          <w:bCs/>
          <w:rtl/>
        </w:rPr>
        <w:t xml:space="preserve"> מתודולוגיה לניהול סיכוני פרויקט</w:t>
      </w:r>
      <w:r w:rsidRPr="003B5D33">
        <w:rPr>
          <w:rFonts w:eastAsia="Calibri" w:hint="cs"/>
          <w:b/>
          <w:bCs/>
          <w:rtl/>
        </w:rPr>
        <w:t>. בהיעדר ניהול סיכונים</w:t>
      </w:r>
      <w:r w:rsidRPr="003B5D33">
        <w:rPr>
          <w:rFonts w:eastAsia="Calibri"/>
          <w:b/>
          <w:bCs/>
          <w:rtl/>
        </w:rPr>
        <w:t xml:space="preserve">, </w:t>
      </w:r>
      <w:r w:rsidRPr="003B5D33">
        <w:rPr>
          <w:rFonts w:eastAsia="Calibri" w:hint="cs"/>
          <w:b/>
          <w:bCs/>
          <w:rtl/>
        </w:rPr>
        <w:t xml:space="preserve">גדל הסיכון </w:t>
      </w:r>
      <w:r w:rsidRPr="003B5D33">
        <w:rPr>
          <w:rFonts w:eastAsia="Calibri"/>
          <w:b/>
          <w:bCs/>
          <w:rtl/>
        </w:rPr>
        <w:t>לאי-עמידה ב</w:t>
      </w:r>
      <w:r w:rsidRPr="003B5D33">
        <w:rPr>
          <w:rFonts w:eastAsia="Calibri" w:hint="cs"/>
          <w:b/>
          <w:bCs/>
          <w:rtl/>
        </w:rPr>
        <w:t>לוחות הזמנים שהוגדרו לפרויקט, לחריגה בתקציב, לפגיעה ב</w:t>
      </w:r>
      <w:r w:rsidRPr="003B5D33">
        <w:rPr>
          <w:rFonts w:eastAsia="Calibri"/>
          <w:b/>
          <w:bCs/>
          <w:rtl/>
        </w:rPr>
        <w:t>איכות תוצרי</w:t>
      </w:r>
      <w:r w:rsidRPr="003B5D33">
        <w:rPr>
          <w:rFonts w:eastAsia="Calibri" w:hint="cs"/>
          <w:b/>
          <w:bCs/>
          <w:rtl/>
        </w:rPr>
        <w:t xml:space="preserve">ם, </w:t>
      </w:r>
      <w:r w:rsidRPr="003B5D33">
        <w:rPr>
          <w:rFonts w:eastAsia="Calibri"/>
          <w:b/>
          <w:bCs/>
          <w:rtl/>
        </w:rPr>
        <w:t>לכ</w:t>
      </w:r>
      <w:r w:rsidRPr="003B5D33">
        <w:rPr>
          <w:rFonts w:eastAsia="Calibri" w:hint="cs"/>
          <w:b/>
          <w:bCs/>
          <w:rtl/>
        </w:rPr>
        <w:t>י</w:t>
      </w:r>
      <w:r w:rsidRPr="003B5D33">
        <w:rPr>
          <w:rFonts w:eastAsia="Calibri"/>
          <w:b/>
          <w:bCs/>
          <w:rtl/>
        </w:rPr>
        <w:t>שלון פרויקטים</w:t>
      </w:r>
      <w:r w:rsidRPr="003B5D33">
        <w:rPr>
          <w:rFonts w:eastAsia="Calibri" w:hint="cs"/>
          <w:b/>
          <w:bCs/>
          <w:rtl/>
        </w:rPr>
        <w:t xml:space="preserve"> ול</w:t>
      </w:r>
      <w:r w:rsidRPr="003B5D33">
        <w:rPr>
          <w:rFonts w:eastAsia="Calibri"/>
          <w:b/>
          <w:bCs/>
          <w:rtl/>
        </w:rPr>
        <w:t xml:space="preserve">פגיעה </w:t>
      </w:r>
      <w:r w:rsidRPr="003B5D33">
        <w:rPr>
          <w:rFonts w:eastAsia="Calibri" w:hint="cs"/>
          <w:b/>
          <w:bCs/>
          <w:rtl/>
        </w:rPr>
        <w:t>במתן שירות לציבור ובתפקוד יחידות שונות במשרד החוץ</w:t>
      </w:r>
      <w:r w:rsidRPr="003B5D33">
        <w:rPr>
          <w:rFonts w:eastAsia="Calibri"/>
          <w:b/>
          <w:bCs/>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על </w:t>
      </w:r>
      <w:r w:rsidRPr="003B5D33">
        <w:rPr>
          <w:rFonts w:eastAsia="Calibri"/>
          <w:b/>
          <w:bCs/>
          <w:rtl/>
        </w:rPr>
        <w:t xml:space="preserve">משרד </w:t>
      </w:r>
      <w:r w:rsidRPr="003B5D33">
        <w:rPr>
          <w:rFonts w:eastAsia="Calibri" w:hint="cs"/>
          <w:b/>
          <w:bCs/>
          <w:rtl/>
        </w:rPr>
        <w:t xml:space="preserve">החוץ </w:t>
      </w:r>
      <w:r w:rsidRPr="003B5D33">
        <w:rPr>
          <w:rFonts w:eastAsia="Calibri"/>
          <w:b/>
          <w:bCs/>
          <w:rtl/>
        </w:rPr>
        <w:t xml:space="preserve">לפתח מדיניות מקיפה </w:t>
      </w:r>
      <w:r w:rsidRPr="003B5D33">
        <w:rPr>
          <w:rFonts w:eastAsia="Calibri" w:hint="cs"/>
          <w:b/>
          <w:bCs/>
          <w:rtl/>
        </w:rPr>
        <w:t xml:space="preserve">ומפורטת </w:t>
      </w:r>
      <w:r w:rsidRPr="003B5D33">
        <w:rPr>
          <w:rFonts w:eastAsia="Calibri"/>
          <w:b/>
          <w:bCs/>
          <w:rtl/>
        </w:rPr>
        <w:t>לניהול סיכוני</w:t>
      </w:r>
      <w:r w:rsidRPr="003B5D33">
        <w:rPr>
          <w:rFonts w:eastAsia="Calibri" w:hint="cs"/>
          <w:b/>
          <w:bCs/>
          <w:rtl/>
        </w:rPr>
        <w:t xml:space="preserve"> התקשוב בפרויקטים, </w:t>
      </w:r>
      <w:r w:rsidRPr="003B5D33">
        <w:rPr>
          <w:rFonts w:eastAsia="Calibri"/>
          <w:b/>
          <w:bCs/>
          <w:rtl/>
        </w:rPr>
        <w:t>תוך שימוש במתודולוגי</w:t>
      </w:r>
      <w:r w:rsidRPr="003B5D33">
        <w:rPr>
          <w:rFonts w:eastAsia="Calibri" w:hint="cs"/>
          <w:b/>
          <w:bCs/>
          <w:rtl/>
        </w:rPr>
        <w:t xml:space="preserve">ה סדורה ובהלימה עם הנחיות מערך הדיגיטל. במסגרת זו </w:t>
      </w:r>
      <w:r w:rsidRPr="003B5D33">
        <w:rPr>
          <w:rFonts w:eastAsia="Calibri"/>
          <w:b/>
          <w:bCs/>
          <w:rtl/>
        </w:rPr>
        <w:t>יש להקים מנגנון זיהוי והערכה של סיכונים בכל שלב</w:t>
      </w:r>
      <w:r w:rsidRPr="003B5D33">
        <w:rPr>
          <w:rFonts w:eastAsia="Calibri" w:hint="cs"/>
          <w:b/>
          <w:bCs/>
          <w:rtl/>
        </w:rPr>
        <w:t>י</w:t>
      </w:r>
      <w:r w:rsidRPr="003B5D33">
        <w:rPr>
          <w:rFonts w:eastAsia="Calibri"/>
          <w:b/>
          <w:bCs/>
          <w:rtl/>
        </w:rPr>
        <w:t xml:space="preserve"> </w:t>
      </w:r>
      <w:r w:rsidRPr="003B5D33">
        <w:rPr>
          <w:rFonts w:eastAsia="Calibri" w:hint="cs"/>
          <w:b/>
          <w:bCs/>
          <w:rtl/>
        </w:rPr>
        <w:t>ה</w:t>
      </w:r>
      <w:r w:rsidRPr="003B5D33">
        <w:rPr>
          <w:rFonts w:eastAsia="Calibri"/>
          <w:b/>
          <w:bCs/>
          <w:rtl/>
        </w:rPr>
        <w:t xml:space="preserve">פרויקט, לתעד את הסיכונים ולגבש תוכנית פעולה מותאמת להתמודדות עם כל סיכון. </w:t>
      </w:r>
      <w:r w:rsidRPr="003B5D33">
        <w:rPr>
          <w:rFonts w:eastAsia="Calibri" w:hint="cs"/>
          <w:b/>
          <w:bCs/>
          <w:rtl/>
        </w:rPr>
        <w:t>עוד</w:t>
      </w:r>
      <w:r w:rsidRPr="003B5D33">
        <w:rPr>
          <w:rFonts w:eastAsia="Calibri"/>
          <w:b/>
          <w:bCs/>
          <w:rtl/>
        </w:rPr>
        <w:t xml:space="preserve"> </w:t>
      </w:r>
      <w:r w:rsidRPr="003B5D33">
        <w:rPr>
          <w:rFonts w:eastAsia="Calibri" w:hint="cs"/>
          <w:b/>
          <w:bCs/>
          <w:rtl/>
        </w:rPr>
        <w:t xml:space="preserve">מומלץ </w:t>
      </w:r>
      <w:r w:rsidRPr="003B5D33">
        <w:rPr>
          <w:rFonts w:eastAsia="Calibri"/>
          <w:b/>
          <w:bCs/>
          <w:rtl/>
        </w:rPr>
        <w:t xml:space="preserve">להכשיר את מנהלי הפרויקטים בתחום זה ולהקצות משאבים לצורך פיתוח כלים וטכנולוגיות שיסייעו בניהול סיכונים </w:t>
      </w:r>
      <w:r w:rsidRPr="003B5D33">
        <w:rPr>
          <w:rFonts w:eastAsia="Calibri" w:hint="cs"/>
          <w:b/>
          <w:bCs/>
          <w:rtl/>
        </w:rPr>
        <w:t xml:space="preserve">מיטבי. </w:t>
      </w:r>
    </w:p>
    <w:p w:rsidR="003B5D33" w:rsidRPr="003B5D33" w:rsidP="003B5D33">
      <w:pPr>
        <w:spacing w:line="269" w:lineRule="auto"/>
        <w:rPr>
          <w:rFonts w:eastAsia="Calibri"/>
          <w:b/>
          <w:bCs/>
          <w:rtl/>
        </w:rPr>
      </w:pPr>
    </w:p>
    <w:p w:rsidR="003B5D33" w:rsidRPr="003B5D33" w:rsidP="003B5D33">
      <w:pPr>
        <w:keepNext/>
        <w:keepLines/>
        <w:spacing w:line="269" w:lineRule="auto"/>
        <w:outlineLvl w:val="3"/>
        <w:rPr>
          <w:rFonts w:eastAsia="Times New Roman"/>
          <w:bCs/>
          <w:szCs w:val="26"/>
          <w:rtl/>
        </w:rPr>
      </w:pPr>
      <w:r w:rsidRPr="003B5D33">
        <w:rPr>
          <w:rFonts w:eastAsia="Times New Roman"/>
          <w:bCs/>
          <w:szCs w:val="26"/>
          <w:rtl/>
        </w:rPr>
        <w:t>תחקירים והפקת לקחים</w:t>
      </w:r>
      <w:r w:rsidRPr="003B5D33">
        <w:rPr>
          <w:rFonts w:eastAsia="Times New Roman" w:hint="cs"/>
          <w:bCs/>
          <w:szCs w:val="26"/>
          <w:rtl/>
        </w:rPr>
        <w:t xml:space="preserve"> בפרויקטים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תהליכי תחקור והפקת לקחים בפרויקטים של מערכות מידע חיוניים להפקת תובנות וללמידה מטעויות והימנעות מחזרה עליהן, לזיהוי סיכונים פוטנציאליים, להגברת היעילות בפרויקטים עתידיים ולשיפור מתמיד בעבודת הארגון. </w:t>
      </w:r>
    </w:p>
    <w:p w:rsidR="003B5D33" w:rsidRPr="003B5D33" w:rsidP="003B5D33">
      <w:pPr>
        <w:spacing w:line="269" w:lineRule="auto"/>
        <w:rPr>
          <w:rFonts w:eastAsia="Calibri"/>
          <w:rtl/>
        </w:rPr>
      </w:pPr>
    </w:p>
    <w:p w:rsidR="003B5D33" w:rsidRPr="003B5D33" w:rsidP="003B5D33">
      <w:pPr>
        <w:spacing w:line="269" w:lineRule="auto"/>
        <w:rPr>
          <w:rFonts w:eastAsia="Calibri"/>
        </w:rPr>
      </w:pPr>
      <w:r w:rsidRPr="003B5D33">
        <w:rPr>
          <w:rFonts w:eastAsia="Calibri"/>
          <w:rtl/>
        </w:rPr>
        <w:t xml:space="preserve">הנחיות מערך הדיגיטל הלאומי דורשות </w:t>
      </w:r>
      <w:r w:rsidRPr="003B5D33">
        <w:rPr>
          <w:rFonts w:eastAsia="Calibri" w:hint="cs"/>
          <w:rtl/>
        </w:rPr>
        <w:t xml:space="preserve">ביצוע </w:t>
      </w:r>
      <w:r w:rsidRPr="003B5D33">
        <w:rPr>
          <w:rFonts w:eastAsia="Calibri"/>
          <w:rtl/>
        </w:rPr>
        <w:t xml:space="preserve">תהליכי </w:t>
      </w:r>
      <w:r w:rsidRPr="003B5D33">
        <w:rPr>
          <w:rFonts w:eastAsia="Calibri" w:hint="cs"/>
          <w:rtl/>
        </w:rPr>
        <w:t>תחקור, הפקת לקחים והטמעתם</w:t>
      </w:r>
      <w:r>
        <w:rPr>
          <w:rFonts w:eastAsia="Calibri"/>
          <w:vertAlign w:val="superscript"/>
          <w:rtl/>
        </w:rPr>
        <w:footnoteReference w:id="46"/>
      </w:r>
      <w:r w:rsidRPr="003B5D33">
        <w:rPr>
          <w:rFonts w:eastAsia="Calibri" w:hint="cs"/>
          <w:rtl/>
        </w:rPr>
        <w:t xml:space="preserve"> כ</w:t>
      </w:r>
      <w:r w:rsidRPr="003B5D33">
        <w:rPr>
          <w:rFonts w:eastAsia="Calibri"/>
          <w:rtl/>
        </w:rPr>
        <w:t>למידה מבוסס</w:t>
      </w:r>
      <w:r w:rsidRPr="003B5D33">
        <w:rPr>
          <w:rFonts w:eastAsia="Calibri" w:hint="cs"/>
          <w:rtl/>
        </w:rPr>
        <w:t>ת</w:t>
      </w:r>
      <w:r w:rsidRPr="003B5D33">
        <w:rPr>
          <w:rFonts w:eastAsia="Calibri"/>
          <w:rtl/>
        </w:rPr>
        <w:t xml:space="preserve"> נתונים</w:t>
      </w:r>
      <w:r w:rsidRPr="003B5D33">
        <w:rPr>
          <w:rFonts w:eastAsia="Calibri" w:hint="cs"/>
          <w:rtl/>
        </w:rPr>
        <w:t>, וזאת</w:t>
      </w:r>
      <w:r w:rsidRPr="003B5D33">
        <w:rPr>
          <w:rFonts w:eastAsia="Calibri"/>
          <w:rtl/>
        </w:rPr>
        <w:t xml:space="preserve"> לשם שיפור רציף</w:t>
      </w:r>
      <w:r w:rsidRPr="003B5D33">
        <w:rPr>
          <w:rFonts w:eastAsia="Calibri" w:hint="cs"/>
          <w:rtl/>
        </w:rPr>
        <w:t xml:space="preserve"> ו</w:t>
      </w:r>
      <w:r w:rsidRPr="003B5D33">
        <w:rPr>
          <w:rFonts w:eastAsia="Calibri"/>
          <w:rtl/>
        </w:rPr>
        <w:t>מתמיד</w:t>
      </w:r>
      <w:r w:rsidRPr="003B5D33">
        <w:rPr>
          <w:rFonts w:eastAsia="Calibri" w:hint="cs"/>
          <w:rtl/>
        </w:rPr>
        <w:t xml:space="preserve"> ולצורך </w:t>
      </w:r>
      <w:r w:rsidRPr="003B5D33">
        <w:rPr>
          <w:rFonts w:eastAsia="Calibri"/>
          <w:rtl/>
        </w:rPr>
        <w:t>שחז</w:t>
      </w:r>
      <w:r w:rsidRPr="003B5D33">
        <w:rPr>
          <w:rFonts w:eastAsia="Calibri" w:hint="cs"/>
          <w:rtl/>
        </w:rPr>
        <w:t>ו</w:t>
      </w:r>
      <w:r w:rsidRPr="003B5D33">
        <w:rPr>
          <w:rFonts w:eastAsia="Calibri"/>
          <w:rtl/>
        </w:rPr>
        <w:t>ר הצלחות ומנ</w:t>
      </w:r>
      <w:r w:rsidRPr="003B5D33">
        <w:rPr>
          <w:rFonts w:eastAsia="Calibri" w:hint="cs"/>
          <w:rtl/>
        </w:rPr>
        <w:t xml:space="preserve">יעת </w:t>
      </w:r>
      <w:r w:rsidRPr="003B5D33">
        <w:rPr>
          <w:rFonts w:eastAsia="Calibri"/>
          <w:rtl/>
        </w:rPr>
        <w:t>כישלונות.</w:t>
      </w:r>
      <w:r w:rsidRPr="003B5D33">
        <w:rPr>
          <w:rFonts w:eastAsia="Calibri" w:hint="cs"/>
          <w:rtl/>
        </w:rPr>
        <w:t xml:space="preserve"> נקבע כי יש לקיים תחקירים </w:t>
      </w:r>
      <w:r w:rsidRPr="003B5D33">
        <w:rPr>
          <w:rFonts w:eastAsia="Calibri"/>
          <w:rtl/>
        </w:rPr>
        <w:t xml:space="preserve">כחלק משגרת </w:t>
      </w:r>
      <w:r w:rsidRPr="003B5D33">
        <w:rPr>
          <w:rFonts w:eastAsia="Calibri" w:hint="cs"/>
          <w:rtl/>
        </w:rPr>
        <w:t>ה</w:t>
      </w:r>
      <w:r w:rsidRPr="003B5D33">
        <w:rPr>
          <w:rFonts w:eastAsia="Calibri"/>
          <w:rtl/>
        </w:rPr>
        <w:t>עבודה</w:t>
      </w:r>
      <w:r w:rsidRPr="003B5D33">
        <w:rPr>
          <w:rFonts w:eastAsia="Calibri" w:hint="cs"/>
          <w:rtl/>
        </w:rPr>
        <w:t xml:space="preserve"> בכל פרויקט המוגדר כגדול</w:t>
      </w:r>
      <w:r>
        <w:rPr>
          <w:rFonts w:eastAsia="Calibri"/>
          <w:vertAlign w:val="superscript"/>
          <w:rtl/>
        </w:rPr>
        <w:footnoteReference w:id="47"/>
      </w:r>
      <w:r w:rsidRPr="003B5D33">
        <w:rPr>
          <w:rFonts w:eastAsia="Calibri" w:hint="cs"/>
          <w:rtl/>
        </w:rPr>
        <w:t>; שנרשמה בו חריגה של 25% ומעלה במדד עיקרי (</w:t>
      </w:r>
      <w:r w:rsidRPr="003B5D33">
        <w:rPr>
          <w:rFonts w:eastAsia="Calibri"/>
          <w:rtl/>
        </w:rPr>
        <w:t>לוח זמנים, תקציב</w:t>
      </w:r>
      <w:r w:rsidRPr="003B5D33">
        <w:rPr>
          <w:rFonts w:eastAsia="Calibri" w:hint="cs"/>
          <w:rtl/>
        </w:rPr>
        <w:t xml:space="preserve"> או </w:t>
      </w:r>
      <w:r w:rsidRPr="003B5D33">
        <w:rPr>
          <w:rFonts w:eastAsia="Calibri"/>
          <w:rtl/>
        </w:rPr>
        <w:t>תכולה</w:t>
      </w:r>
      <w:r w:rsidRPr="003B5D33">
        <w:rPr>
          <w:rFonts w:eastAsia="Calibri" w:hint="cs"/>
          <w:rtl/>
        </w:rPr>
        <w:t>); או שהתממש בו סיכון משמעותי. עוד נקבע כי יש לבצע תחקירים (שלא תוכננו מראש) במקרה של תקלה המשפיעה על רמת השירות או על נורמות האיכות. כמו כן, לשם השגת מטרות התחקור ניתן ומומלץ לבצע תחקירים גם במקרים נוספים כמצוין בהנחיות</w:t>
      </w:r>
      <w:r>
        <w:rPr>
          <w:rFonts w:eastAsia="Calibri"/>
          <w:vertAlign w:val="superscript"/>
          <w:rtl/>
        </w:rPr>
        <w:footnoteReference w:id="48"/>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בשנת 2019 ערך מערך הדיגיטל הלאומי בקרה בנוגע ליישום הנחיות רשות התקשוב במשרד החוץ, שמטרותיה היו לבחון אם קיימת מתודולוגיה אגפית סדורה, אם היא תואמת להנחיות מערך הדיגיטל ואם היא מוטמעת בפרויקטים ובאגף. בבקרה עלה בין היתר כי </w:t>
      </w:r>
      <w:r w:rsidRPr="003B5D33">
        <w:rPr>
          <w:rFonts w:eastAsia="Calibri"/>
          <w:rtl/>
        </w:rPr>
        <w:t>חסרים נהלים העוסקים בפעילויות רוחביות</w:t>
      </w:r>
      <w:r w:rsidRPr="003B5D33">
        <w:rPr>
          <w:rFonts w:eastAsia="Calibri" w:hint="cs"/>
          <w:rtl/>
        </w:rPr>
        <w:t>, ובהם כאלה הנוגעים ל</w:t>
      </w:r>
      <w:r w:rsidRPr="003B5D33">
        <w:rPr>
          <w:rFonts w:eastAsia="Calibri"/>
          <w:rtl/>
        </w:rPr>
        <w:t xml:space="preserve">ניהול </w:t>
      </w:r>
      <w:r w:rsidRPr="003B5D33">
        <w:rPr>
          <w:rFonts w:eastAsia="Calibri" w:hint="cs"/>
          <w:rtl/>
        </w:rPr>
        <w:t>לקחים, שבהיעדרם לא מתקיימת הטמעת הידע והלקחים בארגון; לא מבוצעים תחקירים בפרויקטים משמעותיים; ואף כשבוצע תחקיר הוא לא התבצע לפי המתודולוגיה הממשלתית. כך למשל לא צוין מי האחראי להטמעת הלקחים ולא הוסברה הסיבה לכשל. בבקרה נוספת שביצע מערך הדיגיטל בשנת 2020 על יישום הנחיותיו, מובאת התייחסות משרד החוץ, וממנה עולה כי גיבוש נוהל תחקור והפקת לקחים נמצא בתוכנית העבודה של אגף התקשוב.</w:t>
      </w:r>
      <w:r w:rsidRPr="003B5D33">
        <w:rPr>
          <w:rFonts w:eastAsia="Calibri"/>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בביקורת הועלה כי</w:t>
      </w:r>
      <w:r w:rsidRPr="003B5D33">
        <w:rPr>
          <w:rFonts w:eastAsia="Calibri"/>
          <w:b/>
          <w:bCs/>
          <w:rtl/>
        </w:rPr>
        <w:t xml:space="preserve"> </w:t>
      </w:r>
      <w:r w:rsidRPr="003B5D33">
        <w:rPr>
          <w:rFonts w:eastAsia="Calibri" w:hint="cs"/>
          <w:b/>
          <w:bCs/>
          <w:rtl/>
        </w:rPr>
        <w:t xml:space="preserve">בניגוד להנחיות מערך הדיגיטל לפיהן יש לבצע </w:t>
      </w:r>
      <w:r w:rsidRPr="003B5D33">
        <w:rPr>
          <w:rFonts w:eastAsia="Calibri"/>
          <w:b/>
          <w:bCs/>
          <w:rtl/>
        </w:rPr>
        <w:t>תהליכי תחקור</w:t>
      </w:r>
      <w:r w:rsidRPr="003B5D33">
        <w:rPr>
          <w:rFonts w:eastAsia="Calibri" w:hint="cs"/>
          <w:b/>
          <w:bCs/>
          <w:rtl/>
        </w:rPr>
        <w:t xml:space="preserve"> ו</w:t>
      </w:r>
      <w:r w:rsidRPr="003B5D33">
        <w:rPr>
          <w:rFonts w:eastAsia="Calibri"/>
          <w:b/>
          <w:bCs/>
          <w:rtl/>
        </w:rPr>
        <w:t>הפקת לקחים</w:t>
      </w:r>
      <w:r w:rsidRPr="003B5D33">
        <w:rPr>
          <w:rFonts w:eastAsia="Calibri"/>
          <w:rtl/>
        </w:rPr>
        <w:t xml:space="preserve"> </w:t>
      </w:r>
      <w:r w:rsidRPr="003B5D33">
        <w:rPr>
          <w:rFonts w:eastAsia="Calibri"/>
          <w:b/>
          <w:bCs/>
          <w:rtl/>
        </w:rPr>
        <w:t>לשם שיפור רציף ומתמיד ולצורך שחזור הצלחות ומניעת כישלונות</w:t>
      </w:r>
      <w:r w:rsidRPr="003B5D33">
        <w:rPr>
          <w:rFonts w:eastAsia="Calibri" w:hint="cs"/>
          <w:b/>
          <w:bCs/>
          <w:rtl/>
        </w:rPr>
        <w:t xml:space="preserve">, במשרד החוץ </w:t>
      </w:r>
      <w:r w:rsidRPr="003B5D33">
        <w:rPr>
          <w:rFonts w:eastAsia="Calibri"/>
          <w:b/>
          <w:bCs/>
          <w:rtl/>
        </w:rPr>
        <w:t xml:space="preserve">לא מתקיימים תהליכי תחקור והפקת לקחים </w:t>
      </w:r>
      <w:r w:rsidRPr="003B5D33">
        <w:rPr>
          <w:rFonts w:eastAsia="Calibri" w:hint="cs"/>
          <w:b/>
          <w:bCs/>
          <w:rtl/>
        </w:rPr>
        <w:t>לפרויקטים של פיתוח מערכות מידע</w:t>
      </w:r>
      <w:r w:rsidRPr="003B5D33">
        <w:rPr>
          <w:rFonts w:eastAsia="Calibri"/>
          <w:b/>
          <w:bCs/>
          <w:rtl/>
        </w:rPr>
        <w:t xml:space="preserve"> </w:t>
      </w:r>
      <w:r w:rsidRPr="003B5D33">
        <w:rPr>
          <w:rFonts w:eastAsia="Calibri" w:hint="cs"/>
          <w:b/>
          <w:bCs/>
          <w:rtl/>
        </w:rPr>
        <w:t>באופן שגרתי, שיטתי וסדור</w:t>
      </w:r>
      <w:r w:rsidRPr="003B5D33">
        <w:rPr>
          <w:rFonts w:eastAsia="Calibri"/>
          <w:b/>
          <w:bCs/>
          <w:rtl/>
        </w:rPr>
        <w:t xml:space="preserve">. </w:t>
      </w:r>
      <w:r w:rsidRPr="003B5D33">
        <w:rPr>
          <w:rFonts w:eastAsia="Calibri" w:hint="cs"/>
          <w:b/>
          <w:bCs/>
          <w:rtl/>
        </w:rPr>
        <w:t xml:space="preserve">כך למשל, אף כשפרויקט משמעותי שמטרתו ניהול העבודה הדיפלומטית, שתוכנן כמערכת מרכזית לתמיכה בתהליכי שגרה וחירום נכשל, והתקבלה ההחלטה להפסיקו אחרי השקעה של יותר ממיליון ש"ח (לא כולל עלויות כוח אדם), לא בוצע תחקיר שבחן את סיבות השורש שהביאו לכישלון ושעמד על הלקחים הנדרשים כדי שכישלון כזה לא יישנה.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עוד הועלה כי נכון למרץ 2025, לא גיבש המשרד נוהל לביצוע תהליכי תחקיר והפקת לקחים לפרויקטים. זאת אף שכבר בשנת 2019 ציין כאמור מערך הדיגיטל במסגרת בקרה שביצע כי נוהל זה חסר. </w:t>
      </w:r>
      <w:r w:rsidRPr="003B5D33">
        <w:rPr>
          <w:rFonts w:eastAsia="Calibri"/>
          <w:b/>
          <w:bCs/>
          <w:rtl/>
        </w:rPr>
        <w:t xml:space="preserve">היעדר מנגנון תחקיר והפקת לקחים יוצר פער </w:t>
      </w:r>
      <w:r w:rsidRPr="003B5D33">
        <w:rPr>
          <w:rFonts w:eastAsia="Calibri" w:hint="cs"/>
          <w:b/>
          <w:bCs/>
          <w:rtl/>
        </w:rPr>
        <w:t>של ממש</w:t>
      </w:r>
      <w:r w:rsidRPr="003B5D33">
        <w:rPr>
          <w:rFonts w:eastAsia="Calibri"/>
          <w:b/>
          <w:bCs/>
          <w:rtl/>
        </w:rPr>
        <w:t xml:space="preserve"> ביכולת משרד</w:t>
      </w:r>
      <w:r w:rsidRPr="003B5D33">
        <w:rPr>
          <w:rFonts w:eastAsia="Calibri" w:hint="cs"/>
          <w:b/>
          <w:bCs/>
          <w:rtl/>
        </w:rPr>
        <w:t xml:space="preserve"> החוץ</w:t>
      </w:r>
      <w:r w:rsidRPr="003B5D33">
        <w:rPr>
          <w:rFonts w:eastAsia="Calibri"/>
          <w:b/>
          <w:bCs/>
          <w:rtl/>
        </w:rPr>
        <w:t xml:space="preserve"> לזהות את </w:t>
      </w:r>
      <w:r w:rsidRPr="003B5D33">
        <w:rPr>
          <w:rFonts w:eastAsia="Calibri"/>
          <w:b/>
          <w:bCs/>
          <w:rtl/>
        </w:rPr>
        <w:t>סיבות השורש לתקלות ו</w:t>
      </w:r>
      <w:r w:rsidRPr="003B5D33">
        <w:rPr>
          <w:rFonts w:eastAsia="Calibri" w:hint="cs"/>
          <w:b/>
          <w:bCs/>
          <w:rtl/>
        </w:rPr>
        <w:t>ל</w:t>
      </w:r>
      <w:r w:rsidRPr="003B5D33">
        <w:rPr>
          <w:rFonts w:eastAsia="Calibri"/>
          <w:b/>
          <w:bCs/>
          <w:rtl/>
        </w:rPr>
        <w:t>כשלים</w:t>
      </w:r>
      <w:r w:rsidRPr="003B5D33">
        <w:rPr>
          <w:rFonts w:eastAsia="Calibri" w:hint="cs"/>
          <w:b/>
          <w:bCs/>
          <w:rtl/>
        </w:rPr>
        <w:t>,</w:t>
      </w:r>
      <w:r w:rsidRPr="003B5D33">
        <w:rPr>
          <w:rFonts w:eastAsia="Calibri"/>
          <w:b/>
          <w:bCs/>
          <w:rtl/>
        </w:rPr>
        <w:t xml:space="preserve"> ללמוד מטעויות </w:t>
      </w:r>
      <w:r w:rsidRPr="003B5D33">
        <w:rPr>
          <w:rFonts w:eastAsia="Calibri" w:hint="cs"/>
          <w:b/>
          <w:bCs/>
          <w:rtl/>
        </w:rPr>
        <w:t xml:space="preserve">ומהצלחות </w:t>
      </w:r>
      <w:r w:rsidRPr="003B5D33">
        <w:rPr>
          <w:rFonts w:eastAsia="Calibri"/>
          <w:b/>
          <w:bCs/>
          <w:rtl/>
        </w:rPr>
        <w:t>ולהטמיע שיפורים נדרשים בתהליכי ניהול הפרויקטים.</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hint="cs"/>
          <w:b/>
          <w:bCs/>
          <w:rtl/>
        </w:rPr>
        <w:t xml:space="preserve">על </w:t>
      </w:r>
      <w:r w:rsidRPr="003B5D33">
        <w:rPr>
          <w:rFonts w:eastAsia="Calibri"/>
          <w:b/>
          <w:bCs/>
          <w:rtl/>
        </w:rPr>
        <w:t>משרד</w:t>
      </w:r>
      <w:r w:rsidRPr="003B5D33">
        <w:rPr>
          <w:rFonts w:eastAsia="Calibri" w:hint="cs"/>
          <w:b/>
          <w:bCs/>
          <w:rtl/>
        </w:rPr>
        <w:t xml:space="preserve"> החוץ</w:t>
      </w:r>
      <w:r w:rsidRPr="003B5D33">
        <w:rPr>
          <w:rFonts w:eastAsia="Calibri"/>
          <w:b/>
          <w:bCs/>
          <w:rtl/>
        </w:rPr>
        <w:t xml:space="preserve"> </w:t>
      </w:r>
      <w:r w:rsidRPr="003B5D33">
        <w:rPr>
          <w:rFonts w:eastAsia="Calibri" w:hint="cs"/>
          <w:b/>
          <w:bCs/>
          <w:rtl/>
        </w:rPr>
        <w:t xml:space="preserve">לקבוע </w:t>
      </w:r>
      <w:r w:rsidRPr="003B5D33">
        <w:rPr>
          <w:rFonts w:eastAsia="Calibri"/>
          <w:b/>
          <w:bCs/>
          <w:rtl/>
        </w:rPr>
        <w:t xml:space="preserve">נוהל </w:t>
      </w:r>
      <w:r w:rsidRPr="003B5D33">
        <w:rPr>
          <w:rFonts w:eastAsia="Calibri" w:hint="cs"/>
          <w:b/>
          <w:bCs/>
          <w:rtl/>
        </w:rPr>
        <w:t xml:space="preserve">סדור </w:t>
      </w:r>
      <w:r w:rsidRPr="003B5D33">
        <w:rPr>
          <w:rFonts w:eastAsia="Calibri"/>
          <w:b/>
          <w:bCs/>
          <w:rtl/>
        </w:rPr>
        <w:t>לביצוע תחקירים והפקת לקחים בהתבסס על הנחיות מערך הדיגיטל הלאומי ומתודולוגיות מקובלות</w:t>
      </w:r>
      <w:r w:rsidRPr="003B5D33">
        <w:rPr>
          <w:rFonts w:eastAsia="Calibri" w:hint="cs"/>
          <w:b/>
          <w:bCs/>
          <w:rtl/>
        </w:rPr>
        <w:t xml:space="preserve">, ולוודא את יישומו. כמו כן מומלץ </w:t>
      </w:r>
      <w:r w:rsidRPr="003B5D33">
        <w:rPr>
          <w:rFonts w:eastAsia="Calibri"/>
          <w:b/>
          <w:bCs/>
          <w:rtl/>
        </w:rPr>
        <w:t>למנות גורם ייעודי שתפקידו להוביל תהליכי תחקיר ולהבטיח את יישום הלקחים ברמה האגפית ו</w:t>
      </w:r>
      <w:r w:rsidRPr="003B5D33">
        <w:rPr>
          <w:rFonts w:eastAsia="Calibri" w:hint="cs"/>
          <w:b/>
          <w:bCs/>
          <w:rtl/>
        </w:rPr>
        <w:t xml:space="preserve">ברמת </w:t>
      </w:r>
      <w:r w:rsidRPr="003B5D33">
        <w:rPr>
          <w:rFonts w:eastAsia="Calibri"/>
          <w:b/>
          <w:bCs/>
          <w:rtl/>
        </w:rPr>
        <w:t>הפרויקט</w:t>
      </w:r>
      <w:r w:rsidRPr="003B5D33">
        <w:rPr>
          <w:rFonts w:eastAsia="Calibri" w:hint="cs"/>
          <w:b/>
          <w:bCs/>
          <w:rtl/>
        </w:rPr>
        <w:t>.</w:t>
      </w:r>
      <w:r w:rsidRPr="003B5D33">
        <w:rPr>
          <w:rFonts w:eastAsia="Calibri"/>
          <w:b/>
          <w:bCs/>
          <w:rtl/>
        </w:rPr>
        <w:t xml:space="preserve"> </w:t>
      </w:r>
      <w:r w:rsidRPr="003B5D33">
        <w:rPr>
          <w:rFonts w:eastAsia="Calibri" w:hint="cs"/>
          <w:b/>
          <w:bCs/>
          <w:rtl/>
        </w:rPr>
        <w:t xml:space="preserve">נקיטת צעדים אלו תסייע להבטיח כי </w:t>
      </w:r>
      <w:r w:rsidRPr="003B5D33">
        <w:rPr>
          <w:rFonts w:eastAsia="Calibri"/>
          <w:b/>
          <w:bCs/>
          <w:rtl/>
        </w:rPr>
        <w:t xml:space="preserve">תהליכי התחקיר והפקת הלקחים </w:t>
      </w:r>
      <w:r w:rsidRPr="003B5D33">
        <w:rPr>
          <w:rFonts w:eastAsia="Calibri" w:hint="cs"/>
          <w:b/>
          <w:bCs/>
          <w:rtl/>
        </w:rPr>
        <w:t>ייושמו</w:t>
      </w:r>
      <w:r w:rsidRPr="003B5D33">
        <w:rPr>
          <w:rFonts w:eastAsia="Calibri"/>
          <w:b/>
          <w:bCs/>
          <w:rtl/>
        </w:rPr>
        <w:t xml:space="preserve"> </w:t>
      </w:r>
      <w:r w:rsidRPr="003B5D33">
        <w:rPr>
          <w:rFonts w:eastAsia="Calibri" w:hint="cs"/>
          <w:b/>
          <w:bCs/>
          <w:rtl/>
        </w:rPr>
        <w:t>ב</w:t>
      </w:r>
      <w:r w:rsidRPr="003B5D33">
        <w:rPr>
          <w:rFonts w:eastAsia="Calibri"/>
          <w:b/>
          <w:bCs/>
          <w:rtl/>
        </w:rPr>
        <w:t>תהליכי העבודה.</w:t>
      </w:r>
    </w:p>
    <w:p w:rsidR="003B5D33" w:rsidRPr="003B5D33" w:rsidP="003B5D33">
      <w:pPr>
        <w:spacing w:line="269" w:lineRule="auto"/>
        <w:rPr>
          <w:rFonts w:eastAsia="Calibri"/>
          <w:rtl/>
        </w:rPr>
      </w:pPr>
    </w:p>
    <w:p w:rsidR="003B5D33" w:rsidRPr="003B5D33" w:rsidP="003B5D33">
      <w:pPr>
        <w:keepNext/>
        <w:keepLines/>
        <w:spacing w:line="269" w:lineRule="auto"/>
        <w:outlineLvl w:val="3"/>
        <w:rPr>
          <w:rFonts w:eastAsia="Times New Roman"/>
          <w:bCs/>
          <w:szCs w:val="26"/>
          <w:rtl/>
        </w:rPr>
      </w:pPr>
      <w:r w:rsidRPr="003B5D33">
        <w:rPr>
          <w:rFonts w:eastAsia="Times New Roman" w:hint="cs"/>
          <w:bCs/>
          <w:szCs w:val="26"/>
          <w:rtl/>
        </w:rPr>
        <w:t>סקרים ו</w:t>
      </w:r>
      <w:r w:rsidRPr="003B5D33">
        <w:rPr>
          <w:rFonts w:eastAsia="Times New Roman"/>
          <w:bCs/>
          <w:szCs w:val="26"/>
          <w:rtl/>
        </w:rPr>
        <w:t>בקרה על פרויקטים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סקר </w:t>
      </w:r>
      <w:r w:rsidRPr="003B5D33">
        <w:rPr>
          <w:rFonts w:eastAsia="Calibri" w:hint="cs"/>
          <w:rtl/>
        </w:rPr>
        <w:t>מוגדר כפ</w:t>
      </w:r>
      <w:r w:rsidRPr="003B5D33">
        <w:rPr>
          <w:rFonts w:eastAsia="Calibri"/>
          <w:rtl/>
        </w:rPr>
        <w:t>עילות לאורך חיי הפרויקט</w:t>
      </w:r>
      <w:r>
        <w:rPr>
          <w:rFonts w:eastAsia="Calibri"/>
          <w:vertAlign w:val="superscript"/>
          <w:rtl/>
        </w:rPr>
        <w:footnoteReference w:id="49"/>
      </w:r>
      <w:r w:rsidRPr="003B5D33">
        <w:rPr>
          <w:rFonts w:eastAsia="Calibri"/>
          <w:rtl/>
        </w:rPr>
        <w:t xml:space="preserve"> </w:t>
      </w:r>
      <w:r w:rsidRPr="003B5D33">
        <w:rPr>
          <w:rFonts w:eastAsia="Calibri" w:hint="cs"/>
          <w:rtl/>
        </w:rPr>
        <w:t>לשם</w:t>
      </w:r>
      <w:r w:rsidRPr="003B5D33">
        <w:rPr>
          <w:rFonts w:eastAsia="Calibri"/>
          <w:rtl/>
        </w:rPr>
        <w:t xml:space="preserve"> אימות אבן דרך או תוצר ביניים מבחינת שלמותו ואיכותו.</w:t>
      </w:r>
      <w:r w:rsidRPr="003B5D33">
        <w:rPr>
          <w:rFonts w:eastAsia="Calibri" w:hint="cs"/>
          <w:rtl/>
        </w:rPr>
        <w:t xml:space="preserve"> </w:t>
      </w:r>
      <w:r w:rsidRPr="003B5D33">
        <w:rPr>
          <w:rFonts w:eastAsia="Calibri"/>
          <w:rtl/>
        </w:rPr>
        <w:t xml:space="preserve">ביצוע </w:t>
      </w:r>
      <w:r w:rsidRPr="003B5D33">
        <w:rPr>
          <w:rFonts w:eastAsia="Calibri" w:hint="cs"/>
          <w:rtl/>
        </w:rPr>
        <w:t>סקרים ו</w:t>
      </w:r>
      <w:r w:rsidRPr="003B5D33">
        <w:rPr>
          <w:rFonts w:eastAsia="Calibri"/>
          <w:rtl/>
        </w:rPr>
        <w:t xml:space="preserve">בקרות איכות תקופתיות בפרויקט מאפשר לזהות בעיות או פגמים במערכת בשלב מוקדם, </w:t>
      </w:r>
      <w:r w:rsidRPr="003B5D33">
        <w:rPr>
          <w:rFonts w:eastAsia="Calibri" w:hint="cs"/>
          <w:rtl/>
        </w:rPr>
        <w:t xml:space="preserve">תוך הפחתת </w:t>
      </w:r>
      <w:r w:rsidRPr="003B5D33">
        <w:rPr>
          <w:rFonts w:eastAsia="Calibri"/>
          <w:rtl/>
        </w:rPr>
        <w:t xml:space="preserve">העלויות והזמן הנדרשים לתיקון; משפר את תהליכי הפיתוח כך שיהיו </w:t>
      </w:r>
      <w:r w:rsidRPr="003B5D33">
        <w:rPr>
          <w:rFonts w:eastAsia="Calibri" w:hint="cs"/>
          <w:rtl/>
        </w:rPr>
        <w:t xml:space="preserve">מועילים </w:t>
      </w:r>
      <w:r w:rsidRPr="003B5D33">
        <w:rPr>
          <w:rFonts w:eastAsia="Calibri"/>
          <w:rtl/>
        </w:rPr>
        <w:t xml:space="preserve">ויעילים יותר; מסייע לוודא שהמערכת עונה לדרישות הלקוח; מסייע בהבנת הסיכונים הקיימים בפרויקט ובהתמודדות עם בעיות </w:t>
      </w:r>
      <w:r w:rsidRPr="003B5D33">
        <w:rPr>
          <w:rFonts w:eastAsia="Calibri" w:hint="cs"/>
          <w:rtl/>
        </w:rPr>
        <w:t xml:space="preserve">אפשריות </w:t>
      </w:r>
      <w:r w:rsidRPr="003B5D33">
        <w:rPr>
          <w:rFonts w:eastAsia="Calibri"/>
          <w:rtl/>
        </w:rPr>
        <w:t xml:space="preserve">לפני שהן מתפתחות; ומספק שקיפות בתהליך הפיתוח, </w:t>
      </w:r>
      <w:r w:rsidRPr="003B5D33">
        <w:rPr>
          <w:rFonts w:eastAsia="Calibri" w:hint="cs"/>
          <w:rtl/>
        </w:rPr>
        <w:t>דבר ה</w:t>
      </w:r>
      <w:r w:rsidRPr="003B5D33">
        <w:rPr>
          <w:rFonts w:eastAsia="Calibri"/>
          <w:rtl/>
        </w:rPr>
        <w:t xml:space="preserve">מקנה למנהלים ולצוותים הבנה טובה יותר </w:t>
      </w:r>
      <w:r w:rsidRPr="003B5D33">
        <w:rPr>
          <w:rFonts w:eastAsia="Calibri" w:hint="cs"/>
          <w:rtl/>
        </w:rPr>
        <w:t xml:space="preserve">על </w:t>
      </w:r>
      <w:r w:rsidRPr="003B5D33">
        <w:rPr>
          <w:rFonts w:eastAsia="Calibri"/>
          <w:rtl/>
        </w:rPr>
        <w:t>מצב</w:t>
      </w:r>
      <w:r w:rsidRPr="003B5D33">
        <w:rPr>
          <w:rFonts w:eastAsia="Calibri" w:hint="cs"/>
          <w:rtl/>
        </w:rPr>
        <w:t>ו</w:t>
      </w:r>
      <w:r w:rsidRPr="003B5D33">
        <w:rPr>
          <w:rFonts w:eastAsia="Calibri"/>
          <w:rtl/>
        </w:rPr>
        <w:t xml:space="preserve"> הנוכחי של הפרויקט.</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הנחיות מערך הדיגיטל הלאומי </w:t>
      </w:r>
      <w:r w:rsidRPr="003B5D33">
        <w:rPr>
          <w:rFonts w:eastAsia="Calibri"/>
          <w:rtl/>
        </w:rPr>
        <w:t>מח</w:t>
      </w:r>
      <w:r w:rsidRPr="003B5D33">
        <w:rPr>
          <w:rFonts w:eastAsia="Calibri" w:hint="cs"/>
          <w:rtl/>
        </w:rPr>
        <w:t xml:space="preserve">ייבות </w:t>
      </w:r>
      <w:r w:rsidRPr="003B5D33">
        <w:rPr>
          <w:rFonts w:eastAsia="Calibri"/>
          <w:rtl/>
        </w:rPr>
        <w:t>כל משרד ממשלתי לבצע בקרות איכות תקופתיות בפרויקטים לפיתוח מערכות מידע</w:t>
      </w:r>
      <w:r>
        <w:rPr>
          <w:rFonts w:eastAsia="Calibri"/>
          <w:vertAlign w:val="superscript"/>
          <w:rtl/>
        </w:rPr>
        <w:footnoteReference w:id="50"/>
      </w:r>
      <w:r w:rsidRPr="003B5D33">
        <w:rPr>
          <w:rFonts w:eastAsia="Calibri" w:hint="cs"/>
          <w:rtl/>
        </w:rPr>
        <w:t xml:space="preserve"> ולה</w:t>
      </w:r>
      <w:r w:rsidRPr="003B5D33">
        <w:rPr>
          <w:rFonts w:eastAsia="Calibri"/>
          <w:rtl/>
        </w:rPr>
        <w:t>גדיר במסגרת נ</w:t>
      </w:r>
      <w:r w:rsidRPr="003B5D33">
        <w:rPr>
          <w:rFonts w:eastAsia="Calibri" w:hint="cs"/>
          <w:rtl/>
        </w:rPr>
        <w:t>ו</w:t>
      </w:r>
      <w:r w:rsidRPr="003B5D33">
        <w:rPr>
          <w:rFonts w:eastAsia="Calibri"/>
          <w:rtl/>
        </w:rPr>
        <w:t>הלי העבודה היכן</w:t>
      </w:r>
      <w:r w:rsidRPr="003B5D33">
        <w:rPr>
          <w:rFonts w:eastAsia="Calibri" w:hint="cs"/>
          <w:rtl/>
        </w:rPr>
        <w:t xml:space="preserve"> </w:t>
      </w:r>
      <w:r w:rsidRPr="003B5D33">
        <w:rPr>
          <w:rFonts w:eastAsia="Calibri"/>
          <w:rtl/>
        </w:rPr>
        <w:t xml:space="preserve">במחזור חיי המערכת יש לשלב </w:t>
      </w:r>
      <w:r w:rsidRPr="003B5D33">
        <w:rPr>
          <w:rFonts w:eastAsia="Calibri" w:hint="cs"/>
          <w:rtl/>
        </w:rPr>
        <w:t>שערי איכות</w:t>
      </w:r>
      <w:r>
        <w:rPr>
          <w:rFonts w:eastAsia="Calibri"/>
          <w:vertAlign w:val="superscript"/>
          <w:rtl/>
        </w:rPr>
        <w:footnoteReference w:id="51"/>
      </w:r>
      <w:r w:rsidRPr="003B5D33">
        <w:rPr>
          <w:rFonts w:eastAsia="Calibri" w:hint="cs"/>
          <w:rtl/>
        </w:rPr>
        <w:t xml:space="preserve"> נוספים</w:t>
      </w:r>
      <w:r>
        <w:rPr>
          <w:rFonts w:eastAsia="Calibri"/>
          <w:vertAlign w:val="superscript"/>
          <w:rtl/>
        </w:rPr>
        <w:footnoteReference w:id="52"/>
      </w:r>
      <w:r w:rsidRPr="003B5D33">
        <w:rPr>
          <w:rFonts w:eastAsia="Calibri" w:hint="cs"/>
          <w:rtl/>
        </w:rPr>
        <w:t xml:space="preserve"> ו</w:t>
      </w:r>
      <w:r w:rsidRPr="003B5D33">
        <w:rPr>
          <w:rFonts w:eastAsia="Calibri"/>
          <w:rtl/>
        </w:rPr>
        <w:t>סקרים</w:t>
      </w:r>
      <w:r w:rsidRPr="003B5D33">
        <w:rPr>
          <w:rFonts w:eastAsia="Calibri" w:hint="cs"/>
          <w:rtl/>
        </w:rPr>
        <w:t xml:space="preserve"> בפרויקט</w:t>
      </w:r>
      <w:r>
        <w:rPr>
          <w:rFonts w:eastAsia="Calibri"/>
          <w:vertAlign w:val="superscript"/>
          <w:rtl/>
        </w:rPr>
        <w:footnoteReference w:id="53"/>
      </w:r>
      <w:r w:rsidRPr="003B5D33">
        <w:rPr>
          <w:rFonts w:eastAsia="Calibri" w:hint="cs"/>
          <w:rtl/>
        </w:rPr>
        <w:t>. לפי ההנחיות</w:t>
      </w:r>
      <w:r>
        <w:rPr>
          <w:rFonts w:eastAsia="Calibri"/>
          <w:vertAlign w:val="superscript"/>
          <w:rtl/>
        </w:rPr>
        <w:footnoteReference w:id="54"/>
      </w:r>
      <w:r w:rsidRPr="003B5D33">
        <w:rPr>
          <w:rFonts w:eastAsia="Calibri" w:hint="cs"/>
          <w:rtl/>
        </w:rPr>
        <w:t xml:space="preserve">, </w:t>
      </w:r>
      <w:r w:rsidRPr="003B5D33">
        <w:rPr>
          <w:rFonts w:eastAsia="Calibri"/>
          <w:rtl/>
        </w:rPr>
        <w:t>בכל שער איכות ובכל מפגש ועדת היגוי לפרויקט יש לתקף</w:t>
      </w:r>
      <w:r w:rsidRPr="003B5D33">
        <w:rPr>
          <w:rFonts w:eastAsia="Calibri" w:hint="cs"/>
          <w:rtl/>
        </w:rPr>
        <w:t xml:space="preserve"> </w:t>
      </w:r>
      <w:r w:rsidRPr="003B5D33">
        <w:rPr>
          <w:rFonts w:eastAsia="Calibri"/>
          <w:rtl/>
        </w:rPr>
        <w:t>את תועלות הפרויקט</w:t>
      </w:r>
      <w:r w:rsidRPr="003B5D33">
        <w:rPr>
          <w:rFonts w:eastAsia="Calibri" w:hint="cs"/>
          <w:rtl/>
        </w:rPr>
        <w:t xml:space="preserve"> וסיכוניו</w:t>
      </w:r>
      <w:r>
        <w:rPr>
          <w:rFonts w:eastAsia="Calibri"/>
          <w:vertAlign w:val="superscript"/>
          <w:rtl/>
        </w:rPr>
        <w:footnoteReference w:id="55"/>
      </w:r>
      <w:r w:rsidRPr="003B5D33">
        <w:rPr>
          <w:rFonts w:eastAsia="Calibri"/>
          <w:rtl/>
        </w:rPr>
        <w:t xml:space="preserve"> ולהחליט לגבי המשך</w:t>
      </w:r>
      <w:r w:rsidRPr="003B5D33">
        <w:rPr>
          <w:rFonts w:eastAsia="Calibri" w:hint="cs"/>
          <w:rtl/>
        </w:rPr>
        <w:t xml:space="preserve"> </w:t>
      </w:r>
      <w:r w:rsidRPr="003B5D33">
        <w:rPr>
          <w:rFonts w:eastAsia="Calibri"/>
          <w:rtl/>
        </w:rPr>
        <w:t>הפרויקט.</w:t>
      </w:r>
      <w:r w:rsidRPr="003B5D33">
        <w:rPr>
          <w:rFonts w:eastAsia="Calibri" w:hint="cs"/>
          <w:rtl/>
        </w:rPr>
        <w:t xml:space="preserve"> עוד נקבע כי בשלב הייזום חובה להגדיר מדדי תפוקה ו</w:t>
      </w:r>
      <w:r w:rsidRPr="003B5D33">
        <w:rPr>
          <w:rFonts w:eastAsia="Calibri"/>
          <w:rtl/>
        </w:rPr>
        <w:t>מדדים להצלחת הפרויקט</w:t>
      </w:r>
      <w:r>
        <w:rPr>
          <w:rFonts w:eastAsia="Calibri"/>
          <w:vertAlign w:val="superscript"/>
          <w:rtl/>
        </w:rPr>
        <w:footnoteReference w:id="56"/>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בנוהל שגיבש משרד החוץ</w:t>
      </w:r>
      <w:r>
        <w:rPr>
          <w:rFonts w:eastAsia="Calibri"/>
          <w:vertAlign w:val="superscript"/>
          <w:rtl/>
        </w:rPr>
        <w:footnoteReference w:id="57"/>
      </w:r>
      <w:r w:rsidRPr="003B5D33">
        <w:rPr>
          <w:rFonts w:eastAsia="Calibri" w:hint="cs"/>
          <w:rtl/>
        </w:rPr>
        <w:t xml:space="preserve"> נקבעו </w:t>
      </w:r>
      <w:r w:rsidRPr="003B5D33">
        <w:rPr>
          <w:rFonts w:eastAsia="Calibri"/>
          <w:rtl/>
        </w:rPr>
        <w:t xml:space="preserve">הפעולות והתוצרים הנדרשים </w:t>
      </w:r>
      <w:r w:rsidRPr="003B5D33">
        <w:rPr>
          <w:rFonts w:eastAsia="Calibri" w:hint="cs"/>
          <w:rtl/>
        </w:rPr>
        <w:t xml:space="preserve">כדי </w:t>
      </w:r>
      <w:r w:rsidRPr="003B5D33">
        <w:rPr>
          <w:rFonts w:eastAsia="Calibri"/>
          <w:rtl/>
        </w:rPr>
        <w:t xml:space="preserve">לבצע בקרה </w:t>
      </w:r>
      <w:r w:rsidRPr="003B5D33">
        <w:rPr>
          <w:rFonts w:eastAsia="Calibri" w:hint="cs"/>
          <w:rtl/>
        </w:rPr>
        <w:t>מועילה</w:t>
      </w:r>
      <w:r w:rsidRPr="003B5D33">
        <w:rPr>
          <w:rFonts w:eastAsia="Calibri"/>
          <w:rtl/>
        </w:rPr>
        <w:t xml:space="preserve"> על אופן ניהול הפרויקט בהתאמה למתודולוג</w:t>
      </w:r>
      <w:r w:rsidRPr="003B5D33">
        <w:rPr>
          <w:rFonts w:eastAsia="Calibri" w:hint="cs"/>
          <w:rtl/>
        </w:rPr>
        <w:t>י</w:t>
      </w:r>
      <w:r w:rsidRPr="003B5D33">
        <w:rPr>
          <w:rFonts w:eastAsia="Calibri"/>
          <w:rtl/>
        </w:rPr>
        <w:t>ית המשרד</w:t>
      </w:r>
      <w:r w:rsidRPr="003B5D33">
        <w:rPr>
          <w:rFonts w:eastAsia="Calibri" w:hint="cs"/>
          <w:rtl/>
        </w:rPr>
        <w:t xml:space="preserve">. בכלל זה נקבע כי </w:t>
      </w:r>
      <w:r w:rsidRPr="003B5D33">
        <w:rPr>
          <w:rFonts w:eastAsia="Calibri"/>
          <w:rtl/>
        </w:rPr>
        <w:t xml:space="preserve">בשערי זמן עקרוניים בפרויקט </w:t>
      </w:r>
      <w:r w:rsidRPr="003B5D33">
        <w:rPr>
          <w:rFonts w:eastAsia="Calibri" w:hint="cs"/>
          <w:rtl/>
        </w:rPr>
        <w:t>י</w:t>
      </w:r>
      <w:r w:rsidRPr="003B5D33">
        <w:rPr>
          <w:rFonts w:eastAsia="Calibri"/>
          <w:rtl/>
        </w:rPr>
        <w:t>יערכו סקרי ניהול ובקרה</w:t>
      </w:r>
      <w:r w:rsidRPr="003B5D33">
        <w:rPr>
          <w:rFonts w:eastAsia="Calibri" w:hint="cs"/>
          <w:rtl/>
        </w:rPr>
        <w:t xml:space="preserve">, ובהם </w:t>
      </w:r>
      <w:r w:rsidRPr="003B5D33">
        <w:rPr>
          <w:rFonts w:eastAsia="Calibri"/>
          <w:rtl/>
        </w:rPr>
        <w:t>לפחות סקרי</w:t>
      </w:r>
      <w:r w:rsidRPr="003B5D33">
        <w:rPr>
          <w:rFonts w:eastAsia="Calibri" w:hint="cs"/>
          <w:rtl/>
        </w:rPr>
        <w:t xml:space="preserve">ם של </w:t>
      </w:r>
      <w:r w:rsidRPr="003B5D33">
        <w:rPr>
          <w:rFonts w:eastAsia="Calibri"/>
          <w:rtl/>
        </w:rPr>
        <w:t>ייזום</w:t>
      </w:r>
      <w:r w:rsidRPr="003B5D33">
        <w:rPr>
          <w:rFonts w:eastAsia="Calibri" w:hint="cs"/>
          <w:rtl/>
        </w:rPr>
        <w:t xml:space="preserve">, </w:t>
      </w:r>
      <w:r w:rsidRPr="003B5D33">
        <w:rPr>
          <w:rFonts w:eastAsia="Calibri"/>
          <w:rtl/>
        </w:rPr>
        <w:t>אפיון</w:t>
      </w:r>
      <w:r w:rsidRPr="003B5D33">
        <w:rPr>
          <w:rFonts w:eastAsia="Calibri" w:hint="cs"/>
          <w:rtl/>
        </w:rPr>
        <w:t>-</w:t>
      </w:r>
      <w:r w:rsidRPr="003B5D33">
        <w:rPr>
          <w:rFonts w:eastAsia="Calibri"/>
          <w:rtl/>
        </w:rPr>
        <w:t>על</w:t>
      </w:r>
      <w:r w:rsidRPr="003B5D33">
        <w:rPr>
          <w:rFonts w:eastAsia="Calibri" w:hint="cs"/>
          <w:rtl/>
        </w:rPr>
        <w:t xml:space="preserve">, </w:t>
      </w:r>
      <w:r w:rsidRPr="003B5D33">
        <w:rPr>
          <w:rFonts w:eastAsia="Calibri"/>
          <w:rtl/>
        </w:rPr>
        <w:t>ניהול פרויקט</w:t>
      </w:r>
      <w:r w:rsidRPr="003B5D33">
        <w:rPr>
          <w:rFonts w:eastAsia="Calibri" w:hint="cs"/>
          <w:rtl/>
        </w:rPr>
        <w:t xml:space="preserve">, </w:t>
      </w:r>
      <w:r w:rsidRPr="003B5D33">
        <w:rPr>
          <w:rFonts w:eastAsia="Calibri"/>
          <w:rtl/>
        </w:rPr>
        <w:t>אפיון מפורט (לכל יחידת מסירה)</w:t>
      </w:r>
      <w:r w:rsidRPr="003B5D33">
        <w:rPr>
          <w:rFonts w:eastAsia="Calibri" w:hint="cs"/>
          <w:rtl/>
        </w:rPr>
        <w:t xml:space="preserve">, </w:t>
      </w:r>
      <w:r w:rsidRPr="003B5D33">
        <w:rPr>
          <w:rFonts w:eastAsia="Calibri"/>
          <w:rtl/>
        </w:rPr>
        <w:t>עלי</w:t>
      </w:r>
      <w:r w:rsidRPr="003B5D33">
        <w:rPr>
          <w:rFonts w:eastAsia="Calibri" w:hint="cs"/>
          <w:rtl/>
        </w:rPr>
        <w:t>י</w:t>
      </w:r>
      <w:r w:rsidRPr="003B5D33">
        <w:rPr>
          <w:rFonts w:eastAsia="Calibri"/>
          <w:rtl/>
        </w:rPr>
        <w:t>ה לאוויר</w:t>
      </w:r>
      <w:r w:rsidRPr="003B5D33">
        <w:rPr>
          <w:rFonts w:eastAsia="Calibri" w:hint="cs"/>
          <w:rtl/>
        </w:rPr>
        <w:t xml:space="preserve">, </w:t>
      </w:r>
      <w:r w:rsidRPr="003B5D33">
        <w:rPr>
          <w:rFonts w:eastAsia="Calibri"/>
          <w:rtl/>
        </w:rPr>
        <w:t>העברה לתחזוקה</w:t>
      </w:r>
      <w:r w:rsidRPr="003B5D33">
        <w:rPr>
          <w:rFonts w:eastAsia="Calibri" w:hint="cs"/>
          <w:rtl/>
        </w:rPr>
        <w:t xml:space="preserve"> וה</w:t>
      </w:r>
      <w:r w:rsidRPr="003B5D33">
        <w:rPr>
          <w:rFonts w:eastAsia="Calibri"/>
          <w:rtl/>
        </w:rPr>
        <w:t>ורדת מערכת</w:t>
      </w:r>
      <w:r w:rsidRPr="003B5D33">
        <w:rPr>
          <w:rFonts w:eastAsia="Calibri" w:hint="cs"/>
          <w:rtl/>
        </w:rPr>
        <w:t>, וסקרים נוספים בהתאם לצורך. גם בנהלים נוספים של המשרד הנוגעים ל</w:t>
      </w:r>
      <w:r w:rsidRPr="003B5D33">
        <w:rPr>
          <w:rFonts w:eastAsia="Calibri"/>
          <w:rtl/>
        </w:rPr>
        <w:t>"י</w:t>
      </w:r>
      <w:r w:rsidRPr="003B5D33">
        <w:rPr>
          <w:rFonts w:eastAsia="Calibri" w:hint="cs"/>
          <w:rtl/>
        </w:rPr>
        <w:t>י</w:t>
      </w:r>
      <w:r w:rsidRPr="003B5D33">
        <w:rPr>
          <w:rFonts w:eastAsia="Calibri"/>
          <w:rtl/>
        </w:rPr>
        <w:t>זום מערכת מידע"</w:t>
      </w:r>
      <w:r>
        <w:rPr>
          <w:rFonts w:eastAsia="Calibri"/>
          <w:vertAlign w:val="superscript"/>
          <w:rtl/>
        </w:rPr>
        <w:footnoteReference w:id="58"/>
      </w:r>
      <w:r w:rsidRPr="003B5D33">
        <w:rPr>
          <w:rFonts w:eastAsia="Calibri" w:hint="cs"/>
          <w:rtl/>
        </w:rPr>
        <w:t xml:space="preserve"> ו"</w:t>
      </w:r>
      <w:r w:rsidRPr="003B5D33">
        <w:rPr>
          <w:rFonts w:eastAsia="Calibri"/>
          <w:rtl/>
        </w:rPr>
        <w:t>עלי</w:t>
      </w:r>
      <w:r w:rsidRPr="003B5D33">
        <w:rPr>
          <w:rFonts w:eastAsia="Calibri" w:hint="cs"/>
          <w:rtl/>
        </w:rPr>
        <w:t>י</w:t>
      </w:r>
      <w:r w:rsidRPr="003B5D33">
        <w:rPr>
          <w:rFonts w:eastAsia="Calibri"/>
          <w:rtl/>
        </w:rPr>
        <w:t>ה לאוויר מערכת מידע"</w:t>
      </w:r>
      <w:r>
        <w:rPr>
          <w:rFonts w:eastAsia="Calibri"/>
          <w:vertAlign w:val="superscript"/>
          <w:rtl/>
        </w:rPr>
        <w:footnoteReference w:id="59"/>
      </w:r>
      <w:r w:rsidRPr="003B5D33">
        <w:rPr>
          <w:rFonts w:eastAsia="Calibri" w:hint="cs"/>
          <w:rtl/>
        </w:rPr>
        <w:t xml:space="preserve"> נקבע כי יבוצעו סקרי ייזום ועלייה לאוויר; בנהלים שעניינם </w:t>
      </w:r>
      <w:r w:rsidRPr="003B5D33">
        <w:rPr>
          <w:rFonts w:eastAsia="Calibri"/>
          <w:rtl/>
        </w:rPr>
        <w:t>"י</w:t>
      </w:r>
      <w:r w:rsidRPr="003B5D33">
        <w:rPr>
          <w:rFonts w:eastAsia="Calibri" w:hint="cs"/>
          <w:rtl/>
        </w:rPr>
        <w:t>י</w:t>
      </w:r>
      <w:r w:rsidRPr="003B5D33">
        <w:rPr>
          <w:rFonts w:eastAsia="Calibri"/>
          <w:rtl/>
        </w:rPr>
        <w:t>זום מערכת מידע"</w:t>
      </w:r>
      <w:r>
        <w:rPr>
          <w:rFonts w:eastAsia="Calibri"/>
          <w:vertAlign w:val="superscript"/>
          <w:rtl/>
        </w:rPr>
        <w:footnoteReference w:id="60"/>
      </w:r>
      <w:r w:rsidRPr="003B5D33">
        <w:rPr>
          <w:rFonts w:eastAsia="Calibri" w:hint="cs"/>
          <w:rtl/>
        </w:rPr>
        <w:t xml:space="preserve"> ו-"</w:t>
      </w:r>
      <w:r w:rsidRPr="003B5D33">
        <w:rPr>
          <w:rFonts w:eastAsia="Calibri"/>
          <w:rtl/>
        </w:rPr>
        <w:t>ניהול פרויקט פיתוח מערכת מידע"</w:t>
      </w:r>
      <w:r>
        <w:rPr>
          <w:rFonts w:eastAsia="Calibri"/>
          <w:vertAlign w:val="superscript"/>
          <w:rtl/>
        </w:rPr>
        <w:footnoteReference w:id="61"/>
      </w:r>
      <w:r w:rsidRPr="003B5D33">
        <w:rPr>
          <w:rFonts w:eastAsia="Calibri" w:hint="cs"/>
          <w:rtl/>
        </w:rPr>
        <w:t xml:space="preserve"> נקבע כי יוגדרו בפרויקט מדדי תפוקות ומדדי הצלחה למערכת.</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בביקורת נמצא </w:t>
      </w:r>
      <w:r w:rsidRPr="003B5D33">
        <w:rPr>
          <w:rFonts w:eastAsia="Calibri"/>
          <w:b/>
          <w:bCs/>
          <w:rtl/>
        </w:rPr>
        <w:t xml:space="preserve">כי </w:t>
      </w:r>
      <w:r w:rsidRPr="003B5D33">
        <w:rPr>
          <w:rFonts w:eastAsia="Calibri" w:hint="cs"/>
          <w:b/>
          <w:bCs/>
          <w:rtl/>
        </w:rPr>
        <w:t>בניגוד ל</w:t>
      </w:r>
      <w:r w:rsidRPr="003B5D33">
        <w:rPr>
          <w:rFonts w:eastAsia="Calibri"/>
          <w:b/>
          <w:bCs/>
          <w:rtl/>
        </w:rPr>
        <w:t>הנחיות מערך הדיגיטל</w:t>
      </w:r>
      <w:r w:rsidRPr="003B5D33">
        <w:rPr>
          <w:rFonts w:eastAsia="Calibri" w:hint="cs"/>
          <w:b/>
          <w:bCs/>
          <w:rtl/>
        </w:rPr>
        <w:t xml:space="preserve"> ונוהלי המשרד לפיהן יש לבצע בקרות </w:t>
      </w:r>
      <w:r w:rsidRPr="003B5D33">
        <w:rPr>
          <w:rFonts w:eastAsia="Calibri"/>
          <w:b/>
          <w:bCs/>
          <w:rtl/>
        </w:rPr>
        <w:t>איכות תקופתיות בפרויקטים לפיתוח מערכות מידע</w:t>
      </w:r>
      <w:r w:rsidRPr="003B5D33">
        <w:rPr>
          <w:rFonts w:eastAsia="Calibri" w:hint="cs"/>
          <w:b/>
          <w:bCs/>
          <w:rtl/>
        </w:rPr>
        <w:t>,</w:t>
      </w:r>
      <w:r w:rsidRPr="003B5D33">
        <w:rPr>
          <w:rFonts w:eastAsia="Calibri"/>
          <w:b/>
          <w:bCs/>
          <w:rtl/>
        </w:rPr>
        <w:t xml:space="preserve"> משרד </w:t>
      </w:r>
      <w:r w:rsidRPr="003B5D33">
        <w:rPr>
          <w:rFonts w:eastAsia="Calibri" w:hint="cs"/>
          <w:b/>
          <w:bCs/>
          <w:rtl/>
        </w:rPr>
        <w:t xml:space="preserve">החוץ </w:t>
      </w:r>
      <w:r w:rsidRPr="003B5D33">
        <w:rPr>
          <w:rFonts w:eastAsia="Calibri"/>
          <w:b/>
          <w:bCs/>
          <w:rtl/>
        </w:rPr>
        <w:t xml:space="preserve">אינו מבצע </w:t>
      </w:r>
      <w:r w:rsidRPr="003B5D33">
        <w:rPr>
          <w:rFonts w:eastAsia="Calibri" w:hint="cs"/>
          <w:b/>
          <w:bCs/>
          <w:rtl/>
        </w:rPr>
        <w:t xml:space="preserve">סקרים או שימוש במדדים כבקרה בפרויקטים של מערכות המידע. כמו כן </w:t>
      </w:r>
      <w:r w:rsidRPr="003B5D33">
        <w:rPr>
          <w:rFonts w:eastAsia="Calibri"/>
          <w:b/>
          <w:bCs/>
          <w:rtl/>
        </w:rPr>
        <w:t xml:space="preserve">לא נמצא תיעוד </w:t>
      </w:r>
      <w:r w:rsidRPr="003B5D33">
        <w:rPr>
          <w:rFonts w:eastAsia="Calibri" w:hint="cs"/>
          <w:b/>
          <w:bCs/>
          <w:rtl/>
        </w:rPr>
        <w:t>ל</w:t>
      </w:r>
      <w:r w:rsidRPr="003B5D33">
        <w:rPr>
          <w:rFonts w:eastAsia="Calibri"/>
          <w:b/>
          <w:bCs/>
          <w:rtl/>
        </w:rPr>
        <w:t xml:space="preserve">קיום בקרות </w:t>
      </w:r>
      <w:r w:rsidRPr="003B5D33">
        <w:rPr>
          <w:rFonts w:eastAsia="Calibri" w:hint="cs"/>
          <w:b/>
          <w:bCs/>
          <w:rtl/>
        </w:rPr>
        <w:t>נוספות ברמה מספקת</w:t>
      </w:r>
      <w:r>
        <w:rPr>
          <w:rFonts w:eastAsia="Calibri"/>
          <w:b/>
          <w:bCs/>
          <w:vertAlign w:val="superscript"/>
          <w:rtl/>
        </w:rPr>
        <w:footnoteReference w:id="62"/>
      </w:r>
      <w:r w:rsidRPr="003B5D33">
        <w:rPr>
          <w:rFonts w:eastAsia="Calibri"/>
          <w:b/>
          <w:bCs/>
          <w:rtl/>
        </w:rPr>
        <w:t xml:space="preserve">, כגון הערכת איכות התהליך </w:t>
      </w:r>
      <w:r w:rsidRPr="003B5D33">
        <w:rPr>
          <w:rFonts w:eastAsia="Calibri" w:hint="cs"/>
          <w:b/>
          <w:bCs/>
          <w:rtl/>
        </w:rPr>
        <w:t xml:space="preserve">ושלביו, </w:t>
      </w:r>
      <w:r w:rsidRPr="003B5D33">
        <w:rPr>
          <w:rFonts w:eastAsia="Calibri"/>
          <w:b/>
          <w:bCs/>
          <w:rtl/>
        </w:rPr>
        <w:t>בדיקות עמידה ב</w:t>
      </w:r>
      <w:r w:rsidRPr="003B5D33">
        <w:rPr>
          <w:rFonts w:eastAsia="Calibri" w:hint="cs"/>
          <w:b/>
          <w:bCs/>
          <w:rtl/>
        </w:rPr>
        <w:t xml:space="preserve">אמות מידה </w:t>
      </w:r>
      <w:r w:rsidRPr="003B5D33">
        <w:rPr>
          <w:rFonts w:eastAsia="Calibri"/>
          <w:b/>
          <w:bCs/>
          <w:rtl/>
        </w:rPr>
        <w:t>מקצועי</w:t>
      </w:r>
      <w:r w:rsidRPr="003B5D33">
        <w:rPr>
          <w:rFonts w:eastAsia="Calibri" w:hint="cs"/>
          <w:b/>
          <w:bCs/>
          <w:rtl/>
        </w:rPr>
        <w:t xml:space="preserve">ות או </w:t>
      </w:r>
      <w:r w:rsidRPr="003B5D33">
        <w:rPr>
          <w:rFonts w:eastAsia="Calibri"/>
          <w:b/>
          <w:bCs/>
          <w:rtl/>
        </w:rPr>
        <w:t xml:space="preserve">בקרת שינויים. </w:t>
      </w:r>
      <w:r w:rsidRPr="003B5D33">
        <w:rPr>
          <w:rFonts w:eastAsia="Calibri" w:hint="cs"/>
          <w:b/>
          <w:bCs/>
          <w:rtl/>
        </w:rPr>
        <w:t xml:space="preserve">עוד עלה בביקורת כי </w:t>
      </w:r>
      <w:r w:rsidRPr="003B5D33">
        <w:rPr>
          <w:rFonts w:eastAsia="Calibri"/>
          <w:b/>
          <w:bCs/>
          <w:rtl/>
        </w:rPr>
        <w:t xml:space="preserve">אין גורם ייעודי שהוגדר כאחראי </w:t>
      </w:r>
      <w:r w:rsidRPr="003B5D33">
        <w:rPr>
          <w:rFonts w:eastAsia="Calibri" w:hint="cs"/>
          <w:b/>
          <w:bCs/>
          <w:rtl/>
        </w:rPr>
        <w:t>ל</w:t>
      </w:r>
      <w:r w:rsidRPr="003B5D33">
        <w:rPr>
          <w:rFonts w:eastAsia="Calibri"/>
          <w:b/>
          <w:bCs/>
          <w:rtl/>
        </w:rPr>
        <w:t>בדיקות איכות תהליכי הפיתוח</w:t>
      </w:r>
      <w:r w:rsidRPr="003B5D33">
        <w:rPr>
          <w:rFonts w:eastAsia="Calibri" w:hint="cs"/>
          <w:b/>
          <w:bCs/>
          <w:rtl/>
        </w:rPr>
        <w:t>, כגון מנהל הבטחת איכות ו-</w:t>
      </w:r>
      <w:r w:rsidRPr="003B5D33">
        <w:rPr>
          <w:rFonts w:eastAsia="Calibri" w:hint="cs"/>
          <w:b/>
          <w:bCs/>
        </w:rPr>
        <w:t>PMO</w:t>
      </w:r>
      <w:r>
        <w:rPr>
          <w:rFonts w:eastAsia="Calibri"/>
          <w:b/>
          <w:bCs/>
          <w:vertAlign w:val="superscript"/>
          <w:rtl/>
        </w:rPr>
        <w:footnoteReference w:id="63"/>
      </w:r>
      <w:r w:rsidRPr="003B5D33">
        <w:rPr>
          <w:rFonts w:eastAsia="Calibri" w:hint="cs"/>
          <w:b/>
          <w:bCs/>
          <w:rtl/>
        </w:rPr>
        <w:t>, למרות ההכרה בצורך זה</w:t>
      </w:r>
      <w:r w:rsidRPr="003B5D33">
        <w:rPr>
          <w:rFonts w:eastAsia="Calibri"/>
          <w:b/>
          <w:bCs/>
          <w:rtl/>
        </w:rPr>
        <w:t xml:space="preserve">. היעדר בקרה מספקת על תהליכי הפיתוח </w:t>
      </w:r>
      <w:r w:rsidRPr="003B5D33">
        <w:rPr>
          <w:rFonts w:eastAsia="Calibri" w:hint="cs"/>
          <w:b/>
          <w:bCs/>
          <w:rtl/>
        </w:rPr>
        <w:t xml:space="preserve">ואיכותם </w:t>
      </w:r>
      <w:r w:rsidRPr="003B5D33">
        <w:rPr>
          <w:rFonts w:eastAsia="Calibri"/>
          <w:b/>
          <w:bCs/>
          <w:rtl/>
        </w:rPr>
        <w:t xml:space="preserve">עלול </w:t>
      </w:r>
      <w:r w:rsidRPr="003B5D33">
        <w:rPr>
          <w:rFonts w:eastAsia="Calibri" w:hint="cs"/>
          <w:b/>
          <w:bCs/>
          <w:rtl/>
        </w:rPr>
        <w:t>ל</w:t>
      </w:r>
      <w:r w:rsidRPr="003B5D33">
        <w:rPr>
          <w:rFonts w:eastAsia="Calibri"/>
          <w:b/>
          <w:bCs/>
          <w:rtl/>
        </w:rPr>
        <w:t>סכן את הצלחת</w:t>
      </w:r>
      <w:r w:rsidRPr="003B5D33">
        <w:rPr>
          <w:rFonts w:eastAsia="Calibri" w:hint="cs"/>
          <w:b/>
          <w:bCs/>
          <w:rtl/>
        </w:rPr>
        <w:t xml:space="preserve"> ה</w:t>
      </w:r>
      <w:r w:rsidRPr="003B5D33">
        <w:rPr>
          <w:rFonts w:eastAsia="Calibri"/>
          <w:b/>
          <w:bCs/>
          <w:rtl/>
        </w:rPr>
        <w:t>פרויקט</w:t>
      </w:r>
      <w:r w:rsidRPr="003B5D33">
        <w:rPr>
          <w:rFonts w:eastAsia="Calibri" w:hint="cs"/>
          <w:b/>
          <w:bCs/>
          <w:rtl/>
        </w:rPr>
        <w:t xml:space="preserve"> ולגרום לתקלות תפקודיות, לחוויית משתמש ירודה, לחריגות בתקציב ובלוחות הזמנים ולפגיעה </w:t>
      </w:r>
      <w:r w:rsidRPr="003B5D33">
        <w:rPr>
          <w:rFonts w:eastAsia="Calibri"/>
          <w:b/>
          <w:bCs/>
          <w:rtl/>
        </w:rPr>
        <w:t xml:space="preserve">בתפקוד השוטף של </w:t>
      </w:r>
      <w:r w:rsidRPr="003B5D33">
        <w:rPr>
          <w:rFonts w:eastAsia="Calibri" w:hint="cs"/>
          <w:b/>
          <w:bCs/>
          <w:rtl/>
        </w:rPr>
        <w:t xml:space="preserve">יחידות </w:t>
      </w:r>
      <w:r w:rsidRPr="003B5D33">
        <w:rPr>
          <w:rFonts w:eastAsia="Calibri"/>
          <w:b/>
          <w:bCs/>
          <w:rtl/>
        </w:rPr>
        <w:t>המשרד</w:t>
      </w:r>
      <w:r w:rsidRPr="003B5D33">
        <w:rPr>
          <w:rFonts w:eastAsia="Calibri" w:hint="cs"/>
          <w:b/>
          <w:bCs/>
          <w:rtl/>
        </w:rPr>
        <w:t xml:space="preserve"> ו</w:t>
      </w:r>
      <w:r w:rsidRPr="003B5D33">
        <w:rPr>
          <w:rFonts w:eastAsia="Calibri"/>
          <w:b/>
          <w:bCs/>
          <w:rtl/>
        </w:rPr>
        <w:t>בשירות</w:t>
      </w:r>
      <w:r w:rsidRPr="003B5D33">
        <w:rPr>
          <w:rFonts w:eastAsia="Calibri" w:hint="cs"/>
          <w:b/>
          <w:bCs/>
          <w:rtl/>
        </w:rPr>
        <w:t xml:space="preserve"> </w:t>
      </w:r>
      <w:r w:rsidRPr="003B5D33">
        <w:rPr>
          <w:rFonts w:eastAsia="Calibri"/>
          <w:b/>
          <w:bCs/>
          <w:rtl/>
        </w:rPr>
        <w:t>לאזרח</w:t>
      </w:r>
      <w:r w:rsidRPr="003B5D33">
        <w:rPr>
          <w:rFonts w:eastAsia="Calibri" w:hint="cs"/>
          <w:b/>
          <w:bCs/>
          <w:rtl/>
        </w:rPr>
        <w:t>.</w:t>
      </w:r>
      <w:r w:rsidRPr="003B5D33">
        <w:rPr>
          <w:rFonts w:eastAsia="Calibri"/>
          <w:b/>
          <w:b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יצוין כי פערים אלו עלו גם במסמך התוכנית האסטרטגית. צוין בו כי חסר</w:t>
      </w:r>
      <w:r w:rsidRPr="003B5D33">
        <w:rPr>
          <w:rFonts w:eastAsia="Calibri"/>
          <w:rtl/>
        </w:rPr>
        <w:t xml:space="preserve"> יישום </w:t>
      </w:r>
      <w:r w:rsidRPr="003B5D33">
        <w:rPr>
          <w:rFonts w:eastAsia="Calibri" w:hint="cs"/>
          <w:rtl/>
        </w:rPr>
        <w:t xml:space="preserve">של </w:t>
      </w:r>
      <w:r w:rsidRPr="003B5D33">
        <w:rPr>
          <w:rFonts w:eastAsia="Calibri"/>
          <w:rtl/>
        </w:rPr>
        <w:t xml:space="preserve">מתודולוגיה וכלים לניהול ומעקב אחר מחזור חיי הפרויקט ואבני הדרך </w:t>
      </w:r>
      <w:r w:rsidRPr="003B5D33">
        <w:rPr>
          <w:rFonts w:eastAsia="Calibri" w:hint="cs"/>
          <w:rtl/>
        </w:rPr>
        <w:t>בשלבים השונים, ו</w:t>
      </w:r>
      <w:r w:rsidRPr="003B5D33">
        <w:rPr>
          <w:rFonts w:eastAsia="Calibri"/>
          <w:rtl/>
        </w:rPr>
        <w:t>חסרים גאנטים</w:t>
      </w:r>
      <w:r>
        <w:rPr>
          <w:rFonts w:eastAsia="Calibri"/>
          <w:vertAlign w:val="superscript"/>
          <w:rtl/>
        </w:rPr>
        <w:footnoteReference w:id="64"/>
      </w:r>
      <w:r w:rsidRPr="003B5D33">
        <w:rPr>
          <w:rFonts w:eastAsia="Calibri"/>
          <w:rtl/>
        </w:rPr>
        <w:t xml:space="preserve"> ובקרות</w:t>
      </w:r>
      <w:r w:rsidRPr="003B5D33">
        <w:rPr>
          <w:rFonts w:eastAsia="Calibri" w:hint="cs"/>
          <w:rtl/>
        </w:rPr>
        <w:t xml:space="preserve"> וכן ב</w:t>
      </w:r>
      <w:r w:rsidRPr="003B5D33">
        <w:rPr>
          <w:rFonts w:eastAsia="Calibri"/>
          <w:rtl/>
        </w:rPr>
        <w:t xml:space="preserve">מסמך סקר הסיכונים </w:t>
      </w:r>
      <w:r w:rsidRPr="003B5D33">
        <w:rPr>
          <w:rFonts w:eastAsia="Calibri" w:hint="cs"/>
          <w:rtl/>
        </w:rPr>
        <w:t>שם אף צוין כי</w:t>
      </w:r>
      <w:r w:rsidRPr="003B5D33">
        <w:rPr>
          <w:rFonts w:eastAsia="Calibri"/>
          <w:rtl/>
        </w:rPr>
        <w:t xml:space="preserve"> </w:t>
      </w:r>
      <w:r w:rsidRPr="003B5D33">
        <w:rPr>
          <w:rFonts w:eastAsia="Calibri" w:hint="cs"/>
          <w:rtl/>
        </w:rPr>
        <w:t>קיים סיכון לאיכות תוצרי פרויקטים גם בשל היעדר מעקב ביצוע.</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לנוכח חשיבות ביצוע </w:t>
      </w:r>
      <w:r w:rsidRPr="003B5D33">
        <w:rPr>
          <w:rFonts w:eastAsia="Calibri"/>
          <w:b/>
          <w:bCs/>
          <w:rtl/>
        </w:rPr>
        <w:t>בקרות איכות תקופתיות להצלחה של פרויקטים לפיתוח מערכות מידע</w:t>
      </w:r>
      <w:r w:rsidRPr="003B5D33">
        <w:rPr>
          <w:rFonts w:eastAsia="Calibri" w:hint="cs"/>
          <w:b/>
          <w:bCs/>
          <w:rtl/>
        </w:rPr>
        <w:t xml:space="preserve">, על </w:t>
      </w:r>
      <w:r w:rsidRPr="003B5D33">
        <w:rPr>
          <w:rFonts w:eastAsia="Calibri"/>
          <w:b/>
          <w:bCs/>
          <w:rtl/>
        </w:rPr>
        <w:t xml:space="preserve">משרד </w:t>
      </w:r>
      <w:r w:rsidRPr="003B5D33">
        <w:rPr>
          <w:rFonts w:eastAsia="Calibri" w:hint="cs"/>
          <w:b/>
          <w:bCs/>
          <w:rtl/>
        </w:rPr>
        <w:t xml:space="preserve">החוץ לוודא שמתקיימים תהליכים של בקרה ובדיקות תקופתיות באופן </w:t>
      </w:r>
      <w:r w:rsidRPr="003B5D33">
        <w:rPr>
          <w:rFonts w:eastAsia="Calibri"/>
          <w:b/>
          <w:bCs/>
          <w:rtl/>
        </w:rPr>
        <w:t xml:space="preserve">שיטתי </w:t>
      </w:r>
      <w:r w:rsidRPr="003B5D33">
        <w:rPr>
          <w:rFonts w:eastAsia="Calibri" w:hint="cs"/>
          <w:b/>
          <w:bCs/>
          <w:rtl/>
        </w:rPr>
        <w:t xml:space="preserve">ויעיל </w:t>
      </w:r>
      <w:r w:rsidRPr="003B5D33">
        <w:rPr>
          <w:rFonts w:eastAsia="Calibri"/>
          <w:b/>
          <w:bCs/>
          <w:rtl/>
        </w:rPr>
        <w:t xml:space="preserve">על תהליכי פיתוח המערכות, </w:t>
      </w:r>
      <w:r w:rsidRPr="003B5D33">
        <w:rPr>
          <w:rFonts w:eastAsia="Calibri" w:hint="cs"/>
          <w:b/>
          <w:bCs/>
          <w:rtl/>
        </w:rPr>
        <w:t>לרבות</w:t>
      </w:r>
      <w:r w:rsidRPr="003B5D33">
        <w:rPr>
          <w:rFonts w:eastAsia="Calibri"/>
          <w:b/>
          <w:bCs/>
          <w:rtl/>
        </w:rPr>
        <w:t xml:space="preserve"> </w:t>
      </w:r>
      <w:r w:rsidRPr="003B5D33">
        <w:rPr>
          <w:rFonts w:eastAsia="Calibri" w:hint="cs"/>
          <w:b/>
          <w:bCs/>
          <w:rtl/>
        </w:rPr>
        <w:t>קביעת מדדים וביצוע סקרים</w:t>
      </w:r>
      <w:r w:rsidRPr="003B5D33">
        <w:rPr>
          <w:rFonts w:eastAsia="Calibri"/>
          <w:b/>
          <w:bCs/>
          <w:rtl/>
        </w:rPr>
        <w:t xml:space="preserve">. כמו כן מומלץ למנות גורם ייעודי שיהיה אחראי </w:t>
      </w:r>
      <w:r w:rsidRPr="003B5D33">
        <w:rPr>
          <w:rFonts w:eastAsia="Calibri" w:hint="cs"/>
          <w:b/>
          <w:bCs/>
          <w:rtl/>
        </w:rPr>
        <w:t>ל</w:t>
      </w:r>
      <w:r w:rsidRPr="003B5D33">
        <w:rPr>
          <w:rFonts w:eastAsia="Calibri"/>
          <w:b/>
          <w:bCs/>
          <w:rtl/>
        </w:rPr>
        <w:t xml:space="preserve">ניהול בקרת האיכות. </w:t>
      </w:r>
      <w:r w:rsidRPr="003B5D33">
        <w:rPr>
          <w:rFonts w:eastAsia="Calibri" w:hint="cs"/>
          <w:b/>
          <w:bCs/>
          <w:rtl/>
        </w:rPr>
        <w:t>ביצוע בקרות כאמור יסייע</w:t>
      </w:r>
      <w:r w:rsidRPr="003B5D33">
        <w:rPr>
          <w:rFonts w:eastAsia="Calibri"/>
          <w:b/>
          <w:bCs/>
          <w:rtl/>
        </w:rPr>
        <w:t xml:space="preserve"> להבטיח שהמוצר הסופי יהיה באיכות גבוהה, </w:t>
      </w:r>
      <w:r w:rsidRPr="003B5D33">
        <w:rPr>
          <w:rFonts w:eastAsia="Calibri" w:hint="cs"/>
          <w:b/>
          <w:bCs/>
          <w:rtl/>
        </w:rPr>
        <w:t>י</w:t>
      </w:r>
      <w:r w:rsidRPr="003B5D33">
        <w:rPr>
          <w:rFonts w:eastAsia="Calibri"/>
          <w:b/>
          <w:bCs/>
          <w:rtl/>
        </w:rPr>
        <w:t>ע</w:t>
      </w:r>
      <w:r w:rsidRPr="003B5D33">
        <w:rPr>
          <w:rFonts w:eastAsia="Calibri" w:hint="cs"/>
          <w:b/>
          <w:bCs/>
          <w:rtl/>
        </w:rPr>
        <w:t xml:space="preserve">מוד </w:t>
      </w:r>
      <w:r w:rsidRPr="003B5D33">
        <w:rPr>
          <w:rFonts w:eastAsia="Calibri"/>
          <w:b/>
          <w:bCs/>
          <w:rtl/>
        </w:rPr>
        <w:t>בדרישות ו</w:t>
      </w:r>
      <w:r w:rsidRPr="003B5D33">
        <w:rPr>
          <w:rFonts w:eastAsia="Calibri" w:hint="cs"/>
          <w:b/>
          <w:bCs/>
          <w:rtl/>
        </w:rPr>
        <w:t xml:space="preserve">יהיה </w:t>
      </w:r>
      <w:r w:rsidRPr="003B5D33">
        <w:rPr>
          <w:rFonts w:eastAsia="Calibri"/>
          <w:b/>
          <w:bCs/>
          <w:rtl/>
        </w:rPr>
        <w:t>בעל ערך ללקוחות.</w:t>
      </w:r>
    </w:p>
    <w:p w:rsidR="003B5D33" w:rsidRPr="003B5D33" w:rsidP="003B5D33">
      <w:pPr>
        <w:spacing w:line="269" w:lineRule="auto"/>
        <w:rPr>
          <w:rFonts w:eastAsia="Calibri"/>
          <w:b/>
          <w:bCs/>
          <w:highlight w:val="magenta"/>
          <w:rtl/>
        </w:rPr>
      </w:pPr>
    </w:p>
    <w:p w:rsidR="003B5D33" w:rsidRPr="003B5D33" w:rsidP="003B5D33">
      <w:pPr>
        <w:keepNext/>
        <w:keepLines/>
        <w:spacing w:line="269" w:lineRule="auto"/>
        <w:outlineLvl w:val="3"/>
        <w:rPr>
          <w:rFonts w:eastAsia="Calibri"/>
          <w:bCs/>
          <w:szCs w:val="26"/>
          <w:rtl/>
        </w:rPr>
      </w:pPr>
      <w:r w:rsidRPr="003B5D33">
        <w:rPr>
          <w:rFonts w:eastAsia="Calibri" w:hint="cs"/>
          <w:bCs/>
          <w:szCs w:val="26"/>
          <w:rtl/>
        </w:rPr>
        <w:t xml:space="preserve">ביצוע </w:t>
      </w:r>
      <w:r w:rsidRPr="003B5D33">
        <w:rPr>
          <w:rFonts w:eastAsia="Calibri"/>
          <w:bCs/>
          <w:szCs w:val="26"/>
          <w:rtl/>
        </w:rPr>
        <w:t>בדיקות בפיתוח מערכות מידע</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בדיקות פיתוח במערכות מידע הן שלב קריטי בתהליך הפיתוח, שכן הן מסייעות לאתר בעיות או תקלות בתפקוד המערכת, מאפשרות לוודא שהמערכת תתפקד כראוי עוד לפני הפצתה למשתמשים ותענה על דרישות המשתמשים ומסייעות להבטיח שהיא מוגנת בהיבטי אבטחת מידע.</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הנחיות מערך הדיגיטל הלאומי</w:t>
      </w:r>
      <w:r w:rsidRPr="003B5D33">
        <w:rPr>
          <w:rFonts w:eastAsia="Calibri" w:hint="cs"/>
          <w:rtl/>
        </w:rPr>
        <w:t xml:space="preserve"> קובעות כי כתנאי לעלייה לאווי</w:t>
      </w:r>
      <w:r w:rsidRPr="003B5D33">
        <w:rPr>
          <w:rFonts w:eastAsia="Calibri" w:hint="eastAsia"/>
          <w:rtl/>
        </w:rPr>
        <w:t>ר</w:t>
      </w:r>
      <w:r w:rsidRPr="003B5D33">
        <w:rPr>
          <w:rFonts w:eastAsia="Calibri" w:hint="cs"/>
          <w:rtl/>
        </w:rPr>
        <w:t xml:space="preserve"> ב</w:t>
      </w:r>
      <w:r w:rsidRPr="003B5D33">
        <w:rPr>
          <w:rFonts w:eastAsia="Calibri"/>
          <w:rtl/>
        </w:rPr>
        <w:t>כל פרויקט</w:t>
      </w:r>
      <w:r w:rsidRPr="003B5D33">
        <w:rPr>
          <w:rFonts w:eastAsia="Calibri" w:hint="cs"/>
          <w:rtl/>
        </w:rPr>
        <w:t>, יאושר על ידי הגורמים המקצועיים גמר ביצוע הבדיקות</w:t>
      </w:r>
      <w:r>
        <w:rPr>
          <w:rFonts w:eastAsia="Calibri"/>
          <w:vertAlign w:val="superscript"/>
          <w:rtl/>
        </w:rPr>
        <w:footnoteReference w:id="65"/>
      </w:r>
      <w:r w:rsidRPr="003B5D33">
        <w:rPr>
          <w:rFonts w:eastAsia="Calibri" w:hint="cs"/>
          <w:rtl/>
        </w:rPr>
        <w:t>, כולל בדיקות שפיות ושלמות</w:t>
      </w:r>
      <w:r>
        <w:rPr>
          <w:rFonts w:eastAsia="Calibri"/>
          <w:vertAlign w:val="superscript"/>
          <w:rtl/>
        </w:rPr>
        <w:footnoteReference w:id="66"/>
      </w:r>
      <w:r w:rsidRPr="003B5D33">
        <w:rPr>
          <w:rFonts w:eastAsia="Calibri" w:hint="cs"/>
          <w:rtl/>
        </w:rPr>
        <w:t>, בדיקות מסירה</w:t>
      </w:r>
      <w:r>
        <w:rPr>
          <w:rFonts w:eastAsia="Calibri"/>
          <w:vertAlign w:val="superscript"/>
          <w:rtl/>
        </w:rPr>
        <w:footnoteReference w:id="67"/>
      </w:r>
      <w:r w:rsidRPr="003B5D33">
        <w:rPr>
          <w:rFonts w:eastAsia="Calibri" w:hint="cs"/>
          <w:rtl/>
        </w:rPr>
        <w:t xml:space="preserve"> ובדיקות קבלה</w:t>
      </w:r>
      <w:r>
        <w:rPr>
          <w:rFonts w:eastAsia="Calibri"/>
          <w:vertAlign w:val="superscript"/>
          <w:rtl/>
        </w:rPr>
        <w:footnoteReference w:id="68"/>
      </w:r>
      <w:r w:rsidRPr="003B5D33">
        <w:rPr>
          <w:rFonts w:eastAsia="Calibri" w:hint="cs"/>
          <w:rtl/>
        </w:rPr>
        <w:t xml:space="preserve">. עוד נקבע בהנחיות כי חובה לבצע בדיקות טרם התקנת מערכת המידע וגם אחרי </w:t>
      </w:r>
      <w:r w:rsidRPr="003B5D33">
        <w:rPr>
          <w:rFonts w:eastAsia="Calibri" w:hint="cs"/>
          <w:rtl/>
        </w:rPr>
        <w:t>התקנתה</w:t>
      </w:r>
      <w:r>
        <w:rPr>
          <w:rFonts w:eastAsia="Calibri"/>
          <w:vertAlign w:val="superscript"/>
          <w:rtl/>
        </w:rPr>
        <w:footnoteReference w:id="69"/>
      </w:r>
      <w:r w:rsidRPr="003B5D33">
        <w:rPr>
          <w:rFonts w:eastAsia="Calibri" w:hint="cs"/>
          <w:rtl/>
        </w:rPr>
        <w:t xml:space="preserve">, וכן נקבע כי </w:t>
      </w:r>
      <w:r w:rsidRPr="003B5D33">
        <w:rPr>
          <w:rFonts w:eastAsia="Calibri"/>
          <w:rtl/>
        </w:rPr>
        <w:t>היחידה העסקית</w:t>
      </w:r>
      <w:r>
        <w:rPr>
          <w:rFonts w:eastAsia="Calibri"/>
          <w:vertAlign w:val="superscript"/>
          <w:rtl/>
        </w:rPr>
        <w:footnoteReference w:id="70"/>
      </w:r>
      <w:r w:rsidRPr="003B5D33">
        <w:rPr>
          <w:rFonts w:eastAsia="Calibri"/>
          <w:rtl/>
        </w:rPr>
        <w:t xml:space="preserve"> והוועדה העסקית</w:t>
      </w:r>
      <w:r>
        <w:rPr>
          <w:rFonts w:eastAsia="Calibri"/>
          <w:vertAlign w:val="superscript"/>
          <w:rtl/>
        </w:rPr>
        <w:footnoteReference w:id="71"/>
      </w:r>
      <w:r w:rsidRPr="003B5D33">
        <w:rPr>
          <w:rFonts w:eastAsia="Calibri"/>
          <w:rtl/>
        </w:rPr>
        <w:t xml:space="preserve"> </w:t>
      </w:r>
      <w:r w:rsidRPr="003B5D33">
        <w:rPr>
          <w:rFonts w:eastAsia="Calibri" w:hint="cs"/>
          <w:rtl/>
        </w:rPr>
        <w:t xml:space="preserve">נדרשות </w:t>
      </w:r>
      <w:r w:rsidRPr="003B5D33">
        <w:rPr>
          <w:rFonts w:eastAsia="Calibri"/>
          <w:rtl/>
        </w:rPr>
        <w:t>להיות מעורב</w:t>
      </w:r>
      <w:r w:rsidRPr="003B5D33">
        <w:rPr>
          <w:rFonts w:eastAsia="Calibri" w:hint="cs"/>
          <w:rtl/>
        </w:rPr>
        <w:t xml:space="preserve">ות </w:t>
      </w:r>
      <w:r w:rsidRPr="003B5D33">
        <w:rPr>
          <w:rFonts w:eastAsia="Calibri"/>
          <w:rtl/>
        </w:rPr>
        <w:t>בבדיקות ובבדיקות הקבלה</w:t>
      </w:r>
      <w:r>
        <w:rPr>
          <w:rFonts w:eastAsia="Calibri"/>
          <w:vertAlign w:val="superscript"/>
          <w:rtl/>
        </w:rPr>
        <w:footnoteReference w:id="72"/>
      </w:r>
      <w:r w:rsidRPr="003B5D33">
        <w:rPr>
          <w:rFonts w:eastAsia="Calibri" w:hint="cs"/>
          <w:rtl/>
        </w:rPr>
        <w:t>. בהנחיות אף נקבע</w:t>
      </w:r>
      <w:r>
        <w:rPr>
          <w:rFonts w:eastAsia="Calibri"/>
          <w:vertAlign w:val="superscript"/>
          <w:rtl/>
        </w:rPr>
        <w:footnoteReference w:id="73"/>
      </w:r>
      <w:r w:rsidRPr="003B5D33">
        <w:rPr>
          <w:rFonts w:eastAsia="Calibri" w:hint="cs"/>
          <w:rtl/>
        </w:rPr>
        <w:t xml:space="preserve"> כי </w:t>
      </w:r>
      <w:r w:rsidRPr="003B5D33">
        <w:rPr>
          <w:rFonts w:eastAsia="Calibri"/>
          <w:rtl/>
        </w:rPr>
        <w:t>"תיעוד, איכות ובקרת תוצרים ונתונים</w:t>
      </w:r>
      <w:r w:rsidRPr="003B5D33">
        <w:rPr>
          <w:rFonts w:eastAsia="Calibri" w:hint="cs"/>
          <w:rtl/>
        </w:rPr>
        <w:t xml:space="preserve">" </w:t>
      </w:r>
      <w:r w:rsidRPr="003B5D33">
        <w:rPr>
          <w:rFonts w:eastAsia="Calibri"/>
          <w:rtl/>
        </w:rPr>
        <w:t>בהיבט הטכנולוגי</w:t>
      </w:r>
      <w:r w:rsidRPr="003B5D33">
        <w:rPr>
          <w:rFonts w:eastAsia="Calibri" w:hint="cs"/>
          <w:rtl/>
        </w:rPr>
        <w:t xml:space="preserve"> הם </w:t>
      </w:r>
      <w:r w:rsidRPr="003B5D33">
        <w:rPr>
          <w:rFonts w:eastAsia="Calibri"/>
          <w:rtl/>
        </w:rPr>
        <w:t>נושא</w:t>
      </w:r>
      <w:r w:rsidRPr="003B5D33">
        <w:rPr>
          <w:rFonts w:eastAsia="Calibri" w:hint="cs"/>
          <w:rtl/>
        </w:rPr>
        <w:t>י</w:t>
      </w:r>
      <w:r w:rsidRPr="003B5D33">
        <w:rPr>
          <w:rFonts w:eastAsia="Calibri"/>
          <w:rtl/>
        </w:rPr>
        <w:t xml:space="preserve"> חובה במתודולוגיה סדורה</w:t>
      </w:r>
      <w:r w:rsidRPr="003B5D33">
        <w:rPr>
          <w:rFonts w:eastAsia="Calibri" w:hint="cs"/>
          <w:rtl/>
        </w:rPr>
        <w:t>, שעל כל משרד ממשלתי לעבוד לפיה</w:t>
      </w:r>
      <w:r>
        <w:rPr>
          <w:rFonts w:eastAsia="Calibri"/>
          <w:vertAlign w:val="superscript"/>
          <w:rtl/>
        </w:rPr>
        <w:footnoteReference w:id="74"/>
      </w:r>
      <w:r w:rsidRPr="003B5D33">
        <w:rPr>
          <w:rFonts w:eastAsia="Calibri"/>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במשרד החוץ הוטמע נוהל שבו נקבע כי </w:t>
      </w:r>
      <w:r w:rsidRPr="003B5D33">
        <w:rPr>
          <w:rFonts w:eastAsia="Calibri"/>
          <w:rtl/>
        </w:rPr>
        <w:t>לקראת המעבר ל</w:t>
      </w:r>
      <w:r w:rsidRPr="003B5D33">
        <w:rPr>
          <w:rFonts w:eastAsia="Calibri" w:hint="cs"/>
          <w:rtl/>
        </w:rPr>
        <w:t>סביבת ה</w:t>
      </w:r>
      <w:r w:rsidRPr="003B5D33">
        <w:rPr>
          <w:rFonts w:eastAsia="Calibri"/>
          <w:rtl/>
        </w:rPr>
        <w:t xml:space="preserve">ייצור יש לוודא כי בוצעו כל הפעולות והבדיקות </w:t>
      </w:r>
      <w:r w:rsidRPr="003B5D33">
        <w:rPr>
          <w:rFonts w:eastAsia="Calibri" w:hint="cs"/>
          <w:rtl/>
        </w:rPr>
        <w:t>כדי ל</w:t>
      </w:r>
      <w:r w:rsidRPr="003B5D33">
        <w:rPr>
          <w:rFonts w:eastAsia="Calibri"/>
          <w:rtl/>
        </w:rPr>
        <w:t>אפשר פעולה תקינה של המערכת</w:t>
      </w:r>
      <w:r>
        <w:rPr>
          <w:rFonts w:eastAsia="Calibri"/>
          <w:vertAlign w:val="superscript"/>
          <w:rtl/>
        </w:rPr>
        <w:footnoteReference w:id="75"/>
      </w:r>
      <w:r w:rsidRPr="003B5D33">
        <w:rPr>
          <w:rFonts w:eastAsia="Calibri" w:hint="cs"/>
          <w:rtl/>
        </w:rPr>
        <w:t>, וכן נדרש אישור על סיום הבדיקות לקראת עלייה לאוויר</w:t>
      </w:r>
      <w:r>
        <w:rPr>
          <w:rFonts w:eastAsia="Calibri"/>
          <w:vertAlign w:val="superscript"/>
          <w:rtl/>
        </w:rPr>
        <w:footnoteReference w:id="76"/>
      </w:r>
      <w:r w:rsidRPr="003B5D33">
        <w:rPr>
          <w:rFonts w:eastAsia="Calibri" w:hint="cs"/>
          <w:rtl/>
        </w:rPr>
        <w:t xml:space="preserve"> ואישורי בדיקות קבלה, גמר בדיקות ובדיקת שפיות ושלמות. </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hint="cs"/>
          <w:b/>
          <w:bCs/>
          <w:rtl/>
        </w:rPr>
        <w:t>בביקורת הועלה כ</w:t>
      </w:r>
      <w:r w:rsidRPr="003B5D33">
        <w:rPr>
          <w:rFonts w:eastAsia="Calibri"/>
          <w:b/>
          <w:bCs/>
          <w:rtl/>
        </w:rPr>
        <w:t>י</w:t>
      </w:r>
      <w:r w:rsidRPr="003B5D33">
        <w:rPr>
          <w:rFonts w:eastAsia="Calibri" w:hint="cs"/>
          <w:b/>
          <w:bCs/>
          <w:rtl/>
        </w:rPr>
        <w:t xml:space="preserve"> משרד החוץ לא ביצע את כלל הבדיקות הנדרשות בתהליך הפיתוח</w:t>
      </w:r>
      <w:r w:rsidRPr="003B5D33">
        <w:rPr>
          <w:rFonts w:eastAsia="Calibri"/>
          <w:b/>
          <w:bCs/>
          <w:rtl/>
        </w:rPr>
        <w:t xml:space="preserve">. </w:t>
      </w:r>
      <w:r w:rsidRPr="003B5D33">
        <w:rPr>
          <w:rFonts w:eastAsia="Calibri" w:hint="cs"/>
          <w:b/>
          <w:bCs/>
          <w:rtl/>
        </w:rPr>
        <w:t xml:space="preserve">זאת </w:t>
      </w:r>
      <w:r w:rsidRPr="003B5D33">
        <w:rPr>
          <w:rFonts w:eastAsia="Calibri"/>
          <w:b/>
          <w:bCs/>
          <w:rtl/>
        </w:rPr>
        <w:t>על אף הנחיות מערך הדיגיטל ונוהל משרד החוץ</w:t>
      </w:r>
      <w:r w:rsidRPr="003B5D33">
        <w:rPr>
          <w:rFonts w:eastAsia="Calibri" w:hint="cs"/>
          <w:b/>
          <w:bCs/>
          <w:rtl/>
        </w:rPr>
        <w:t xml:space="preserve"> בנושא לפיהן יש </w:t>
      </w:r>
      <w:r w:rsidRPr="003B5D33">
        <w:rPr>
          <w:rFonts w:eastAsia="Calibri"/>
          <w:b/>
          <w:bCs/>
          <w:rtl/>
        </w:rPr>
        <w:t>חובה לבצע בדיקות טרם התקנת מערכת מידע</w:t>
      </w:r>
      <w:r w:rsidRPr="003B5D33">
        <w:rPr>
          <w:rFonts w:eastAsia="Calibri" w:hint="cs"/>
          <w:b/>
          <w:bCs/>
          <w:rtl/>
        </w:rPr>
        <w:t>.</w:t>
      </w:r>
      <w:r w:rsidRPr="003B5D33">
        <w:rPr>
          <w:rFonts w:eastAsia="Calibri"/>
          <w:b/>
          <w:bCs/>
          <w:rtl/>
        </w:rPr>
        <w:t xml:space="preserve"> </w:t>
      </w:r>
      <w:r w:rsidRPr="003B5D33">
        <w:rPr>
          <w:rFonts w:eastAsia="Calibri" w:hint="cs"/>
          <w:b/>
          <w:bCs/>
          <w:rtl/>
        </w:rPr>
        <w:t>עוד עלה שלא מבוצעות בדיקות לא פונקציונליות</w:t>
      </w:r>
      <w:r>
        <w:rPr>
          <w:rFonts w:eastAsia="Calibri"/>
          <w:b/>
          <w:bCs/>
          <w:vertAlign w:val="superscript"/>
          <w:rtl/>
        </w:rPr>
        <w:footnoteReference w:id="77"/>
      </w:r>
      <w:r w:rsidRPr="003B5D33">
        <w:rPr>
          <w:rFonts w:eastAsia="Calibri" w:hint="cs"/>
          <w:b/>
          <w:bCs/>
          <w:rtl/>
        </w:rPr>
        <w:t xml:space="preserve"> - כגון בדיקות מאמץ, </w:t>
      </w:r>
      <w:r w:rsidRPr="003B5D33">
        <w:rPr>
          <w:rFonts w:eastAsia="Calibri"/>
          <w:b/>
          <w:bCs/>
          <w:rtl/>
        </w:rPr>
        <w:t>עומס</w:t>
      </w:r>
      <w:r w:rsidRPr="003B5D33">
        <w:rPr>
          <w:rFonts w:eastAsia="Calibri" w:hint="cs"/>
          <w:b/>
          <w:bCs/>
          <w:rtl/>
        </w:rPr>
        <w:t xml:space="preserve">, </w:t>
      </w:r>
      <w:r w:rsidRPr="003B5D33">
        <w:rPr>
          <w:rFonts w:eastAsia="Calibri"/>
          <w:b/>
          <w:bCs/>
          <w:rtl/>
        </w:rPr>
        <w:t>ביצועים</w:t>
      </w:r>
      <w:r w:rsidRPr="003B5D33">
        <w:rPr>
          <w:rFonts w:eastAsia="Calibri" w:hint="cs"/>
          <w:b/>
          <w:bCs/>
          <w:rtl/>
        </w:rPr>
        <w:t xml:space="preserve">, תאימות והתאוששות - </w:t>
      </w:r>
      <w:r w:rsidRPr="003B5D33">
        <w:rPr>
          <w:rFonts w:eastAsia="Calibri"/>
          <w:b/>
          <w:bCs/>
          <w:rtl/>
        </w:rPr>
        <w:t>לפני העלאת</w:t>
      </w:r>
      <w:r w:rsidRPr="003B5D33">
        <w:rPr>
          <w:rFonts w:eastAsia="Calibri" w:hint="cs"/>
          <w:b/>
          <w:bCs/>
          <w:rtl/>
        </w:rPr>
        <w:t xml:space="preserve"> מערכת או רכיב חדש </w:t>
      </w:r>
      <w:r w:rsidRPr="003B5D33">
        <w:rPr>
          <w:rFonts w:eastAsia="Calibri"/>
          <w:b/>
          <w:bCs/>
          <w:rtl/>
        </w:rPr>
        <w:t>לאוויר</w:t>
      </w:r>
      <w:r w:rsidRPr="003B5D33">
        <w:rPr>
          <w:rFonts w:eastAsia="Calibri" w:hint="cs"/>
          <w:b/>
          <w:bCs/>
          <w:rtl/>
        </w:rPr>
        <w:t>, כפי שמקובל בכל מתודולוגיה מקובלת בתחום</w:t>
      </w:r>
      <w:r>
        <w:rPr>
          <w:rFonts w:eastAsia="Calibri"/>
          <w:b/>
          <w:bCs/>
          <w:vertAlign w:val="superscript"/>
          <w:rtl/>
        </w:rPr>
        <w:footnoteReference w:id="78"/>
      </w:r>
      <w:r w:rsidRPr="003B5D33">
        <w:rPr>
          <w:rFonts w:eastAsia="Calibri" w:hint="cs"/>
          <w:b/>
          <w:bCs/>
          <w:rtl/>
        </w:rPr>
        <w:t xml:space="preserve">. הפערים בביצוע הבדיקות </w:t>
      </w:r>
      <w:r w:rsidRPr="003B5D33">
        <w:rPr>
          <w:rFonts w:eastAsia="Calibri"/>
          <w:b/>
          <w:bCs/>
          <w:rtl/>
        </w:rPr>
        <w:t xml:space="preserve">חושפים את משרד </w:t>
      </w:r>
      <w:r w:rsidRPr="003B5D33">
        <w:rPr>
          <w:rFonts w:eastAsia="Calibri" w:hint="cs"/>
          <w:b/>
          <w:bCs/>
          <w:rtl/>
        </w:rPr>
        <w:t xml:space="preserve">החוץ </w:t>
      </w:r>
      <w:r w:rsidRPr="003B5D33">
        <w:rPr>
          <w:rFonts w:eastAsia="Calibri"/>
          <w:b/>
          <w:bCs/>
          <w:rtl/>
        </w:rPr>
        <w:t xml:space="preserve">לסיכונים </w:t>
      </w:r>
      <w:r w:rsidRPr="003B5D33">
        <w:rPr>
          <w:rFonts w:eastAsia="Calibri" w:hint="cs"/>
          <w:b/>
          <w:bCs/>
          <w:rtl/>
        </w:rPr>
        <w:t xml:space="preserve">ניכרים, ובהם </w:t>
      </w:r>
      <w:r w:rsidRPr="003B5D33">
        <w:rPr>
          <w:rFonts w:eastAsia="Calibri"/>
          <w:b/>
          <w:bCs/>
          <w:rtl/>
        </w:rPr>
        <w:t>אי</w:t>
      </w:r>
      <w:r w:rsidRPr="003B5D33">
        <w:rPr>
          <w:rFonts w:eastAsia="Calibri" w:hint="cs"/>
          <w:b/>
          <w:bCs/>
          <w:rtl/>
        </w:rPr>
        <w:t>-</w:t>
      </w:r>
      <w:r w:rsidRPr="003B5D33">
        <w:rPr>
          <w:rFonts w:eastAsia="Calibri"/>
          <w:b/>
          <w:bCs/>
          <w:rtl/>
        </w:rPr>
        <w:t>איתור בעיות קריטיות בתהליך הפיתוח</w:t>
      </w:r>
      <w:r w:rsidRPr="003B5D33">
        <w:rPr>
          <w:rFonts w:eastAsia="Calibri" w:hint="cs"/>
          <w:b/>
          <w:bCs/>
          <w:rtl/>
        </w:rPr>
        <w:t xml:space="preserve">, </w:t>
      </w:r>
      <w:r w:rsidRPr="003B5D33">
        <w:rPr>
          <w:rFonts w:eastAsia="Calibri"/>
          <w:b/>
          <w:bCs/>
          <w:rtl/>
        </w:rPr>
        <w:t>ריבוי תקלות בתפקוד המערכות, פגיעה בזמינות השירותים</w:t>
      </w:r>
      <w:r w:rsidRPr="003B5D33">
        <w:rPr>
          <w:rFonts w:eastAsia="Calibri" w:hint="cs"/>
          <w:b/>
          <w:bCs/>
          <w:rtl/>
        </w:rPr>
        <w:t xml:space="preserve">, עיכובים בהעלאת המערכות, </w:t>
      </w:r>
      <w:r w:rsidRPr="003B5D33">
        <w:rPr>
          <w:rFonts w:eastAsia="Calibri"/>
          <w:b/>
          <w:bCs/>
          <w:rtl/>
        </w:rPr>
        <w:t xml:space="preserve">הוצאות כספיות </w:t>
      </w:r>
      <w:r w:rsidRPr="003B5D33">
        <w:rPr>
          <w:rFonts w:eastAsia="Calibri" w:hint="cs"/>
          <w:b/>
          <w:bCs/>
          <w:rtl/>
        </w:rPr>
        <w:t xml:space="preserve">חריגות לשם </w:t>
      </w:r>
      <w:r w:rsidRPr="003B5D33">
        <w:rPr>
          <w:rFonts w:eastAsia="Calibri"/>
          <w:b/>
          <w:bCs/>
          <w:rtl/>
        </w:rPr>
        <w:t xml:space="preserve">תיקונים מאוחרים </w:t>
      </w:r>
      <w:r w:rsidRPr="003B5D33">
        <w:rPr>
          <w:rFonts w:eastAsia="Calibri" w:hint="cs"/>
          <w:b/>
          <w:bCs/>
          <w:rtl/>
        </w:rPr>
        <w:t xml:space="preserve">וחשש </w:t>
      </w:r>
      <w:r w:rsidRPr="003B5D33">
        <w:rPr>
          <w:rFonts w:eastAsia="Calibri"/>
          <w:b/>
          <w:bCs/>
          <w:rtl/>
        </w:rPr>
        <w:t xml:space="preserve">לקריסת מערכות </w:t>
      </w:r>
      <w:r w:rsidRPr="003B5D33">
        <w:rPr>
          <w:rFonts w:eastAsia="Calibri" w:hint="cs"/>
          <w:b/>
          <w:bCs/>
          <w:rtl/>
        </w:rPr>
        <w:t>בשל עומסים.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מסר בתשובתו מאוקטובר 2025 כי </w:t>
      </w:r>
      <w:r w:rsidRPr="003B5D33">
        <w:rPr>
          <w:rFonts w:eastAsia="Calibri"/>
          <w:rtl/>
        </w:rPr>
        <w:t>מחסור במשאבי בדיקות אינו מאפשר כיסוי לכלל הפרויקטים</w:t>
      </w:r>
      <w:r w:rsidRPr="003B5D33">
        <w:rPr>
          <w:rFonts w:eastAsia="Calibri" w:hint="cs"/>
          <w:rtl/>
        </w:rPr>
        <w:t>, וכי בכל הקשור</w:t>
      </w:r>
      <w:r w:rsidRPr="003B5D33">
        <w:rPr>
          <w:rFonts w:eastAsia="Calibri"/>
          <w:rtl/>
        </w:rPr>
        <w:t xml:space="preserve"> </w:t>
      </w:r>
      <w:r w:rsidRPr="003B5D33">
        <w:rPr>
          <w:rFonts w:eastAsia="Calibri" w:hint="cs"/>
          <w:rtl/>
        </w:rPr>
        <w:t>ל</w:t>
      </w:r>
      <w:r w:rsidRPr="003B5D33">
        <w:rPr>
          <w:rFonts w:eastAsia="Calibri"/>
          <w:rtl/>
        </w:rPr>
        <w:t>עלות-תועלת</w:t>
      </w:r>
      <w:r w:rsidRPr="003B5D33">
        <w:rPr>
          <w:rFonts w:eastAsia="Calibri" w:hint="cs"/>
          <w:rtl/>
        </w:rPr>
        <w:t>,</w:t>
      </w:r>
      <w:r w:rsidRPr="003B5D33">
        <w:rPr>
          <w:rFonts w:eastAsia="Calibri"/>
          <w:rtl/>
        </w:rPr>
        <w:t xml:space="preserve"> נכון לתעל את משאבי הבדיקות לבדיקות הפונקציונליות</w:t>
      </w:r>
      <w:r w:rsidRPr="003B5D33">
        <w:rPr>
          <w:rFonts w:eastAsia="Calibri" w:hint="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Pr>
      </w:pPr>
      <w:r w:rsidRPr="003B5D33">
        <w:rPr>
          <w:rFonts w:eastAsia="Calibri" w:hint="cs"/>
          <w:b/>
          <w:bCs/>
          <w:rtl/>
        </w:rPr>
        <w:t xml:space="preserve">על משרד החוץ </w:t>
      </w:r>
      <w:r w:rsidRPr="003B5D33">
        <w:rPr>
          <w:rFonts w:eastAsia="Calibri"/>
          <w:b/>
          <w:bCs/>
          <w:rtl/>
        </w:rPr>
        <w:t xml:space="preserve">להבטיח </w:t>
      </w:r>
      <w:r w:rsidRPr="003B5D33">
        <w:rPr>
          <w:rFonts w:eastAsia="Calibri" w:hint="cs"/>
          <w:b/>
          <w:bCs/>
          <w:rtl/>
        </w:rPr>
        <w:t>את ביצוען של כל הבדיקות הנדרשות לפי הנחיות מערך הדיגיטל ונוהלי משרד החוץ בשלבים הנדרשים וטרם העברת המערכת למשתמשים, תוך הקפדה על תיעוד נאות של תוצאות הבדיקות.</w:t>
      </w:r>
      <w:r w:rsidRPr="003B5D33">
        <w:rPr>
          <w:rFonts w:eastAsia="Calibri"/>
          <w:b/>
          <w:bCs/>
          <w:rtl/>
        </w:rPr>
        <w:t xml:space="preserve"> </w:t>
      </w:r>
      <w:r w:rsidRPr="003B5D33">
        <w:rPr>
          <w:rFonts w:eastAsia="Calibri" w:hint="cs"/>
          <w:b/>
          <w:bCs/>
          <w:rtl/>
        </w:rPr>
        <w:t>ביצוע הבדיקות כאמור חיוני להבטחת איכות המערכת ושמירה על תפקוד נכון ויעיל שלה, תוך מניעת בעיות עתידיות ועמידה בדרישות הלקוח.</w:t>
      </w:r>
    </w:p>
    <w:p w:rsidR="003B5D33" w:rsidRPr="003B5D33" w:rsidP="003B5D33">
      <w:pPr>
        <w:spacing w:line="269" w:lineRule="auto"/>
        <w:rPr>
          <w:rFonts w:eastAsia="Calibri"/>
          <w:b/>
          <w:bCs/>
          <w:rtl/>
        </w:rPr>
      </w:pPr>
    </w:p>
    <w:p w:rsidR="003B5D33" w:rsidRPr="003B5D33" w:rsidP="003B5D33">
      <w:pPr>
        <w:keepNext/>
        <w:keepLines/>
        <w:spacing w:line="269" w:lineRule="auto"/>
        <w:outlineLvl w:val="3"/>
        <w:rPr>
          <w:rFonts w:eastAsia="Times New Roman"/>
          <w:bCs/>
          <w:color w:val="FF0000"/>
          <w:szCs w:val="26"/>
          <w:rtl/>
        </w:rPr>
      </w:pPr>
      <w:r w:rsidRPr="003B5D33">
        <w:rPr>
          <w:rFonts w:eastAsia="Times New Roman" w:hint="cs"/>
          <w:bCs/>
          <w:szCs w:val="26"/>
          <w:rtl/>
        </w:rPr>
        <w:t xml:space="preserve">פיתוח מערכת מידע </w:t>
      </w:r>
      <w:r w:rsidRPr="003B5D33">
        <w:rPr>
          <w:rFonts w:eastAsia="Times New Roman" w:hint="eastAsia"/>
          <w:bCs/>
          <w:szCs w:val="26"/>
          <w:rtl/>
        </w:rPr>
        <w:t>מסוימת</w:t>
      </w:r>
      <w:r w:rsidRPr="003B5D33">
        <w:rPr>
          <w:rFonts w:eastAsia="Times New Roman"/>
          <w:bCs/>
          <w:szCs w:val="26"/>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במסגרת בחינת </w:t>
      </w:r>
      <w:r w:rsidRPr="003B5D33">
        <w:rPr>
          <w:rFonts w:eastAsia="Calibri"/>
          <w:rtl/>
        </w:rPr>
        <w:t>פיתוח</w:t>
      </w:r>
      <w:r w:rsidRPr="003B5D33">
        <w:rPr>
          <w:rFonts w:eastAsia="Calibri" w:hint="cs"/>
          <w:rtl/>
        </w:rPr>
        <w:t xml:space="preserve"> וניהול</w:t>
      </w:r>
      <w:r w:rsidRPr="003B5D33">
        <w:rPr>
          <w:rFonts w:eastAsia="Calibri"/>
          <w:rtl/>
        </w:rPr>
        <w:t xml:space="preserve"> </w:t>
      </w:r>
      <w:r w:rsidRPr="003B5D33">
        <w:rPr>
          <w:rFonts w:eastAsia="Calibri" w:hint="cs"/>
          <w:rtl/>
        </w:rPr>
        <w:t>ה</w:t>
      </w:r>
      <w:r w:rsidRPr="003B5D33">
        <w:rPr>
          <w:rFonts w:eastAsia="Calibri"/>
          <w:rtl/>
        </w:rPr>
        <w:t>פרויקטים במשרד החוץ</w:t>
      </w:r>
      <w:r w:rsidRPr="003B5D33">
        <w:rPr>
          <w:rFonts w:eastAsia="Calibri" w:hint="cs"/>
          <w:rtl/>
        </w:rPr>
        <w:t>, ביצע משרד מבקר המדינה</w:t>
      </w:r>
      <w:r w:rsidRPr="003B5D33">
        <w:rPr>
          <w:rFonts w:eastAsia="Calibri"/>
          <w:rtl/>
        </w:rPr>
        <w:t xml:space="preserve"> בחינה </w:t>
      </w:r>
      <w:r w:rsidRPr="003B5D33">
        <w:rPr>
          <w:rFonts w:eastAsia="Calibri" w:hint="cs"/>
          <w:rtl/>
        </w:rPr>
        <w:t>ספציפית</w:t>
      </w:r>
      <w:r w:rsidRPr="003B5D33">
        <w:rPr>
          <w:rFonts w:eastAsia="Calibri"/>
          <w:rtl/>
        </w:rPr>
        <w:t xml:space="preserve"> ב</w:t>
      </w:r>
      <w:r w:rsidRPr="003B5D33">
        <w:rPr>
          <w:rFonts w:eastAsia="Calibri" w:hint="cs"/>
          <w:rtl/>
        </w:rPr>
        <w:t xml:space="preserve">נוגע </w:t>
      </w:r>
      <w:r w:rsidRPr="003B5D33">
        <w:rPr>
          <w:rFonts w:eastAsia="Calibri"/>
          <w:rtl/>
        </w:rPr>
        <w:t xml:space="preserve">לפיתוח אחת ממערכות </w:t>
      </w:r>
      <w:r w:rsidRPr="003B5D33">
        <w:rPr>
          <w:rFonts w:eastAsia="Calibri" w:hint="eastAsia"/>
          <w:rtl/>
        </w:rPr>
        <w:t>המידע</w:t>
      </w:r>
      <w:r w:rsidRPr="003B5D33">
        <w:rPr>
          <w:rFonts w:eastAsia="Calibri"/>
          <w:rtl/>
        </w:rPr>
        <w:t xml:space="preserve"> במשרד החוץ</w:t>
      </w:r>
      <w:r w:rsidRPr="003B5D33">
        <w:rPr>
          <w:rFonts w:eastAsia="Calibri" w:hint="cs"/>
          <w:rtl/>
        </w:rPr>
        <w:t xml:space="preserve"> </w:t>
      </w:r>
      <w:r w:rsidRPr="003B5D33">
        <w:rPr>
          <w:rFonts w:eastAsia="Calibri"/>
          <w:rtl/>
        </w:rPr>
        <w:t>-</w:t>
      </w:r>
      <w:r w:rsidRPr="003B5D33">
        <w:rPr>
          <w:rFonts w:eastAsia="Calibri" w:hint="cs"/>
          <w:rtl/>
        </w:rPr>
        <w:t xml:space="preserve"> להלן הפרטים.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מערכת המידע הקונסולרית של משרד החוץ פותחה בשנת 2002 לצורך מתן שירותים קונסולריים במטה בישראל ובנציגויות ישראל ברחבי העולם.</w:t>
      </w:r>
      <w:r w:rsidRPr="003B5D33">
        <w:rPr>
          <w:rFonts w:eastAsia="Calibri"/>
          <w:rtl/>
        </w:rPr>
        <w:t xml:space="preserve"> </w:t>
      </w:r>
      <w:r w:rsidRPr="003B5D33">
        <w:rPr>
          <w:rFonts w:eastAsia="Calibri" w:hint="cs"/>
          <w:rtl/>
        </w:rPr>
        <w:t xml:space="preserve">בין </w:t>
      </w:r>
      <w:r w:rsidRPr="003B5D33">
        <w:rPr>
          <w:rFonts w:eastAsia="Calibri"/>
          <w:rtl/>
        </w:rPr>
        <w:t>השירותים הניתנים באמצעות המערכת:</w:t>
      </w:r>
      <w:r w:rsidRPr="003B5D33">
        <w:rPr>
          <w:rFonts w:eastAsia="Calibri" w:hint="cs"/>
          <w:rtl/>
        </w:rPr>
        <w:t xml:space="preserve"> </w:t>
      </w:r>
      <w:r w:rsidRPr="003B5D33">
        <w:rPr>
          <w:rFonts w:eastAsia="Calibri"/>
          <w:rtl/>
        </w:rPr>
        <w:t>הנפקת מסמכי נסיעה ואשרות</w:t>
      </w:r>
      <w:r w:rsidRPr="003B5D33">
        <w:rPr>
          <w:rFonts w:eastAsia="Calibri" w:hint="cs"/>
          <w:rtl/>
        </w:rPr>
        <w:t>, ס</w:t>
      </w:r>
      <w:r w:rsidRPr="003B5D33">
        <w:rPr>
          <w:rFonts w:eastAsia="Calibri"/>
          <w:rtl/>
        </w:rPr>
        <w:t>יוע לאזרחים במצוקה</w:t>
      </w:r>
      <w:r w:rsidRPr="003B5D33">
        <w:rPr>
          <w:rFonts w:eastAsia="Calibri" w:hint="cs"/>
          <w:rtl/>
        </w:rPr>
        <w:t xml:space="preserve">, </w:t>
      </w:r>
      <w:r w:rsidRPr="003B5D33">
        <w:rPr>
          <w:rFonts w:eastAsia="Calibri"/>
          <w:rtl/>
        </w:rPr>
        <w:t>שירותים נוטריוניים</w:t>
      </w:r>
      <w:r w:rsidRPr="003B5D33">
        <w:rPr>
          <w:rFonts w:eastAsia="Calibri" w:hint="cs"/>
          <w:rtl/>
        </w:rPr>
        <w:t xml:space="preserve">, רישומי </w:t>
      </w:r>
      <w:r w:rsidRPr="003B5D33">
        <w:rPr>
          <w:rFonts w:eastAsia="Calibri"/>
          <w:rtl/>
        </w:rPr>
        <w:t>מעמד אישי,</w:t>
      </w:r>
      <w:r w:rsidRPr="003B5D33">
        <w:rPr>
          <w:rFonts w:eastAsia="Calibri" w:hint="cs"/>
          <w:rtl/>
        </w:rPr>
        <w:t xml:space="preserve"> טיפול בעצורים ואסירים ישראלים בחו"ל</w:t>
      </w:r>
      <w:r w:rsidRPr="003B5D33">
        <w:rPr>
          <w:rFonts w:eastAsia="Calibri"/>
          <w:rtl/>
        </w:rPr>
        <w:t xml:space="preserve"> </w:t>
      </w:r>
      <w:r w:rsidRPr="003B5D33">
        <w:rPr>
          <w:rFonts w:eastAsia="Calibri" w:hint="cs"/>
          <w:rtl/>
        </w:rPr>
        <w:t xml:space="preserve">ועוד.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בשנת 2015 עלה הצורך להחליף את מערכת המידע. באותה העת, ממוצע השימוש במערכת היה </w:t>
      </w:r>
      <w:r w:rsidR="00DA2F85">
        <w:rPr>
          <w:rFonts w:eastAsia="Calibri"/>
          <w:rtl/>
        </w:rPr>
        <w:br/>
      </w:r>
      <w:r w:rsidRPr="003B5D33">
        <w:rPr>
          <w:rFonts w:eastAsia="Calibri" w:hint="cs"/>
          <w:rtl/>
        </w:rPr>
        <w:t xml:space="preserve">כ-1,000 פעמים מדי יממה, במעל 100 נציגויות ישראל ברחבי העולם, עם מאות משתמשים פעילים בנציגויות ועשרות משתמשים פעילים באגף הקונסולרי במטה המשרד בארץ.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מטרת החלפת המערכת הייתה מעבר לתשתית וטכנולוגיה מתקדמות, עיצוב מודרני, שיפור ושדרוג השיטה, הוספת תהליכים שלא קיימים, שיפור השירות הקונסולרי ושיפור יכולות הפיקוח והבקרה. לשם כך הוחלט על הקמת מערכת חדשה, שתפעל בטכנולוגיה מתקדמת ותכלול את כל הפונקציונליות הקיימת ומודולים</w:t>
      </w:r>
      <w:r>
        <w:rPr>
          <w:rFonts w:eastAsia="Calibri"/>
          <w:vertAlign w:val="superscript"/>
          <w:rtl/>
        </w:rPr>
        <w:footnoteReference w:id="79"/>
      </w:r>
      <w:r w:rsidRPr="003B5D33">
        <w:rPr>
          <w:rFonts w:eastAsia="Calibri" w:hint="cs"/>
          <w:rtl/>
        </w:rPr>
        <w:t xml:space="preserve"> נוספים בנושאים שלעיל. הפיתוח פוצל למודולים שונים בהתאם לתחומי הפעילות של המערכת, ותוכנן כך שכל מודול יועלה בנפרד לאחר סיום פיתוחו, כאשר הפונקציונליות תהיה מפוצלת בין שתי המערכות בהתאם להתקדמות, ושתי המערכות יתקיימו במקביל עד לתום פיתוח המערכת החדשה.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 xml:space="preserve">פיתוח </w:t>
      </w:r>
      <w:r w:rsidRPr="003B5D33">
        <w:rPr>
          <w:rFonts w:eastAsia="Calibri" w:hint="cs"/>
          <w:b/>
          <w:bCs/>
          <w:rtl/>
        </w:rPr>
        <w:t>המערכת</w:t>
      </w:r>
      <w:r w:rsidRPr="003B5D33">
        <w:rPr>
          <w:rFonts w:eastAsia="Calibri"/>
          <w:b/>
          <w:bCs/>
          <w:rtl/>
        </w:rPr>
        <w:t xml:space="preserve">, </w:t>
      </w:r>
      <w:r w:rsidRPr="003B5D33">
        <w:rPr>
          <w:rFonts w:eastAsia="Calibri" w:hint="cs"/>
          <w:b/>
          <w:bCs/>
          <w:rtl/>
        </w:rPr>
        <w:t>ש</w:t>
      </w:r>
      <w:r w:rsidRPr="003B5D33">
        <w:rPr>
          <w:rFonts w:eastAsia="Calibri"/>
          <w:b/>
          <w:bCs/>
          <w:rtl/>
        </w:rPr>
        <w:t xml:space="preserve">נועדה להחליף מערכת </w:t>
      </w:r>
      <w:r w:rsidRPr="003B5D33">
        <w:rPr>
          <w:rFonts w:eastAsia="Calibri" w:hint="cs"/>
          <w:b/>
          <w:bCs/>
          <w:rtl/>
        </w:rPr>
        <w:t>מסוימת למתן השירותים הקונסולריים בישראל ובנציגויות המשרד ברחבי העולם, לניהול הקשר עם אזרחי ישראל השוהים בחו"ל ול</w:t>
      </w:r>
      <w:r w:rsidRPr="003B5D33">
        <w:rPr>
          <w:rFonts w:eastAsia="Calibri"/>
          <w:b/>
          <w:bCs/>
          <w:rtl/>
        </w:rPr>
        <w:t>שיפור השירות הקונסולרי</w:t>
      </w:r>
      <w:r w:rsidRPr="003B5D33">
        <w:rPr>
          <w:rFonts w:eastAsia="Calibri" w:hint="cs"/>
          <w:b/>
          <w:bCs/>
          <w:rtl/>
        </w:rPr>
        <w:t xml:space="preserve"> </w:t>
      </w:r>
      <w:r w:rsidRPr="003B5D33">
        <w:rPr>
          <w:rFonts w:eastAsia="Calibri"/>
          <w:b/>
          <w:bCs/>
          <w:rtl/>
        </w:rPr>
        <w:t>נתקל בקשיים ניכרים</w:t>
      </w:r>
      <w:r w:rsidRPr="003B5D33">
        <w:rPr>
          <w:rFonts w:eastAsia="Calibri" w:hint="cs"/>
          <w:b/>
          <w:bCs/>
          <w:rtl/>
        </w:rPr>
        <w:t xml:space="preserve">, כפי שיפורט להלן. </w:t>
      </w:r>
    </w:p>
    <w:p w:rsidR="003B5D33" w:rsidRPr="003B5D33" w:rsidP="003B5D33">
      <w:pPr>
        <w:spacing w:line="269" w:lineRule="auto"/>
        <w:rPr>
          <w:rFonts w:eastAsia="Calibri"/>
          <w:b/>
          <w:bCs/>
          <w:rtl/>
        </w:rPr>
      </w:pPr>
    </w:p>
    <w:p w:rsidR="003B5D33" w:rsidRPr="003B5D33" w:rsidP="003B5D33">
      <w:pPr>
        <w:numPr>
          <w:ilvl w:val="0"/>
          <w:numId w:val="14"/>
        </w:numPr>
        <w:spacing w:line="269" w:lineRule="auto"/>
        <w:ind w:left="312"/>
        <w:contextualSpacing/>
        <w:rPr>
          <w:rFonts w:eastAsia="Calibri"/>
          <w:b/>
          <w:rtl/>
        </w:rPr>
      </w:pPr>
      <w:r w:rsidRPr="003B5D33">
        <w:rPr>
          <w:rFonts w:eastAsia="Times New Roman"/>
          <w:bCs/>
          <w:spacing w:val="40"/>
          <w:rtl/>
        </w:rPr>
        <w:t>חריגה בלוחות הזמנים</w:t>
      </w:r>
      <w:r w:rsidRPr="003B5D33">
        <w:rPr>
          <w:rFonts w:eastAsia="Times New Roman" w:hint="cs"/>
          <w:bCs/>
          <w:spacing w:val="40"/>
          <w:rtl/>
        </w:rPr>
        <w:t>:</w:t>
      </w:r>
      <w:r w:rsidRPr="003B5D33">
        <w:rPr>
          <w:rFonts w:eastAsia="Calibri" w:hint="cs"/>
          <w:rtl/>
        </w:rPr>
        <w:t xml:space="preserve"> במסמכי הפרויקט משנת 2015 צוין כי פיתוח כל המערכת מתוכנן להסתיים ברבעון הראשון של שנת 2018. </w:t>
      </w:r>
      <w:r w:rsidRPr="003B5D33">
        <w:rPr>
          <w:rFonts w:eastAsia="Calibri" w:hint="cs"/>
          <w:b/>
          <w:rtl/>
        </w:rPr>
        <w:t>במסמך בנושא</w:t>
      </w:r>
      <w:r w:rsidRPr="003B5D33">
        <w:rPr>
          <w:rFonts w:eastAsia="Calibri"/>
          <w:b/>
          <w:rtl/>
        </w:rPr>
        <w:t xml:space="preserve"> מ</w:t>
      </w:r>
      <w:r w:rsidRPr="003B5D33">
        <w:rPr>
          <w:rFonts w:eastAsia="Calibri" w:hint="cs"/>
          <w:b/>
          <w:rtl/>
        </w:rPr>
        <w:t xml:space="preserve">שנת 2021, צוין שהפרויקט היה אמור להסתיים בשנת 2019, ושבדיעבד עולה "שהערכת הזמנים וההשקעה בעת תכנון הפרויקט לקתה בחסר", ומוערך כי ידרשו עוד שש שנות פיתוח כדי לסיים את הפרויקט, כאשר ההערכה הראשונית של משך פיתוח השלב הראשון היא כשלוש שנים וחצי. </w:t>
      </w:r>
    </w:p>
    <w:p w:rsidR="003B5D33" w:rsidRPr="003B5D33" w:rsidP="003B5D33">
      <w:pPr>
        <w:spacing w:line="269" w:lineRule="auto"/>
        <w:ind w:left="312"/>
        <w:rPr>
          <w:rFonts w:eastAsia="Calibri"/>
          <w:b/>
          <w:rtl/>
        </w:rPr>
      </w:pPr>
    </w:p>
    <w:p w:rsidR="003B5D33" w:rsidRPr="003B5D33" w:rsidP="003B5D33">
      <w:pPr>
        <w:spacing w:line="269" w:lineRule="auto"/>
        <w:ind w:left="312"/>
        <w:rPr>
          <w:rFonts w:eastAsia="Calibri"/>
          <w:b/>
          <w:rtl/>
        </w:rPr>
      </w:pPr>
      <w:r w:rsidRPr="003B5D33">
        <w:rPr>
          <w:rFonts w:eastAsia="Calibri" w:hint="cs"/>
          <w:b/>
          <w:rtl/>
        </w:rPr>
        <w:t>ביולי 2024 התכנסה לראשונה ועדת ה</w:t>
      </w:r>
      <w:r w:rsidRPr="003B5D33">
        <w:rPr>
          <w:rFonts w:eastAsia="Calibri"/>
          <w:b/>
          <w:rtl/>
        </w:rPr>
        <w:t>יגוי</w:t>
      </w:r>
      <w:r w:rsidRPr="003B5D33">
        <w:rPr>
          <w:rFonts w:eastAsia="Calibri" w:hint="cs"/>
          <w:b/>
          <w:rtl/>
        </w:rPr>
        <w:t xml:space="preserve"> </w:t>
      </w:r>
      <w:r w:rsidRPr="003B5D33">
        <w:rPr>
          <w:rFonts w:eastAsia="Calibri"/>
          <w:b/>
          <w:rtl/>
        </w:rPr>
        <w:t>קונסולרית</w:t>
      </w:r>
      <w:r w:rsidRPr="003B5D33">
        <w:rPr>
          <w:rFonts w:eastAsia="Calibri" w:hint="cs"/>
          <w:b/>
          <w:rtl/>
        </w:rPr>
        <w:t xml:space="preserve">. במסמך סיכום ועדת ההיגוי צוין כי </w:t>
      </w:r>
      <w:r w:rsidRPr="003B5D33">
        <w:rPr>
          <w:rFonts w:eastAsia="Calibri"/>
          <w:b/>
          <w:rtl/>
        </w:rPr>
        <w:t xml:space="preserve">נכון לכוח </w:t>
      </w:r>
      <w:r w:rsidRPr="003B5D33">
        <w:rPr>
          <w:rFonts w:eastAsia="Calibri" w:hint="cs"/>
          <w:b/>
          <w:rtl/>
        </w:rPr>
        <w:t>ה</w:t>
      </w:r>
      <w:r w:rsidRPr="003B5D33">
        <w:rPr>
          <w:rFonts w:eastAsia="Calibri"/>
          <w:b/>
          <w:rtl/>
        </w:rPr>
        <w:t xml:space="preserve">אדם הקיים, </w:t>
      </w:r>
      <w:r w:rsidRPr="003B5D33">
        <w:rPr>
          <w:rFonts w:eastAsia="Calibri" w:hint="cs"/>
          <w:b/>
          <w:rtl/>
        </w:rPr>
        <w:t>ה</w:t>
      </w:r>
      <w:r w:rsidRPr="003B5D33">
        <w:rPr>
          <w:rFonts w:eastAsia="Calibri"/>
          <w:b/>
          <w:rtl/>
        </w:rPr>
        <w:t xml:space="preserve">צפי לסיום העברת התכולה למערכת </w:t>
      </w:r>
      <w:r w:rsidRPr="003B5D33">
        <w:rPr>
          <w:rFonts w:eastAsia="Calibri" w:hint="cs"/>
          <w:b/>
          <w:rtl/>
        </w:rPr>
        <w:t xml:space="preserve">הוא </w:t>
      </w:r>
      <w:r w:rsidRPr="003B5D33">
        <w:rPr>
          <w:rFonts w:eastAsia="Calibri"/>
          <w:b/>
          <w:rtl/>
        </w:rPr>
        <w:t>שנת</w:t>
      </w:r>
      <w:r w:rsidRPr="003B5D33">
        <w:rPr>
          <w:rFonts w:eastAsia="Calibri" w:hint="cs"/>
          <w:b/>
          <w:rtl/>
        </w:rPr>
        <w:t xml:space="preserve"> </w:t>
      </w:r>
      <w:r w:rsidRPr="003B5D33">
        <w:rPr>
          <w:rFonts w:eastAsia="Calibri"/>
          <w:b/>
          <w:rtl/>
        </w:rPr>
        <w:t>2034</w:t>
      </w:r>
      <w:r w:rsidRPr="003B5D33">
        <w:rPr>
          <w:rFonts w:eastAsia="Calibri" w:hint="cs"/>
          <w:b/>
          <w:rtl/>
        </w:rPr>
        <w:t xml:space="preserve">, קרי חריגה של כ-15 שנה מהמועד שתוכנן לכתחילה, והוצגו שתי חלופות לקידום הפרויקט: האחת - </w:t>
      </w:r>
      <w:r w:rsidRPr="003B5D33">
        <w:rPr>
          <w:rFonts w:eastAsia="Calibri"/>
          <w:b/>
          <w:rtl/>
        </w:rPr>
        <w:t>פיתוח חיצוני ע</w:t>
      </w:r>
      <w:r w:rsidRPr="003B5D33">
        <w:rPr>
          <w:rFonts w:eastAsia="Calibri" w:hint="cs"/>
          <w:b/>
          <w:rtl/>
        </w:rPr>
        <w:t>ל ידי</w:t>
      </w:r>
      <w:r w:rsidRPr="003B5D33">
        <w:rPr>
          <w:rFonts w:eastAsia="Calibri"/>
          <w:b/>
          <w:rtl/>
        </w:rPr>
        <w:t xml:space="preserve"> מכרז פומבי לשם סיום הפרויקט</w:t>
      </w:r>
      <w:r w:rsidRPr="003B5D33">
        <w:rPr>
          <w:rFonts w:eastAsia="Calibri" w:hint="cs"/>
          <w:b/>
          <w:rtl/>
        </w:rPr>
        <w:t xml:space="preserve">, השנייה - </w:t>
      </w:r>
      <w:r w:rsidRPr="003B5D33">
        <w:rPr>
          <w:rFonts w:eastAsia="Calibri"/>
          <w:b/>
          <w:rtl/>
        </w:rPr>
        <w:t>עיבוי הצוות הקיים תוך ביצוע פיתוחים ייעודיים חיצוניים.</w:t>
      </w:r>
      <w:r w:rsidRPr="003B5D33">
        <w:rPr>
          <w:rFonts w:eastAsia="Calibri" w:hint="cs"/>
          <w:b/>
          <w:rtl/>
        </w:rPr>
        <w:t xml:space="preserve"> בסיכום הדיון הוחלט לבחון את החלופות לשם סיום הפיתוח עד סוף 2027.</w:t>
      </w:r>
    </w:p>
    <w:p w:rsidR="003B5D33" w:rsidRPr="003B5D33" w:rsidP="003B5D33">
      <w:pPr>
        <w:spacing w:line="269" w:lineRule="auto"/>
        <w:ind w:left="312"/>
        <w:rPr>
          <w:rFonts w:eastAsia="Calibri"/>
          <w:b/>
          <w:rtl/>
        </w:rPr>
      </w:pPr>
    </w:p>
    <w:p w:rsidR="003B5D33" w:rsidRPr="003B5D33" w:rsidP="003B5D33">
      <w:pPr>
        <w:spacing w:line="269" w:lineRule="auto"/>
        <w:ind w:left="312"/>
        <w:rPr>
          <w:rFonts w:eastAsia="Calibri"/>
          <w:b/>
          <w:rtl/>
        </w:rPr>
      </w:pPr>
      <w:r w:rsidRPr="003B5D33">
        <w:rPr>
          <w:rFonts w:eastAsia="Calibri" w:hint="cs"/>
          <w:b/>
          <w:rtl/>
        </w:rPr>
        <w:t>בדיון נוסף שהתקיים בוועדת ההיגוי בסוף יולי 2024 הוחלט כי החלופה העדיפה היא ביצוע פיתוח חיצוני על ידי מכרז פומבי. צוין כי פתרון זה נבחר בשל עלויות נמוכות יותר ולוחות זמנים קצרים יותר ליישום.</w:t>
      </w:r>
    </w:p>
    <w:p w:rsidR="003B5D33" w:rsidRPr="003B5D33" w:rsidP="003B5D33">
      <w:pPr>
        <w:spacing w:line="269" w:lineRule="auto"/>
        <w:ind w:left="312"/>
        <w:rPr>
          <w:rFonts w:eastAsia="Calibri"/>
          <w:b/>
          <w:rtl/>
        </w:rPr>
      </w:pPr>
    </w:p>
    <w:p w:rsidR="003B5D33" w:rsidRPr="003B5D33" w:rsidP="003B5D33">
      <w:pPr>
        <w:spacing w:line="269" w:lineRule="auto"/>
        <w:ind w:left="312"/>
        <w:rPr>
          <w:rFonts w:eastAsia="Calibri"/>
          <w:b/>
          <w:rtl/>
        </w:rPr>
      </w:pPr>
      <w:r w:rsidRPr="003B5D33">
        <w:rPr>
          <w:rFonts w:eastAsia="Calibri" w:hint="cs"/>
          <w:b/>
          <w:rtl/>
        </w:rPr>
        <w:t>בבירור שקיים משרד מבקר המדינה בפברואר 2025 עם מנהלת חטיבת היישומים באגף התקשוב עלה כי בשל הקושי להכניס גוף חיצוני להליכי הפיתוח, לרבות בהיבטי קבלת האחריות לפיתוח והמודולים שפותחו עד כה, נכון למועד זה מסתמן שלא יצאו למכרז חיצוני אלא יגייסו כוח אדם ייעודי לטובת הנושא. זאת בשאיפה שגמר הפיתוח יהיה כשלוש שנים לאחר ביצוע חפיפה (2028 - 2029). באוגוסט 2025 נמסר בהקשר זה כי גיוס כל כוח האדם הייעודי לפרויקט צפוי להמשך לפחות עד לסוף שנת 2025 וכי אין שינוי בהערכת המועד הצפוי לגמר הפיתוח.</w:t>
      </w:r>
    </w:p>
    <w:p w:rsidR="003B5D33" w:rsidRPr="003B5D33" w:rsidP="003B5D33">
      <w:pPr>
        <w:spacing w:line="269" w:lineRule="auto"/>
        <w:ind w:left="312"/>
        <w:rPr>
          <w:rFonts w:eastAsia="Calibri"/>
          <w:bCs/>
          <w:rtl/>
        </w:rPr>
      </w:pPr>
    </w:p>
    <w:p w:rsidR="003B5D33" w:rsidRPr="003B5D33" w:rsidP="003B5D33">
      <w:pPr>
        <w:spacing w:line="269" w:lineRule="auto"/>
        <w:ind w:left="312"/>
        <w:rPr>
          <w:rFonts w:eastAsia="Calibri"/>
          <w:bCs/>
          <w:rtl/>
        </w:rPr>
      </w:pPr>
      <w:r w:rsidRPr="003B5D33">
        <w:rPr>
          <w:rFonts w:eastAsia="Calibri" w:hint="eastAsia"/>
          <w:bCs/>
          <w:rtl/>
        </w:rPr>
        <w:t>עולה</w:t>
      </w:r>
      <w:r w:rsidRPr="003B5D33">
        <w:rPr>
          <w:rFonts w:eastAsia="Calibri"/>
          <w:bCs/>
          <w:rtl/>
        </w:rPr>
        <w:t xml:space="preserve"> </w:t>
      </w:r>
      <w:r w:rsidRPr="003B5D33">
        <w:rPr>
          <w:rFonts w:eastAsia="Calibri" w:hint="eastAsia"/>
          <w:bCs/>
          <w:rtl/>
        </w:rPr>
        <w:t>אפוא</w:t>
      </w:r>
      <w:r w:rsidRPr="003B5D33">
        <w:rPr>
          <w:rFonts w:eastAsia="Calibri"/>
          <w:bCs/>
          <w:rtl/>
        </w:rPr>
        <w:t xml:space="preserve"> </w:t>
      </w:r>
      <w:r w:rsidRPr="003B5D33">
        <w:rPr>
          <w:rFonts w:eastAsia="Calibri" w:hint="eastAsia"/>
          <w:bCs/>
          <w:rtl/>
        </w:rPr>
        <w:t>כי</w:t>
      </w:r>
      <w:r w:rsidRPr="003B5D33">
        <w:rPr>
          <w:rFonts w:eastAsia="Calibri"/>
          <w:bCs/>
          <w:rtl/>
        </w:rPr>
        <w:t xml:space="preserve"> </w:t>
      </w:r>
      <w:r w:rsidRPr="003B5D33">
        <w:rPr>
          <w:rFonts w:eastAsia="Calibri" w:hint="eastAsia"/>
          <w:bCs/>
          <w:rtl/>
        </w:rPr>
        <w:t>התכנון</w:t>
      </w:r>
      <w:r w:rsidRPr="003B5D33">
        <w:rPr>
          <w:rFonts w:eastAsia="Calibri"/>
          <w:bCs/>
          <w:rtl/>
        </w:rPr>
        <w:t xml:space="preserve"> </w:t>
      </w:r>
      <w:r w:rsidRPr="003B5D33">
        <w:rPr>
          <w:rFonts w:eastAsia="Calibri" w:hint="eastAsia"/>
          <w:bCs/>
          <w:rtl/>
        </w:rPr>
        <w:t>העדכני</w:t>
      </w:r>
      <w:r w:rsidRPr="003B5D33">
        <w:rPr>
          <w:rFonts w:eastAsia="Calibri"/>
          <w:bCs/>
          <w:rtl/>
        </w:rPr>
        <w:t xml:space="preserve"> </w:t>
      </w:r>
      <w:r w:rsidRPr="003B5D33">
        <w:rPr>
          <w:rFonts w:eastAsia="Calibri" w:hint="eastAsia"/>
          <w:bCs/>
          <w:rtl/>
        </w:rPr>
        <w:t>של</w:t>
      </w:r>
      <w:r w:rsidRPr="003B5D33">
        <w:rPr>
          <w:rFonts w:eastAsia="Calibri"/>
          <w:bCs/>
          <w:rtl/>
        </w:rPr>
        <w:t xml:space="preserve"> </w:t>
      </w:r>
      <w:r w:rsidRPr="003B5D33">
        <w:rPr>
          <w:rFonts w:eastAsia="Calibri" w:hint="eastAsia"/>
          <w:bCs/>
          <w:rtl/>
        </w:rPr>
        <w:t>פרויקט</w:t>
      </w:r>
      <w:r w:rsidRPr="003B5D33">
        <w:rPr>
          <w:rFonts w:eastAsia="Calibri"/>
          <w:bCs/>
          <w:rtl/>
        </w:rPr>
        <w:t xml:space="preserve"> </w:t>
      </w:r>
      <w:r w:rsidRPr="003B5D33">
        <w:rPr>
          <w:rFonts w:eastAsia="Calibri" w:hint="eastAsia"/>
          <w:bCs/>
          <w:rtl/>
        </w:rPr>
        <w:t>זה</w:t>
      </w:r>
      <w:r w:rsidRPr="003B5D33">
        <w:rPr>
          <w:rFonts w:eastAsia="Calibri" w:hint="cs"/>
          <w:bCs/>
          <w:rtl/>
        </w:rPr>
        <w:t xml:space="preserve"> </w:t>
      </w:r>
      <w:r w:rsidRPr="003B5D33">
        <w:rPr>
          <w:rFonts w:eastAsia="Calibri"/>
          <w:bCs/>
          <w:rtl/>
        </w:rPr>
        <w:t xml:space="preserve">(המגלם </w:t>
      </w:r>
      <w:r w:rsidRPr="003B5D33">
        <w:rPr>
          <w:rFonts w:eastAsia="Calibri" w:hint="eastAsia"/>
          <w:bCs/>
          <w:rtl/>
        </w:rPr>
        <w:t>אף</w:t>
      </w:r>
      <w:r w:rsidRPr="003B5D33">
        <w:rPr>
          <w:rFonts w:eastAsia="Calibri"/>
          <w:bCs/>
          <w:rtl/>
        </w:rPr>
        <w:t xml:space="preserve"> </w:t>
      </w:r>
      <w:r w:rsidRPr="003B5D33">
        <w:rPr>
          <w:rFonts w:eastAsia="Calibri" w:hint="eastAsia"/>
          <w:bCs/>
          <w:rtl/>
        </w:rPr>
        <w:t>הוא</w:t>
      </w:r>
      <w:r w:rsidRPr="003B5D33">
        <w:rPr>
          <w:rFonts w:eastAsia="Calibri"/>
          <w:bCs/>
          <w:rtl/>
        </w:rPr>
        <w:t xml:space="preserve"> </w:t>
      </w:r>
      <w:r w:rsidRPr="003B5D33">
        <w:rPr>
          <w:rFonts w:eastAsia="Calibri" w:hint="eastAsia"/>
          <w:bCs/>
          <w:rtl/>
        </w:rPr>
        <w:t>סיכוני</w:t>
      </w:r>
      <w:r w:rsidRPr="003B5D33">
        <w:rPr>
          <w:rFonts w:eastAsia="Calibri"/>
          <w:bCs/>
          <w:rtl/>
        </w:rPr>
        <w:t xml:space="preserve"> </w:t>
      </w:r>
      <w:r w:rsidRPr="003B5D33">
        <w:rPr>
          <w:rFonts w:eastAsia="Calibri" w:hint="eastAsia"/>
          <w:bCs/>
          <w:rtl/>
        </w:rPr>
        <w:t>יישום</w:t>
      </w:r>
      <w:r w:rsidRPr="003B5D33">
        <w:rPr>
          <w:rFonts w:eastAsia="Calibri"/>
          <w:bCs/>
          <w:rtl/>
        </w:rPr>
        <w:t xml:space="preserve">) </w:t>
      </w:r>
      <w:r w:rsidRPr="003B5D33">
        <w:rPr>
          <w:rFonts w:eastAsia="Calibri" w:hint="eastAsia"/>
          <w:bCs/>
          <w:rtl/>
        </w:rPr>
        <w:t>משקף</w:t>
      </w:r>
      <w:r w:rsidRPr="003B5D33">
        <w:rPr>
          <w:rFonts w:eastAsia="Calibri"/>
          <w:bCs/>
          <w:rtl/>
        </w:rPr>
        <w:t xml:space="preserve"> </w:t>
      </w:r>
      <w:r w:rsidRPr="003B5D33">
        <w:rPr>
          <w:rFonts w:eastAsia="Calibri" w:hint="eastAsia"/>
          <w:bCs/>
          <w:rtl/>
        </w:rPr>
        <w:t>פיגור</w:t>
      </w:r>
      <w:r w:rsidRPr="003B5D33">
        <w:rPr>
          <w:rFonts w:eastAsia="Calibri"/>
          <w:bCs/>
          <w:rtl/>
        </w:rPr>
        <w:t xml:space="preserve"> </w:t>
      </w:r>
      <w:r w:rsidRPr="003B5D33">
        <w:rPr>
          <w:rFonts w:eastAsia="Calibri" w:hint="eastAsia"/>
          <w:bCs/>
          <w:rtl/>
        </w:rPr>
        <w:t>של</w:t>
      </w:r>
      <w:r w:rsidRPr="003B5D33">
        <w:rPr>
          <w:rFonts w:eastAsia="Calibri"/>
          <w:bCs/>
          <w:rtl/>
        </w:rPr>
        <w:t xml:space="preserve"> </w:t>
      </w:r>
      <w:r w:rsidRPr="003B5D33">
        <w:rPr>
          <w:rFonts w:eastAsia="Calibri" w:hint="eastAsia"/>
          <w:bCs/>
          <w:rtl/>
        </w:rPr>
        <w:t>כעשר</w:t>
      </w:r>
      <w:r w:rsidRPr="003B5D33">
        <w:rPr>
          <w:rFonts w:eastAsia="Calibri"/>
          <w:bCs/>
          <w:rtl/>
        </w:rPr>
        <w:t xml:space="preserve"> </w:t>
      </w:r>
      <w:r w:rsidRPr="003B5D33">
        <w:rPr>
          <w:rFonts w:eastAsia="Calibri" w:hint="eastAsia"/>
          <w:bCs/>
          <w:rtl/>
        </w:rPr>
        <w:t>שנים</w:t>
      </w:r>
      <w:r w:rsidRPr="003B5D33">
        <w:rPr>
          <w:rFonts w:eastAsia="Calibri"/>
          <w:bCs/>
          <w:rtl/>
        </w:rPr>
        <w:t xml:space="preserve"> </w:t>
      </w:r>
      <w:r w:rsidRPr="003B5D33">
        <w:rPr>
          <w:rFonts w:eastAsia="Calibri" w:hint="eastAsia"/>
          <w:bCs/>
          <w:rtl/>
        </w:rPr>
        <w:t>למול</w:t>
      </w:r>
      <w:r w:rsidRPr="003B5D33">
        <w:rPr>
          <w:rFonts w:eastAsia="Calibri"/>
          <w:bCs/>
          <w:rtl/>
        </w:rPr>
        <w:t xml:space="preserve"> </w:t>
      </w:r>
      <w:r w:rsidRPr="003B5D33">
        <w:rPr>
          <w:rFonts w:eastAsia="Calibri" w:hint="eastAsia"/>
          <w:bCs/>
          <w:rtl/>
        </w:rPr>
        <w:t>התכנון</w:t>
      </w:r>
      <w:r w:rsidRPr="003B5D33">
        <w:rPr>
          <w:rFonts w:eastAsia="Calibri"/>
          <w:bCs/>
          <w:rtl/>
        </w:rPr>
        <w:t xml:space="preserve"> </w:t>
      </w:r>
      <w:r w:rsidRPr="003B5D33">
        <w:rPr>
          <w:rFonts w:eastAsia="Calibri" w:hint="eastAsia"/>
          <w:bCs/>
          <w:rtl/>
        </w:rPr>
        <w:t>המקורי</w:t>
      </w:r>
      <w:r w:rsidRPr="003B5D33">
        <w:rPr>
          <w:rFonts w:eastAsia="Calibri"/>
          <w:bCs/>
          <w:rtl/>
        </w:rPr>
        <w:t>. כמו כן</w:t>
      </w:r>
      <w:r w:rsidRPr="003B5D33">
        <w:rPr>
          <w:rFonts w:eastAsia="Calibri" w:hint="cs"/>
          <w:bCs/>
          <w:rtl/>
        </w:rPr>
        <w:t>,</w:t>
      </w:r>
      <w:r w:rsidRPr="003B5D33">
        <w:rPr>
          <w:rFonts w:eastAsia="Calibri"/>
          <w:bCs/>
          <w:rtl/>
        </w:rPr>
        <w:t xml:space="preserve"> </w:t>
      </w:r>
      <w:r w:rsidRPr="003B5D33">
        <w:rPr>
          <w:rFonts w:eastAsia="Calibri" w:hint="cs"/>
          <w:bCs/>
          <w:rtl/>
        </w:rPr>
        <w:t xml:space="preserve">לאור העיכוב, </w:t>
      </w:r>
      <w:r w:rsidRPr="003B5D33">
        <w:rPr>
          <w:rFonts w:eastAsia="Calibri"/>
          <w:bCs/>
          <w:rtl/>
        </w:rPr>
        <w:t>שתי המערכות</w:t>
      </w:r>
      <w:r w:rsidRPr="003B5D33">
        <w:rPr>
          <w:rFonts w:eastAsia="Calibri" w:hint="cs"/>
          <w:bCs/>
          <w:rtl/>
        </w:rPr>
        <w:t>, ימשיכו להתקיים ב</w:t>
      </w:r>
      <w:r w:rsidRPr="003B5D33">
        <w:rPr>
          <w:rFonts w:eastAsia="Calibri"/>
          <w:bCs/>
          <w:rtl/>
        </w:rPr>
        <w:t xml:space="preserve">מקביל עד לסיום פיתוח </w:t>
      </w:r>
      <w:r w:rsidRPr="003B5D33">
        <w:rPr>
          <w:rFonts w:eastAsia="Calibri" w:hint="cs"/>
          <w:bCs/>
          <w:rtl/>
        </w:rPr>
        <w:t>ה</w:t>
      </w:r>
      <w:r w:rsidRPr="003B5D33">
        <w:rPr>
          <w:rFonts w:eastAsia="Calibri"/>
          <w:bCs/>
          <w:rtl/>
        </w:rPr>
        <w:t xml:space="preserve">מערכת </w:t>
      </w:r>
      <w:r w:rsidRPr="003B5D33">
        <w:rPr>
          <w:rFonts w:eastAsia="Calibri" w:hint="eastAsia"/>
          <w:bCs/>
          <w:rtl/>
        </w:rPr>
        <w:t>החדשה</w:t>
      </w:r>
      <w:r w:rsidRPr="003B5D33">
        <w:rPr>
          <w:rFonts w:eastAsia="Calibri"/>
          <w:bCs/>
          <w:rtl/>
        </w:rPr>
        <w:t>.</w:t>
      </w:r>
    </w:p>
    <w:p w:rsidR="003B5D33" w:rsidRPr="003B5D33" w:rsidP="003B5D33">
      <w:pPr>
        <w:spacing w:line="269" w:lineRule="auto"/>
        <w:ind w:left="312"/>
        <w:rPr>
          <w:rFonts w:eastAsia="Calibri"/>
          <w:bCs/>
          <w:rtl/>
        </w:rPr>
      </w:pPr>
    </w:p>
    <w:p w:rsidR="003B5D33" w:rsidRPr="003B5D33" w:rsidP="003B5D33">
      <w:pPr>
        <w:keepNext/>
        <w:keepLines/>
        <w:numPr>
          <w:ilvl w:val="0"/>
          <w:numId w:val="14"/>
        </w:numPr>
        <w:spacing w:line="269" w:lineRule="auto"/>
        <w:ind w:left="312"/>
        <w:outlineLvl w:val="4"/>
        <w:rPr>
          <w:rFonts w:eastAsia="Times New Roman"/>
          <w:bCs/>
          <w:spacing w:val="40"/>
          <w:rtl/>
        </w:rPr>
      </w:pPr>
      <w:r w:rsidRPr="003B5D33">
        <w:rPr>
          <w:rFonts w:eastAsia="Times New Roman"/>
          <w:bCs/>
          <w:spacing w:val="40"/>
          <w:rtl/>
        </w:rPr>
        <w:t>צמצום בתכולות הפרויקט</w:t>
      </w:r>
      <w:r w:rsidRPr="003B5D33">
        <w:rPr>
          <w:rFonts w:eastAsia="Times New Roman" w:hint="cs"/>
          <w:bCs/>
          <w:spacing w:val="40"/>
          <w:rtl/>
        </w:rPr>
        <w:t>:</w:t>
      </w:r>
      <w:r w:rsidRPr="003B5D33">
        <w:rPr>
          <w:rFonts w:eastAsia="Calibri" w:hint="cs"/>
          <w:rtl/>
        </w:rPr>
        <w:t xml:space="preserve"> </w:t>
      </w:r>
      <w:r w:rsidRPr="003B5D33">
        <w:rPr>
          <w:rFonts w:eastAsia="Calibri"/>
        </w:rPr>
        <w:t>"</w:t>
      </w:r>
      <w:r w:rsidRPr="003B5D33">
        <w:rPr>
          <w:rFonts w:eastAsia="Calibri"/>
          <w:rtl/>
        </w:rPr>
        <w:t>הגדרת התכולה" היא התהליך שבו מפורטים רכיביו השונים של הפרויקט ושל המוצר. תהליך זה הוא אבן היסוד להצלחת הפרויקט כיוון שעליו יישען רוב תהליך התכנון. תיאור הרכיבים נועד למעשה לבסס הבנה בין כל הצדדים בפרויקט והסכמה לגבי הנדרש לביצו</w:t>
      </w:r>
      <w:r w:rsidRPr="003B5D33">
        <w:rPr>
          <w:rFonts w:eastAsia="Calibri" w:hint="cs"/>
          <w:rtl/>
        </w:rPr>
        <w:t>ע.</w:t>
      </w:r>
    </w:p>
    <w:p w:rsidR="003B5D33" w:rsidRPr="003B5D33" w:rsidP="003B5D33">
      <w:pPr>
        <w:spacing w:line="269" w:lineRule="auto"/>
        <w:ind w:left="312"/>
        <w:rPr>
          <w:rFonts w:eastAsia="Calibri"/>
          <w:rtl/>
        </w:rPr>
      </w:pPr>
    </w:p>
    <w:p w:rsidR="003B5D33" w:rsidRPr="003B5D33" w:rsidP="003B5D33">
      <w:pPr>
        <w:spacing w:line="269" w:lineRule="auto"/>
        <w:ind w:left="312"/>
        <w:rPr>
          <w:rFonts w:eastAsia="Calibri"/>
          <w:szCs w:val="20"/>
          <w:rtl/>
        </w:rPr>
      </w:pPr>
      <w:r w:rsidRPr="003B5D33">
        <w:rPr>
          <w:rFonts w:eastAsia="Calibri"/>
          <w:rtl/>
        </w:rPr>
        <w:t>ניהול תכולת הפרויקט הוא טיפול בכל התהליכים הדרושים להבטיח שהפרויקט יקיף את כל העבודה הדרושה, ורק את העבודה הדרושה, כדי לסיים את הפרויקט בהצלחה. זהו אחד הנושאים החשובים בביצוע כל פרויקט. יש לטפל בו לאורך כל מחזור חיי הפרויקט, החל בשלב הייזו</w:t>
      </w:r>
      <w:r w:rsidRPr="003B5D33">
        <w:rPr>
          <w:rFonts w:eastAsia="Calibri" w:hint="cs"/>
          <w:rtl/>
        </w:rPr>
        <w:t>ם, המשך בביצוע וכלה באישור תוצרי הפרויקט</w:t>
      </w:r>
      <w:r>
        <w:rPr>
          <w:rFonts w:eastAsia="Calibri"/>
          <w:b/>
          <w:vertAlign w:val="superscript"/>
          <w:rtl/>
        </w:rPr>
        <w:footnoteReference w:id="80"/>
      </w:r>
      <w:r w:rsidRPr="003B5D33">
        <w:rPr>
          <w:rFonts w:eastAsia="Calibri" w:hint="cs"/>
          <w:szCs w:val="20"/>
          <w:rtl/>
        </w:rPr>
        <w:t>.</w:t>
      </w:r>
    </w:p>
    <w:p w:rsidR="003B5D33" w:rsidRPr="003B5D33" w:rsidP="003B5D33">
      <w:pPr>
        <w:spacing w:line="269" w:lineRule="auto"/>
        <w:ind w:left="312"/>
        <w:rPr>
          <w:rFonts w:eastAsia="Calibri"/>
          <w:rtl/>
        </w:rPr>
      </w:pPr>
    </w:p>
    <w:p w:rsidR="003B5D33" w:rsidRPr="003B5D33" w:rsidP="003B5D33">
      <w:pPr>
        <w:spacing w:line="269" w:lineRule="auto"/>
        <w:ind w:left="312"/>
        <w:rPr>
          <w:rFonts w:eastAsia="Calibri"/>
          <w:b/>
          <w:szCs w:val="20"/>
          <w:rtl/>
        </w:rPr>
      </w:pPr>
      <w:r w:rsidRPr="003B5D33">
        <w:rPr>
          <w:rFonts w:eastAsia="Calibri" w:hint="eastAsia"/>
          <w:rtl/>
        </w:rPr>
        <w:t>המערכת</w:t>
      </w:r>
      <w:r w:rsidRPr="003B5D33">
        <w:rPr>
          <w:rFonts w:eastAsia="Calibri"/>
          <w:rtl/>
        </w:rPr>
        <w:t xml:space="preserve"> </w:t>
      </w:r>
      <w:r w:rsidRPr="003B5D33">
        <w:rPr>
          <w:rFonts w:eastAsia="Calibri" w:hint="eastAsia"/>
          <w:rtl/>
        </w:rPr>
        <w:t>החדשה</w:t>
      </w:r>
      <w:r w:rsidRPr="003B5D33">
        <w:rPr>
          <w:rFonts w:eastAsia="Calibri" w:hint="cs"/>
          <w:rtl/>
        </w:rPr>
        <w:t xml:space="preserve"> יועדה לכלול כאמור גם פיתוחים חדשים, ובהם קשר עם מקבלי השירות ושיפור יכולות הפיקוח והבקרה על הפעילויות במטה ברמה גלובלית ובכל נציגות ברמה מקומית</w:t>
      </w:r>
      <w:r>
        <w:rPr>
          <w:rFonts w:eastAsia="Calibri"/>
          <w:b/>
          <w:vertAlign w:val="superscript"/>
          <w:rtl/>
        </w:rPr>
        <w:footnoteReference w:id="81"/>
      </w:r>
      <w:r w:rsidRPr="003B5D33">
        <w:rPr>
          <w:rFonts w:eastAsia="Calibri" w:hint="cs"/>
          <w:b/>
          <w:szCs w:val="20"/>
          <w:rtl/>
        </w:rPr>
        <w:t xml:space="preserve">. </w:t>
      </w:r>
      <w:r w:rsidRPr="003B5D33">
        <w:rPr>
          <w:rFonts w:eastAsia="Calibri" w:hint="cs"/>
          <w:rtl/>
        </w:rPr>
        <w:t>נוכח העיכובים הרבים בהתקדמות הפיתוח, הוחלט בשנת 2021 לוותר על פיתוח המודולים בעלי הפונקציונליות החדשה שתוכננה ולהתמקד בפיתוח מודולים שיחליפו מודולים הקיימים במערכת הישנה בלבד, ללא פונקציונליות נוספת</w:t>
      </w:r>
      <w:r w:rsidRPr="003B5D33">
        <w:rPr>
          <w:rFonts w:eastAsia="Calibri" w:hint="cs"/>
          <w:b/>
          <w:szCs w:val="20"/>
          <w:rtl/>
        </w:rPr>
        <w:t xml:space="preserve">. </w:t>
      </w:r>
    </w:p>
    <w:p w:rsidR="003B5D33" w:rsidRPr="003B5D33" w:rsidP="003B5D33">
      <w:pPr>
        <w:spacing w:line="269" w:lineRule="auto"/>
        <w:ind w:left="312"/>
        <w:rPr>
          <w:rFonts w:eastAsia="Calibri"/>
          <w:b/>
          <w:bCs/>
          <w:rtl/>
        </w:rPr>
      </w:pPr>
    </w:p>
    <w:p w:rsidR="003B5D33" w:rsidRPr="003B5D33" w:rsidP="003B5D33">
      <w:pPr>
        <w:spacing w:line="269" w:lineRule="auto"/>
        <w:ind w:left="312"/>
        <w:rPr>
          <w:rFonts w:eastAsia="Calibri"/>
          <w:b/>
          <w:bCs/>
          <w:rtl/>
        </w:rPr>
      </w:pPr>
      <w:r w:rsidRPr="003B5D33">
        <w:rPr>
          <w:rFonts w:eastAsia="Calibri" w:hint="eastAsia"/>
          <w:b/>
          <w:bCs/>
          <w:rtl/>
        </w:rPr>
        <w:t>הועלה</w:t>
      </w:r>
      <w:r w:rsidRPr="003B5D33">
        <w:rPr>
          <w:rFonts w:eastAsia="Calibri"/>
          <w:b/>
          <w:bCs/>
          <w:rtl/>
        </w:rPr>
        <w:t xml:space="preserve"> כי </w:t>
      </w:r>
      <w:r w:rsidRPr="003B5D33">
        <w:rPr>
          <w:rFonts w:eastAsia="Calibri" w:hint="eastAsia"/>
          <w:b/>
          <w:bCs/>
          <w:rtl/>
        </w:rPr>
        <w:t>נכון</w:t>
      </w:r>
      <w:r w:rsidRPr="003B5D33">
        <w:rPr>
          <w:rFonts w:eastAsia="Calibri"/>
          <w:b/>
          <w:bCs/>
          <w:rtl/>
        </w:rPr>
        <w:t xml:space="preserve"> ליולי 2024</w:t>
      </w:r>
      <w:r w:rsidRPr="003B5D33">
        <w:rPr>
          <w:rFonts w:eastAsia="Calibri" w:hint="cs"/>
          <w:b/>
          <w:bCs/>
          <w:rtl/>
        </w:rPr>
        <w:t>,</w:t>
      </w:r>
      <w:r w:rsidRPr="003B5D33">
        <w:rPr>
          <w:rFonts w:eastAsia="Calibri"/>
          <w:b/>
          <w:bCs/>
          <w:rtl/>
        </w:rPr>
        <w:t xml:space="preserve"> </w:t>
      </w:r>
      <w:r w:rsidRPr="003B5D33">
        <w:rPr>
          <w:rFonts w:eastAsia="Calibri" w:hint="eastAsia"/>
          <w:b/>
          <w:bCs/>
          <w:rtl/>
        </w:rPr>
        <w:t>כחמש</w:t>
      </w:r>
      <w:r w:rsidRPr="003B5D33">
        <w:rPr>
          <w:rFonts w:eastAsia="Calibri"/>
          <w:b/>
          <w:bCs/>
          <w:rtl/>
        </w:rPr>
        <w:t xml:space="preserve"> שנים לאחר המועד המתוכנן לסיום </w:t>
      </w:r>
      <w:r w:rsidRPr="003B5D33">
        <w:rPr>
          <w:rFonts w:eastAsia="Calibri" w:hint="eastAsia"/>
          <w:b/>
          <w:bCs/>
          <w:rtl/>
        </w:rPr>
        <w:t>ה</w:t>
      </w:r>
      <w:r w:rsidRPr="003B5D33">
        <w:rPr>
          <w:rFonts w:eastAsia="Calibri"/>
          <w:b/>
          <w:bCs/>
          <w:rtl/>
        </w:rPr>
        <w:t>פרויקט</w:t>
      </w:r>
      <w:r w:rsidRPr="003B5D33">
        <w:rPr>
          <w:rFonts w:eastAsia="Calibri" w:hint="cs"/>
          <w:b/>
          <w:bCs/>
          <w:rtl/>
        </w:rPr>
        <w:t>,</w:t>
      </w:r>
      <w:r w:rsidRPr="003B5D33">
        <w:rPr>
          <w:rFonts w:eastAsia="Calibri"/>
          <w:b/>
          <w:bCs/>
          <w:rtl/>
        </w:rPr>
        <w:t xml:space="preserve"> פותחו כמחצית מהמודולים המתוכננים (53%</w:t>
      </w:r>
      <w:r w:rsidRPr="003B5D33">
        <w:rPr>
          <w:rFonts w:eastAsia="Calibri" w:hint="cs"/>
          <w:b/>
          <w:bCs/>
          <w:rtl/>
        </w:rPr>
        <w:t xml:space="preserve"> </w:t>
      </w:r>
      <w:r w:rsidRPr="003B5D33">
        <w:rPr>
          <w:rFonts w:eastAsia="Calibri"/>
          <w:b/>
          <w:bCs/>
          <w:rtl/>
        </w:rPr>
        <w:t xml:space="preserve">מתוך התכולה שנותרה לאחר קיצוץ התכולה הראשונית) </w:t>
      </w:r>
      <w:r w:rsidRPr="003B5D33">
        <w:rPr>
          <w:rFonts w:eastAsia="Calibri" w:hint="cs"/>
          <w:b/>
          <w:bCs/>
          <w:rtl/>
        </w:rPr>
        <w:t>ו</w:t>
      </w:r>
      <w:r w:rsidRPr="003B5D33">
        <w:rPr>
          <w:rFonts w:eastAsia="Calibri"/>
          <w:b/>
          <w:bCs/>
          <w:rtl/>
        </w:rPr>
        <w:t xml:space="preserve">שיעור התכולה שנותרה לפיתוח היה 47%. </w:t>
      </w:r>
    </w:p>
    <w:p w:rsidR="003B5D33" w:rsidRPr="003B5D33" w:rsidP="003B5D33">
      <w:pPr>
        <w:keepNext/>
        <w:keepLines/>
        <w:spacing w:line="269" w:lineRule="auto"/>
        <w:ind w:left="312"/>
        <w:outlineLvl w:val="4"/>
        <w:rPr>
          <w:rFonts w:eastAsia="Calibri"/>
        </w:rPr>
      </w:pPr>
    </w:p>
    <w:p w:rsidR="003B5D33" w:rsidRPr="003B5D33" w:rsidP="003B5D33">
      <w:pPr>
        <w:keepNext/>
        <w:keepLines/>
        <w:numPr>
          <w:ilvl w:val="0"/>
          <w:numId w:val="14"/>
        </w:numPr>
        <w:spacing w:line="269" w:lineRule="auto"/>
        <w:ind w:left="312"/>
        <w:outlineLvl w:val="4"/>
        <w:rPr>
          <w:rFonts w:eastAsia="Calibri"/>
        </w:rPr>
      </w:pPr>
      <w:r w:rsidRPr="003B5D33">
        <w:rPr>
          <w:rFonts w:eastAsia="Times New Roman"/>
          <w:bCs/>
          <w:spacing w:val="40"/>
          <w:rtl/>
        </w:rPr>
        <w:t>חריגה ב</w:t>
      </w:r>
      <w:r w:rsidRPr="003B5D33">
        <w:rPr>
          <w:rFonts w:eastAsia="Times New Roman" w:hint="cs"/>
          <w:bCs/>
          <w:spacing w:val="40"/>
          <w:rtl/>
        </w:rPr>
        <w:t xml:space="preserve">תקציב: </w:t>
      </w:r>
      <w:r w:rsidRPr="003B5D33">
        <w:rPr>
          <w:rFonts w:eastAsia="Calibri" w:hint="cs"/>
          <w:rtl/>
        </w:rPr>
        <w:t xml:space="preserve">אף שהפיתוח תוכנן להסתיים ב-2019, הועלה כאמור כי חלו עיכובים ניכרים בלוחות הזמנים ובתכולות שעוד נותרו לביצוע. כמו כן </w:t>
      </w:r>
      <w:r w:rsidRPr="003B5D33">
        <w:rPr>
          <w:rFonts w:eastAsia="Calibri"/>
          <w:rtl/>
        </w:rPr>
        <w:t>המשך פיתוח</w:t>
      </w:r>
      <w:r w:rsidRPr="003B5D33">
        <w:rPr>
          <w:rFonts w:eastAsia="Calibri" w:hint="cs"/>
          <w:rtl/>
        </w:rPr>
        <w:t xml:space="preserve"> הפרויקט</w:t>
      </w:r>
      <w:r w:rsidRPr="003B5D33">
        <w:rPr>
          <w:rFonts w:eastAsia="Calibri"/>
          <w:rtl/>
        </w:rPr>
        <w:t xml:space="preserve"> הוערך </w:t>
      </w:r>
      <w:r w:rsidRPr="003B5D33">
        <w:rPr>
          <w:rFonts w:eastAsia="Calibri" w:hint="cs"/>
          <w:rtl/>
        </w:rPr>
        <w:t xml:space="preserve">בסיכומי ועדת ההיגוי הקונסולרית ביולי 2024 </w:t>
      </w:r>
      <w:r w:rsidRPr="003B5D33">
        <w:rPr>
          <w:rFonts w:eastAsia="Calibri"/>
          <w:rtl/>
        </w:rPr>
        <w:t>בכ-</w:t>
      </w:r>
      <w:r w:rsidRPr="003B5D33">
        <w:rPr>
          <w:rFonts w:eastAsia="Calibri" w:hint="cs"/>
          <w:rtl/>
        </w:rPr>
        <w:t>12 -</w:t>
      </w:r>
      <w:r w:rsidRPr="003B5D33">
        <w:rPr>
          <w:rFonts w:eastAsia="Calibri"/>
          <w:rtl/>
        </w:rPr>
        <w:t xml:space="preserve"> 18 מיליון ש"ח</w:t>
      </w:r>
      <w:r w:rsidRPr="003B5D33">
        <w:rPr>
          <w:rFonts w:eastAsia="Calibri" w:hint="cs"/>
          <w:rtl/>
        </w:rPr>
        <w:t>.</w:t>
      </w:r>
      <w:r w:rsidRPr="003B5D33">
        <w:rPr>
          <w:rFonts w:eastAsia="Times New Roman" w:hint="cs"/>
          <w:bCs/>
          <w:spacing w:val="40"/>
          <w:rtl/>
        </w:rPr>
        <w:t xml:space="preserve"> </w:t>
      </w:r>
      <w:r w:rsidRPr="003B5D33">
        <w:rPr>
          <w:rFonts w:eastAsia="Calibri" w:hint="cs"/>
          <w:rtl/>
        </w:rPr>
        <w:t>בירור שעשה משרד מבקר המדינה עם משרד החוץ כדי לאמוד את עלויות הפרויקט עד לאותו מועד העלה כי היות ש</w:t>
      </w:r>
      <w:r w:rsidRPr="003B5D33">
        <w:rPr>
          <w:rFonts w:eastAsia="Calibri"/>
          <w:rtl/>
        </w:rPr>
        <w:t xml:space="preserve">הצוותים עובדים על </w:t>
      </w:r>
      <w:r w:rsidRPr="003B5D33">
        <w:rPr>
          <w:rFonts w:eastAsia="Calibri" w:hint="cs"/>
          <w:rtl/>
        </w:rPr>
        <w:t>כמה</w:t>
      </w:r>
      <w:r w:rsidRPr="003B5D33">
        <w:rPr>
          <w:rFonts w:eastAsia="Calibri"/>
          <w:rtl/>
        </w:rPr>
        <w:t xml:space="preserve"> פרויקטים במקביל</w:t>
      </w:r>
      <w:r w:rsidRPr="003B5D33">
        <w:rPr>
          <w:rFonts w:eastAsia="Calibri" w:hint="cs"/>
          <w:rtl/>
        </w:rPr>
        <w:t>,</w:t>
      </w:r>
      <w:r w:rsidRPr="003B5D33">
        <w:rPr>
          <w:rFonts w:eastAsia="Calibri"/>
          <w:rtl/>
        </w:rPr>
        <w:t xml:space="preserve"> אין </w:t>
      </w:r>
      <w:r w:rsidRPr="003B5D33">
        <w:rPr>
          <w:rFonts w:eastAsia="Calibri" w:hint="cs"/>
          <w:rtl/>
        </w:rPr>
        <w:t xml:space="preserve">למשרד החוץ </w:t>
      </w:r>
      <w:r w:rsidRPr="003B5D33">
        <w:rPr>
          <w:rFonts w:eastAsia="Calibri"/>
          <w:rtl/>
        </w:rPr>
        <w:t>דרך לגזור עלויות לפרויקט מסוים</w:t>
      </w:r>
      <w:r w:rsidRPr="003B5D33">
        <w:rPr>
          <w:rFonts w:eastAsia="Calibri" w:hint="cs"/>
          <w:rtl/>
        </w:rPr>
        <w:t xml:space="preserve">. </w:t>
      </w:r>
    </w:p>
    <w:p w:rsidR="003B5D33" w:rsidRPr="003B5D33" w:rsidP="003B5D33">
      <w:pPr>
        <w:keepNext/>
        <w:keepLines/>
        <w:spacing w:line="269" w:lineRule="auto"/>
        <w:ind w:left="360"/>
        <w:outlineLvl w:val="4"/>
        <w:rPr>
          <w:rFonts w:eastAsia="Calibri"/>
          <w:b/>
          <w:bCs/>
          <w:rtl/>
        </w:rPr>
      </w:pPr>
    </w:p>
    <w:p w:rsidR="003B5D33" w:rsidRPr="003B5D33" w:rsidP="003B5D33">
      <w:pPr>
        <w:keepNext/>
        <w:keepLines/>
        <w:spacing w:line="269" w:lineRule="auto"/>
        <w:ind w:left="360"/>
        <w:outlineLvl w:val="4"/>
        <w:rPr>
          <w:rFonts w:eastAsia="Calibri"/>
          <w:b/>
          <w:bCs/>
          <w:rtl/>
        </w:rPr>
      </w:pPr>
      <w:r w:rsidRPr="003B5D33">
        <w:rPr>
          <w:rFonts w:eastAsia="Calibri" w:hint="eastAsia"/>
          <w:b/>
          <w:bCs/>
          <w:rtl/>
        </w:rPr>
        <w:t>פיתוח</w:t>
      </w:r>
      <w:r w:rsidRPr="003B5D33">
        <w:rPr>
          <w:rFonts w:eastAsia="Calibri"/>
          <w:b/>
          <w:bCs/>
          <w:rtl/>
        </w:rPr>
        <w:t xml:space="preserve"> </w:t>
      </w:r>
      <w:r w:rsidRPr="003B5D33">
        <w:rPr>
          <w:rFonts w:eastAsia="Calibri" w:hint="eastAsia"/>
          <w:b/>
          <w:bCs/>
          <w:rtl/>
        </w:rPr>
        <w:t>ה</w:t>
      </w:r>
      <w:r w:rsidRPr="003B5D33">
        <w:rPr>
          <w:rFonts w:eastAsia="Calibri"/>
          <w:b/>
          <w:bCs/>
          <w:rtl/>
        </w:rPr>
        <w:t>פרויקט תוכנן מלכתחילה להסתיים בשנת 2019</w:t>
      </w:r>
      <w:r w:rsidRPr="003B5D33">
        <w:rPr>
          <w:rFonts w:eastAsia="Calibri" w:hint="cs"/>
          <w:b/>
          <w:bCs/>
          <w:rtl/>
        </w:rPr>
        <w:t xml:space="preserve">. </w:t>
      </w:r>
      <w:r w:rsidRPr="003B5D33">
        <w:rPr>
          <w:rFonts w:eastAsia="Calibri" w:hint="eastAsia"/>
          <w:b/>
          <w:bCs/>
          <w:rtl/>
        </w:rPr>
        <w:t>לנוכח</w:t>
      </w:r>
      <w:r w:rsidRPr="003B5D33">
        <w:rPr>
          <w:rFonts w:eastAsia="Calibri"/>
          <w:b/>
          <w:bCs/>
          <w:rtl/>
        </w:rPr>
        <w:t xml:space="preserve"> </w:t>
      </w:r>
      <w:r w:rsidRPr="003B5D33">
        <w:rPr>
          <w:rFonts w:eastAsia="Calibri" w:hint="eastAsia"/>
          <w:b/>
          <w:bCs/>
          <w:rtl/>
        </w:rPr>
        <w:t>העובדה</w:t>
      </w:r>
      <w:r w:rsidRPr="003B5D33">
        <w:rPr>
          <w:rFonts w:eastAsia="Calibri"/>
          <w:b/>
          <w:bCs/>
          <w:rtl/>
        </w:rPr>
        <w:t xml:space="preserve"> </w:t>
      </w:r>
      <w:r w:rsidRPr="003B5D33">
        <w:rPr>
          <w:rFonts w:eastAsia="Calibri" w:hint="eastAsia"/>
          <w:b/>
          <w:bCs/>
          <w:rtl/>
        </w:rPr>
        <w:t>שבשנים</w:t>
      </w:r>
      <w:r w:rsidRPr="003B5D33">
        <w:rPr>
          <w:rFonts w:eastAsia="Calibri"/>
          <w:b/>
          <w:bCs/>
          <w:rtl/>
        </w:rPr>
        <w:t xml:space="preserve"> 2019 - 2024 </w:t>
      </w:r>
      <w:r w:rsidRPr="003B5D33">
        <w:rPr>
          <w:rFonts w:eastAsia="Calibri" w:hint="eastAsia"/>
          <w:b/>
          <w:bCs/>
          <w:rtl/>
        </w:rPr>
        <w:t>עסקו</w:t>
      </w:r>
      <w:r w:rsidRPr="003B5D33">
        <w:rPr>
          <w:rFonts w:eastAsia="Calibri"/>
          <w:b/>
          <w:bCs/>
          <w:rtl/>
        </w:rPr>
        <w:t xml:space="preserve"> </w:t>
      </w:r>
      <w:r w:rsidRPr="003B5D33">
        <w:rPr>
          <w:rFonts w:eastAsia="Calibri" w:hint="eastAsia"/>
          <w:b/>
          <w:bCs/>
          <w:rtl/>
        </w:rPr>
        <w:t>בפיתוח</w:t>
      </w:r>
      <w:r w:rsidRPr="003B5D33">
        <w:rPr>
          <w:rFonts w:eastAsia="Calibri"/>
          <w:b/>
          <w:bCs/>
          <w:rtl/>
        </w:rPr>
        <w:t xml:space="preserve"> </w:t>
      </w:r>
      <w:r w:rsidRPr="003B5D33">
        <w:rPr>
          <w:rFonts w:eastAsia="Calibri" w:hint="eastAsia"/>
          <w:b/>
          <w:bCs/>
          <w:rtl/>
        </w:rPr>
        <w:t>הפרויקט</w:t>
      </w:r>
      <w:r w:rsidRPr="003B5D33">
        <w:rPr>
          <w:rFonts w:eastAsia="Calibri"/>
          <w:b/>
          <w:bCs/>
          <w:rtl/>
        </w:rPr>
        <w:t xml:space="preserve"> </w:t>
      </w:r>
      <w:r w:rsidRPr="003B5D33">
        <w:rPr>
          <w:rFonts w:eastAsia="Calibri" w:hint="eastAsia"/>
          <w:b/>
          <w:bCs/>
          <w:rtl/>
        </w:rPr>
        <w:t>שניים</w:t>
      </w:r>
      <w:r w:rsidRPr="003B5D33">
        <w:rPr>
          <w:rFonts w:eastAsia="Calibri"/>
          <w:b/>
          <w:bCs/>
          <w:rtl/>
        </w:rPr>
        <w:t xml:space="preserve"> </w:t>
      </w:r>
      <w:r w:rsidRPr="003B5D33">
        <w:rPr>
          <w:rFonts w:eastAsia="Calibri" w:hint="eastAsia"/>
          <w:b/>
          <w:bCs/>
          <w:rtl/>
        </w:rPr>
        <w:t>עד</w:t>
      </w:r>
      <w:r w:rsidRPr="003B5D33">
        <w:rPr>
          <w:rFonts w:eastAsia="Calibri"/>
          <w:b/>
          <w:bCs/>
          <w:rtl/>
        </w:rPr>
        <w:t xml:space="preserve"> </w:t>
      </w:r>
      <w:r w:rsidRPr="003B5D33">
        <w:rPr>
          <w:rFonts w:eastAsia="Calibri" w:hint="eastAsia"/>
          <w:b/>
          <w:bCs/>
          <w:rtl/>
        </w:rPr>
        <w:t>ארבעה</w:t>
      </w:r>
      <w:r w:rsidRPr="003B5D33">
        <w:rPr>
          <w:rFonts w:eastAsia="Calibri"/>
          <w:b/>
          <w:bCs/>
          <w:rtl/>
        </w:rPr>
        <w:t xml:space="preserve"> </w:t>
      </w:r>
      <w:r w:rsidRPr="003B5D33">
        <w:rPr>
          <w:rFonts w:eastAsia="Calibri" w:hint="eastAsia"/>
          <w:b/>
          <w:bCs/>
          <w:rtl/>
        </w:rPr>
        <w:t>עובדים</w:t>
      </w:r>
      <w:r w:rsidRPr="003B5D33">
        <w:rPr>
          <w:rFonts w:eastAsia="Calibri"/>
          <w:b/>
          <w:bCs/>
          <w:rtl/>
        </w:rPr>
        <w:t xml:space="preserve">, </w:t>
      </w:r>
      <w:r w:rsidRPr="003B5D33">
        <w:rPr>
          <w:rFonts w:eastAsia="Calibri" w:hint="eastAsia"/>
          <w:b/>
          <w:bCs/>
          <w:rtl/>
        </w:rPr>
        <w:t>ניתן</w:t>
      </w:r>
      <w:r w:rsidRPr="003B5D33">
        <w:rPr>
          <w:rFonts w:eastAsia="Calibri"/>
          <w:b/>
          <w:bCs/>
          <w:rtl/>
        </w:rPr>
        <w:t xml:space="preserve"> </w:t>
      </w:r>
      <w:r w:rsidRPr="003B5D33">
        <w:rPr>
          <w:rFonts w:eastAsia="Calibri" w:hint="eastAsia"/>
          <w:b/>
          <w:bCs/>
          <w:rtl/>
        </w:rPr>
        <w:t>להעריך</w:t>
      </w:r>
      <w:r w:rsidRPr="003B5D33">
        <w:rPr>
          <w:rFonts w:eastAsia="Calibri"/>
          <w:b/>
          <w:bCs/>
          <w:rtl/>
        </w:rPr>
        <w:t xml:space="preserve"> </w:t>
      </w:r>
      <w:r w:rsidRPr="003B5D33">
        <w:rPr>
          <w:rFonts w:eastAsia="Calibri" w:hint="eastAsia"/>
          <w:b/>
          <w:bCs/>
          <w:rtl/>
        </w:rPr>
        <w:t>שבפיתוח</w:t>
      </w:r>
      <w:r w:rsidRPr="003B5D33">
        <w:rPr>
          <w:rFonts w:eastAsia="Calibri"/>
          <w:b/>
          <w:bCs/>
          <w:rtl/>
        </w:rPr>
        <w:t xml:space="preserve"> </w:t>
      </w:r>
      <w:r w:rsidRPr="003B5D33">
        <w:rPr>
          <w:rFonts w:eastAsia="Calibri" w:hint="eastAsia"/>
          <w:b/>
          <w:bCs/>
          <w:rtl/>
        </w:rPr>
        <w:t>ה</w:t>
      </w:r>
      <w:r w:rsidRPr="003B5D33">
        <w:rPr>
          <w:rFonts w:eastAsia="Calibri"/>
          <w:b/>
          <w:bCs/>
          <w:rtl/>
        </w:rPr>
        <w:t xml:space="preserve">פרויקט </w:t>
      </w:r>
      <w:r w:rsidRPr="003B5D33">
        <w:rPr>
          <w:rFonts w:eastAsia="Calibri" w:hint="eastAsia"/>
          <w:b/>
          <w:bCs/>
          <w:rtl/>
        </w:rPr>
        <w:t>הושקע</w:t>
      </w:r>
      <w:r w:rsidRPr="003B5D33">
        <w:rPr>
          <w:rFonts w:eastAsia="Calibri"/>
          <w:b/>
          <w:bCs/>
          <w:rtl/>
        </w:rPr>
        <w:t xml:space="preserve"> בתקופה זו תקציב </w:t>
      </w:r>
      <w:r w:rsidRPr="003B5D33">
        <w:rPr>
          <w:rFonts w:eastAsia="Calibri" w:hint="eastAsia"/>
          <w:b/>
          <w:bCs/>
          <w:rtl/>
        </w:rPr>
        <w:t>משמעותי</w:t>
      </w:r>
      <w:r w:rsidRPr="003B5D33">
        <w:rPr>
          <w:rFonts w:eastAsia="Calibri"/>
          <w:b/>
          <w:bCs/>
          <w:rtl/>
        </w:rPr>
        <w:t xml:space="preserve"> </w:t>
      </w:r>
      <w:r w:rsidRPr="003B5D33">
        <w:rPr>
          <w:rFonts w:eastAsia="Calibri" w:hint="eastAsia"/>
          <w:b/>
          <w:bCs/>
          <w:rtl/>
        </w:rPr>
        <w:t>נוסף</w:t>
      </w:r>
      <w:r w:rsidRPr="003B5D33">
        <w:rPr>
          <w:rFonts w:eastAsia="Calibri"/>
          <w:b/>
          <w:bCs/>
          <w:rtl/>
        </w:rPr>
        <w:t xml:space="preserve"> </w:t>
      </w:r>
      <w:r w:rsidRPr="003B5D33">
        <w:rPr>
          <w:rFonts w:eastAsia="Calibri" w:hint="eastAsia"/>
          <w:b/>
          <w:bCs/>
          <w:rtl/>
        </w:rPr>
        <w:t>מעבר</w:t>
      </w:r>
      <w:r w:rsidRPr="003B5D33">
        <w:rPr>
          <w:rFonts w:eastAsia="Calibri"/>
          <w:b/>
          <w:bCs/>
          <w:rtl/>
        </w:rPr>
        <w:t xml:space="preserve"> </w:t>
      </w:r>
      <w:r w:rsidRPr="003B5D33">
        <w:rPr>
          <w:rFonts w:eastAsia="Calibri" w:hint="eastAsia"/>
          <w:b/>
          <w:bCs/>
          <w:rtl/>
        </w:rPr>
        <w:t>לזה</w:t>
      </w:r>
      <w:r w:rsidRPr="003B5D33">
        <w:rPr>
          <w:rFonts w:eastAsia="Calibri"/>
          <w:b/>
          <w:bCs/>
          <w:rtl/>
        </w:rPr>
        <w:t xml:space="preserve"> </w:t>
      </w:r>
      <w:r w:rsidRPr="003B5D33">
        <w:rPr>
          <w:rFonts w:eastAsia="Calibri" w:hint="eastAsia"/>
          <w:b/>
          <w:bCs/>
          <w:rtl/>
        </w:rPr>
        <w:t>שתוכנן</w:t>
      </w:r>
      <w:r w:rsidRPr="003B5D33">
        <w:rPr>
          <w:rFonts w:eastAsia="Calibri"/>
          <w:b/>
          <w:bCs/>
          <w:rtl/>
        </w:rPr>
        <w:t xml:space="preserve">. </w:t>
      </w:r>
      <w:r w:rsidRPr="003B5D33">
        <w:rPr>
          <w:rFonts w:eastAsia="Calibri" w:hint="cs"/>
          <w:b/>
          <w:bCs/>
          <w:rtl/>
        </w:rPr>
        <w:t>כמו כן</w:t>
      </w:r>
      <w:r w:rsidRPr="003B5D33">
        <w:rPr>
          <w:rFonts w:eastAsia="Calibri"/>
          <w:b/>
          <w:bCs/>
          <w:rtl/>
        </w:rPr>
        <w:t xml:space="preserve">, </w:t>
      </w:r>
      <w:r w:rsidRPr="003B5D33">
        <w:rPr>
          <w:rFonts w:eastAsia="Calibri" w:hint="cs"/>
          <w:b/>
          <w:bCs/>
          <w:rtl/>
        </w:rPr>
        <w:t xml:space="preserve">הועלה כי </w:t>
      </w:r>
      <w:r w:rsidRPr="003B5D33">
        <w:rPr>
          <w:rFonts w:eastAsia="Calibri"/>
          <w:b/>
          <w:bCs/>
          <w:rtl/>
        </w:rPr>
        <w:t xml:space="preserve">נדרשת תוספת תקציב </w:t>
      </w:r>
      <w:r w:rsidRPr="003B5D33">
        <w:rPr>
          <w:rFonts w:eastAsia="Calibri" w:hint="eastAsia"/>
          <w:b/>
          <w:bCs/>
          <w:rtl/>
        </w:rPr>
        <w:t>ניכרת</w:t>
      </w:r>
      <w:r w:rsidRPr="003B5D33">
        <w:rPr>
          <w:rFonts w:eastAsia="Calibri" w:hint="cs"/>
          <w:b/>
          <w:bCs/>
          <w:rtl/>
        </w:rPr>
        <w:t xml:space="preserve"> של</w:t>
      </w:r>
      <w:r w:rsidRPr="003B5D33">
        <w:rPr>
          <w:rFonts w:eastAsia="Calibri"/>
          <w:b/>
          <w:bCs/>
          <w:rtl/>
        </w:rPr>
        <w:t xml:space="preserve"> 12 - 18 מיליון ש"ח לשם הבאת הפרויקט לידי גמר.</w:t>
      </w:r>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eastAsia"/>
          <w:b/>
          <w:bCs/>
          <w:rtl/>
        </w:rPr>
        <w:t>מערכת</w:t>
      </w:r>
      <w:r w:rsidRPr="003B5D33">
        <w:rPr>
          <w:rFonts w:eastAsia="Calibri"/>
          <w:b/>
          <w:bCs/>
          <w:rtl/>
        </w:rPr>
        <w:t xml:space="preserve"> </w:t>
      </w:r>
      <w:r w:rsidRPr="003B5D33">
        <w:rPr>
          <w:rFonts w:eastAsia="Calibri" w:hint="eastAsia"/>
          <w:b/>
          <w:bCs/>
          <w:rtl/>
        </w:rPr>
        <w:t>זו</w:t>
      </w:r>
      <w:r w:rsidRPr="003B5D33">
        <w:rPr>
          <w:rFonts w:eastAsia="Calibri" w:hint="cs"/>
          <w:b/>
          <w:bCs/>
          <w:rtl/>
        </w:rPr>
        <w:t xml:space="preserve"> נועדה להחליף מערכת מסוימת ולהביא לשיפור ה</w:t>
      </w:r>
      <w:r w:rsidRPr="003B5D33">
        <w:rPr>
          <w:rFonts w:eastAsia="Calibri"/>
          <w:b/>
          <w:bCs/>
          <w:rtl/>
        </w:rPr>
        <w:t xml:space="preserve">שירות </w:t>
      </w:r>
      <w:r w:rsidRPr="003B5D33">
        <w:rPr>
          <w:rFonts w:eastAsia="Calibri" w:hint="cs"/>
          <w:b/>
          <w:bCs/>
          <w:rtl/>
        </w:rPr>
        <w:t>ה</w:t>
      </w:r>
      <w:r w:rsidRPr="003B5D33">
        <w:rPr>
          <w:rFonts w:eastAsia="Calibri"/>
          <w:b/>
          <w:bCs/>
          <w:rtl/>
        </w:rPr>
        <w:t>קונסולרי</w:t>
      </w:r>
      <w:r w:rsidRPr="003B5D33">
        <w:rPr>
          <w:rFonts w:eastAsia="Calibri" w:hint="cs"/>
          <w:b/>
          <w:bCs/>
          <w:rtl/>
        </w:rPr>
        <w:t>. מכל האמור עולה כי פיתוח המערכת</w:t>
      </w:r>
      <w:r w:rsidRPr="003B5D33">
        <w:rPr>
          <w:rFonts w:eastAsia="Calibri"/>
          <w:b/>
          <w:bCs/>
          <w:rtl/>
        </w:rPr>
        <w:t xml:space="preserve"> נתקל בקשיים ניכרים, ובכלל זה חריגות גדולות בכל שלושת מדדי הביצוע העיקריים של הפרויקט</w:t>
      </w:r>
      <w:r w:rsidRPr="003B5D33">
        <w:rPr>
          <w:rFonts w:eastAsia="Calibri" w:hint="cs"/>
          <w:b/>
          <w:bCs/>
          <w:rtl/>
        </w:rPr>
        <w:t xml:space="preserve"> -</w:t>
      </w:r>
      <w:r w:rsidRPr="003B5D33">
        <w:rPr>
          <w:rFonts w:eastAsia="Calibri"/>
          <w:b/>
          <w:bCs/>
          <w:rtl/>
        </w:rPr>
        <w:t xml:space="preserve"> חריגה בלוחות הזמנים, חריגה בתקציב וצמצום בתכולות הפרויקט</w:t>
      </w:r>
      <w:r w:rsidRPr="003B5D33">
        <w:rPr>
          <w:rFonts w:eastAsia="Calibri" w:hint="cs"/>
          <w:b/>
          <w:bCs/>
          <w:rtl/>
        </w:rPr>
        <w:t xml:space="preserve">: </w:t>
      </w:r>
      <w:r w:rsidRPr="003B5D33">
        <w:rPr>
          <w:rFonts w:eastAsia="Calibri" w:hint="cs"/>
          <w:bCs/>
          <w:rtl/>
        </w:rPr>
        <w:t xml:space="preserve">אף שהפרויקט תוכנן מלכתחילה להסתיים בשנת 2019, הרי שלפי לוחות הזמנים המעודכנים הפרויקט עתיד להסתיים לכל המוקדם בשנת 2028, כעשר שנים לאחר המועד המקורי שתוכנן; בנוסף, מדובר בפרויקט שניהולו לקה באופן יסודי בהיבטי המעקב והבקרה התקציביים. עלה כי </w:t>
      </w:r>
      <w:r w:rsidRPr="003B5D33">
        <w:rPr>
          <w:rFonts w:eastAsia="Calibri"/>
          <w:bCs/>
          <w:rtl/>
        </w:rPr>
        <w:t>היות שהצוותים עובדים על כמה פרויקטים במקביל, אין למשרד החוץ דרך לגזור עלויות לפרויקט מסוים</w:t>
      </w:r>
      <w:r w:rsidRPr="003B5D33">
        <w:rPr>
          <w:rFonts w:eastAsia="Calibri" w:hint="cs"/>
          <w:bCs/>
          <w:rtl/>
        </w:rPr>
        <w:t xml:space="preserve"> וכי </w:t>
      </w:r>
      <w:r w:rsidRPr="003B5D33">
        <w:rPr>
          <w:rFonts w:ascii="David" w:eastAsia="Calibri" w:hAnsi="David"/>
          <w:b/>
          <w:bCs/>
          <w:sz w:val="24"/>
          <w:rtl/>
        </w:rPr>
        <w:t>משרד החוץ לא העריך לאורך השנים את עלויות הפרויקט ולא אמד את עלויותיו עד כה</w:t>
      </w:r>
      <w:r w:rsidRPr="003B5D33">
        <w:rPr>
          <w:rFonts w:ascii="David" w:eastAsia="Calibri" w:hAnsi="David" w:hint="cs"/>
          <w:b/>
          <w:bCs/>
          <w:sz w:val="24"/>
          <w:rtl/>
        </w:rPr>
        <w:t xml:space="preserve"> </w:t>
      </w:r>
      <w:r w:rsidRPr="003B5D33">
        <w:rPr>
          <w:rFonts w:ascii="David" w:eastAsia="Calibri" w:hAnsi="David"/>
          <w:b/>
          <w:bCs/>
          <w:sz w:val="24"/>
          <w:rtl/>
        </w:rPr>
        <w:t>- עלות בפועל מול התכנון ואיתור חריגות תקציביות</w:t>
      </w:r>
      <w:r w:rsidRPr="003B5D33">
        <w:rPr>
          <w:rFonts w:eastAsia="Calibri" w:hint="cs"/>
          <w:bCs/>
          <w:rtl/>
        </w:rPr>
        <w:t xml:space="preserve">; </w:t>
      </w:r>
      <w:r w:rsidRPr="003B5D33">
        <w:rPr>
          <w:rFonts w:eastAsia="Calibri" w:hint="cs"/>
          <w:b/>
          <w:bCs/>
          <w:rtl/>
        </w:rPr>
        <w:t xml:space="preserve">נוכח העיכוב הניכר שחל בפיתוח הפרויקט נדרש להקצות כוח אדם נוסף, דהיינו להשקיע תקציב נוסף של </w:t>
      </w:r>
      <w:bookmarkStart w:id="27" w:name="_Hlk205367959"/>
      <w:r w:rsidRPr="003B5D33">
        <w:rPr>
          <w:rFonts w:eastAsia="Calibri"/>
          <w:b/>
          <w:bCs/>
          <w:rtl/>
        </w:rPr>
        <w:t>12 - 18 מיליון ש"ח</w:t>
      </w:r>
      <w:bookmarkEnd w:id="27"/>
      <w:r w:rsidRPr="003B5D33">
        <w:rPr>
          <w:rFonts w:eastAsia="Calibri" w:hint="cs"/>
          <w:b/>
          <w:bCs/>
          <w:rtl/>
        </w:rPr>
        <w:t xml:space="preserve">, כדי להביאו לידי גמר; </w:t>
      </w:r>
      <w:r w:rsidRPr="003B5D33">
        <w:rPr>
          <w:rFonts w:eastAsia="Calibri"/>
          <w:b/>
          <w:bCs/>
          <w:rtl/>
        </w:rPr>
        <w:t xml:space="preserve">זאת ועוד, </w:t>
      </w:r>
      <w:r w:rsidRPr="003B5D33">
        <w:rPr>
          <w:rFonts w:eastAsia="Calibri" w:hint="cs"/>
          <w:b/>
          <w:bCs/>
          <w:rtl/>
        </w:rPr>
        <w:t xml:space="preserve">נכון ליולי 2024, חמש שנים לאחר המועד המקורי לסיום הפרויקט, בוצעה רק כמחצית התכולה הנדרשת ברמת הפיתוח (53%), ואף זאת לאחר שהוחלט על צמצום התכולות שתוכננו מלכתחילה.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הועלה כי לעיכוב בפיתוח המערכת והמשך השימוש במערכת הקונסולרית הישנה השלכות וסיכונים. לנוכח העובדה שפותחו רק כמחצית מהמודולים המתוכננים, אגף התקשוב מפעיל זה כמה שנים את המערכת הקונסולרית הישנה במקביל למערכת החדשה, והוא נדרש לתת שירותי תמיכה ותחזוקה לשתי המערכות.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זאת ועוד, הביקורת העלתה כי על אף הקשיים והעיכובים המהותיים שחלו בקידום הפרויקט ועל אף הסיכונים הממשיים וההשלכות שיש לאי-קידומו, ה</w:t>
      </w:r>
      <w:r w:rsidRPr="003B5D33">
        <w:rPr>
          <w:rFonts w:eastAsia="Calibri"/>
          <w:b/>
          <w:bCs/>
          <w:rtl/>
        </w:rPr>
        <w:t xml:space="preserve">פרויקט </w:t>
      </w:r>
      <w:r w:rsidRPr="003B5D33">
        <w:rPr>
          <w:rFonts w:eastAsia="Calibri" w:hint="cs"/>
          <w:b/>
          <w:bCs/>
          <w:rtl/>
        </w:rPr>
        <w:t>פעל כתשע שנים ללא ועדת היגוי ייעודית - ועדת היגוי לפרויקט</w:t>
      </w:r>
      <w:r w:rsidRPr="003B5D33">
        <w:rPr>
          <w:rFonts w:eastAsia="Calibri"/>
          <w:b/>
          <w:bCs/>
          <w:rtl/>
        </w:rPr>
        <w:t xml:space="preserve"> הוקמה </w:t>
      </w:r>
      <w:r w:rsidRPr="003B5D33">
        <w:rPr>
          <w:rFonts w:eastAsia="Calibri" w:hint="cs"/>
          <w:b/>
          <w:bCs/>
          <w:rtl/>
        </w:rPr>
        <w:t>ר</w:t>
      </w:r>
      <w:r w:rsidRPr="003B5D33">
        <w:rPr>
          <w:rFonts w:eastAsia="Calibri"/>
          <w:b/>
          <w:bCs/>
          <w:rtl/>
        </w:rPr>
        <w:t>ק בשנת 2024.</w:t>
      </w:r>
      <w:r w:rsidRPr="003B5D33">
        <w:rPr>
          <w:rFonts w:eastAsia="Calibri" w:hint="cs"/>
          <w:b/>
          <w:bCs/>
          <w:rtl/>
        </w:rPr>
        <w:t xml:space="preserve"> ביולי 2024 קיימה ועדת ההיגוי שני דיונים והתקבלו החלטות בעניינו, אולם נכון למרץ 2025, ועדת ההיגוי הקונסולרית לא התכנסה פעם נוספת מאז יולי 2024 כדי לעקוב אחר התקדמות הפרויקט וכדי להבטיח כי הצעדים הנדרשים לשם יישומו אכן ננקטים.</w:t>
      </w:r>
    </w:p>
    <w:p w:rsidR="003B5D33" w:rsidRPr="003B5D33" w:rsidP="003B5D33">
      <w:pPr>
        <w:spacing w:line="269" w:lineRule="auto"/>
        <w:rPr>
          <w:rFonts w:eastAsia="Calibri"/>
          <w:b/>
          <w:bCs/>
          <w:rtl/>
        </w:rPr>
      </w:pPr>
    </w:p>
    <w:p w:rsidR="003B5D33" w:rsidRPr="003B5D33" w:rsidP="005A30CA">
      <w:pPr>
        <w:spacing w:line="360" w:lineRule="auto"/>
        <w:jc w:val="center"/>
        <w:rPr>
          <w:rFonts w:eastAsia="Calibri"/>
          <w:rtl/>
        </w:rPr>
      </w:pPr>
      <w:r w:rsidRPr="003B5D33">
        <w:rPr>
          <w:rFonts w:eastAsia="Calibri"/>
          <w:rtl/>
        </w:rPr>
        <w:t xml:space="preserve">תרשים </w:t>
      </w:r>
      <w:r w:rsidRPr="003B5D33">
        <w:rPr>
          <w:rFonts w:eastAsia="Calibri" w:hint="cs"/>
          <w:rtl/>
        </w:rPr>
        <w:t>5</w:t>
      </w:r>
      <w:r w:rsidRPr="003B5D33">
        <w:rPr>
          <w:rFonts w:eastAsia="Calibri"/>
          <w:rtl/>
        </w:rPr>
        <w:t>:</w:t>
      </w:r>
      <w:r w:rsidRPr="003B5D33">
        <w:rPr>
          <w:rFonts w:eastAsia="Calibri"/>
          <w:b/>
          <w:bCs/>
          <w:rtl/>
        </w:rPr>
        <w:t xml:space="preserve"> </w:t>
      </w:r>
      <w:r w:rsidRPr="003B5D33">
        <w:rPr>
          <w:rFonts w:eastAsia="Calibri" w:hint="cs"/>
          <w:b/>
          <w:bCs/>
          <w:rtl/>
        </w:rPr>
        <w:t>פערים עיקריים בפרויקט מסוים</w:t>
      </w:r>
    </w:p>
    <w:p w:rsidR="003B5D33" w:rsidRPr="003B5D33" w:rsidP="003B5D33">
      <w:pPr>
        <w:spacing w:line="269" w:lineRule="auto"/>
        <w:jc w:val="center"/>
        <w:rPr>
          <w:rFonts w:eastAsia="Calibri"/>
          <w:rtl/>
        </w:rPr>
      </w:pPr>
      <w:r w:rsidRPr="003B5D33">
        <w:rPr>
          <w:rFonts w:eastAsia="Calibri"/>
          <w:noProof/>
        </w:rPr>
        <w:drawing>
          <wp:inline distT="0" distB="0" distL="0" distR="0">
            <wp:extent cx="5218779" cy="2204978"/>
            <wp:effectExtent l="0" t="0" r="1270" b="5080"/>
            <wp:docPr id="14" name="תמונה 14" descr="סיכונים – שימוש במערכת ישנה על כל הסיכונים הכרוכים בכך.&#10;תפעול – הפעלה ותחזוקה של שתי מערכות במקביל.&#10;ניהול ובקרה – היעדר ועדת היגוי והיעדר בקרה תקציבית.&#10;תקציב – צורך בתקציב נוסף של כ־12–18 מיליון ש&quot;ח.&#10;הספק – פיתוח כמחצית המודולים בלבד.&#10;תכולה – ויתור על פיתוח היכולות הנוספות שתוכננו.&#10;זמנים – עיכוב של כ־10 שנים בפיתוח הפרויק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9721" b="13104"/>
                    <a:stretch>
                      <a:fillRect/>
                    </a:stretch>
                  </pic:blipFill>
                  <pic:spPr bwMode="auto">
                    <a:xfrm>
                      <a:off x="0" y="0"/>
                      <a:ext cx="5220335" cy="22056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3B5D33" w:rsidRPr="003B5D33" w:rsidP="003B5D33">
      <w:pPr>
        <w:spacing w:line="269" w:lineRule="auto"/>
        <w:rPr>
          <w:rFonts w:eastAsia="Calibri"/>
          <w:b/>
          <w:bCs/>
          <w:rtl/>
        </w:rPr>
      </w:pPr>
      <w:r w:rsidRPr="003B5D33">
        <w:rPr>
          <w:rFonts w:eastAsia="Calibri" w:hint="eastAsia"/>
          <w:sz w:val="16"/>
          <w:szCs w:val="20"/>
          <w:rtl/>
        </w:rPr>
        <w:t>על</w:t>
      </w:r>
      <w:r w:rsidRPr="003B5D33">
        <w:rPr>
          <w:rFonts w:eastAsia="Calibri"/>
          <w:sz w:val="16"/>
          <w:szCs w:val="20"/>
          <w:rtl/>
        </w:rPr>
        <w:t xml:space="preserve"> פי </w:t>
      </w:r>
      <w:r w:rsidRPr="003B5D33">
        <w:rPr>
          <w:rFonts w:eastAsia="Calibri" w:hint="eastAsia"/>
          <w:sz w:val="16"/>
          <w:szCs w:val="20"/>
          <w:rtl/>
        </w:rPr>
        <w:t>נתוני</w:t>
      </w:r>
      <w:r w:rsidRPr="003B5D33">
        <w:rPr>
          <w:rFonts w:eastAsia="Calibri"/>
          <w:sz w:val="16"/>
          <w:szCs w:val="20"/>
          <w:rtl/>
        </w:rPr>
        <w:t xml:space="preserve"> </w:t>
      </w:r>
      <w:r w:rsidRPr="003B5D33">
        <w:rPr>
          <w:rFonts w:eastAsia="Calibri" w:hint="eastAsia"/>
          <w:sz w:val="16"/>
          <w:szCs w:val="20"/>
          <w:rtl/>
        </w:rPr>
        <w:t>משרד</w:t>
      </w:r>
      <w:r w:rsidRPr="003B5D33">
        <w:rPr>
          <w:rFonts w:eastAsia="Calibri"/>
          <w:sz w:val="16"/>
          <w:szCs w:val="20"/>
          <w:rtl/>
        </w:rPr>
        <w:t xml:space="preserve"> </w:t>
      </w:r>
      <w:r w:rsidRPr="003B5D33">
        <w:rPr>
          <w:rFonts w:eastAsia="Calibri" w:hint="eastAsia"/>
          <w:sz w:val="16"/>
          <w:szCs w:val="20"/>
          <w:rtl/>
        </w:rPr>
        <w:t>החוץ</w:t>
      </w:r>
      <w:r w:rsidRPr="003B5D33">
        <w:rPr>
          <w:rFonts w:eastAsia="Calibri"/>
          <w:sz w:val="16"/>
          <w:szCs w:val="20"/>
          <w:rtl/>
        </w:rPr>
        <w:t>, בעיבוד משרד מבקר המדינה.</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 xml:space="preserve">על </w:t>
      </w:r>
      <w:r w:rsidRPr="003B5D33">
        <w:rPr>
          <w:rFonts w:eastAsia="Calibri" w:hint="cs"/>
          <w:b/>
          <w:bCs/>
          <w:rtl/>
        </w:rPr>
        <w:t xml:space="preserve">ועדת ההיגוי הייעודית של הפרויקט וועדת ההיגוי המשרדית לתחום התקשוב </w:t>
      </w:r>
      <w:r w:rsidRPr="003B5D33">
        <w:rPr>
          <w:rFonts w:eastAsia="Calibri"/>
          <w:b/>
          <w:bCs/>
          <w:rtl/>
        </w:rPr>
        <w:t>לבחון לעומקם את הליכי ההערכה והתכנון בפרויקט ולנהל מעקב הדוק אחר התקדמות אבני הדרך שלו בכל שלב ושלב</w:t>
      </w:r>
      <w:r w:rsidRPr="003B5D33">
        <w:rPr>
          <w:rFonts w:eastAsia="Calibri" w:hint="cs"/>
          <w:b/>
          <w:bCs/>
          <w:rtl/>
        </w:rPr>
        <w:t>. זאת</w:t>
      </w:r>
      <w:r w:rsidRPr="003B5D33">
        <w:rPr>
          <w:rFonts w:eastAsia="Calibri"/>
          <w:b/>
          <w:bCs/>
          <w:rtl/>
        </w:rPr>
        <w:t xml:space="preserve"> כדי למנוע עיכובים נוספים ביישומ</w:t>
      </w:r>
      <w:r w:rsidRPr="003B5D33">
        <w:rPr>
          <w:rFonts w:eastAsia="Calibri" w:hint="cs"/>
          <w:b/>
          <w:bCs/>
          <w:rtl/>
        </w:rPr>
        <w:t xml:space="preserve">ו של הפרויקט וכדי להבטיח כי </w:t>
      </w:r>
      <w:r w:rsidRPr="003B5D33">
        <w:rPr>
          <w:rFonts w:eastAsia="Calibri"/>
          <w:b/>
          <w:bCs/>
          <w:rtl/>
        </w:rPr>
        <w:t>המשך היישום בשנים הבאות ייעשה בהתאם לת</w:t>
      </w:r>
      <w:r w:rsidRPr="003B5D33">
        <w:rPr>
          <w:rFonts w:eastAsia="Calibri" w:hint="cs"/>
          <w:b/>
          <w:bCs/>
          <w:rtl/>
        </w:rPr>
        <w:t>ו</w:t>
      </w:r>
      <w:r w:rsidRPr="003B5D33">
        <w:rPr>
          <w:rFonts w:eastAsia="Calibri"/>
          <w:b/>
          <w:bCs/>
          <w:rtl/>
        </w:rPr>
        <w:t>כניות ולתכולות שאושרו</w:t>
      </w:r>
      <w:r w:rsidRPr="003B5D33">
        <w:rPr>
          <w:rFonts w:eastAsia="Calibri"/>
          <w:b/>
          <w:bCs/>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כמן כן, </w:t>
      </w:r>
      <w:r w:rsidRPr="003B5D33">
        <w:rPr>
          <w:rFonts w:eastAsia="Calibri"/>
          <w:b/>
          <w:bCs/>
          <w:rtl/>
        </w:rPr>
        <w:t xml:space="preserve">על </w:t>
      </w:r>
      <w:r w:rsidRPr="003B5D33">
        <w:rPr>
          <w:rFonts w:eastAsia="Calibri" w:hint="cs"/>
          <w:b/>
          <w:bCs/>
          <w:rtl/>
        </w:rPr>
        <w:t>הוועדות האמורות לתת את הדעת להיעדר היכולת לאמוד את עלויות הפרויקט</w:t>
      </w:r>
      <w:r w:rsidRPr="003B5D33">
        <w:rPr>
          <w:rFonts w:eastAsia="Calibri"/>
          <w:b/>
          <w:bCs/>
          <w:rtl/>
        </w:rPr>
        <w:t>. יוער כי בהיעדר תשתית מידע מלאה ומפורטת ב</w:t>
      </w:r>
      <w:r w:rsidRPr="003B5D33">
        <w:rPr>
          <w:rFonts w:eastAsia="Calibri" w:hint="cs"/>
          <w:b/>
          <w:bCs/>
          <w:rtl/>
        </w:rPr>
        <w:t>נוגע</w:t>
      </w:r>
      <w:r w:rsidRPr="003B5D33">
        <w:rPr>
          <w:rFonts w:eastAsia="Calibri"/>
          <w:b/>
          <w:bCs/>
          <w:rtl/>
        </w:rPr>
        <w:t xml:space="preserve"> </w:t>
      </w:r>
      <w:r w:rsidRPr="003B5D33">
        <w:rPr>
          <w:rFonts w:eastAsia="Calibri" w:hint="cs"/>
          <w:b/>
          <w:bCs/>
          <w:rtl/>
        </w:rPr>
        <w:t xml:space="preserve">לתקציב הפרויקט ויכולת לגזור את עלויותיו, </w:t>
      </w:r>
      <w:r w:rsidRPr="003B5D33">
        <w:rPr>
          <w:rFonts w:eastAsia="Calibri"/>
          <w:b/>
          <w:bCs/>
          <w:rtl/>
        </w:rPr>
        <w:t xml:space="preserve">לא ניתן לפקח על הפרויקט ועל ההחלטות המתקבלות במסגרתו בצורה מיטבית.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הממצאים האמורים שהועלו בנוגע לפרויקט פיתוח מערכת </w:t>
      </w:r>
      <w:r w:rsidRPr="003B5D33">
        <w:rPr>
          <w:rFonts w:eastAsia="Calibri" w:hint="eastAsia"/>
          <w:b/>
          <w:bCs/>
          <w:rtl/>
        </w:rPr>
        <w:t>זו</w:t>
      </w:r>
      <w:r w:rsidRPr="003B5D33">
        <w:rPr>
          <w:rFonts w:eastAsia="Calibri"/>
          <w:b/>
          <w:bCs/>
          <w:rtl/>
        </w:rPr>
        <w:t xml:space="preserve"> </w:t>
      </w:r>
      <w:r w:rsidRPr="003B5D33">
        <w:rPr>
          <w:rFonts w:eastAsia="Calibri" w:hint="cs"/>
          <w:b/>
          <w:bCs/>
          <w:rtl/>
        </w:rPr>
        <w:t>ממחישים את הצורך בהטמעת מתודולוגיות ו</w:t>
      </w:r>
      <w:r w:rsidRPr="003B5D33">
        <w:rPr>
          <w:rFonts w:eastAsia="Calibri"/>
          <w:b/>
          <w:bCs/>
          <w:rtl/>
        </w:rPr>
        <w:t>תהליכים של ניהול סיכונים בפרויקטים</w:t>
      </w:r>
      <w:r w:rsidRPr="003B5D33">
        <w:rPr>
          <w:rFonts w:eastAsia="Calibri" w:hint="cs"/>
          <w:b/>
          <w:bCs/>
          <w:rtl/>
        </w:rPr>
        <w:t xml:space="preserve"> המנוהלים במשרד החוץ, לצד חיזוק של כלי הבקרה והפיקוח. כמו כן, מומלץ כי מנכ"ל המשרד יבצע תהליך </w:t>
      </w:r>
      <w:r w:rsidRPr="003B5D33">
        <w:rPr>
          <w:rFonts w:eastAsia="Calibri"/>
          <w:b/>
          <w:bCs/>
          <w:rtl/>
        </w:rPr>
        <w:t xml:space="preserve">הפקת לקחים </w:t>
      </w:r>
      <w:r w:rsidRPr="003B5D33">
        <w:rPr>
          <w:rFonts w:eastAsia="Calibri" w:hint="cs"/>
          <w:b/>
          <w:bCs/>
          <w:rtl/>
        </w:rPr>
        <w:t>מפרויקט זה</w:t>
      </w:r>
      <w:r w:rsidRPr="003B5D33">
        <w:rPr>
          <w:rFonts w:eastAsia="Calibri"/>
          <w:b/>
          <w:bCs/>
          <w:rtl/>
        </w:rPr>
        <w:t xml:space="preserve"> </w:t>
      </w:r>
      <w:r w:rsidRPr="003B5D33">
        <w:rPr>
          <w:rFonts w:eastAsia="Calibri" w:hint="cs"/>
          <w:b/>
          <w:bCs/>
          <w:rtl/>
        </w:rPr>
        <w:t xml:space="preserve">לשם </w:t>
      </w:r>
      <w:r w:rsidRPr="003B5D33">
        <w:rPr>
          <w:rFonts w:eastAsia="Calibri"/>
          <w:b/>
          <w:bCs/>
          <w:rtl/>
        </w:rPr>
        <w:t>למידה מטעויות והימנעות מחזרה עליהן</w:t>
      </w:r>
      <w:r w:rsidRPr="003B5D33">
        <w:rPr>
          <w:rFonts w:eastAsia="Calibri" w:hint="cs"/>
          <w:b/>
          <w:bCs/>
          <w:rtl/>
        </w:rPr>
        <w:t xml:space="preserve">. צעדים אלה נדרשים כדי להבטיח כי ניהול הפרויקטים במשרד ייעשה בצורה מיטבית ומתודולוגית ובאופן שיסייע בהגדלת סיכויי </w:t>
      </w:r>
      <w:r w:rsidRPr="003B5D33">
        <w:rPr>
          <w:rFonts w:eastAsia="Calibri"/>
          <w:b/>
          <w:bCs/>
          <w:rtl/>
        </w:rPr>
        <w:t>הצלחת הפרויקט</w:t>
      </w:r>
      <w:r w:rsidRPr="003B5D33">
        <w:rPr>
          <w:rFonts w:eastAsia="Calibri" w:hint="cs"/>
          <w:b/>
          <w:bCs/>
          <w:rtl/>
        </w:rPr>
        <w:t>ים</w:t>
      </w:r>
      <w:r w:rsidRPr="003B5D33">
        <w:rPr>
          <w:rFonts w:eastAsia="Calibri"/>
          <w:b/>
          <w:bCs/>
          <w:rtl/>
        </w:rPr>
        <w:t xml:space="preserve"> והגשמת יעדי</w:t>
      </w:r>
      <w:r w:rsidRPr="003B5D33">
        <w:rPr>
          <w:rFonts w:eastAsia="Calibri" w:hint="cs"/>
          <w:b/>
          <w:bCs/>
          <w:rtl/>
        </w:rPr>
        <w:t xml:space="preserve">הם. </w:t>
      </w:r>
    </w:p>
    <w:p w:rsidR="003B5D33" w:rsidRPr="003B5D33" w:rsidP="003B5D33">
      <w:pPr>
        <w:keepNext/>
        <w:keepLines/>
        <w:spacing w:line="269" w:lineRule="auto"/>
        <w:outlineLvl w:val="2"/>
        <w:rPr>
          <w:rFonts w:eastAsia="Times New Roman"/>
          <w:bCs/>
          <w:szCs w:val="28"/>
          <w:u w:val="single"/>
          <w:rtl/>
        </w:rPr>
      </w:pPr>
      <w:bookmarkStart w:id="28" w:name="_Toc218592798"/>
    </w:p>
    <w:p w:rsidR="000E6727">
      <w:pPr>
        <w:bidi w:val="0"/>
        <w:spacing w:after="200" w:line="276" w:lineRule="auto"/>
        <w:rPr>
          <w:rFonts w:eastAsia="Times New Roman"/>
          <w:bCs/>
          <w:szCs w:val="28"/>
          <w:rtl/>
        </w:rPr>
      </w:pPr>
      <w:r>
        <w:rPr>
          <w:rFonts w:eastAsia="Times New Roman"/>
          <w:bCs/>
          <w:szCs w:val="28"/>
          <w:rtl/>
        </w:rPr>
        <w:br w:type="page"/>
      </w:r>
    </w:p>
    <w:p w:rsidR="003B5D33" w:rsidRPr="003B5D33" w:rsidP="003B5D33">
      <w:pPr>
        <w:keepNext/>
        <w:keepLines/>
        <w:spacing w:line="269" w:lineRule="auto"/>
        <w:outlineLvl w:val="2"/>
        <w:rPr>
          <w:rFonts w:eastAsia="Times New Roman"/>
          <w:bCs/>
          <w:szCs w:val="28"/>
          <w:u w:val="single"/>
        </w:rPr>
      </w:pPr>
      <w:r w:rsidRPr="003B5D33">
        <w:rPr>
          <w:rFonts w:eastAsia="Times New Roman"/>
          <w:bCs/>
          <w:szCs w:val="28"/>
          <w:u w:val="single"/>
          <w:rtl/>
        </w:rPr>
        <w:t>תוכנית התאוששות מאסון</w:t>
      </w:r>
      <w:bookmarkEnd w:id="28"/>
      <w:r w:rsidRPr="003B5D33">
        <w:rPr>
          <w:rFonts w:eastAsia="Times New Roman"/>
          <w:bCs/>
          <w:szCs w:val="28"/>
          <w:u w:val="single"/>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תוכנית התאוששות מאסון (להלן -</w:t>
      </w:r>
      <w:r w:rsidRPr="003B5D33">
        <w:rPr>
          <w:rFonts w:eastAsia="Calibri" w:hint="cs"/>
          <w:rtl/>
        </w:rPr>
        <w:t xml:space="preserve"> תוכנית </w:t>
      </w:r>
      <w:r w:rsidRPr="003B5D33">
        <w:rPr>
          <w:rFonts w:eastAsia="Calibri"/>
        </w:rPr>
        <w:t>DRP</w:t>
      </w:r>
      <w:r>
        <w:rPr>
          <w:rFonts w:eastAsia="Calibri"/>
          <w:vertAlign w:val="superscript"/>
          <w:rtl/>
        </w:rPr>
        <w:footnoteReference w:id="82"/>
      </w:r>
      <w:r w:rsidRPr="003B5D33">
        <w:rPr>
          <w:rFonts w:eastAsia="Calibri"/>
          <w:rtl/>
        </w:rPr>
        <w:t xml:space="preserve">) היא תוכנית הכוללת מדיניות, נהלים ותהליכים המשמשים להתאוששות מאסון או מאירוע </w:t>
      </w:r>
      <w:r w:rsidRPr="003B5D33">
        <w:rPr>
          <w:rFonts w:eastAsia="Calibri" w:hint="cs"/>
          <w:rtl/>
        </w:rPr>
        <w:t>חמור,</w:t>
      </w:r>
      <w:r w:rsidRPr="003B5D33">
        <w:rPr>
          <w:rFonts w:eastAsia="Calibri"/>
          <w:rtl/>
        </w:rPr>
        <w:t xml:space="preserve"> המשבית לזמן לא קצר את המערכים הטכנולוגיים של הארגון. תוכנית זו </w:t>
      </w:r>
      <w:r w:rsidRPr="003B5D33">
        <w:rPr>
          <w:rFonts w:eastAsia="Calibri" w:hint="cs"/>
          <w:rtl/>
        </w:rPr>
        <w:t>היא מרכיב קריטי ב</w:t>
      </w:r>
      <w:r w:rsidRPr="003B5D33">
        <w:rPr>
          <w:rFonts w:eastAsia="Calibri"/>
          <w:rtl/>
        </w:rPr>
        <w:t xml:space="preserve">הבטחת הרציפות התפקודית </w:t>
      </w:r>
      <w:r w:rsidRPr="003B5D33">
        <w:rPr>
          <w:rFonts w:eastAsia="Calibri" w:hint="cs"/>
          <w:rtl/>
        </w:rPr>
        <w:t>בחירום</w:t>
      </w:r>
      <w:r w:rsidRPr="003B5D33">
        <w:rPr>
          <w:rFonts w:eastAsia="Calibri"/>
          <w:rtl/>
        </w:rPr>
        <w:t>.</w:t>
      </w:r>
      <w:r w:rsidRPr="003B5D33">
        <w:rPr>
          <w:rFonts w:eastAsia="Calibri" w:hint="cs"/>
          <w:rtl/>
        </w:rPr>
        <w:t xml:space="preserve"> הדרישה</w:t>
      </w:r>
      <w:r w:rsidRPr="003B5D33">
        <w:rPr>
          <w:rFonts w:eastAsia="Calibri"/>
          <w:rtl/>
        </w:rPr>
        <w:t xml:space="preserve"> </w:t>
      </w:r>
      <w:r w:rsidRPr="003B5D33">
        <w:rPr>
          <w:rFonts w:eastAsia="Calibri" w:hint="cs"/>
          <w:rtl/>
        </w:rPr>
        <w:t>ל</w:t>
      </w:r>
      <w:r w:rsidRPr="003B5D33">
        <w:rPr>
          <w:rFonts w:eastAsia="Calibri"/>
          <w:rtl/>
        </w:rPr>
        <w:t xml:space="preserve">הכנת תוכנית </w:t>
      </w:r>
      <w:r w:rsidRPr="003B5D33">
        <w:rPr>
          <w:rFonts w:eastAsia="Calibri"/>
        </w:rPr>
        <w:t>DRP</w:t>
      </w:r>
      <w:r w:rsidRPr="003B5D33">
        <w:rPr>
          <w:rFonts w:eastAsia="Calibri"/>
          <w:rtl/>
        </w:rPr>
        <w:t xml:space="preserve"> היא פרקטיקה מקובלת, הנכללת </w:t>
      </w:r>
      <w:r w:rsidRPr="003B5D33">
        <w:rPr>
          <w:rFonts w:eastAsia="Calibri" w:hint="cs"/>
          <w:rtl/>
        </w:rPr>
        <w:t xml:space="preserve">בהנחיות מערך הדיגיטל וכן </w:t>
      </w:r>
      <w:r w:rsidRPr="003B5D33">
        <w:rPr>
          <w:rFonts w:eastAsia="Calibri"/>
          <w:rtl/>
        </w:rPr>
        <w:t xml:space="preserve">בכל הסטנדרטים הרלוונטיים, ובכללם </w:t>
      </w:r>
      <w:r w:rsidRPr="003B5D33">
        <w:rPr>
          <w:rFonts w:eastAsia="Calibri"/>
        </w:rPr>
        <w:t>NIST</w:t>
      </w:r>
      <w:r w:rsidRPr="003B5D33">
        <w:rPr>
          <w:rFonts w:eastAsia="Calibri" w:hint="cs"/>
          <w:rtl/>
        </w:rPr>
        <w:t>,</w:t>
      </w:r>
      <w:r w:rsidRPr="003B5D33">
        <w:rPr>
          <w:rFonts w:eastAsia="Calibri"/>
        </w:rPr>
        <w:t xml:space="preserve"> COBIT </w:t>
      </w:r>
      <w:r w:rsidRPr="003B5D33">
        <w:rPr>
          <w:rFonts w:eastAsia="Calibri" w:hint="cs"/>
          <w:rtl/>
        </w:rPr>
        <w:t>וה</w:t>
      </w:r>
      <w:r w:rsidRPr="003B5D33">
        <w:rPr>
          <w:rFonts w:eastAsia="Calibri"/>
          <w:rtl/>
        </w:rPr>
        <w:t>תק</w:t>
      </w:r>
      <w:r w:rsidRPr="003B5D33">
        <w:rPr>
          <w:rFonts w:eastAsia="Calibri" w:hint="cs"/>
          <w:rtl/>
        </w:rPr>
        <w:t xml:space="preserve">נים </w:t>
      </w:r>
      <w:r w:rsidRPr="003B5D33">
        <w:rPr>
          <w:rFonts w:eastAsia="Calibri" w:hint="cs"/>
        </w:rPr>
        <w:t>IS</w:t>
      </w:r>
      <w:r w:rsidRPr="003B5D33">
        <w:rPr>
          <w:rFonts w:eastAsia="Calibri"/>
        </w:rPr>
        <w:t>O 27301</w:t>
      </w:r>
      <w:r w:rsidRPr="003B5D33">
        <w:rPr>
          <w:rFonts w:eastAsia="Calibri" w:hint="cs"/>
          <w:rtl/>
        </w:rPr>
        <w:t xml:space="preserve"> ו-</w:t>
      </w:r>
      <w:r w:rsidRPr="003B5D33">
        <w:rPr>
          <w:rFonts w:eastAsia="Calibri"/>
        </w:rPr>
        <w:t>ISO 27031</w:t>
      </w:r>
      <w:r w:rsidRPr="003B5D33">
        <w:rPr>
          <w:rFonts w:eastAsia="Calibri"/>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חלק מהיישום של תוכנית ההתאוששות מאסון מתייחס לרכש ותחזוקה של תשתיות המיועדות לתמוך ולאפשר את ההתאוששות של הארגון בחירום. </w:t>
      </w:r>
      <w:r w:rsidRPr="003B5D33">
        <w:rPr>
          <w:rFonts w:eastAsia="Calibri"/>
          <w:rtl/>
        </w:rPr>
        <w:t>אתר גיבוי והתאוששות מאסון</w:t>
      </w:r>
      <w:r w:rsidRPr="003B5D33">
        <w:rPr>
          <w:rFonts w:eastAsia="Calibri" w:hint="cs"/>
          <w:rtl/>
        </w:rPr>
        <w:t xml:space="preserve"> (להלן - אתר </w:t>
      </w:r>
      <w:r w:rsidRPr="003B5D33">
        <w:rPr>
          <w:rFonts w:eastAsia="Calibri" w:hint="cs"/>
        </w:rPr>
        <w:t>DR</w:t>
      </w:r>
      <w:r w:rsidRPr="003B5D33">
        <w:rPr>
          <w:rFonts w:eastAsia="Calibri" w:hint="cs"/>
          <w:rtl/>
        </w:rPr>
        <w:t>) הוא חוות שרתים</w:t>
      </w:r>
      <w:r w:rsidRPr="003B5D33">
        <w:rPr>
          <w:rFonts w:eastAsia="Calibri"/>
          <w:rtl/>
        </w:rPr>
        <w:t xml:space="preserve"> משני</w:t>
      </w:r>
      <w:r w:rsidRPr="003B5D33">
        <w:rPr>
          <w:rFonts w:eastAsia="Calibri" w:hint="cs"/>
          <w:rtl/>
        </w:rPr>
        <w:t>ת</w:t>
      </w:r>
      <w:r w:rsidRPr="003B5D33">
        <w:rPr>
          <w:rFonts w:eastAsia="Calibri"/>
          <w:rtl/>
        </w:rPr>
        <w:t>, המשמש</w:t>
      </w:r>
      <w:r w:rsidRPr="003B5D33">
        <w:rPr>
          <w:rFonts w:eastAsia="Calibri" w:hint="cs"/>
          <w:rtl/>
        </w:rPr>
        <w:t>ת</w:t>
      </w:r>
      <w:r w:rsidRPr="003B5D33">
        <w:rPr>
          <w:rFonts w:eastAsia="Calibri"/>
          <w:rtl/>
        </w:rPr>
        <w:t xml:space="preserve"> לגיבוי ואישוש תכולות האתר הראשי</w:t>
      </w:r>
      <w:r>
        <w:rPr>
          <w:rFonts w:eastAsia="Calibri"/>
          <w:vertAlign w:val="superscript"/>
          <w:rtl/>
        </w:rPr>
        <w:footnoteReference w:id="83"/>
      </w:r>
      <w:r w:rsidRPr="003B5D33">
        <w:rPr>
          <w:rFonts w:eastAsia="Calibri"/>
          <w:rtl/>
        </w:rPr>
        <w:t xml:space="preserve"> ומספק</w:t>
      </w:r>
      <w:r w:rsidRPr="003B5D33">
        <w:rPr>
          <w:rFonts w:eastAsia="Calibri" w:hint="cs"/>
          <w:rtl/>
        </w:rPr>
        <w:t>ת</w:t>
      </w:r>
      <w:r w:rsidRPr="003B5D33">
        <w:rPr>
          <w:rFonts w:eastAsia="Calibri"/>
          <w:rtl/>
        </w:rPr>
        <w:t xml:space="preserve"> שירותים חיוניים בעת חירום או תקלה בחוות השרתים</w:t>
      </w:r>
      <w:r w:rsidRPr="003B5D33">
        <w:rPr>
          <w:rFonts w:eastAsia="Calibri" w:hint="cs"/>
          <w:rtl/>
        </w:rPr>
        <w:t xml:space="preserve"> הראשית</w:t>
      </w:r>
      <w:r>
        <w:rPr>
          <w:rFonts w:eastAsia="Calibri"/>
          <w:vertAlign w:val="superscript"/>
          <w:rtl/>
        </w:rPr>
        <w:footnoteReference w:id="84"/>
      </w:r>
      <w:r w:rsidRPr="003B5D33">
        <w:rPr>
          <w:rFonts w:eastAsia="Calibri"/>
          <w:rtl/>
        </w:rPr>
        <w:t>.</w:t>
      </w:r>
      <w:r w:rsidRPr="003B5D33">
        <w:rPr>
          <w:rFonts w:eastAsia="Calibri" w:hint="cs"/>
          <w:rtl/>
        </w:rPr>
        <w:t xml:space="preserve"> היעדר אתר גיבוי עלול לגרום להשלכות חמורות במקרה של כשל או אסון, כגון אובדן מידע קריטי, השבתה ממושכת של מערכות ושירותים ופגיעה באמינות הארגון ובמוניטין שלו.</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כלל מערכות המידע של </w:t>
      </w:r>
      <w:r w:rsidRPr="003B5D33">
        <w:rPr>
          <w:rFonts w:eastAsia="Calibri" w:hint="cs"/>
          <w:rtl/>
        </w:rPr>
        <w:t>משרד החוץ</w:t>
      </w:r>
      <w:r w:rsidRPr="003B5D33">
        <w:rPr>
          <w:rFonts w:eastAsia="Calibri"/>
          <w:rtl/>
        </w:rPr>
        <w:t xml:space="preserve"> מופעלות מחוות השרתים </w:t>
      </w:r>
      <w:r w:rsidRPr="003B5D33">
        <w:rPr>
          <w:rFonts w:eastAsia="Calibri" w:hint="cs"/>
          <w:rtl/>
        </w:rPr>
        <w:t>הראשית של משרד החוץ.</w:t>
      </w:r>
      <w:r w:rsidRPr="003B5D33">
        <w:rPr>
          <w:rFonts w:eastAsia="Calibri"/>
          <w:rtl/>
        </w:rPr>
        <w:t xml:space="preserve"> </w:t>
      </w:r>
      <w:r w:rsidRPr="003B5D33">
        <w:rPr>
          <w:rFonts w:eastAsia="Calibri" w:hint="cs"/>
          <w:rtl/>
        </w:rPr>
        <w:t xml:space="preserve">חווה זו פועלת באופן מלא מפברואר 2023. במועד זה השלים המשרד את העברת חוות השרתים הראשית לחוות שרתים מודרנית. </w:t>
      </w:r>
      <w:r w:rsidRPr="003B5D33">
        <w:rPr>
          <w:rFonts w:eastAsia="Calibri"/>
          <w:rtl/>
        </w:rPr>
        <w:t xml:space="preserve">נוסף על כך, </w:t>
      </w:r>
      <w:r w:rsidRPr="003B5D33">
        <w:rPr>
          <w:rFonts w:eastAsia="Calibri" w:hint="cs"/>
          <w:rtl/>
        </w:rPr>
        <w:t>למשרד</w:t>
      </w:r>
      <w:r w:rsidRPr="003B5D33">
        <w:rPr>
          <w:rFonts w:eastAsia="Calibri"/>
          <w:rtl/>
        </w:rPr>
        <w:t xml:space="preserve"> </w:t>
      </w:r>
      <w:r w:rsidRPr="003B5D33">
        <w:rPr>
          <w:rFonts w:eastAsia="Calibri" w:hint="cs"/>
          <w:rtl/>
        </w:rPr>
        <w:t xml:space="preserve">אתר </w:t>
      </w:r>
      <w:r w:rsidRPr="003B5D33">
        <w:rPr>
          <w:rFonts w:eastAsia="Calibri" w:hint="cs"/>
        </w:rPr>
        <w:t>DR</w:t>
      </w:r>
      <w:r w:rsidRPr="003B5D33">
        <w:rPr>
          <w:rFonts w:eastAsia="Calibri"/>
          <w:rtl/>
        </w:rPr>
        <w:t xml:space="preserve">, </w:t>
      </w:r>
      <w:r w:rsidRPr="003B5D33">
        <w:rPr>
          <w:rFonts w:eastAsia="Calibri" w:hint="cs"/>
          <w:rtl/>
        </w:rPr>
        <w:t>שאליו מגובות מערכות המידע הפועלות ברשתות השונות של המשרד.</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בשנת 2024 החל משרד החוץ בהיערכות להכנת תוכנית התאוששות מאסון, ושכר לשם כך חברה חיצונית אשר ביצעה </w:t>
      </w:r>
      <w:r w:rsidRPr="003B5D33">
        <w:rPr>
          <w:rFonts w:eastAsia="Calibri"/>
          <w:rtl/>
        </w:rPr>
        <w:t xml:space="preserve">תהליך </w:t>
      </w:r>
      <w:r w:rsidRPr="003B5D33">
        <w:rPr>
          <w:rFonts w:eastAsia="Calibri"/>
        </w:rPr>
        <w:t>BIA</w:t>
      </w:r>
      <w:r>
        <w:rPr>
          <w:rFonts w:ascii="Almoni ML v5 AAA" w:eastAsia="Calibri" w:hAnsi="Almoni ML v5 AAA" w:cs="Almoni ML v5 AAA"/>
          <w:vertAlign w:val="superscript"/>
          <w:rtl/>
        </w:rPr>
        <w:footnoteReference w:id="85"/>
      </w:r>
      <w:r w:rsidRPr="003B5D33">
        <w:rPr>
          <w:rFonts w:eastAsia="Calibri"/>
          <w:rtl/>
        </w:rPr>
        <w:t xml:space="preserve"> להערכת השפעת התממשות תרחישי הייחוס השונים על התהליכים העסקיים הקריטיים של המשרד</w:t>
      </w:r>
      <w:r w:rsidRPr="003B5D33">
        <w:rPr>
          <w:rFonts w:eastAsia="Calibri" w:hint="cs"/>
          <w:rtl/>
        </w:rPr>
        <w:t xml:space="preserve">. כמו כן שכר המשרד חברה נוספת, שתכין עבורו תוכנית להתאוששות מאסון.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מאחר </w:t>
      </w:r>
      <w:r w:rsidRPr="003B5D33">
        <w:rPr>
          <w:rFonts w:eastAsia="Calibri" w:hint="cs"/>
          <w:rtl/>
        </w:rPr>
        <w:t>שפעולות אלה</w:t>
      </w:r>
      <w:r w:rsidRPr="003B5D33">
        <w:rPr>
          <w:rFonts w:eastAsia="Calibri"/>
          <w:rtl/>
        </w:rPr>
        <w:t xml:space="preserve"> משק</w:t>
      </w:r>
      <w:r w:rsidRPr="003B5D33">
        <w:rPr>
          <w:rFonts w:eastAsia="Calibri" w:hint="cs"/>
          <w:rtl/>
        </w:rPr>
        <w:t>פות</w:t>
      </w:r>
      <w:r w:rsidRPr="003B5D33">
        <w:rPr>
          <w:rFonts w:eastAsia="Calibri"/>
          <w:rtl/>
        </w:rPr>
        <w:t xml:space="preserve"> תכנון עתידי רב שנתי</w:t>
      </w:r>
      <w:r w:rsidRPr="003B5D33">
        <w:rPr>
          <w:rFonts w:eastAsia="Calibri" w:hint="cs"/>
          <w:rtl/>
        </w:rPr>
        <w:t>,</w:t>
      </w:r>
      <w:r w:rsidRPr="003B5D33">
        <w:rPr>
          <w:rFonts w:eastAsia="Calibri"/>
          <w:rtl/>
        </w:rPr>
        <w:t xml:space="preserve"> בחן משרד מבקר המדינה את מצב הדברים </w:t>
      </w:r>
      <w:r w:rsidRPr="003B5D33">
        <w:rPr>
          <w:rFonts w:eastAsia="Calibri" w:hint="cs"/>
          <w:rtl/>
        </w:rPr>
        <w:t>כפי שהוא היום וש</w:t>
      </w:r>
      <w:r w:rsidRPr="003B5D33">
        <w:rPr>
          <w:rFonts w:eastAsia="Calibri"/>
          <w:rtl/>
        </w:rPr>
        <w:t>בהכרח יהיה רלוונטי לשנים הקרובות</w:t>
      </w:r>
      <w:r w:rsidRPr="003B5D33">
        <w:rPr>
          <w:rFonts w:eastAsia="Calibri" w:hint="cs"/>
          <w:rtl/>
        </w:rPr>
        <w:t xml:space="preserve">, עוד טרם יישום תכנון זה. במסגרת זו בחן משרד מבקר המדינה האם במשרד החוץ קיימת תוכנית </w:t>
      </w:r>
      <w:r w:rsidRPr="003B5D33">
        <w:rPr>
          <w:rFonts w:eastAsia="Calibri" w:hint="cs"/>
        </w:rPr>
        <w:t>DRP</w:t>
      </w:r>
      <w:r w:rsidRPr="003B5D33">
        <w:rPr>
          <w:rFonts w:eastAsia="Calibri" w:hint="cs"/>
          <w:rtl/>
        </w:rPr>
        <w:t xml:space="preserve"> מעודכנת וכן עמד על איכות המענה הניתן כיום להתאוששות מאסון במשרד החוץ, בהתאם להנחיות מערך הדיגיטל והפרקטיקה המקובלת. להלן ממצאי הבדיקה.</w:t>
      </w:r>
    </w:p>
    <w:p w:rsidR="003B5D33" w:rsidRPr="003B5D33" w:rsidP="003B5D33">
      <w:pPr>
        <w:spacing w:line="269" w:lineRule="auto"/>
        <w:rPr>
          <w:rFonts w:eastAsia="Calibri"/>
          <w:rtl/>
        </w:rPr>
      </w:pPr>
    </w:p>
    <w:p w:rsidR="000E6727">
      <w:pPr>
        <w:bidi w:val="0"/>
        <w:spacing w:after="200" w:line="276" w:lineRule="auto"/>
        <w:rPr>
          <w:rFonts w:eastAsia="Calibri"/>
          <w:rtl/>
        </w:rPr>
      </w:pPr>
      <w:r>
        <w:rPr>
          <w:rFonts w:eastAsia="Calibri"/>
          <w:rtl/>
        </w:rPr>
        <w:br w:type="page"/>
      </w:r>
    </w:p>
    <w:p w:rsidR="003B5D33" w:rsidRPr="003B5D33" w:rsidP="003B5D33">
      <w:pPr>
        <w:spacing w:line="269" w:lineRule="auto"/>
        <w:jc w:val="center"/>
        <w:rPr>
          <w:rFonts w:eastAsia="Calibri"/>
          <w:b/>
          <w:bCs/>
          <w:rtl/>
        </w:rPr>
      </w:pPr>
      <w:r w:rsidRPr="003B5D33">
        <w:rPr>
          <w:rFonts w:eastAsia="Calibri" w:hint="eastAsia"/>
          <w:rtl/>
        </w:rPr>
        <w:t>לוח</w:t>
      </w:r>
      <w:r w:rsidRPr="003B5D33">
        <w:rPr>
          <w:rFonts w:eastAsia="Calibri"/>
          <w:rtl/>
        </w:rPr>
        <w:t xml:space="preserve"> </w:t>
      </w:r>
      <w:r w:rsidRPr="003B5D33">
        <w:rPr>
          <w:rFonts w:eastAsia="Calibri" w:hint="cs"/>
          <w:rtl/>
        </w:rPr>
        <w:t>1:</w:t>
      </w:r>
      <w:r w:rsidRPr="003B5D33">
        <w:rPr>
          <w:rFonts w:eastAsia="Calibri" w:hint="cs"/>
          <w:b/>
          <w:bCs/>
          <w:rtl/>
        </w:rPr>
        <w:t xml:space="preserve"> ממצאים בנוגע לתוכנית ה-</w:t>
      </w:r>
      <w:r w:rsidRPr="003B5D33">
        <w:rPr>
          <w:rFonts w:eastAsia="Calibri" w:hint="cs"/>
          <w:b/>
          <w:bCs/>
        </w:rPr>
        <w:t>DRP</w:t>
      </w:r>
      <w:r w:rsidRPr="003B5D33">
        <w:rPr>
          <w:rFonts w:eastAsia="Calibri" w:hint="cs"/>
          <w:b/>
          <w:bCs/>
          <w:rtl/>
        </w:rPr>
        <w:t xml:space="preserve"> במשרד החוץ ולאיכות המענה הקיים באתר ה-</w:t>
      </w:r>
      <w:r w:rsidRPr="003B5D33">
        <w:rPr>
          <w:rFonts w:eastAsia="Calibri" w:hint="cs"/>
          <w:b/>
          <w:bCs/>
        </w:rPr>
        <w:t>DR</w:t>
      </w:r>
    </w:p>
    <w:tbl>
      <w:tblPr>
        <w:bidiVisual/>
        <w:tblW w:w="8223" w:type="dxa"/>
        <w:tblInd w:w="1892" w:type="dxa"/>
        <w:tblBorders>
          <w:insideH w:val="single" w:sz="12" w:space="0" w:color="4CC0EF"/>
          <w:insideV w:val="single" w:sz="24" w:space="0" w:color="FFFFFF"/>
        </w:tblBorders>
        <w:tblCellMar>
          <w:top w:w="198" w:type="dxa"/>
          <w:left w:w="198" w:type="dxa"/>
          <w:bottom w:w="198" w:type="dxa"/>
          <w:right w:w="198" w:type="dxa"/>
        </w:tblCellMar>
        <w:tblLook w:val="04A0"/>
      </w:tblPr>
      <w:tblGrid>
        <w:gridCol w:w="1431"/>
        <w:gridCol w:w="2004"/>
        <w:gridCol w:w="4788"/>
      </w:tblGrid>
      <w:tr w:rsidTr="003B5D33">
        <w:tblPrEx>
          <w:tblW w:w="8223" w:type="dxa"/>
          <w:tblInd w:w="1892" w:type="dxa"/>
          <w:tblBorders>
            <w:insideH w:val="single" w:sz="12" w:space="0" w:color="4CC0EF"/>
            <w:insideV w:val="single" w:sz="24" w:space="0" w:color="FFFFFF"/>
          </w:tblBorders>
          <w:tblCellMar>
            <w:top w:w="198" w:type="dxa"/>
            <w:left w:w="198" w:type="dxa"/>
            <w:bottom w:w="198" w:type="dxa"/>
            <w:right w:w="198" w:type="dxa"/>
          </w:tblCellMar>
          <w:tblLook w:val="04A0"/>
        </w:tblPrEx>
        <w:trPr>
          <w:trHeight w:val="432"/>
          <w:tblHeader/>
        </w:trPr>
        <w:tc>
          <w:tcPr>
            <w:tcW w:w="1431" w:type="dxa"/>
            <w:shd w:val="clear" w:color="auto" w:fill="FFFFFF"/>
            <w:vAlign w:val="center"/>
          </w:tcPr>
          <w:p w:rsidR="003B5D33" w:rsidRPr="003B5D33" w:rsidP="003B5D33">
            <w:pPr>
              <w:spacing w:line="269" w:lineRule="auto"/>
              <w:jc w:val="center"/>
              <w:rPr>
                <w:rFonts w:ascii="Almoni Tzar ML v5 AAA" w:eastAsia="Calibri" w:hAnsi="Almoni Tzar ML v5 AAA" w:cs="Almoni Tzar ML v5 AAA"/>
                <w:b/>
                <w:bCs/>
                <w:sz w:val="32"/>
                <w:szCs w:val="32"/>
                <w:rtl/>
              </w:rPr>
            </w:pPr>
            <w:bookmarkStart w:id="30" w:name="_Hlk200621829"/>
            <w:r w:rsidRPr="003B5D33">
              <w:rPr>
                <w:rFonts w:ascii="Almoni Tzar ML v5 AAA" w:eastAsia="Calibri" w:hAnsi="Almoni Tzar ML v5 AAA" w:cs="Almoni Tzar ML v5 AAA" w:hint="cs"/>
                <w:b/>
                <w:bCs/>
                <w:color w:val="4CC0EF"/>
                <w:sz w:val="32"/>
                <w:szCs w:val="32"/>
                <w:rtl/>
              </w:rPr>
              <w:t>ה</w:t>
            </w:r>
            <w:r w:rsidRPr="003B5D33">
              <w:rPr>
                <w:rFonts w:ascii="Almoni Tzar ML v5 AAA" w:eastAsia="Calibri" w:hAnsi="Almoni Tzar ML v5 AAA" w:cs="Almoni Tzar ML v5 AAA"/>
                <w:b/>
                <w:bCs/>
                <w:color w:val="4CC0EF"/>
                <w:sz w:val="32"/>
                <w:szCs w:val="32"/>
                <w:rtl/>
              </w:rPr>
              <w:t>נושא</w:t>
            </w:r>
          </w:p>
        </w:tc>
        <w:tc>
          <w:tcPr>
            <w:tcW w:w="2004" w:type="dxa"/>
            <w:shd w:val="clear" w:color="auto" w:fill="4CC0EF"/>
            <w:vAlign w:val="center"/>
          </w:tcPr>
          <w:p w:rsidR="003B5D33" w:rsidRPr="003B5D33" w:rsidP="003B5D33">
            <w:pPr>
              <w:spacing w:line="269" w:lineRule="auto"/>
              <w:jc w:val="center"/>
              <w:rPr>
                <w:rFonts w:ascii="Almoni Tzar ML v5 AAA" w:eastAsia="Calibri" w:hAnsi="Almoni Tzar ML v5 AAA" w:cs="Almoni Tzar ML v5 AAA"/>
                <w:b/>
                <w:bCs/>
                <w:color w:val="FFFFFF"/>
                <w:sz w:val="32"/>
                <w:szCs w:val="32"/>
                <w:rtl/>
              </w:rPr>
            </w:pPr>
            <w:r w:rsidRPr="003B5D33">
              <w:rPr>
                <w:rFonts w:ascii="Almoni Tzar ML v5 AAA" w:eastAsia="Calibri" w:hAnsi="Almoni Tzar ML v5 AAA" w:cs="Almoni Tzar ML v5 AAA"/>
                <w:b/>
                <w:bCs/>
                <w:color w:val="FFFFFF"/>
                <w:sz w:val="32"/>
                <w:szCs w:val="32"/>
                <w:rtl/>
              </w:rPr>
              <w:t>ההנחיות</w:t>
            </w:r>
          </w:p>
        </w:tc>
        <w:tc>
          <w:tcPr>
            <w:tcW w:w="4788" w:type="dxa"/>
            <w:tcBorders>
              <w:top w:val="nil"/>
              <w:bottom w:val="single" w:sz="12" w:space="0" w:color="4CC0EF"/>
              <w:right w:val="single" w:sz="48" w:space="0" w:color="4CC0EF"/>
            </w:tcBorders>
            <w:shd w:val="clear" w:color="auto" w:fill="4CC0EF"/>
            <w:vAlign w:val="center"/>
          </w:tcPr>
          <w:p w:rsidR="003B5D33" w:rsidRPr="003B5D33" w:rsidP="003B5D33">
            <w:pPr>
              <w:spacing w:line="269" w:lineRule="auto"/>
              <w:jc w:val="center"/>
              <w:rPr>
                <w:rFonts w:ascii="David" w:eastAsia="Calibri" w:hAnsi="David"/>
                <w:b/>
                <w:bCs/>
                <w:sz w:val="32"/>
                <w:szCs w:val="32"/>
                <w:rtl/>
              </w:rPr>
            </w:pPr>
            <w:r w:rsidRPr="003B5D33">
              <w:rPr>
                <w:rFonts w:ascii="Almoni Tzar ML v5 AAA" w:eastAsia="Calibri" w:hAnsi="Almoni Tzar ML v5 AAA" w:cs="Almoni Tzar ML v5 AAA"/>
                <w:b/>
                <w:bCs/>
                <w:color w:val="FFFFFF"/>
                <w:sz w:val="32"/>
                <w:szCs w:val="32"/>
                <w:rtl/>
              </w:rPr>
              <w:t>הממצאים</w:t>
            </w: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Pr>
            </w:pPr>
            <w:r w:rsidRPr="003B5D33">
              <w:rPr>
                <w:rFonts w:ascii="Almoni ML v5 AAA" w:eastAsia="Calibri" w:hAnsi="Almoni ML v5 AAA" w:cs="Almoni ML v5 AAA"/>
                <w:noProof/>
                <w:sz w:val="22"/>
                <w:szCs w:val="22"/>
              </w:rPr>
              <w:drawing>
                <wp:inline distT="0" distB="0" distL="0" distR="0">
                  <wp:extent cx="304800" cy="414020"/>
                  <wp:effectExtent l="0" t="0" r="0" b="508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14">
                            <a:duotone>
                              <a:schemeClr val="accent5">
                                <a:shade val="45000"/>
                                <a:satMod val="135000"/>
                              </a:schemeClr>
                              <a:prstClr val="white"/>
                            </a:duotone>
                          </a:blip>
                          <a:srcRect l="12589" r="12350" b="8137"/>
                          <a:stretch>
                            <a:fillRect/>
                          </a:stretch>
                        </pic:blipFill>
                        <pic:spPr bwMode="auto">
                          <a:xfrm>
                            <a:off x="0" y="0"/>
                            <a:ext cx="311600" cy="42325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קיום תוכנית </w:t>
            </w:r>
            <w:r w:rsidRPr="003B5D33">
              <w:rPr>
                <w:rFonts w:ascii="Almoni ML v5 AAA" w:eastAsia="Calibri" w:hAnsi="Almoni ML v5 AAA" w:cs="Almoni ML v5 AAA"/>
                <w:b/>
                <w:bCs/>
                <w:sz w:val="22"/>
                <w:szCs w:val="22"/>
              </w:rPr>
              <w:t>DRP</w:t>
            </w:r>
            <w:r w:rsidRPr="003B5D33">
              <w:rPr>
                <w:rFonts w:ascii="Almoni ML v5 AAA" w:eastAsia="Calibri" w:hAnsi="Almoni ML v5 AAA" w:cs="Almoni ML v5 AAA"/>
                <w:b/>
                <w:bCs/>
                <w:sz w:val="22"/>
                <w:szCs w:val="22"/>
                <w:rtl/>
              </w:rPr>
              <w:t xml:space="preserve"> ועדכניותה</w:t>
            </w:r>
          </w:p>
          <w:p w:rsidR="003B5D33" w:rsidRPr="003B5D33" w:rsidP="003B5D33">
            <w:pPr>
              <w:spacing w:line="269" w:lineRule="auto"/>
              <w:jc w:val="center"/>
              <w:rPr>
                <w:rFonts w:ascii="Almoni ML v5 AAA" w:eastAsia="Calibri" w:hAnsi="Almoni ML v5 AAA" w:cs="Almoni ML v5 AAA"/>
                <w:b/>
                <w:bCs/>
                <w:sz w:val="22"/>
                <w:szCs w:val="22"/>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יש לוודא כי קיימת במשרד תוכנית התאוששות מאסון </w:t>
            </w:r>
            <w:r w:rsidRPr="003B5D33">
              <w:rPr>
                <w:rFonts w:ascii="Almoni ML v5 AAA" w:eastAsia="Calibri" w:hAnsi="Almoni ML v5 AAA" w:cs="Almoni ML v5 AAA"/>
                <w:sz w:val="22"/>
                <w:szCs w:val="22"/>
              </w:rPr>
              <w:t>(DRP)</w:t>
            </w:r>
            <w:r w:rsidRPr="003B5D33">
              <w:rPr>
                <w:rFonts w:ascii="Almoni ML v5 AAA" w:eastAsia="Calibri" w:hAnsi="Almoni ML v5 AAA" w:cs="Almoni ML v5 AAA"/>
                <w:sz w:val="22"/>
                <w:szCs w:val="22"/>
                <w:rtl/>
              </w:rPr>
              <w:t xml:space="preserve"> מעודכנת. </w:t>
            </w:r>
          </w:p>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התוכנית צריכה לה</w:t>
            </w:r>
            <w:r w:rsidRPr="003B5D33">
              <w:rPr>
                <w:rFonts w:ascii="Almoni ML v5 AAA" w:eastAsia="Calibri" w:hAnsi="Almoni ML v5 AAA" w:cs="Almoni ML v5 AAA" w:hint="cs"/>
                <w:sz w:val="22"/>
                <w:szCs w:val="22"/>
                <w:rtl/>
              </w:rPr>
              <w:t>י</w:t>
            </w:r>
            <w:r w:rsidRPr="003B5D33">
              <w:rPr>
                <w:rFonts w:ascii="Almoni ML v5 AAA" w:eastAsia="Calibri" w:hAnsi="Almoni ML v5 AAA" w:cs="Almoni ML v5 AAA"/>
                <w:sz w:val="22"/>
                <w:szCs w:val="22"/>
                <w:rtl/>
              </w:rPr>
              <w:t>בחן לפחות אחת לשנה וכן בעת שינויים משמעותיים בתרחישי הייחוס, בסיכונים ובתשתיות ובמערכות המידע.</w:t>
            </w:r>
          </w:p>
        </w:tc>
        <w:tc>
          <w:tcPr>
            <w:tcW w:w="4788" w:type="dxa"/>
            <w:tcBorders>
              <w:top w:val="single" w:sz="12" w:space="0" w:color="4CC0EF"/>
              <w:bottom w:val="single" w:sz="12" w:space="0" w:color="4CC0EF"/>
              <w:right w:val="single" w:sz="48" w:space="0" w:color="F15B5D"/>
            </w:tcBorders>
            <w:shd w:val="clear" w:color="auto" w:fill="F0FAFE"/>
            <w:vAlign w:val="center"/>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hint="cs"/>
                <w:b/>
                <w:bCs/>
                <w:sz w:val="22"/>
                <w:szCs w:val="22"/>
                <w:rtl/>
              </w:rPr>
              <w:t xml:space="preserve">יישום של תוכנית התאוששות מאסון כולל בין היתר, רכש תשתיות והיערכות מקדימה ונרחבת. נמצא כי </w:t>
            </w:r>
            <w:r w:rsidRPr="003B5D33">
              <w:rPr>
                <w:rFonts w:ascii="Almoni ML v5 AAA" w:eastAsia="Calibri" w:hAnsi="Almoni ML v5 AAA" w:cs="Almoni ML v5 AAA"/>
                <w:b/>
                <w:bCs/>
                <w:sz w:val="22"/>
                <w:szCs w:val="22"/>
                <w:rtl/>
              </w:rPr>
              <w:t xml:space="preserve">במשרד קיימת תוכנית </w:t>
            </w:r>
            <w:r w:rsidRPr="003B5D33">
              <w:rPr>
                <w:rFonts w:ascii="Almoni ML v5 AAA" w:eastAsia="Calibri" w:hAnsi="Almoni ML v5 AAA" w:cs="Almoni ML v5 AAA"/>
                <w:b/>
                <w:bCs/>
                <w:sz w:val="22"/>
                <w:szCs w:val="22"/>
              </w:rPr>
              <w:t>DRP</w:t>
            </w:r>
            <w:r w:rsidRPr="003B5D33">
              <w:rPr>
                <w:rFonts w:ascii="Almoni ML v5 AAA" w:eastAsia="Calibri" w:hAnsi="Almoni ML v5 AAA" w:cs="Almoni ML v5 AAA"/>
                <w:b/>
                <w:bCs/>
                <w:sz w:val="22"/>
                <w:szCs w:val="22"/>
                <w:rtl/>
              </w:rPr>
              <w:t xml:space="preserve"> ישנה משנת 2011</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שעודכנה לאחרונה ב-2016 (להלן - התוכנית הישנה). </w:t>
            </w:r>
            <w:r w:rsidRPr="003B5D33">
              <w:rPr>
                <w:rFonts w:ascii="Almoni ML v5 AAA" w:eastAsia="Calibri" w:hAnsi="Almoni ML v5 AAA" w:cs="Almoni ML v5 AAA" w:hint="cs"/>
                <w:b/>
                <w:bCs/>
                <w:sz w:val="22"/>
                <w:szCs w:val="22"/>
                <w:rtl/>
              </w:rPr>
              <w:t xml:space="preserve">לדברי המשרד </w:t>
            </w:r>
            <w:r w:rsidRPr="003B5D33">
              <w:rPr>
                <w:rFonts w:ascii="Almoni ML v5 AAA" w:eastAsia="Calibri" w:hAnsi="Almoni ML v5 AAA" w:cs="Almoni ML v5 AAA"/>
                <w:b/>
                <w:bCs/>
                <w:sz w:val="22"/>
                <w:szCs w:val="22"/>
                <w:rtl/>
              </w:rPr>
              <w:t>תוכנית זו לא יושמה בהיעדר תקציב.</w:t>
            </w:r>
          </w:p>
          <w:p w:rsidR="003B5D33" w:rsidRPr="003B5D33" w:rsidP="003B5D33">
            <w:pPr>
              <w:spacing w:line="269" w:lineRule="auto"/>
              <w:rPr>
                <w:rFonts w:ascii="Almoni ML v5 AAA" w:eastAsia="Calibri" w:hAnsi="Almoni ML v5 AAA" w:cs="Almoni ML v5 AAA"/>
                <w:b/>
                <w:bCs/>
                <w:sz w:val="22"/>
                <w:szCs w:val="22"/>
              </w:rPr>
            </w:pPr>
          </w:p>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במאי 2022, כחלק מההיערכות להכנת תוכנית </w:t>
            </w:r>
            <w:r w:rsidRPr="003B5D33">
              <w:rPr>
                <w:rFonts w:ascii="Almoni ML v5 AAA" w:eastAsia="Calibri" w:hAnsi="Almoni ML v5 AAA" w:cs="Almoni ML v5 AAA"/>
                <w:sz w:val="22"/>
                <w:szCs w:val="22"/>
              </w:rPr>
              <w:t>DRP</w:t>
            </w:r>
            <w:r w:rsidRPr="003B5D33">
              <w:rPr>
                <w:rFonts w:ascii="Almoni ML v5 AAA" w:eastAsia="Calibri" w:hAnsi="Almoni ML v5 AAA" w:cs="Almoni ML v5 AAA"/>
                <w:sz w:val="22"/>
                <w:szCs w:val="22"/>
                <w:rtl/>
              </w:rPr>
              <w:t>, הוכן אפיון</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על לשרידות ש</w:t>
            </w:r>
            <w:r w:rsidRPr="003B5D33">
              <w:rPr>
                <w:rFonts w:ascii="Almoni ML v5 AAA" w:eastAsia="Calibri" w:hAnsi="Almoni ML v5 AAA" w:cs="Almoni ML v5 AAA" w:hint="cs"/>
                <w:sz w:val="22"/>
                <w:szCs w:val="22"/>
                <w:rtl/>
              </w:rPr>
              <w:t>י</w:t>
            </w:r>
            <w:r w:rsidRPr="003B5D33">
              <w:rPr>
                <w:rFonts w:ascii="Almoni ML v5 AAA" w:eastAsia="Calibri" w:hAnsi="Almoni ML v5 AAA" w:cs="Almoni ML v5 AAA"/>
                <w:sz w:val="22"/>
                <w:szCs w:val="22"/>
                <w:rtl/>
              </w:rPr>
              <w:t xml:space="preserve">רותי התקשוב (להלן - מסמך האפיון לשרידות). עם זאת, </w:t>
            </w:r>
            <w:r w:rsidRPr="003B5D33">
              <w:rPr>
                <w:rFonts w:ascii="Almoni ML v5 AAA" w:eastAsia="Calibri" w:hAnsi="Almoni ML v5 AAA" w:cs="Almoni ML v5 AAA"/>
                <w:b/>
                <w:bCs/>
                <w:sz w:val="22"/>
                <w:szCs w:val="22"/>
                <w:rtl/>
              </w:rPr>
              <w:t>נכון לספטמבר 2024, לא חלה התקדמות בנושא</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w:t>
            </w:r>
            <w:r w:rsidRPr="003B5D33">
              <w:rPr>
                <w:rFonts w:ascii="Almoni ML v5 AAA" w:eastAsia="Calibri" w:hAnsi="Almoni ML v5 AAA" w:cs="Almoni ML v5 AAA" w:hint="cs"/>
                <w:b/>
                <w:bCs/>
                <w:sz w:val="22"/>
                <w:szCs w:val="22"/>
                <w:rtl/>
              </w:rPr>
              <w:t xml:space="preserve">נוכח זאת, </w:t>
            </w:r>
            <w:r w:rsidRPr="003B5D33">
              <w:rPr>
                <w:rFonts w:ascii="Almoni ML v5 AAA" w:eastAsia="Calibri" w:hAnsi="Almoni ML v5 AAA" w:cs="Almoni ML v5 AAA"/>
                <w:b/>
                <w:bCs/>
                <w:sz w:val="22"/>
                <w:szCs w:val="22"/>
                <w:rtl/>
              </w:rPr>
              <w:t>הת</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כנית הישנה שעודכנה לאחרונה לפני כעשור, בשנת 2016, עודנה בתוקף</w:t>
            </w:r>
            <w:r w:rsidRPr="003B5D33">
              <w:rPr>
                <w:rFonts w:ascii="Almoni ML v5 AAA" w:eastAsia="Calibri" w:hAnsi="Almoni ML v5 AAA" w:cs="Almoni ML v5 AAA" w:hint="cs"/>
                <w:b/>
                <w:bCs/>
                <w:sz w:val="22"/>
                <w:szCs w:val="22"/>
                <w:rtl/>
              </w:rPr>
              <w:t>, אף כי</w:t>
            </w:r>
            <w:r w:rsidRPr="003B5D33">
              <w:rPr>
                <w:rFonts w:ascii="Almoni ML v5 AAA" w:eastAsia="Calibri" w:hAnsi="Almoni ML v5 AAA" w:cs="Almoni ML v5 AAA"/>
                <w:b/>
                <w:bCs/>
                <w:sz w:val="22"/>
                <w:szCs w:val="22"/>
                <w:rtl/>
              </w:rPr>
              <w:t xml:space="preserve"> חלק ניכר מהנתונים שבה אינם עדכניים על כל המשמעויות שיש לדבר.</w:t>
            </w: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Pr>
            </w:pPr>
            <w:r w:rsidRPr="003B5D33">
              <w:rPr>
                <w:rFonts w:ascii="Almoni ML v5 AAA" w:eastAsia="Calibri" w:hAnsi="Almoni ML v5 AAA" w:cs="Almoni ML v5 AAA"/>
                <w:noProof/>
                <w:sz w:val="22"/>
                <w:szCs w:val="22"/>
              </w:rPr>
              <w:drawing>
                <wp:inline distT="0" distB="0" distL="0" distR="0">
                  <wp:extent cx="391583" cy="349250"/>
                  <wp:effectExtent l="0" t="0" r="889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5">
                            <a:duotone>
                              <a:schemeClr val="accent5">
                                <a:shade val="45000"/>
                                <a:satMod val="135000"/>
                              </a:schemeClr>
                              <a:prstClr val="white"/>
                            </a:duotone>
                          </a:blip>
                          <a:stretch>
                            <a:fillRect/>
                          </a:stretch>
                        </pic:blipFill>
                        <pic:spPr>
                          <a:xfrm>
                            <a:off x="0" y="0"/>
                            <a:ext cx="401326" cy="357939"/>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איום ייחוס ותרחישי ייחוס</w:t>
            </w: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זיהוי ומיפוי תרחישי ייחוס שיכללו, לכל הפחות, התייחסות למשבר תקשובי (כגון אובדן או קריס</w:t>
            </w:r>
            <w:r w:rsidRPr="003B5D33">
              <w:rPr>
                <w:rFonts w:ascii="Almoni ML v5 AAA" w:eastAsia="Calibri" w:hAnsi="Almoni ML v5 AAA" w:cs="Almoni ML v5 AAA" w:hint="cs"/>
                <w:sz w:val="22"/>
                <w:szCs w:val="22"/>
                <w:rtl/>
              </w:rPr>
              <w:t>ה של</w:t>
            </w:r>
            <w:r w:rsidRPr="003B5D33">
              <w:rPr>
                <w:rFonts w:ascii="Almoni ML v5 AAA" w:eastAsia="Calibri" w:hAnsi="Almoni ML v5 AAA" w:cs="Almoni ML v5 AAA"/>
                <w:sz w:val="22"/>
                <w:szCs w:val="22"/>
                <w:rtl/>
              </w:rPr>
              <w:t xml:space="preserve"> מערכות מידע, קריסת תשתיות, פגיעת סייבר, קריסת תקשורת); </w:t>
            </w:r>
            <w:r w:rsidRPr="003B5D33">
              <w:rPr>
                <w:rFonts w:ascii="Almoni ML v5 AAA" w:eastAsia="Calibri" w:hAnsi="Almoni ML v5 AAA" w:cs="Almoni ML v5 AAA" w:hint="cs"/>
                <w:sz w:val="22"/>
                <w:szCs w:val="22"/>
                <w:rtl/>
              </w:rPr>
              <w:t>ל</w:t>
            </w:r>
            <w:r w:rsidRPr="003B5D33">
              <w:rPr>
                <w:rFonts w:ascii="Almoni ML v5 AAA" w:eastAsia="Calibri" w:hAnsi="Almoni ML v5 AAA" w:cs="Almoni ML v5 AAA"/>
                <w:sz w:val="22"/>
                <w:szCs w:val="22"/>
                <w:rtl/>
              </w:rPr>
              <w:t>משבר מדינתי או גלובלי (כגון מלחמה, רעידת אדמה ומגפה</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w:t>
            </w:r>
            <w:r w:rsidRPr="003B5D33">
              <w:rPr>
                <w:rFonts w:ascii="Almoni ML v5 AAA" w:eastAsia="Calibri" w:hAnsi="Almoni ML v5 AAA" w:cs="Almoni ML v5 AAA" w:hint="cs"/>
                <w:sz w:val="22"/>
                <w:szCs w:val="22"/>
                <w:rtl/>
              </w:rPr>
              <w:t>ל</w:t>
            </w:r>
            <w:r w:rsidRPr="003B5D33">
              <w:rPr>
                <w:rFonts w:ascii="Almoni ML v5 AAA" w:eastAsia="Calibri" w:hAnsi="Almoni ML v5 AAA" w:cs="Almoni ML v5 AAA"/>
                <w:sz w:val="22"/>
                <w:szCs w:val="22"/>
                <w:rtl/>
              </w:rPr>
              <w:t>משבר תפעולי ועסקי הפוגע בתחום העיסוק הספציפי של המשרד.</w:t>
            </w:r>
          </w:p>
        </w:tc>
        <w:tc>
          <w:tcPr>
            <w:tcW w:w="4788" w:type="dxa"/>
            <w:tcBorders>
              <w:top w:val="single" w:sz="12" w:space="0" w:color="4CC0EF"/>
              <w:bottom w:val="single" w:sz="12" w:space="0" w:color="4CC0EF"/>
              <w:right w:val="single" w:sz="48" w:space="0" w:color="FDC059"/>
            </w:tcBorders>
            <w:shd w:val="clear" w:color="auto" w:fill="F0FA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b/>
                <w:bCs/>
                <w:sz w:val="22"/>
                <w:szCs w:val="22"/>
                <w:rtl/>
              </w:rPr>
              <w:t>התוכנית הישנה אינה מתייחסת לתרחיש ייחוס משמעותי</w:t>
            </w:r>
            <w:r w:rsidRPr="003B5D33">
              <w:rPr>
                <w:rFonts w:ascii="Almoni ML v5 AAA" w:eastAsia="Calibri" w:hAnsi="Almoni ML v5 AAA" w:cs="Almoni ML v5 AAA"/>
                <w:sz w:val="22"/>
                <w:szCs w:val="22"/>
                <w:rtl/>
              </w:rPr>
              <w:t>.</w:t>
            </w:r>
            <w:r w:rsidRPr="003B5D33">
              <w:rPr>
                <w:rFonts w:ascii="Almoni ML v5 AAA" w:eastAsia="Calibri" w:hAnsi="Almoni ML v5 AAA" w:cs="Almoni ML v5 AAA"/>
                <w:b/>
                <w:bCs/>
                <w:sz w:val="22"/>
                <w:szCs w:val="22"/>
                <w:rtl/>
              </w:rPr>
              <w:t xml:space="preserve"> כך גם אין בתוכנית מענה לתרחיש קלאסי כדוגמת רעידת אדמה.</w:t>
            </w:r>
          </w:p>
          <w:p w:rsidR="003B5D33" w:rsidRPr="003B5D33" w:rsidP="003B5D33">
            <w:pPr>
              <w:spacing w:line="269" w:lineRule="auto"/>
              <w:rPr>
                <w:rFonts w:ascii="Almoni ML v5 AAA" w:eastAsia="Calibri" w:hAnsi="Almoni ML v5 AAA" w:cs="Almoni ML v5 AAA"/>
                <w:sz w:val="22"/>
                <w:szCs w:val="22"/>
                <w:rtl/>
              </w:rPr>
            </w:pPr>
          </w:p>
          <w:p w:rsidR="003B5D33" w:rsidRPr="003B5D33" w:rsidP="003B5D33">
            <w:pPr>
              <w:spacing w:line="269" w:lineRule="auto"/>
              <w:rPr>
                <w:rFonts w:ascii="Almoni ML v5 AAA" w:eastAsia="Calibri" w:hAnsi="Almoni ML v5 AAA" w:cs="Almoni ML v5 AAA"/>
                <w:sz w:val="22"/>
                <w:szCs w:val="22"/>
              </w:rPr>
            </w:pPr>
          </w:p>
        </w:tc>
      </w:tr>
      <w:tr w:rsidTr="003B5D33">
        <w:tblPrEx>
          <w:tblW w:w="8223" w:type="dxa"/>
          <w:tblInd w:w="1892" w:type="dxa"/>
          <w:tblCellMar>
            <w:top w:w="198" w:type="dxa"/>
            <w:left w:w="198" w:type="dxa"/>
            <w:bottom w:w="198" w:type="dxa"/>
            <w:right w:w="198" w:type="dxa"/>
          </w:tblCellMar>
          <w:tblLook w:val="04A0"/>
        </w:tblPrEx>
        <w:trPr>
          <w:trHeight w:val="3390"/>
        </w:trPr>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noProof/>
                <w:sz w:val="22"/>
                <w:szCs w:val="22"/>
              </w:rPr>
              <w:drawing>
                <wp:inline distT="0" distB="0" distL="0" distR="0">
                  <wp:extent cx="400482" cy="355600"/>
                  <wp:effectExtent l="0" t="0" r="0" b="6350"/>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16">
                            <a:duotone>
                              <a:schemeClr val="accent5">
                                <a:shade val="45000"/>
                                <a:satMod val="135000"/>
                              </a:schemeClr>
                              <a:prstClr val="white"/>
                            </a:duotone>
                          </a:blip>
                          <a:stretch>
                            <a:fillRect/>
                          </a:stretch>
                        </pic:blipFill>
                        <pic:spPr>
                          <a:xfrm>
                            <a:off x="0" y="0"/>
                            <a:ext cx="416232" cy="369585"/>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רשימת מערכות מידע קריטיות בת</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 xml:space="preserve">כנית </w:t>
            </w:r>
            <w:r w:rsidRPr="003B5D33">
              <w:rPr>
                <w:rFonts w:ascii="Almoni ML v5 AAA" w:eastAsia="Calibri" w:hAnsi="Almoni ML v5 AAA" w:cs="Almoni ML v5 AAA"/>
                <w:b/>
                <w:bCs/>
                <w:sz w:val="22"/>
                <w:szCs w:val="22"/>
                <w:rtl/>
              </w:rPr>
              <w:br/>
              <w:t>ה-</w:t>
            </w:r>
            <w:r w:rsidRPr="003B5D33">
              <w:rPr>
                <w:rFonts w:ascii="Almoni ML v5 AAA" w:eastAsia="Calibri" w:hAnsi="Almoni ML v5 AAA" w:cs="Almoni ML v5 AAA"/>
                <w:b/>
                <w:bCs/>
                <w:sz w:val="22"/>
                <w:szCs w:val="22"/>
              </w:rPr>
              <w:t>DRP</w:t>
            </w: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התוכנית תכלול את רשימת מערכות המידע המאפשרות את קיום התהליכים העסקיים הקריטיים.</w:t>
            </w:r>
          </w:p>
        </w:tc>
        <w:tc>
          <w:tcPr>
            <w:tcW w:w="4788" w:type="dxa"/>
            <w:tcBorders>
              <w:top w:val="single" w:sz="12" w:space="0" w:color="4CC0EF"/>
              <w:bottom w:val="single" w:sz="12" w:space="0" w:color="4CC0EF"/>
              <w:right w:val="single" w:sz="48" w:space="0" w:color="7BBD8D"/>
            </w:tcBorders>
            <w:shd w:val="clear" w:color="auto" w:fill="F0FA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רשימת המערכות הקריטיות עודכנה במסגרת תהליך </w:t>
            </w:r>
            <w:r w:rsidR="00DA2F85">
              <w:rPr>
                <w:rFonts w:ascii="Almoni ML v5 AAA" w:eastAsia="Calibri" w:hAnsi="Almoni ML v5 AAA" w:cs="Almoni ML v5 AAA"/>
                <w:sz w:val="22"/>
                <w:szCs w:val="22"/>
                <w:rtl/>
              </w:rPr>
              <w:br/>
            </w:r>
            <w:r w:rsidRPr="003B5D33">
              <w:rPr>
                <w:rFonts w:ascii="Almoni ML v5 AAA" w:eastAsia="Calibri" w:hAnsi="Almoni ML v5 AAA" w:cs="Almoni ML v5 AAA"/>
                <w:sz w:val="22"/>
                <w:szCs w:val="22"/>
                <w:rtl/>
              </w:rPr>
              <w:t>ה-</w:t>
            </w:r>
            <w:r w:rsidRPr="003B5D33">
              <w:rPr>
                <w:rFonts w:ascii="Almoni ML v5 AAA" w:eastAsia="Calibri" w:hAnsi="Almoni ML v5 AAA" w:cs="Almoni ML v5 AAA"/>
                <w:sz w:val="22"/>
                <w:szCs w:val="22"/>
              </w:rPr>
              <w:t>BIA</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שאגף התקשוב ביצע בשנת 2024.</w:t>
            </w: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noProof/>
                <w:sz w:val="22"/>
                <w:szCs w:val="22"/>
              </w:rPr>
              <w:drawing>
                <wp:inline distT="0" distB="0" distL="0" distR="0">
                  <wp:extent cx="540217" cy="412750"/>
                  <wp:effectExtent l="0" t="0" r="0" b="635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17">
                            <a:duotone>
                              <a:schemeClr val="accent5">
                                <a:shade val="45000"/>
                                <a:satMod val="135000"/>
                              </a:schemeClr>
                              <a:prstClr val="white"/>
                            </a:duotone>
                          </a:blip>
                          <a:stretch>
                            <a:fillRect/>
                          </a:stretch>
                        </pic:blipFill>
                        <pic:spPr>
                          <a:xfrm>
                            <a:off x="0" y="0"/>
                            <a:ext cx="545918" cy="417106"/>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noProof/>
                <w:sz w:val="22"/>
                <w:szCs w:val="22"/>
                <w:rtl/>
              </w:rPr>
            </w:pPr>
            <w:r w:rsidRPr="003B5D33">
              <w:rPr>
                <w:rFonts w:ascii="Almoni ML v5 AAA" w:eastAsia="Calibri" w:hAnsi="Almoni ML v5 AAA" w:cs="Almoni ML v5 AAA"/>
                <w:b/>
                <w:bCs/>
                <w:sz w:val="22"/>
                <w:szCs w:val="22"/>
                <w:rtl/>
              </w:rPr>
              <w:t>זיהוי תרחישי סיכון והערכת השפעה על התהליכים העסקיים הקריטיים</w:t>
            </w: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כבסיס להכנת תוכנית </w:t>
            </w:r>
            <w:r w:rsidRPr="003B5D33">
              <w:rPr>
                <w:rFonts w:ascii="Almoni ML v5 AAA" w:eastAsia="Calibri" w:hAnsi="Almoni ML v5 AAA" w:cs="Almoni ML v5 AAA"/>
                <w:sz w:val="22"/>
                <w:szCs w:val="22"/>
              </w:rPr>
              <w:t>DRP</w:t>
            </w:r>
            <w:r w:rsidRPr="003B5D33">
              <w:rPr>
                <w:rFonts w:ascii="Almoni ML v5 AAA" w:eastAsia="Calibri" w:hAnsi="Almoni ML v5 AAA" w:cs="Almoni ML v5 AAA"/>
                <w:sz w:val="22"/>
                <w:szCs w:val="22"/>
                <w:rtl/>
              </w:rPr>
              <w:t xml:space="preserve">, יש לקיים תהליך </w:t>
            </w:r>
            <w:r w:rsidRPr="003B5D33">
              <w:rPr>
                <w:rFonts w:ascii="Almoni ML v5 AAA" w:eastAsia="Calibri" w:hAnsi="Almoni ML v5 AAA" w:cs="Almoni ML v5 AAA"/>
                <w:sz w:val="22"/>
                <w:szCs w:val="22"/>
              </w:rPr>
              <w:t>BIA</w:t>
            </w:r>
            <w:r w:rsidRPr="003B5D33">
              <w:rPr>
                <w:rFonts w:ascii="Almoni ML v5 AAA" w:eastAsia="Calibri" w:hAnsi="Almoni ML v5 AAA" w:cs="Almoni ML v5 AAA"/>
                <w:sz w:val="22"/>
                <w:szCs w:val="22"/>
                <w:rtl/>
              </w:rPr>
              <w:t xml:space="preserve"> להערכת השפעת התממשות תרחישי הייחוס השונים על התהליכים העסקיים הקריטיים של המשרד.</w:t>
            </w:r>
          </w:p>
        </w:tc>
        <w:tc>
          <w:tcPr>
            <w:tcW w:w="4788" w:type="dxa"/>
            <w:tcBorders>
              <w:top w:val="single" w:sz="12" w:space="0" w:color="4CC0EF"/>
              <w:bottom w:val="single" w:sz="12" w:space="0" w:color="4CC0EF"/>
              <w:right w:val="single" w:sz="48" w:space="0" w:color="7BBD8D"/>
            </w:tcBorders>
            <w:shd w:val="clear" w:color="auto" w:fill="F0FAFE"/>
            <w:vAlign w:val="center"/>
          </w:tcPr>
          <w:p w:rsidR="003B5D33" w:rsidRPr="003B5D33" w:rsidP="003B5D33">
            <w:pPr>
              <w:spacing w:line="269" w:lineRule="auto"/>
              <w:jc w:val="left"/>
              <w:rPr>
                <w:rFonts w:ascii="Almoni ML v5 AAA" w:eastAsia="Calibri" w:hAnsi="Almoni ML v5 AAA" w:cs="Almoni ML v5 AAA"/>
                <w:b/>
                <w:bCs/>
                <w:sz w:val="22"/>
                <w:szCs w:val="22"/>
                <w:rtl/>
              </w:rPr>
            </w:pPr>
            <w:r w:rsidRPr="003B5D33">
              <w:rPr>
                <w:rFonts w:ascii="Almoni ML v5 AAA" w:eastAsia="Calibri" w:hAnsi="Almoni ML v5 AAA" w:cs="Almoni ML v5 AAA"/>
                <w:sz w:val="22"/>
                <w:szCs w:val="22"/>
                <w:rtl/>
              </w:rPr>
              <w:t xml:space="preserve">בשנת 2024 </w:t>
            </w:r>
            <w:r w:rsidRPr="003B5D33">
              <w:rPr>
                <w:rFonts w:ascii="Almoni ML v5 AAA" w:eastAsia="Calibri" w:hAnsi="Almoni ML v5 AAA" w:cs="Almoni ML v5 AAA" w:hint="cs"/>
                <w:sz w:val="22"/>
                <w:szCs w:val="22"/>
                <w:rtl/>
              </w:rPr>
              <w:t xml:space="preserve">ביצע </w:t>
            </w:r>
            <w:r w:rsidRPr="003B5D33">
              <w:rPr>
                <w:rFonts w:ascii="Almoni ML v5 AAA" w:eastAsia="Calibri" w:hAnsi="Almoni ML v5 AAA" w:cs="Almoni ML v5 AAA"/>
                <w:sz w:val="22"/>
                <w:szCs w:val="22"/>
                <w:rtl/>
              </w:rPr>
              <w:t>אגף התקשוב תהליך של מיפוי נכסים וניתוח מובנה של התהליכים העסקיים הקריטיים וההשפעות העסקיות להתממשות תרחישי הייחוס.</w:t>
            </w: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Pr>
            </w:pPr>
            <w:r w:rsidRPr="003B5D33">
              <w:rPr>
                <w:rFonts w:ascii="Almoni ML v5 AAA" w:eastAsia="Calibri" w:hAnsi="Almoni ML v5 AAA" w:cs="Almoni ML v5 AAA"/>
                <w:noProof/>
                <w:sz w:val="22"/>
                <w:szCs w:val="22"/>
              </w:rPr>
              <w:drawing>
                <wp:inline distT="0" distB="0" distL="0" distR="0">
                  <wp:extent cx="339882" cy="336550"/>
                  <wp:effectExtent l="0" t="0" r="3175" b="635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xmlns:r="http://schemas.openxmlformats.org/officeDocument/2006/relationships" r:embed="rId18">
                            <a:duotone>
                              <a:schemeClr val="accent5">
                                <a:shade val="45000"/>
                                <a:satMod val="135000"/>
                              </a:schemeClr>
                              <a:prstClr val="white"/>
                            </a:duotone>
                          </a:blip>
                          <a:stretch>
                            <a:fillRect/>
                          </a:stretch>
                        </pic:blipFill>
                        <pic:spPr>
                          <a:xfrm>
                            <a:off x="0" y="0"/>
                            <a:ext cx="354696" cy="351219"/>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קביעת מדדי / יעדי התאוששות</w:t>
            </w:r>
          </w:p>
          <w:p w:rsidR="003B5D33" w:rsidP="003B5D33">
            <w:pPr>
              <w:spacing w:line="269" w:lineRule="auto"/>
              <w:jc w:val="center"/>
              <w:rPr>
                <w:rFonts w:ascii="Almoni ML v5 AAA" w:eastAsia="Calibri" w:hAnsi="Almoni ML v5 AAA" w:cs="Almoni ML v5 AAA"/>
                <w:b/>
                <w:bCs/>
                <w:sz w:val="22"/>
                <w:szCs w:val="22"/>
                <w:rtl/>
              </w:rPr>
            </w:pPr>
          </w:p>
          <w:p w:rsidR="000E6727" w:rsidP="003B5D33">
            <w:pPr>
              <w:spacing w:line="269" w:lineRule="auto"/>
              <w:jc w:val="center"/>
              <w:rPr>
                <w:rFonts w:ascii="Almoni ML v5 AAA" w:eastAsia="Calibri" w:hAnsi="Almoni ML v5 AAA" w:cs="Almoni ML v5 AAA"/>
                <w:b/>
                <w:bCs/>
                <w:sz w:val="22"/>
                <w:szCs w:val="22"/>
                <w:rtl/>
              </w:rPr>
            </w:pPr>
          </w:p>
          <w:p w:rsidR="000E6727"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התוכנית תכלול לכל מערכת קריטית הגדרה של </w:t>
            </w:r>
            <w:r w:rsidRPr="003B5D33">
              <w:rPr>
                <w:rFonts w:ascii="Almoni ML v5 AAA" w:eastAsia="Calibri" w:hAnsi="Almoni ML v5 AAA" w:cs="Almoni ML v5 AAA"/>
                <w:sz w:val="22"/>
                <w:szCs w:val="22"/>
              </w:rPr>
              <w:t>RPO</w:t>
            </w:r>
            <w:r>
              <w:rPr>
                <w:rFonts w:ascii="Almoni ML v5 AAA" w:eastAsia="Calibri" w:hAnsi="Almoni ML v5 AAA" w:cs="Almoni ML v5 AAA"/>
                <w:sz w:val="22"/>
                <w:szCs w:val="22"/>
                <w:vertAlign w:val="superscript"/>
                <w:rtl/>
              </w:rPr>
              <w:footnoteReference w:id="86"/>
            </w:r>
            <w:r w:rsidRPr="003B5D33">
              <w:rPr>
                <w:rFonts w:ascii="Almoni ML v5 AAA" w:eastAsia="Calibri" w:hAnsi="Almoni ML v5 AAA" w:cs="Almoni ML v5 AAA"/>
                <w:sz w:val="22"/>
                <w:szCs w:val="22"/>
                <w:rtl/>
              </w:rPr>
              <w:t xml:space="preserve"> </w:t>
            </w:r>
            <w:r w:rsidRPr="003B5D33">
              <w:rPr>
                <w:rFonts w:ascii="Almoni ML v5 AAA" w:eastAsia="Calibri" w:hAnsi="Almoni ML v5 AAA" w:cs="Almoni ML v5 AAA"/>
                <w:sz w:val="22"/>
                <w:szCs w:val="22"/>
                <w:rtl/>
              </w:rPr>
              <w:br/>
              <w:t>ו-</w:t>
            </w:r>
            <w:r w:rsidRPr="003B5D33">
              <w:rPr>
                <w:rFonts w:ascii="Almoni ML v5 AAA" w:eastAsia="Calibri" w:hAnsi="Almoni ML v5 AAA" w:cs="Almoni ML v5 AAA"/>
                <w:sz w:val="22"/>
                <w:szCs w:val="22"/>
              </w:rPr>
              <w:t>RTO</w:t>
            </w:r>
            <w:r>
              <w:rPr>
                <w:rFonts w:ascii="Almoni ML v5 AAA" w:eastAsia="Calibri" w:hAnsi="Almoni ML v5 AAA" w:cs="Almoni ML v5 AAA"/>
                <w:sz w:val="22"/>
                <w:szCs w:val="22"/>
                <w:vertAlign w:val="superscript"/>
                <w:rtl/>
              </w:rPr>
              <w:footnoteReference w:id="87"/>
            </w:r>
            <w:r w:rsidRPr="003B5D33">
              <w:rPr>
                <w:rFonts w:ascii="Almoni ML v5 AAA" w:eastAsia="Calibri" w:hAnsi="Almoni ML v5 AAA" w:cs="Almoni ML v5 AAA"/>
                <w:sz w:val="22"/>
                <w:szCs w:val="22"/>
                <w:rtl/>
              </w:rPr>
              <w:t xml:space="preserve">. </w:t>
            </w:r>
          </w:p>
          <w:p w:rsidR="000E6727" w:rsidRPr="003B5D33" w:rsidP="003B5D33">
            <w:pPr>
              <w:spacing w:line="269" w:lineRule="auto"/>
              <w:jc w:val="left"/>
              <w:rPr>
                <w:rFonts w:ascii="Almoni ML v5 AAA" w:eastAsia="Calibri" w:hAnsi="Almoni ML v5 AAA" w:cs="Almoni ML v5 AAA"/>
                <w:sz w:val="22"/>
                <w:szCs w:val="22"/>
                <w:rtl/>
              </w:rPr>
            </w:pPr>
          </w:p>
        </w:tc>
        <w:tc>
          <w:tcPr>
            <w:tcW w:w="4788" w:type="dxa"/>
            <w:tcBorders>
              <w:top w:val="single" w:sz="12" w:space="0" w:color="4CC0EF"/>
              <w:bottom w:val="single" w:sz="12" w:space="0" w:color="4CC0EF"/>
              <w:right w:val="single" w:sz="48" w:space="0" w:color="7BBD8D"/>
            </w:tcBorders>
            <w:shd w:val="clear" w:color="auto" w:fill="F0FAFE"/>
            <w:vAlign w:val="center"/>
          </w:tcPr>
          <w:p w:rsid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במסגרת הכנת ה-</w:t>
            </w:r>
            <w:r w:rsidRPr="003B5D33">
              <w:rPr>
                <w:rFonts w:ascii="Almoni ML v5 AAA" w:eastAsia="Calibri" w:hAnsi="Almoni ML v5 AAA" w:cs="Almoni ML v5 AAA"/>
                <w:sz w:val="22"/>
                <w:szCs w:val="22"/>
              </w:rPr>
              <w:t>BIA</w:t>
            </w:r>
            <w:r w:rsidRPr="003B5D33">
              <w:rPr>
                <w:rFonts w:ascii="Almoni ML v5 AAA" w:eastAsia="Calibri" w:hAnsi="Almoni ML v5 AAA" w:cs="Almoni ML v5 AAA"/>
                <w:sz w:val="22"/>
                <w:szCs w:val="22"/>
                <w:rtl/>
              </w:rPr>
              <w:t xml:space="preserve"> הוכנו מדדי התאוששות למערכות הקריטיות. בספטמבר 2024 </w:t>
            </w:r>
            <w:r w:rsidRPr="003B5D33">
              <w:rPr>
                <w:rFonts w:ascii="Almoni ML v5 AAA" w:eastAsia="Calibri" w:hAnsi="Almoni ML v5 AAA" w:cs="Almoni ML v5 AAA" w:hint="cs"/>
                <w:sz w:val="22"/>
                <w:szCs w:val="22"/>
                <w:rtl/>
              </w:rPr>
              <w:t>דנה בנושא</w:t>
            </w:r>
            <w:r w:rsidRPr="003B5D33">
              <w:rPr>
                <w:rFonts w:ascii="Almoni ML v5 AAA" w:eastAsia="Calibri" w:hAnsi="Almoni ML v5 AAA" w:cs="Almoni ML v5 AAA"/>
                <w:sz w:val="22"/>
                <w:szCs w:val="22"/>
                <w:rtl/>
              </w:rPr>
              <w:t xml:space="preserve"> ועדת ההיגוי להגנת הסייבר וקיבלה החלטות בנוגע למדדים האמורים. </w:t>
            </w:r>
          </w:p>
          <w:p w:rsidR="000E6727" w:rsidRPr="003B5D33" w:rsidP="003B5D33">
            <w:pPr>
              <w:spacing w:line="269" w:lineRule="auto"/>
              <w:rPr>
                <w:rFonts w:ascii="Almoni ML v5 AAA" w:eastAsia="Calibri" w:hAnsi="Almoni ML v5 AAA" w:cs="Almoni ML v5 AAA"/>
                <w:sz w:val="22"/>
                <w:szCs w:val="22"/>
                <w:rtl/>
              </w:rPr>
            </w:pP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noProof/>
                <w:sz w:val="22"/>
                <w:szCs w:val="22"/>
              </w:rPr>
              <w:drawing>
                <wp:inline distT="0" distB="0" distL="0" distR="0">
                  <wp:extent cx="487846" cy="361950"/>
                  <wp:effectExtent l="0" t="0" r="762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19">
                            <a:duotone>
                              <a:schemeClr val="accent5">
                                <a:shade val="45000"/>
                                <a:satMod val="135000"/>
                              </a:schemeClr>
                              <a:prstClr val="white"/>
                            </a:duotone>
                          </a:blip>
                          <a:stretch>
                            <a:fillRect/>
                          </a:stretch>
                        </pic:blipFill>
                        <pic:spPr>
                          <a:xfrm>
                            <a:off x="0" y="0"/>
                            <a:ext cx="490453" cy="363884"/>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יכולת המשרד לעמוד ביעדי התאוששות שנקבעו על ידו</w:t>
            </w: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אתר ה-</w:t>
            </w:r>
            <w:r w:rsidRPr="003B5D33">
              <w:rPr>
                <w:rFonts w:ascii="Almoni ML v5 AAA" w:eastAsia="Calibri" w:hAnsi="Almoni ML v5 AAA" w:cs="Almoni ML v5 AAA"/>
                <w:sz w:val="22"/>
                <w:szCs w:val="22"/>
              </w:rPr>
              <w:t>DR</w:t>
            </w:r>
            <w:r w:rsidRPr="003B5D33">
              <w:rPr>
                <w:rFonts w:ascii="Almoni ML v5 AAA" w:eastAsia="Calibri" w:hAnsi="Almoni ML v5 AAA" w:cs="Almoni ML v5 AAA"/>
                <w:sz w:val="22"/>
                <w:szCs w:val="22"/>
                <w:rtl/>
              </w:rPr>
              <w:t xml:space="preserve"> יכיל תשתיות המאפשרות את מימוש תוכנית </w:t>
            </w:r>
            <w:r w:rsidRPr="003B5D33">
              <w:rPr>
                <w:rFonts w:ascii="Almoni ML v5 AAA" w:eastAsia="Calibri" w:hAnsi="Almoni ML v5 AAA" w:cs="Almoni ML v5 AAA"/>
                <w:sz w:val="22"/>
                <w:szCs w:val="22"/>
                <w:rtl/>
              </w:rPr>
              <w:br/>
              <w:t>ה-</w:t>
            </w:r>
            <w:r w:rsidRPr="003B5D33">
              <w:rPr>
                <w:rFonts w:ascii="Almoni ML v5 AAA" w:eastAsia="Calibri" w:hAnsi="Almoni ML v5 AAA" w:cs="Almoni ML v5 AAA"/>
                <w:sz w:val="22"/>
                <w:szCs w:val="22"/>
              </w:rPr>
              <w:t>DRP</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כולל עמידה ביעדי ההתאוששות שנקבעו.</w:t>
            </w:r>
          </w:p>
        </w:tc>
        <w:tc>
          <w:tcPr>
            <w:tcW w:w="4788" w:type="dxa"/>
            <w:tcBorders>
              <w:top w:val="single" w:sz="12" w:space="0" w:color="4CC0EF"/>
              <w:bottom w:val="single" w:sz="12" w:space="0" w:color="4CC0EF"/>
              <w:right w:val="single" w:sz="48" w:space="0" w:color="F15B5D"/>
            </w:tcBorders>
            <w:shd w:val="clear" w:color="auto" w:fill="F0FA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b/>
                <w:bCs/>
                <w:sz w:val="22"/>
                <w:szCs w:val="22"/>
                <w:rtl/>
              </w:rPr>
              <w:t>ה-</w:t>
            </w:r>
            <w:r w:rsidRPr="003B5D33">
              <w:rPr>
                <w:rFonts w:ascii="Almoni ML v5 AAA" w:eastAsia="Calibri" w:hAnsi="Almoni ML v5 AAA" w:cs="Almoni ML v5 AAA"/>
                <w:b/>
                <w:bCs/>
                <w:sz w:val="22"/>
                <w:szCs w:val="22"/>
              </w:rPr>
              <w:t>RTO</w:t>
            </w:r>
            <w:r w:rsidRPr="003B5D33">
              <w:rPr>
                <w:rFonts w:ascii="Almoni ML v5 AAA" w:eastAsia="Calibri" w:hAnsi="Almoni ML v5 AAA" w:cs="Almoni ML v5 AAA"/>
                <w:b/>
                <w:bCs/>
                <w:sz w:val="22"/>
                <w:szCs w:val="22"/>
                <w:rtl/>
              </w:rPr>
              <w:t xml:space="preserve"> שאושר כיעד למערכות </w:t>
            </w:r>
            <w:r w:rsidRPr="003B5D33">
              <w:rPr>
                <w:rFonts w:ascii="Almoni ML v5 AAA" w:eastAsia="Calibri" w:hAnsi="Almoni ML v5 AAA" w:cs="Almoni ML v5 AAA" w:hint="eastAsia"/>
                <w:b/>
                <w:bCs/>
                <w:sz w:val="22"/>
                <w:szCs w:val="22"/>
                <w:rtl/>
              </w:rPr>
              <w:t>מסוימות</w:t>
            </w:r>
            <w:r w:rsidRPr="003B5D33">
              <w:rPr>
                <w:rFonts w:ascii="Almoni ML v5 AAA" w:eastAsia="Calibri" w:hAnsi="Almoni ML v5 AAA" w:cs="Almoni ML v5 AAA" w:hint="cs"/>
                <w:b/>
                <w:bCs/>
                <w:sz w:val="22"/>
                <w:szCs w:val="22"/>
                <w:rtl/>
              </w:rPr>
              <w:t xml:space="preserve"> </w:t>
            </w:r>
            <w:r w:rsidRPr="003B5D33">
              <w:rPr>
                <w:rFonts w:ascii="Almoni ML v5 AAA" w:eastAsia="Calibri" w:hAnsi="Almoni ML v5 AAA" w:cs="Almoni ML v5 AAA"/>
                <w:b/>
                <w:bCs/>
                <w:sz w:val="22"/>
                <w:szCs w:val="22"/>
                <w:rtl/>
              </w:rPr>
              <w:t xml:space="preserve">על ידי הנהלת המשרד </w:t>
            </w:r>
            <w:r w:rsidRPr="003B5D33">
              <w:rPr>
                <w:rFonts w:ascii="Almoni ML v5 AAA" w:eastAsia="Calibri" w:hAnsi="Almoni ML v5 AAA" w:cs="Almoni ML v5 AAA" w:hint="cs"/>
                <w:b/>
                <w:bCs/>
                <w:sz w:val="22"/>
                <w:szCs w:val="22"/>
                <w:rtl/>
              </w:rPr>
              <w:t xml:space="preserve">- </w:t>
            </w:r>
            <w:r w:rsidRPr="003B5D33">
              <w:rPr>
                <w:rFonts w:ascii="Almoni ML v5 AAA" w:eastAsia="Calibri" w:hAnsi="Almoni ML v5 AAA" w:cs="Almoni ML v5 AAA"/>
                <w:b/>
                <w:bCs/>
                <w:sz w:val="22"/>
                <w:szCs w:val="22"/>
                <w:rtl/>
              </w:rPr>
              <w:t>עדיין אינו בר השגה.</w:t>
            </w:r>
          </w:p>
          <w:p w:rsidR="003B5D33" w:rsidRPr="003B5D33" w:rsidP="003B5D33">
            <w:pPr>
              <w:spacing w:line="269" w:lineRule="auto"/>
              <w:rPr>
                <w:rFonts w:ascii="Almoni ML v5 AAA" w:eastAsia="Calibri" w:hAnsi="Almoni ML v5 AAA" w:cs="Almoni ML v5 AAA"/>
                <w:sz w:val="22"/>
                <w:szCs w:val="22"/>
                <w:rtl/>
              </w:rPr>
            </w:pPr>
          </w:p>
          <w:p w:rsidR="003B5D33" w:rsidRPr="003B5D33" w:rsidP="003B5D33">
            <w:pPr>
              <w:spacing w:line="269" w:lineRule="auto"/>
              <w:rPr>
                <w:rFonts w:ascii="Almoni ML v5 AAA" w:eastAsia="Calibri" w:hAnsi="Almoni ML v5 AAA" w:cs="Almoni ML v5 AAA"/>
                <w:sz w:val="22"/>
                <w:szCs w:val="22"/>
                <w:rtl/>
              </w:rPr>
            </w:pPr>
          </w:p>
          <w:p w:rsidR="003B5D33" w:rsidRPr="003B5D33" w:rsidP="003B5D33">
            <w:pPr>
              <w:spacing w:line="269" w:lineRule="auto"/>
              <w:rPr>
                <w:rFonts w:ascii="Almoni ML v5 AAA" w:eastAsia="Calibri" w:hAnsi="Almoni ML v5 AAA" w:cs="Almoni ML v5 AAA"/>
                <w:sz w:val="22"/>
                <w:szCs w:val="22"/>
                <w:rtl/>
              </w:rPr>
            </w:pPr>
          </w:p>
          <w:p w:rsidR="003B5D33" w:rsidRPr="003B5D33" w:rsidP="003B5D33">
            <w:pPr>
              <w:spacing w:line="269" w:lineRule="auto"/>
              <w:rPr>
                <w:rFonts w:ascii="Almoni ML v5 AAA" w:eastAsia="Calibri" w:hAnsi="Almoni ML v5 AAA" w:cs="Almoni ML v5 AAA"/>
                <w:b/>
                <w:bCs/>
                <w:sz w:val="22"/>
                <w:szCs w:val="22"/>
                <w:rtl/>
              </w:rPr>
            </w:pP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noProof/>
                <w:sz w:val="22"/>
                <w:szCs w:val="22"/>
              </w:rPr>
              <w:drawing>
                <wp:inline distT="0" distB="0" distL="0" distR="0">
                  <wp:extent cx="501570" cy="412750"/>
                  <wp:effectExtent l="0" t="0" r="0" b="635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20">
                            <a:duotone>
                              <a:schemeClr val="accent5">
                                <a:shade val="45000"/>
                                <a:satMod val="135000"/>
                              </a:schemeClr>
                              <a:prstClr val="white"/>
                            </a:duotone>
                          </a:blip>
                          <a:stretch>
                            <a:fillRect/>
                          </a:stretch>
                        </pic:blipFill>
                        <pic:spPr>
                          <a:xfrm>
                            <a:off x="0" y="0"/>
                            <a:ext cx="512154" cy="421460"/>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רשימת הספקים</w:t>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בתוכנית יפורטו הספקים הקריטיים ודרכי הקשר עימם. </w:t>
            </w:r>
          </w:p>
        </w:tc>
        <w:tc>
          <w:tcPr>
            <w:tcW w:w="4788" w:type="dxa"/>
            <w:tcBorders>
              <w:top w:val="single" w:sz="12" w:space="0" w:color="4CC0EF"/>
              <w:bottom w:val="single" w:sz="12" w:space="0" w:color="4CC0EF"/>
              <w:right w:val="single" w:sz="48" w:space="0" w:color="F15B5D"/>
            </w:tcBorders>
            <w:shd w:val="clear" w:color="auto" w:fill="F0FA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התוכנית הישנה כוללת פרטים בנוגע לתשעה ספקים וגורמים חיצוניים. </w:t>
            </w:r>
          </w:p>
          <w:p w:rsidR="003B5D33" w:rsidRPr="003B5D33" w:rsidP="003B5D33">
            <w:pPr>
              <w:spacing w:line="269" w:lineRule="auto"/>
              <w:rPr>
                <w:rFonts w:ascii="Almoni ML v5 AAA" w:eastAsia="Calibri" w:hAnsi="Almoni ML v5 AAA" w:cs="Almoni ML v5 AAA"/>
                <w:sz w:val="22"/>
                <w:szCs w:val="22"/>
                <w:rtl/>
              </w:rPr>
            </w:pPr>
          </w:p>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b/>
                <w:bCs/>
                <w:sz w:val="22"/>
                <w:szCs w:val="22"/>
                <w:rtl/>
              </w:rPr>
              <w:t xml:space="preserve">בבדיקה שעשה משרד מבקר המדינה בפברואר 2025 נמצא כי אנשי קשר של חברות וגורמים </w:t>
            </w:r>
            <w:r w:rsidRPr="003B5D33">
              <w:rPr>
                <w:rFonts w:ascii="Almoni ML v5 AAA" w:eastAsia="Calibri" w:hAnsi="Almoni ML v5 AAA" w:cs="Almoni ML v5 AAA" w:hint="cs"/>
                <w:b/>
                <w:bCs/>
                <w:sz w:val="22"/>
                <w:szCs w:val="22"/>
                <w:rtl/>
              </w:rPr>
              <w:t>חשובים</w:t>
            </w:r>
            <w:r w:rsidRPr="003B5D33">
              <w:rPr>
                <w:rFonts w:ascii="Almoni ML v5 AAA" w:eastAsia="Calibri" w:hAnsi="Almoni ML v5 AAA" w:cs="Almoni ML v5 AAA"/>
                <w:b/>
                <w:bCs/>
                <w:sz w:val="22"/>
                <w:szCs w:val="22"/>
                <w:rtl/>
              </w:rPr>
              <w:t xml:space="preserve"> נוספים</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שייתכן </w:t>
            </w:r>
            <w:r w:rsidRPr="003B5D33">
              <w:rPr>
                <w:rFonts w:ascii="Almoni ML v5 AAA" w:eastAsia="Calibri" w:hAnsi="Almoni ML v5 AAA" w:cs="Almoni ML v5 AAA" w:hint="cs"/>
                <w:b/>
                <w:bCs/>
                <w:sz w:val="22"/>
                <w:szCs w:val="22"/>
                <w:rtl/>
              </w:rPr>
              <w:t>ש</w:t>
            </w:r>
            <w:r w:rsidRPr="003B5D33">
              <w:rPr>
                <w:rFonts w:ascii="Almoni ML v5 AAA" w:eastAsia="Calibri" w:hAnsi="Almoni ML v5 AAA" w:cs="Almoni ML v5 AAA"/>
                <w:b/>
                <w:bCs/>
                <w:sz w:val="22"/>
                <w:szCs w:val="22"/>
                <w:rtl/>
              </w:rPr>
              <w:t>יידרשו בעת חירום, אינם מפורטים בתוכנית. כמו כן, אנשי הקשר של ארבע מהחברות כבר אינם עובדים בחברה שמצוינת בת</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כנית</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או שעברו לתחום פעילות אחר בחברה</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ולפיכך אינם רלוונטיים. </w:t>
            </w:r>
            <w:r w:rsidRPr="003B5D33">
              <w:rPr>
                <w:rFonts w:ascii="Almoni ML v5 AAA" w:eastAsia="Calibri" w:hAnsi="Almoni ML v5 AAA" w:cs="Almoni ML v5 AAA" w:hint="cs"/>
                <w:b/>
                <w:bCs/>
                <w:sz w:val="22"/>
                <w:szCs w:val="22"/>
                <w:rtl/>
              </w:rPr>
              <w:t>כמו כן</w:t>
            </w:r>
            <w:r w:rsidRPr="003B5D33">
              <w:rPr>
                <w:rFonts w:ascii="Almoni ML v5 AAA" w:eastAsia="Calibri" w:hAnsi="Almoni ML v5 AAA" w:cs="Almoni ML v5 AAA"/>
                <w:b/>
                <w:bCs/>
                <w:sz w:val="22"/>
                <w:szCs w:val="22"/>
                <w:rtl/>
              </w:rPr>
              <w:t>, בשתי חברות נוספות המופיעות בתוכנית הישנה אין פירוט של אמצעי הקשר או אנשי הקשר שאיתם ניתן ליצור קשר.</w:t>
            </w:r>
          </w:p>
          <w:p w:rsidR="003B5D33" w:rsidRPr="003B5D33" w:rsidP="003B5D33">
            <w:pPr>
              <w:spacing w:line="269" w:lineRule="auto"/>
              <w:rPr>
                <w:rFonts w:ascii="Almoni ML v5 AAA" w:eastAsia="Calibri" w:hAnsi="Almoni ML v5 AAA" w:cs="Almoni ML v5 AAA"/>
                <w:sz w:val="22"/>
                <w:szCs w:val="22"/>
                <w:rtl/>
              </w:rPr>
            </w:pPr>
          </w:p>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משכך, בעת אסון, ללא פרטים עדכניים של החברות והגורמים החיצוניים שנדרשים לסייע למשרד ואנשי הקשר שלהם, תהליך איתור הגופים הנדרשים לסיוע ומציאת אנשי הקשר הרלוונטיים בכל גוף יארך זמן יקר</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אשר עלול לעכב את תהליך ההתאוששות ולפגוע בו עד כדי אי</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עמידה ביעדי ההתאוששות.</w:t>
            </w:r>
          </w:p>
          <w:p w:rsidR="003B5D33" w:rsidRPr="003B5D33" w:rsidP="003B5D33">
            <w:pPr>
              <w:spacing w:line="269" w:lineRule="auto"/>
              <w:rPr>
                <w:rFonts w:ascii="Almoni ML v5 AAA" w:eastAsia="Calibri" w:hAnsi="Almoni ML v5 AAA" w:cs="Almoni ML v5 AAA"/>
                <w:sz w:val="22"/>
                <w:szCs w:val="22"/>
                <w:rtl/>
              </w:rPr>
            </w:pP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Pr>
            </w:pPr>
            <w:r w:rsidRPr="003B5D33">
              <w:rPr>
                <w:rFonts w:ascii="Almoni ML v5 AAA" w:eastAsia="Calibri" w:hAnsi="Almoni ML v5 AAA" w:cs="Almoni ML v5 AAA"/>
                <w:noProof/>
                <w:sz w:val="22"/>
                <w:szCs w:val="22"/>
              </w:rPr>
              <w:drawing>
                <wp:inline distT="0" distB="0" distL="0" distR="0">
                  <wp:extent cx="494281" cy="412750"/>
                  <wp:effectExtent l="0" t="0" r="1270" b="635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21">
                            <a:duotone>
                              <a:schemeClr val="accent5">
                                <a:shade val="45000"/>
                                <a:satMod val="135000"/>
                              </a:schemeClr>
                              <a:prstClr val="white"/>
                            </a:duotone>
                          </a:blip>
                          <a:stretch>
                            <a:fillRect/>
                          </a:stretch>
                        </pic:blipFill>
                        <pic:spPr>
                          <a:xfrm>
                            <a:off x="0" y="0"/>
                            <a:ext cx="501992" cy="419189"/>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רשימת השרתים המגובים</w:t>
            </w: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על מנת</w:t>
            </w:r>
            <w:r w:rsidRPr="003B5D33">
              <w:rPr>
                <w:rFonts w:ascii="Almoni ML v5 AAA" w:eastAsia="Calibri" w:hAnsi="Almoni ML v5 AAA" w:cs="Almoni ML v5 AAA" w:hint="cs"/>
                <w:sz w:val="22"/>
                <w:szCs w:val="22"/>
                <w:rtl/>
              </w:rPr>
              <w:t xml:space="preserve"> לעמוד</w:t>
            </w:r>
            <w:r w:rsidRPr="003B5D33">
              <w:rPr>
                <w:rFonts w:ascii="Almoni ML v5 AAA" w:eastAsia="Calibri" w:hAnsi="Almoni ML v5 AAA" w:cs="Almoni ML v5 AAA"/>
                <w:sz w:val="22"/>
                <w:szCs w:val="22"/>
                <w:rtl/>
              </w:rPr>
              <w:t xml:space="preserve"> </w:t>
            </w:r>
            <w:r w:rsidRPr="003B5D33">
              <w:rPr>
                <w:rFonts w:ascii="Almoni ML v5 AAA" w:eastAsia="Calibri" w:hAnsi="Almoni ML v5 AAA" w:cs="Almoni ML v5 AAA" w:hint="cs"/>
                <w:sz w:val="22"/>
                <w:szCs w:val="22"/>
                <w:rtl/>
              </w:rPr>
              <w:t>בהנחיות הנוגעות לאתר ה-</w:t>
            </w:r>
            <w:r w:rsidRPr="003B5D33">
              <w:rPr>
                <w:rFonts w:ascii="Almoni ML v5 AAA" w:eastAsia="Calibri" w:hAnsi="Almoni ML v5 AAA" w:cs="Almoni ML v5 AAA" w:hint="cs"/>
                <w:sz w:val="22"/>
                <w:szCs w:val="22"/>
              </w:rPr>
              <w:t>DR</w:t>
            </w:r>
            <w:r w:rsidRPr="003B5D33">
              <w:rPr>
                <w:rFonts w:ascii="Almoni ML v5 AAA" w:eastAsia="Calibri" w:hAnsi="Almoni ML v5 AAA" w:cs="Almoni ML v5 AAA" w:hint="cs"/>
                <w:sz w:val="22"/>
                <w:szCs w:val="22"/>
                <w:rtl/>
              </w:rPr>
              <w:t xml:space="preserve">, </w:t>
            </w:r>
            <w:r w:rsidRPr="003B5D33">
              <w:rPr>
                <w:rFonts w:ascii="Almoni ML v5 AAA" w:eastAsia="Calibri" w:hAnsi="Almoni ML v5 AAA" w:cs="Almoni ML v5 AAA"/>
                <w:sz w:val="22"/>
                <w:szCs w:val="22"/>
                <w:rtl/>
              </w:rPr>
              <w:t xml:space="preserve">התוכנית תכלול את רשימת השרתים המגובים לאתר </w:t>
            </w:r>
            <w:r w:rsidRPr="003B5D33">
              <w:rPr>
                <w:rFonts w:ascii="Almoni ML v5 AAA" w:eastAsia="Calibri" w:hAnsi="Almoni ML v5 AAA" w:cs="Almoni ML v5 AAA"/>
                <w:sz w:val="22"/>
                <w:szCs w:val="22"/>
                <w:rtl/>
              </w:rPr>
              <w:br/>
              <w:t>ה-</w:t>
            </w:r>
            <w:r w:rsidRPr="003B5D33">
              <w:rPr>
                <w:rFonts w:ascii="Almoni ML v5 AAA" w:eastAsia="Calibri" w:hAnsi="Almoni ML v5 AAA" w:cs="Almoni ML v5 AAA"/>
                <w:sz w:val="22"/>
                <w:szCs w:val="22"/>
              </w:rPr>
              <w:t>DR</w:t>
            </w:r>
            <w:r w:rsidRPr="003B5D33">
              <w:rPr>
                <w:rFonts w:ascii="Almoni ML v5 AAA" w:eastAsia="Calibri" w:hAnsi="Almoni ML v5 AAA" w:cs="Almoni ML v5 AAA"/>
                <w:sz w:val="22"/>
                <w:szCs w:val="22"/>
                <w:rtl/>
              </w:rPr>
              <w:t xml:space="preserve"> ואת תהליך שחזורם באתר.</w:t>
            </w:r>
          </w:p>
        </w:tc>
        <w:tc>
          <w:tcPr>
            <w:tcW w:w="4788" w:type="dxa"/>
            <w:tcBorders>
              <w:top w:val="single" w:sz="12" w:space="0" w:color="4CC0EF"/>
              <w:bottom w:val="single" w:sz="12" w:space="0" w:color="4CC0EF"/>
              <w:right w:val="single" w:sz="48" w:space="0" w:color="FDC059"/>
            </w:tcBorders>
            <w:shd w:val="clear" w:color="auto" w:fill="F0FA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b/>
                <w:bCs/>
                <w:sz w:val="22"/>
                <w:szCs w:val="22"/>
                <w:rtl/>
              </w:rPr>
              <w:t>התוכנית הישנה מפרטת את מערכות המידע ברשתות המשרד השונות באתר ה-</w:t>
            </w:r>
            <w:r w:rsidRPr="003B5D33">
              <w:rPr>
                <w:rFonts w:ascii="Almoni ML v5 AAA" w:eastAsia="Calibri" w:hAnsi="Almoni ML v5 AAA" w:cs="Almoni ML v5 AAA"/>
                <w:b/>
                <w:bCs/>
                <w:sz w:val="22"/>
                <w:szCs w:val="22"/>
              </w:rPr>
              <w:t>DR</w:t>
            </w:r>
            <w:r w:rsidRPr="003B5D33">
              <w:rPr>
                <w:rFonts w:ascii="Almoni ML v5 AAA" w:eastAsia="Calibri" w:hAnsi="Almoni ML v5 AAA" w:cs="Almoni ML v5 AAA"/>
                <w:b/>
                <w:bCs/>
                <w:sz w:val="22"/>
                <w:szCs w:val="22"/>
                <w:rtl/>
              </w:rPr>
              <w:t>, אך</w:t>
            </w:r>
            <w:r w:rsidRPr="003B5D33">
              <w:rPr>
                <w:rFonts w:ascii="Almoni ML v5 AAA" w:eastAsia="Calibri" w:hAnsi="Almoni ML v5 AAA" w:cs="Almoni ML v5 AAA"/>
                <w:sz w:val="22"/>
                <w:szCs w:val="22"/>
                <w:rtl/>
              </w:rPr>
              <w:t xml:space="preserve"> </w:t>
            </w:r>
            <w:r w:rsidRPr="003B5D33">
              <w:rPr>
                <w:rFonts w:ascii="Almoni ML v5 AAA" w:eastAsia="Calibri" w:hAnsi="Almoni ML v5 AAA" w:cs="Almoni ML v5 AAA"/>
                <w:b/>
                <w:bCs/>
                <w:sz w:val="22"/>
                <w:szCs w:val="22"/>
                <w:rtl/>
              </w:rPr>
              <w:t>אינה כוללת את כתובות ה-</w:t>
            </w:r>
            <w:r w:rsidRPr="003B5D33">
              <w:rPr>
                <w:rFonts w:ascii="Almoni ML v5 AAA" w:eastAsia="Calibri" w:hAnsi="Almoni ML v5 AAA" w:cs="Almoni ML v5 AAA"/>
                <w:b/>
                <w:bCs/>
                <w:sz w:val="22"/>
                <w:szCs w:val="22"/>
              </w:rPr>
              <w:t>IP</w:t>
            </w:r>
            <w:r w:rsidRPr="003B5D33">
              <w:rPr>
                <w:rFonts w:ascii="Almoni ML v5 AAA" w:eastAsia="Calibri" w:hAnsi="Almoni ML v5 AAA" w:cs="Almoni ML v5 AAA"/>
                <w:b/>
                <w:bCs/>
                <w:sz w:val="22"/>
                <w:szCs w:val="22"/>
                <w:rtl/>
              </w:rPr>
              <w:t xml:space="preserve"> של השרתים ואת שמות השרתים באחת הרשתות ו</w:t>
            </w:r>
            <w:r w:rsidRPr="003B5D33">
              <w:rPr>
                <w:rFonts w:ascii="Almoni ML v5 AAA" w:eastAsia="Calibri" w:hAnsi="Almoni ML v5 AAA" w:cs="Almoni ML v5 AAA" w:hint="cs"/>
                <w:b/>
                <w:bCs/>
                <w:sz w:val="22"/>
                <w:szCs w:val="22"/>
                <w:rtl/>
              </w:rPr>
              <w:t xml:space="preserve">כן את </w:t>
            </w:r>
            <w:r w:rsidRPr="003B5D33">
              <w:rPr>
                <w:rFonts w:ascii="Almoni ML v5 AAA" w:eastAsia="Calibri" w:hAnsi="Almoni ML v5 AAA" w:cs="Almoni ML v5 AAA"/>
                <w:b/>
                <w:bCs/>
                <w:sz w:val="22"/>
                <w:szCs w:val="22"/>
                <w:rtl/>
              </w:rPr>
              <w:t>תהליך וסדר שחזורם באתר. עוד יצוין כי אין התאמה בין השרתים המפורטים בנוהל לבין השרתים הקיימים כיום בפועל.</w:t>
            </w: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noProof/>
                <w:sz w:val="22"/>
                <w:szCs w:val="22"/>
              </w:rPr>
              <w:drawing>
                <wp:inline distT="0" distB="0" distL="0" distR="0">
                  <wp:extent cx="324636" cy="361950"/>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22">
                            <a:duotone>
                              <a:schemeClr val="accent5">
                                <a:shade val="45000"/>
                                <a:satMod val="135000"/>
                              </a:schemeClr>
                              <a:prstClr val="white"/>
                            </a:duotone>
                          </a:blip>
                          <a:stretch>
                            <a:fillRect/>
                          </a:stretch>
                        </pic:blipFill>
                        <pic:spPr>
                          <a:xfrm>
                            <a:off x="0" y="0"/>
                            <a:ext cx="341970" cy="381276"/>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צוותים לשעת חירום</w:t>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יש להגדיר צוותי עבודה לעת חירום לתמיכה במעבר </w:t>
            </w:r>
            <w:r w:rsidRPr="003B5D33">
              <w:rPr>
                <w:rFonts w:ascii="Almoni ML v5 AAA" w:eastAsia="Calibri" w:hAnsi="Almoni ML v5 AAA" w:cs="Almoni ML v5 AAA"/>
                <w:sz w:val="22"/>
                <w:szCs w:val="22"/>
                <w:rtl/>
              </w:rPr>
              <w:br/>
              <w:t>ל-</w:t>
            </w:r>
            <w:r w:rsidRPr="003B5D33">
              <w:rPr>
                <w:rFonts w:ascii="Almoni ML v5 AAA" w:eastAsia="Calibri" w:hAnsi="Almoni ML v5 AAA" w:cs="Almoni ML v5 AAA"/>
                <w:sz w:val="22"/>
                <w:szCs w:val="22"/>
              </w:rPr>
              <w:t>DR</w:t>
            </w:r>
            <w:r w:rsidRPr="003B5D33">
              <w:rPr>
                <w:rFonts w:ascii="Almoni ML v5 AAA" w:eastAsia="Calibri" w:hAnsi="Almoni ML v5 AAA" w:cs="Almoni ML v5 AAA"/>
                <w:sz w:val="22"/>
                <w:szCs w:val="22"/>
                <w:rtl/>
              </w:rPr>
              <w:t xml:space="preserve"> ולתפעול האתר בעת חירום. האגף יתקף את רשימות האיוש אחת לשנה</w:t>
            </w:r>
            <w:r w:rsidRPr="003B5D33">
              <w:rPr>
                <w:rFonts w:ascii="Almoni ML v5 AAA" w:eastAsia="Calibri" w:hAnsi="Almoni ML v5 AAA" w:cs="Almoni ML v5 AAA" w:hint="cs"/>
                <w:sz w:val="22"/>
                <w:szCs w:val="22"/>
                <w:rtl/>
              </w:rPr>
              <w:t>.</w:t>
            </w:r>
          </w:p>
          <w:p w:rsidR="003B5D33" w:rsidRPr="003B5D33" w:rsidP="003B5D33">
            <w:pPr>
              <w:spacing w:line="269" w:lineRule="auto"/>
              <w:rPr>
                <w:rFonts w:ascii="Almoni ML v5 AAA" w:eastAsia="Calibri" w:hAnsi="Almoni ML v5 AAA" w:cs="Almoni ML v5 AAA"/>
                <w:sz w:val="22"/>
                <w:szCs w:val="22"/>
                <w:rtl/>
              </w:rPr>
            </w:pPr>
          </w:p>
        </w:tc>
        <w:tc>
          <w:tcPr>
            <w:tcW w:w="4788" w:type="dxa"/>
            <w:tcBorders>
              <w:top w:val="single" w:sz="12" w:space="0" w:color="4CC0EF"/>
              <w:bottom w:val="single" w:sz="12" w:space="0" w:color="4CC0EF"/>
              <w:right w:val="single" w:sz="48" w:space="0" w:color="FDC059"/>
            </w:tcBorders>
            <w:shd w:val="clear" w:color="auto" w:fill="F0FAFE"/>
            <w:vAlign w:val="center"/>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נמצא כי רשימת צוותי העבודה בתוכנית לשעת ח</w:t>
            </w:r>
            <w:r w:rsidRPr="003B5D33">
              <w:rPr>
                <w:rFonts w:ascii="Almoni ML v5 AAA" w:eastAsia="Calibri" w:hAnsi="Almoni ML v5 AAA" w:cs="Almoni ML v5 AAA" w:hint="cs"/>
                <w:b/>
                <w:bCs/>
                <w:sz w:val="22"/>
                <w:szCs w:val="22"/>
                <w:rtl/>
              </w:rPr>
              <w:t>י</w:t>
            </w:r>
            <w:r w:rsidRPr="003B5D33">
              <w:rPr>
                <w:rFonts w:ascii="Almoni ML v5 AAA" w:eastAsia="Calibri" w:hAnsi="Almoni ML v5 AAA" w:cs="Almoni ML v5 AAA"/>
                <w:b/>
                <w:bCs/>
                <w:sz w:val="22"/>
                <w:szCs w:val="22"/>
                <w:rtl/>
              </w:rPr>
              <w:t>רום אינה מעודכנת.</w:t>
            </w:r>
          </w:p>
          <w:p w:rsidR="003B5D33" w:rsidRPr="003B5D33" w:rsidP="003B5D33">
            <w:pPr>
              <w:spacing w:line="269" w:lineRule="auto"/>
              <w:rPr>
                <w:rFonts w:ascii="Almoni ML v5 AAA" w:eastAsia="Calibri" w:hAnsi="Almoni ML v5 AAA" w:cs="Almoni ML v5 AAA"/>
                <w:b/>
                <w:bCs/>
                <w:sz w:val="22"/>
                <w:szCs w:val="22"/>
                <w:rtl/>
              </w:rPr>
            </w:pPr>
          </w:p>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התוכנית הישנה כוללת פירוט של בעלי תפקידים מרכזיים והגדרה של צוותי עבודה בחירום, כולל פירוט התפקידים של כל צוות בחירום. </w:t>
            </w:r>
            <w:r w:rsidRPr="003B5D33">
              <w:rPr>
                <w:rFonts w:ascii="Almoni ML v5 AAA" w:eastAsia="Calibri" w:hAnsi="Almoni ML v5 AAA" w:cs="Almoni ML v5 AAA"/>
                <w:b/>
                <w:bCs/>
                <w:sz w:val="22"/>
                <w:szCs w:val="22"/>
                <w:rtl/>
              </w:rPr>
              <w:t xml:space="preserve">עם זאת, התוכנית אינה כוללת פירוט של בעלי התפקידים בכל צוות. כמו כן, בבדיקה נקודתית שביצע משרד מבקר המדינה נמצא כי ראש צוות ניהול המשבר המוזכר בתוכנית סיים את תפקידו במשרד לפני כשלוש שנים. </w:t>
            </w: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noProof/>
                <w:sz w:val="22"/>
                <w:szCs w:val="22"/>
              </w:rPr>
              <w:drawing>
                <wp:inline distT="0" distB="0" distL="0" distR="0">
                  <wp:extent cx="376555" cy="357914"/>
                  <wp:effectExtent l="0" t="0" r="4445" b="4445"/>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23">
                            <a:duotone>
                              <a:schemeClr val="accent5">
                                <a:shade val="45000"/>
                                <a:satMod val="135000"/>
                              </a:schemeClr>
                              <a:prstClr val="white"/>
                            </a:duotone>
                          </a:blip>
                          <a:stretch>
                            <a:fillRect/>
                          </a:stretch>
                        </pic:blipFill>
                        <pic:spPr>
                          <a:xfrm>
                            <a:off x="0" y="0"/>
                            <a:ext cx="395447" cy="375871"/>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בדיקות ותרגול תוכנית </w:t>
            </w:r>
            <w:r w:rsidRPr="003B5D33">
              <w:rPr>
                <w:rFonts w:ascii="Almoni ML v5 AAA" w:eastAsia="Calibri" w:hAnsi="Almoni ML v5 AAA" w:cs="Almoni ML v5 AAA"/>
                <w:b/>
                <w:bCs/>
                <w:sz w:val="22"/>
                <w:szCs w:val="22"/>
                <w:rtl/>
              </w:rPr>
              <w:br/>
              <w:t>ה-</w:t>
            </w:r>
            <w:r w:rsidRPr="003B5D33">
              <w:rPr>
                <w:rFonts w:ascii="Almoni ML v5 AAA" w:eastAsia="Calibri" w:hAnsi="Almoni ML v5 AAA" w:cs="Almoni ML v5 AAA"/>
                <w:b/>
                <w:bCs/>
                <w:sz w:val="22"/>
                <w:szCs w:val="22"/>
              </w:rPr>
              <w:t>DR</w:t>
            </w: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קיום תרגילי </w:t>
            </w:r>
            <w:r w:rsidRPr="003B5D33">
              <w:rPr>
                <w:rFonts w:ascii="Almoni ML v5 AAA" w:eastAsia="Calibri" w:hAnsi="Almoni ML v5 AAA" w:cs="Almoni ML v5 AAA"/>
                <w:sz w:val="22"/>
                <w:szCs w:val="22"/>
              </w:rPr>
              <w:t>DR</w:t>
            </w:r>
            <w:r w:rsidRPr="003B5D33">
              <w:rPr>
                <w:rFonts w:ascii="Almoni ML v5 AAA" w:eastAsia="Calibri" w:hAnsi="Almoni ML v5 AAA" w:cs="Almoni ML v5 AAA"/>
                <w:sz w:val="22"/>
                <w:szCs w:val="22"/>
                <w:rtl/>
              </w:rPr>
              <w:t xml:space="preserve"> תקופתיים (לפחות אחת לשנה עד שנתיים); תיעוד מלא של התוצאות ושיפור נהלים בהתאם.</w:t>
            </w:r>
          </w:p>
        </w:tc>
        <w:tc>
          <w:tcPr>
            <w:tcW w:w="4788" w:type="dxa"/>
            <w:tcBorders>
              <w:top w:val="single" w:sz="12" w:space="0" w:color="4CC0EF"/>
              <w:bottom w:val="single" w:sz="12" w:space="0" w:color="4CC0EF"/>
              <w:right w:val="single" w:sz="48" w:space="0" w:color="F15B5D"/>
            </w:tcBorders>
            <w:shd w:val="clear" w:color="auto" w:fill="F0FAFE"/>
            <w:vAlign w:val="center"/>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נציגי אגף התקשוב מסרו למשרד מבקר המדינה בספטמבר 2024 שהתוכנית הישנה לא תורגלה ולא נבדקה, למעט תרגול נקודתי של מערכת הדוא"ל. </w:t>
            </w:r>
          </w:p>
          <w:p w:rsidR="003B5D33" w:rsidRPr="003B5D33" w:rsidP="003B5D33">
            <w:pPr>
              <w:spacing w:line="269" w:lineRule="auto"/>
              <w:rPr>
                <w:rFonts w:ascii="Almoni ML v5 AAA" w:eastAsia="Calibri" w:hAnsi="Almoni ML v5 AAA" w:cs="Almoni ML v5 AAA"/>
                <w:b/>
                <w:bCs/>
                <w:sz w:val="22"/>
                <w:szCs w:val="22"/>
                <w:highlight w:val="yellow"/>
                <w:rtl/>
              </w:rPr>
            </w:pPr>
          </w:p>
        </w:tc>
      </w:tr>
      <w:tr w:rsidTr="000E6727">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noProof/>
                <w:sz w:val="22"/>
                <w:szCs w:val="22"/>
              </w:rPr>
              <w:drawing>
                <wp:inline distT="0" distB="0" distL="0" distR="0">
                  <wp:extent cx="384132" cy="337851"/>
                  <wp:effectExtent l="0" t="0" r="0" b="5080"/>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24">
                            <a:duotone>
                              <a:schemeClr val="accent5">
                                <a:shade val="45000"/>
                                <a:satMod val="135000"/>
                              </a:schemeClr>
                              <a:prstClr val="white"/>
                            </a:duotone>
                          </a:blip>
                          <a:stretch>
                            <a:fillRect/>
                          </a:stretch>
                        </pic:blipFill>
                        <pic:spPr>
                          <a:xfrm>
                            <a:off x="0" y="0"/>
                            <a:ext cx="403109" cy="354542"/>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משילות</w:t>
            </w:r>
          </w:p>
          <w:p w:rsidR="003B5D33" w:rsidP="003B5D33">
            <w:pPr>
              <w:spacing w:line="269" w:lineRule="auto"/>
              <w:jc w:val="center"/>
              <w:rPr>
                <w:rFonts w:ascii="Almoni ML v5 AAA" w:eastAsia="Calibri" w:hAnsi="Almoni ML v5 AAA" w:cs="Almoni ML v5 AAA"/>
                <w:b/>
                <w:bCs/>
                <w:sz w:val="22"/>
                <w:szCs w:val="22"/>
                <w:rtl/>
              </w:rPr>
            </w:pPr>
          </w:p>
          <w:p w:rsidR="000E6727"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0E6727" w:rsidP="003B5D33">
            <w:pPr>
              <w:spacing w:line="269" w:lineRule="auto"/>
              <w:jc w:val="left"/>
              <w:rPr>
                <w:rFonts w:ascii="Almoni ML v5 AAA" w:eastAsia="Calibri" w:hAnsi="Almoni ML v5 AAA" w:cs="Almoni ML v5 AAA"/>
                <w:sz w:val="22"/>
                <w:szCs w:val="22"/>
                <w:rtl/>
              </w:rPr>
            </w:pPr>
          </w:p>
          <w:p w:rsidR="000E6727" w:rsidP="003B5D33">
            <w:pPr>
              <w:spacing w:line="269" w:lineRule="auto"/>
              <w:jc w:val="left"/>
              <w:rPr>
                <w:rFonts w:ascii="Almoni ML v5 AAA" w:eastAsia="Calibri" w:hAnsi="Almoni ML v5 AAA" w:cs="Almoni ML v5 AAA"/>
                <w:sz w:val="22"/>
                <w:szCs w:val="22"/>
                <w:rtl/>
              </w:rPr>
            </w:pPr>
          </w:p>
          <w:p w:rsidR="000E6727"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אחת לשנה לפחות, או בעת שינוי מהותי, </w:t>
            </w:r>
            <w:r w:rsidRPr="003B5D33">
              <w:rPr>
                <w:rFonts w:ascii="Almoni ML v5 AAA" w:eastAsia="Calibri" w:hAnsi="Almoni ML v5 AAA" w:cs="Almoni ML v5 AAA" w:hint="cs"/>
                <w:sz w:val="22"/>
                <w:szCs w:val="22"/>
                <w:rtl/>
              </w:rPr>
              <w:t xml:space="preserve">האגף יבחן </w:t>
            </w:r>
            <w:r w:rsidRPr="003B5D33">
              <w:rPr>
                <w:rFonts w:ascii="Almoni ML v5 AAA" w:eastAsia="Calibri" w:hAnsi="Almoni ML v5 AAA" w:cs="Almoni ML v5 AAA"/>
                <w:sz w:val="22"/>
                <w:szCs w:val="22"/>
                <w:rtl/>
              </w:rPr>
              <w:t>את תרחישי הייחוס, יעדי השירות בעת חירום, ניהול הסיכונים ואת הת</w:t>
            </w:r>
            <w:r w:rsidRPr="003B5D33">
              <w:rPr>
                <w:rFonts w:ascii="Almoni ML v5 AAA" w:eastAsia="Calibri" w:hAnsi="Almoni ML v5 AAA" w:cs="Almoni ML v5 AAA" w:hint="cs"/>
                <w:sz w:val="22"/>
                <w:szCs w:val="22"/>
                <w:rtl/>
              </w:rPr>
              <w:t>ו</w:t>
            </w:r>
            <w:r w:rsidRPr="003B5D33">
              <w:rPr>
                <w:rFonts w:ascii="Almoni ML v5 AAA" w:eastAsia="Calibri" w:hAnsi="Almoni ML v5 AAA" w:cs="Almoni ML v5 AAA"/>
                <w:sz w:val="22"/>
                <w:szCs w:val="22"/>
                <w:rtl/>
              </w:rPr>
              <w:t>כנית להמשכיות עסקית ותפקודית, ויציג את מסקנותיו לדיון ואישור הנהלת המשרד.</w:t>
            </w:r>
          </w:p>
          <w:p w:rsidR="000E6727" w:rsidP="003B5D33">
            <w:pPr>
              <w:spacing w:line="269" w:lineRule="auto"/>
              <w:jc w:val="left"/>
              <w:rPr>
                <w:rFonts w:ascii="Almoni ML v5 AAA" w:eastAsia="Calibri" w:hAnsi="Almoni ML v5 AAA" w:cs="Almoni ML v5 AAA"/>
                <w:sz w:val="22"/>
                <w:szCs w:val="22"/>
                <w:rtl/>
              </w:rPr>
            </w:pPr>
          </w:p>
          <w:p w:rsidR="000E6727" w:rsidP="003B5D33">
            <w:pPr>
              <w:spacing w:line="269" w:lineRule="auto"/>
              <w:jc w:val="left"/>
              <w:rPr>
                <w:rFonts w:ascii="Almoni ML v5 AAA" w:eastAsia="Calibri" w:hAnsi="Almoni ML v5 AAA" w:cs="Almoni ML v5 AAA"/>
                <w:sz w:val="22"/>
                <w:szCs w:val="22"/>
                <w:rtl/>
              </w:rPr>
            </w:pPr>
          </w:p>
          <w:p w:rsidR="000E6727" w:rsidP="003B5D33">
            <w:pPr>
              <w:spacing w:line="269" w:lineRule="auto"/>
              <w:jc w:val="left"/>
              <w:rPr>
                <w:rFonts w:ascii="Almoni ML v5 AAA" w:eastAsia="Calibri" w:hAnsi="Almoni ML v5 AAA" w:cs="Almoni ML v5 AAA"/>
                <w:sz w:val="22"/>
                <w:szCs w:val="22"/>
                <w:rtl/>
              </w:rPr>
            </w:pPr>
          </w:p>
          <w:p w:rsidR="003B5D33" w:rsidRPr="003B5D33" w:rsidP="003B5D33">
            <w:pPr>
              <w:spacing w:line="269" w:lineRule="auto"/>
              <w:jc w:val="left"/>
              <w:rPr>
                <w:rFonts w:ascii="Almoni ML v5 AAA" w:eastAsia="Calibri" w:hAnsi="Almoni ML v5 AAA" w:cs="Almoni ML v5 AAA"/>
                <w:sz w:val="22"/>
                <w:szCs w:val="22"/>
                <w:rtl/>
              </w:rPr>
            </w:pPr>
          </w:p>
        </w:tc>
        <w:tc>
          <w:tcPr>
            <w:tcW w:w="4788" w:type="dxa"/>
            <w:tcBorders>
              <w:top w:val="single" w:sz="12" w:space="0" w:color="4CC0EF"/>
              <w:bottom w:val="single" w:sz="12" w:space="0" w:color="4CC0EF"/>
              <w:right w:val="single" w:sz="48" w:space="0" w:color="F15B5D"/>
            </w:tcBorders>
            <w:shd w:val="clear" w:color="auto" w:fill="F0FAFE"/>
          </w:tcPr>
          <w:p w:rsidR="000E6727" w:rsidP="000E6727">
            <w:pPr>
              <w:spacing w:line="269" w:lineRule="auto"/>
              <w:jc w:val="left"/>
              <w:rPr>
                <w:rFonts w:ascii="Almoni ML v5 AAA" w:eastAsia="Calibri" w:hAnsi="Almoni ML v5 AAA" w:cs="Almoni ML v5 AAA"/>
                <w:b/>
                <w:bCs/>
                <w:sz w:val="22"/>
                <w:szCs w:val="22"/>
                <w:rtl/>
              </w:rPr>
            </w:pPr>
          </w:p>
          <w:p w:rsidR="000E6727" w:rsidP="000E6727">
            <w:pPr>
              <w:spacing w:line="269" w:lineRule="auto"/>
              <w:jc w:val="left"/>
              <w:rPr>
                <w:rFonts w:ascii="Almoni ML v5 AAA" w:eastAsia="Calibri" w:hAnsi="Almoni ML v5 AAA" w:cs="Almoni ML v5 AAA"/>
                <w:b/>
                <w:bCs/>
                <w:sz w:val="22"/>
                <w:szCs w:val="22"/>
                <w:rtl/>
              </w:rPr>
            </w:pPr>
          </w:p>
          <w:p w:rsidR="000E6727" w:rsidP="000E6727">
            <w:pPr>
              <w:spacing w:line="269" w:lineRule="auto"/>
              <w:jc w:val="left"/>
              <w:rPr>
                <w:rFonts w:ascii="Almoni ML v5 AAA" w:eastAsia="Calibri" w:hAnsi="Almoni ML v5 AAA" w:cs="Almoni ML v5 AAA"/>
                <w:b/>
                <w:bCs/>
                <w:sz w:val="22"/>
                <w:szCs w:val="22"/>
                <w:rtl/>
              </w:rPr>
            </w:pPr>
          </w:p>
          <w:p w:rsidR="000E6727" w:rsidP="000E6727">
            <w:pPr>
              <w:spacing w:line="269" w:lineRule="auto"/>
              <w:jc w:val="left"/>
              <w:rPr>
                <w:rFonts w:ascii="Almoni ML v5 AAA" w:eastAsia="Calibri" w:hAnsi="Almoni ML v5 AAA" w:cs="Almoni ML v5 AAA"/>
                <w:b/>
                <w:bCs/>
                <w:sz w:val="22"/>
                <w:szCs w:val="22"/>
                <w:rtl/>
              </w:rPr>
            </w:pPr>
          </w:p>
          <w:p w:rsidR="000E6727" w:rsidP="000E6727">
            <w:pPr>
              <w:spacing w:line="269" w:lineRule="auto"/>
              <w:jc w:val="left"/>
              <w:rPr>
                <w:rFonts w:ascii="Almoni ML v5 AAA" w:eastAsia="Calibri" w:hAnsi="Almoni ML v5 AAA" w:cs="Almoni ML v5 AAA"/>
                <w:b/>
                <w:bCs/>
                <w:sz w:val="22"/>
                <w:szCs w:val="22"/>
                <w:rtl/>
              </w:rPr>
            </w:pPr>
          </w:p>
          <w:p w:rsidR="003B5D33" w:rsidRPr="003B5D33" w:rsidP="00DA2F85">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ב-2016 עודכנה לאחרונה הת</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כנית הישנה. לא נמצא כי הנושא עלה לדיון בהנהלת המשרד או בוועדת ההיגוי מאז, למעט הדיון שהתקיים בספטמבר 2024 בנוגע למסמך ה-</w:t>
            </w:r>
            <w:r w:rsidRPr="003B5D33">
              <w:rPr>
                <w:rFonts w:ascii="Almoni ML v5 AAA" w:eastAsia="Calibri" w:hAnsi="Almoni ML v5 AAA" w:cs="Almoni ML v5 AAA"/>
                <w:b/>
                <w:bCs/>
                <w:sz w:val="22"/>
                <w:szCs w:val="22"/>
              </w:rPr>
              <w:t>BIA</w:t>
            </w:r>
            <w:r w:rsidRPr="003B5D33">
              <w:rPr>
                <w:rFonts w:ascii="Almoni ML v5 AAA" w:eastAsia="Calibri" w:hAnsi="Almoni ML v5 AAA" w:cs="Almoni ML v5 AAA"/>
                <w:b/>
                <w:bCs/>
                <w:sz w:val="22"/>
                <w:szCs w:val="22"/>
                <w:rtl/>
              </w:rPr>
              <w:t>.</w:t>
            </w:r>
          </w:p>
        </w:tc>
      </w:tr>
      <w:tr w:rsidTr="003B5D33">
        <w:tblPrEx>
          <w:tblW w:w="8223" w:type="dxa"/>
          <w:tblInd w:w="1892" w:type="dxa"/>
          <w:tblCellMar>
            <w:top w:w="198" w:type="dxa"/>
            <w:left w:w="198" w:type="dxa"/>
            <w:bottom w:w="198" w:type="dxa"/>
            <w:right w:w="198" w:type="dxa"/>
          </w:tblCellMar>
          <w:tblLook w:val="04A0"/>
        </w:tblPrEx>
        <w:tc>
          <w:tcPr>
            <w:tcW w:w="1431" w:type="dxa"/>
            <w:shd w:val="clear" w:color="auto" w:fill="FFFFFF"/>
            <w:vAlign w:val="center"/>
          </w:tcPr>
          <w:p w:rsidR="003B5D33" w:rsidRPr="003B5D33" w:rsidP="003B5D33">
            <w:pPr>
              <w:spacing w:line="269" w:lineRule="auto"/>
              <w:jc w:val="center"/>
              <w:rPr>
                <w:rFonts w:ascii="Almoni ML v5 AAA" w:eastAsia="Calibri" w:hAnsi="Almoni ML v5 AAA" w:cs="Almoni ML v5 AAA"/>
                <w:b/>
                <w:bCs/>
                <w:sz w:val="22"/>
                <w:szCs w:val="22"/>
              </w:rPr>
            </w:pPr>
            <w:r w:rsidRPr="003B5D33">
              <w:rPr>
                <w:rFonts w:ascii="Almoni ML v5 AAA" w:eastAsia="Calibri" w:hAnsi="Almoni ML v5 AAA" w:cs="Almoni ML v5 AAA"/>
                <w:noProof/>
                <w:sz w:val="22"/>
                <w:szCs w:val="22"/>
              </w:rPr>
              <w:drawing>
                <wp:inline distT="0" distB="0" distL="0" distR="0">
                  <wp:extent cx="400262" cy="387350"/>
                  <wp:effectExtent l="0" t="0" r="0" b="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25">
                            <a:duotone>
                              <a:schemeClr val="accent5">
                                <a:shade val="45000"/>
                                <a:satMod val="135000"/>
                              </a:schemeClr>
                              <a:prstClr val="white"/>
                            </a:duotone>
                          </a:blip>
                          <a:stretch>
                            <a:fillRect/>
                          </a:stretch>
                        </pic:blipFill>
                        <pic:spPr>
                          <a:xfrm>
                            <a:off x="0" y="0"/>
                            <a:ext cx="402455" cy="389472"/>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זמינות התוכנית ונ</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הלי השחזור באתר ה-</w:t>
            </w:r>
            <w:r w:rsidRPr="003B5D33">
              <w:rPr>
                <w:rFonts w:ascii="Almoni ML v5 AAA" w:eastAsia="Calibri" w:hAnsi="Almoni ML v5 AAA" w:cs="Almoni ML v5 AAA"/>
                <w:b/>
                <w:bCs/>
                <w:sz w:val="22"/>
                <w:szCs w:val="22"/>
              </w:rPr>
              <w:t>DR</w:t>
            </w:r>
          </w:p>
          <w:p w:rsidR="003B5D33" w:rsidRPr="003B5D33" w:rsidP="003B5D33">
            <w:pPr>
              <w:spacing w:line="269" w:lineRule="auto"/>
              <w:jc w:val="center"/>
              <w:rPr>
                <w:rFonts w:ascii="Almoni ML v5 AAA" w:eastAsia="Calibri" w:hAnsi="Almoni ML v5 AAA" w:cs="Almoni ML v5 AAA"/>
                <w:b/>
                <w:bCs/>
                <w:sz w:val="22"/>
                <w:szCs w:val="22"/>
                <w:rtl/>
              </w:rPr>
            </w:pPr>
          </w:p>
        </w:tc>
        <w:tc>
          <w:tcPr>
            <w:tcW w:w="2004" w:type="dxa"/>
            <w:shd w:val="clear" w:color="auto" w:fill="F0FAFE"/>
            <w:vAlign w:val="center"/>
          </w:tcPr>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בהיעדר גישה לאתר המשרד או לחוות השרתים שלו, נדרש לייצר שחזור מאפס באתר החלופי. </w:t>
            </w:r>
          </w:p>
          <w:p w:rsidR="003B5D33" w:rsidRPr="003B5D33" w:rsidP="003B5D33">
            <w:pPr>
              <w:spacing w:line="269" w:lineRule="auto"/>
              <w:rPr>
                <w:rFonts w:ascii="Almoni ML v5 AAA" w:eastAsia="Calibri" w:hAnsi="Almoni ML v5 AAA" w:cs="Almoni ML v5 AAA"/>
                <w:sz w:val="22"/>
                <w:szCs w:val="22"/>
                <w:rtl/>
              </w:rPr>
            </w:pPr>
          </w:p>
          <w:p w:rsidR="003B5D33" w:rsidRPr="003B5D33" w:rsidP="003B5D33">
            <w:pPr>
              <w:spacing w:line="269" w:lineRule="auto"/>
              <w:jc w:val="left"/>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לפיכך</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על מנת בדרישה לעיל, יש לשמור עותק פיזי או דיגיטלי של תוכנית ה-</w:t>
            </w:r>
            <w:r w:rsidRPr="003B5D33">
              <w:rPr>
                <w:rFonts w:ascii="Almoni ML v5 AAA" w:eastAsia="Calibri" w:hAnsi="Almoni ML v5 AAA" w:cs="Almoni ML v5 AAA"/>
                <w:sz w:val="22"/>
                <w:szCs w:val="22"/>
              </w:rPr>
              <w:t>DR</w:t>
            </w:r>
            <w:r w:rsidRPr="003B5D33">
              <w:rPr>
                <w:rFonts w:ascii="Almoni ML v5 AAA" w:eastAsia="Calibri" w:hAnsi="Almoni ML v5 AAA" w:cs="Almoni ML v5 AAA"/>
                <w:sz w:val="22"/>
                <w:szCs w:val="22"/>
                <w:rtl/>
              </w:rPr>
              <w:t xml:space="preserve"> ונ</w:t>
            </w:r>
            <w:r w:rsidRPr="003B5D33">
              <w:rPr>
                <w:rFonts w:ascii="Almoni ML v5 AAA" w:eastAsia="Calibri" w:hAnsi="Almoni ML v5 AAA" w:cs="Almoni ML v5 AAA" w:hint="cs"/>
                <w:sz w:val="22"/>
                <w:szCs w:val="22"/>
                <w:rtl/>
              </w:rPr>
              <w:t>ו</w:t>
            </w:r>
            <w:r w:rsidRPr="003B5D33">
              <w:rPr>
                <w:rFonts w:ascii="Almoni ML v5 AAA" w:eastAsia="Calibri" w:hAnsi="Almoni ML v5 AAA" w:cs="Almoni ML v5 AAA"/>
                <w:sz w:val="22"/>
                <w:szCs w:val="22"/>
                <w:rtl/>
              </w:rPr>
              <w:t>הלי השחזור גם באתר ה-</w:t>
            </w:r>
            <w:r w:rsidRPr="003B5D33">
              <w:rPr>
                <w:rFonts w:ascii="Almoni ML v5 AAA" w:eastAsia="Calibri" w:hAnsi="Almoni ML v5 AAA" w:cs="Almoni ML v5 AAA"/>
                <w:sz w:val="22"/>
                <w:szCs w:val="22"/>
              </w:rPr>
              <w:t>DR</w:t>
            </w:r>
            <w:r w:rsidRPr="003B5D33">
              <w:rPr>
                <w:rFonts w:ascii="Almoni ML v5 AAA" w:eastAsia="Calibri" w:hAnsi="Almoni ML v5 AAA" w:cs="Almoni ML v5 AAA"/>
                <w:sz w:val="22"/>
                <w:szCs w:val="22"/>
                <w:rtl/>
              </w:rPr>
              <w:t xml:space="preserve"> </w:t>
            </w:r>
            <w:r w:rsidRPr="003B5D33">
              <w:rPr>
                <w:rFonts w:ascii="Almoni ML v5 AAA" w:eastAsia="Calibri" w:hAnsi="Almoni ML v5 AAA" w:cs="Almoni ML v5 AAA" w:hint="cs"/>
                <w:sz w:val="22"/>
                <w:szCs w:val="22"/>
                <w:rtl/>
              </w:rPr>
              <w:t>כדי</w:t>
            </w:r>
            <w:r w:rsidRPr="003B5D33">
              <w:rPr>
                <w:rFonts w:ascii="Almoni ML v5 AAA" w:eastAsia="Calibri" w:hAnsi="Almoni ML v5 AAA" w:cs="Almoni ML v5 AAA"/>
                <w:sz w:val="22"/>
                <w:szCs w:val="22"/>
                <w:rtl/>
              </w:rPr>
              <w:t xml:space="preserve"> שהמידע הבסיסי להתחלת תפעול האתר ותהליכי השחזור וההתאוששות יהיה זמין לצוותי החירום.</w:t>
            </w:r>
          </w:p>
        </w:tc>
        <w:tc>
          <w:tcPr>
            <w:tcW w:w="4788" w:type="dxa"/>
            <w:tcBorders>
              <w:top w:val="single" w:sz="12" w:space="0" w:color="4CC0EF"/>
              <w:bottom w:val="nil"/>
              <w:right w:val="single" w:sz="48" w:space="0" w:color="F15B5D"/>
            </w:tcBorders>
            <w:shd w:val="clear" w:color="auto" w:fill="F0FAFE"/>
            <w:vAlign w:val="center"/>
          </w:tcPr>
          <w:p w:rsidR="003B5D33" w:rsidRPr="003B5D33" w:rsidP="003B5D33">
            <w:pPr>
              <w:spacing w:line="269" w:lineRule="auto"/>
              <w:rPr>
                <w:rFonts w:ascii="Almoni ML v5 AAA" w:eastAsia="Calibri" w:hAnsi="Almoni ML v5 AAA" w:cs="Almoni ML v5 AAA"/>
                <w:b/>
                <w:bCs/>
                <w:sz w:val="22"/>
                <w:szCs w:val="22"/>
                <w:highlight w:val="yellow"/>
              </w:rPr>
            </w:pPr>
            <w:r w:rsidRPr="003B5D33">
              <w:rPr>
                <w:rFonts w:ascii="Almoni ML v5 AAA" w:eastAsia="Calibri" w:hAnsi="Almoni ML v5 AAA" w:cs="Almoni ML v5 AAA"/>
                <w:b/>
                <w:bCs/>
                <w:sz w:val="22"/>
                <w:szCs w:val="22"/>
                <w:rtl/>
              </w:rPr>
              <w:t>בסיור שקיים משרד מבקר המדינה באתר ה-</w:t>
            </w:r>
            <w:r w:rsidRPr="003B5D33">
              <w:rPr>
                <w:rFonts w:ascii="Almoni ML v5 AAA" w:eastAsia="Calibri" w:hAnsi="Almoni ML v5 AAA" w:cs="Almoni ML v5 AAA"/>
                <w:b/>
                <w:bCs/>
                <w:sz w:val="22"/>
                <w:szCs w:val="22"/>
              </w:rPr>
              <w:t>DR</w:t>
            </w:r>
            <w:r w:rsidRPr="003B5D33">
              <w:rPr>
                <w:rFonts w:ascii="Almoni ML v5 AAA" w:eastAsia="Calibri" w:hAnsi="Almoni ML v5 AAA" w:cs="Almoni ML v5 AAA"/>
                <w:b/>
                <w:bCs/>
                <w:sz w:val="22"/>
                <w:szCs w:val="22"/>
                <w:rtl/>
              </w:rPr>
              <w:t xml:space="preserve"> בינואר 2025 נמצא כי באתר אין עותק פיזי או דיגיטלי של התוכנית הישנה ואין כל מסמך נוסף היכול לסייע בתהליכי שחזור והתאוששות של המערכות הקריטיות בחירום. כך</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במקרה של אי</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יכולת הגעה פיזית למשרד הראשי בירושלים, המידע החיוני להתחלת תפעול האתר ו</w:t>
            </w:r>
            <w:r w:rsidRPr="003B5D33">
              <w:rPr>
                <w:rFonts w:ascii="Almoni ML v5 AAA" w:eastAsia="Calibri" w:hAnsi="Almoni ML v5 AAA" w:cs="Almoni ML v5 AAA" w:hint="cs"/>
                <w:b/>
                <w:bCs/>
                <w:sz w:val="22"/>
                <w:szCs w:val="22"/>
                <w:rtl/>
              </w:rPr>
              <w:t>ל</w:t>
            </w:r>
            <w:r w:rsidRPr="003B5D33">
              <w:rPr>
                <w:rFonts w:ascii="Almoni ML v5 AAA" w:eastAsia="Calibri" w:hAnsi="Almoni ML v5 AAA" w:cs="Almoni ML v5 AAA"/>
                <w:b/>
                <w:bCs/>
                <w:sz w:val="22"/>
                <w:szCs w:val="22"/>
                <w:rtl/>
              </w:rPr>
              <w:t>תהליכי השחזור וההתאוששות לא יהיה זמין לצוותי החירום.</w:t>
            </w:r>
          </w:p>
        </w:tc>
      </w:tr>
      <w:bookmarkEnd w:id="30"/>
    </w:tbl>
    <w:p w:rsidR="003B5D33" w:rsidRPr="003B5D33" w:rsidP="003B5D33">
      <w:pPr>
        <w:spacing w:line="269" w:lineRule="auto"/>
        <w:rPr>
          <w:rFonts w:eastAsia="Calibri"/>
          <w:rtl/>
        </w:rPr>
      </w:pP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מכל האמור עולה כי נכון לספטמבר 2024 ישנם פערים של ממש ביכולתו של משרד החוץ להתאושש מאסון. בכלל זה הועלה כי:</w:t>
      </w:r>
    </w:p>
    <w:p w:rsidR="003B5D33" w:rsidRPr="003B5D33" w:rsidP="003B5D33">
      <w:pPr>
        <w:spacing w:line="269" w:lineRule="auto"/>
        <w:rPr>
          <w:rFonts w:eastAsia="Calibri"/>
          <w:b/>
          <w:bCs/>
          <w:rtl/>
        </w:rPr>
      </w:pPr>
    </w:p>
    <w:p w:rsidR="003B5D33" w:rsidRPr="003B5D33" w:rsidP="003B5D33">
      <w:pPr>
        <w:numPr>
          <w:ilvl w:val="0"/>
          <w:numId w:val="15"/>
        </w:numPr>
        <w:spacing w:line="269" w:lineRule="auto"/>
        <w:ind w:left="283"/>
        <w:contextualSpacing/>
        <w:rPr>
          <w:rFonts w:eastAsia="Calibri"/>
          <w:b/>
          <w:bCs/>
        </w:rPr>
      </w:pPr>
      <w:r w:rsidRPr="003B5D33">
        <w:rPr>
          <w:rFonts w:eastAsia="Calibri" w:hint="cs"/>
          <w:b/>
          <w:bCs/>
          <w:rtl/>
        </w:rPr>
        <w:t xml:space="preserve">אין למשרד תוכנית </w:t>
      </w:r>
      <w:r w:rsidRPr="003B5D33">
        <w:rPr>
          <w:rFonts w:eastAsia="Calibri" w:hint="cs"/>
          <w:b/>
          <w:bCs/>
        </w:rPr>
        <w:t>DRP</w:t>
      </w:r>
      <w:r w:rsidRPr="003B5D33">
        <w:rPr>
          <w:rFonts w:eastAsia="Calibri" w:hint="cs"/>
          <w:b/>
          <w:bCs/>
          <w:rtl/>
        </w:rPr>
        <w:t xml:space="preserve"> מעודכנת, סדורה ותקפה להתאוששות מאסון. </w:t>
      </w:r>
    </w:p>
    <w:p w:rsidR="003B5D33" w:rsidRPr="003B5D33" w:rsidP="003B5D33">
      <w:pPr>
        <w:spacing w:line="269" w:lineRule="auto"/>
        <w:ind w:left="283"/>
        <w:contextualSpacing/>
        <w:rPr>
          <w:rFonts w:eastAsia="Calibri"/>
          <w:b/>
          <w:bCs/>
        </w:rPr>
      </w:pPr>
    </w:p>
    <w:p w:rsidR="003B5D33" w:rsidRPr="003B5D33" w:rsidP="003B5D33">
      <w:pPr>
        <w:numPr>
          <w:ilvl w:val="0"/>
          <w:numId w:val="15"/>
        </w:numPr>
        <w:spacing w:line="269" w:lineRule="auto"/>
        <w:ind w:left="283"/>
        <w:contextualSpacing/>
        <w:rPr>
          <w:rFonts w:eastAsia="Calibri"/>
          <w:b/>
          <w:bCs/>
        </w:rPr>
      </w:pPr>
      <w:r w:rsidRPr="003B5D33">
        <w:rPr>
          <w:rFonts w:eastAsia="Calibri" w:hint="cs"/>
          <w:b/>
          <w:bCs/>
          <w:rtl/>
        </w:rPr>
        <w:t>תרחיש הייחוס שהוגדר</w:t>
      </w:r>
      <w:r w:rsidRPr="003B5D33">
        <w:rPr>
          <w:rFonts w:eastAsia="Calibri"/>
          <w:rtl/>
        </w:rPr>
        <w:t xml:space="preserve"> </w:t>
      </w:r>
      <w:r w:rsidRPr="003B5D33">
        <w:rPr>
          <w:rFonts w:eastAsia="Calibri" w:hint="cs"/>
          <w:b/>
          <w:bCs/>
          <w:rtl/>
        </w:rPr>
        <w:t xml:space="preserve">למשרד </w:t>
      </w:r>
      <w:r w:rsidRPr="003B5D33">
        <w:rPr>
          <w:rFonts w:eastAsia="Calibri"/>
          <w:b/>
          <w:bCs/>
          <w:rtl/>
        </w:rPr>
        <w:t>אינ</w:t>
      </w:r>
      <w:r w:rsidRPr="003B5D33">
        <w:rPr>
          <w:rFonts w:eastAsia="Calibri" w:hint="cs"/>
          <w:b/>
          <w:bCs/>
          <w:rtl/>
        </w:rPr>
        <w:t>ו</w:t>
      </w:r>
      <w:r w:rsidRPr="003B5D33">
        <w:rPr>
          <w:rFonts w:eastAsia="Calibri"/>
          <w:b/>
          <w:bCs/>
          <w:rtl/>
        </w:rPr>
        <w:t xml:space="preserve"> מתייחס לתרחיש </w:t>
      </w:r>
      <w:r w:rsidRPr="003B5D33">
        <w:rPr>
          <w:rFonts w:eastAsia="Calibri" w:hint="cs"/>
          <w:b/>
          <w:bCs/>
          <w:rtl/>
        </w:rPr>
        <w:t>משמעותי וכן למקרה של אירוע חירום כגון רעידת אדמה.</w:t>
      </w:r>
    </w:p>
    <w:p w:rsidR="003B5D33" w:rsidRPr="003B5D33" w:rsidP="003B5D33">
      <w:pPr>
        <w:spacing w:line="269" w:lineRule="auto"/>
        <w:contextualSpacing/>
        <w:rPr>
          <w:rFonts w:eastAsia="Calibri"/>
          <w:b/>
          <w:bCs/>
        </w:rPr>
      </w:pPr>
    </w:p>
    <w:p w:rsidR="003B5D33" w:rsidRPr="003B5D33" w:rsidP="003B5D33">
      <w:pPr>
        <w:numPr>
          <w:ilvl w:val="0"/>
          <w:numId w:val="15"/>
        </w:numPr>
        <w:spacing w:line="269" w:lineRule="auto"/>
        <w:ind w:left="283"/>
        <w:contextualSpacing/>
        <w:rPr>
          <w:rFonts w:eastAsia="Calibri"/>
          <w:b/>
          <w:bCs/>
        </w:rPr>
      </w:pPr>
      <w:r w:rsidRPr="003B5D33">
        <w:rPr>
          <w:rFonts w:eastAsia="Calibri"/>
          <w:b/>
          <w:bCs/>
          <w:rtl/>
        </w:rPr>
        <w:t xml:space="preserve">בהיעדר </w:t>
      </w:r>
      <w:r w:rsidRPr="003B5D33">
        <w:rPr>
          <w:rFonts w:eastAsia="Calibri" w:hint="cs"/>
          <w:b/>
          <w:bCs/>
          <w:rtl/>
        </w:rPr>
        <w:t>נוהלי שחזור</w:t>
      </w:r>
      <w:r w:rsidRPr="003B5D33">
        <w:rPr>
          <w:rFonts w:eastAsia="Calibri"/>
          <w:b/>
          <w:bCs/>
          <w:rtl/>
        </w:rPr>
        <w:t xml:space="preserve"> זמי</w:t>
      </w:r>
      <w:r w:rsidRPr="003B5D33">
        <w:rPr>
          <w:rFonts w:eastAsia="Calibri" w:hint="cs"/>
          <w:b/>
          <w:bCs/>
          <w:rtl/>
        </w:rPr>
        <w:t>נים</w:t>
      </w:r>
      <w:r w:rsidRPr="003B5D33">
        <w:rPr>
          <w:rFonts w:eastAsia="Calibri"/>
          <w:b/>
          <w:bCs/>
          <w:rtl/>
        </w:rPr>
        <w:t xml:space="preserve"> באתר ה-</w:t>
      </w:r>
      <w:r w:rsidRPr="003B5D33">
        <w:rPr>
          <w:rFonts w:eastAsia="Calibri"/>
          <w:b/>
          <w:bCs/>
        </w:rPr>
        <w:t>DR</w:t>
      </w:r>
      <w:r w:rsidRPr="003B5D33">
        <w:rPr>
          <w:rFonts w:eastAsia="Calibri"/>
          <w:b/>
          <w:bCs/>
          <w:rtl/>
        </w:rPr>
        <w:t>, לא תהיה למשרד אפשרות לאושש את מערכות המידע שלו. זאת</w:t>
      </w:r>
      <w:r w:rsidRPr="003B5D33">
        <w:rPr>
          <w:rFonts w:eastAsia="Calibri" w:hint="cs"/>
          <w:b/>
          <w:bCs/>
          <w:rtl/>
        </w:rPr>
        <w:t xml:space="preserve"> גם</w:t>
      </w:r>
      <w:r w:rsidRPr="003B5D33">
        <w:rPr>
          <w:rFonts w:eastAsia="Calibri"/>
          <w:b/>
          <w:bCs/>
          <w:rtl/>
        </w:rPr>
        <w:t xml:space="preserve"> אם הגיבויים יבוצעו כיאות ויישמרו בו כראוי.</w:t>
      </w:r>
    </w:p>
    <w:p w:rsidR="003B5D33" w:rsidRPr="003B5D33" w:rsidP="003B5D33">
      <w:pPr>
        <w:spacing w:line="269" w:lineRule="auto"/>
        <w:contextualSpacing/>
        <w:rPr>
          <w:rFonts w:eastAsia="Calibri"/>
          <w:b/>
          <w:bCs/>
        </w:rPr>
      </w:pPr>
    </w:p>
    <w:p w:rsidR="003B5D33" w:rsidRPr="003B5D33" w:rsidP="003B5D33">
      <w:pPr>
        <w:numPr>
          <w:ilvl w:val="0"/>
          <w:numId w:val="15"/>
        </w:numPr>
        <w:spacing w:line="269" w:lineRule="auto"/>
        <w:ind w:left="283"/>
        <w:contextualSpacing/>
        <w:rPr>
          <w:rFonts w:eastAsia="Calibri"/>
          <w:b/>
          <w:bCs/>
        </w:rPr>
      </w:pPr>
      <w:r w:rsidRPr="003B5D33">
        <w:rPr>
          <w:rFonts w:eastAsia="Calibri" w:hint="cs"/>
          <w:b/>
          <w:bCs/>
          <w:rtl/>
        </w:rPr>
        <w:t>המשרד לא תרגל באתר ה-</w:t>
      </w:r>
      <w:r w:rsidRPr="003B5D33">
        <w:rPr>
          <w:rFonts w:eastAsia="Calibri" w:hint="cs"/>
          <w:b/>
          <w:bCs/>
        </w:rPr>
        <w:t>DR</w:t>
      </w:r>
      <w:r w:rsidRPr="003B5D33">
        <w:rPr>
          <w:rFonts w:eastAsia="Calibri" w:hint="cs"/>
          <w:b/>
          <w:bCs/>
          <w:rtl/>
        </w:rPr>
        <w:t xml:space="preserve"> תהליך של העלאת מערכות מידע משחזור, ולא בחן את הישימות הטכנית של התהליך, את מוכנות כוח האדם לבצע את התהליך ואת לוחות הזמנים שיידרשו למימושו.</w:t>
      </w:r>
      <w:r w:rsidRPr="003B5D33">
        <w:rPr>
          <w:rFonts w:eastAsia="Calibri"/>
          <w:rtl/>
        </w:rPr>
        <w:t xml:space="preserve"> </w:t>
      </w:r>
      <w:r w:rsidRPr="003B5D33">
        <w:rPr>
          <w:rFonts w:eastAsia="Calibri"/>
          <w:b/>
          <w:bCs/>
          <w:rtl/>
        </w:rPr>
        <w:t>בהיעדר תרגול ובחינה של יכולת המשרד לאושש את מערכות המידע ותשתיות התקשוב מאסון</w:t>
      </w:r>
      <w:r w:rsidRPr="003B5D33">
        <w:rPr>
          <w:rFonts w:eastAsia="Calibri" w:hint="cs"/>
          <w:b/>
          <w:bCs/>
          <w:rtl/>
        </w:rPr>
        <w:t>,</w:t>
      </w:r>
      <w:r w:rsidRPr="003B5D33">
        <w:rPr>
          <w:rFonts w:eastAsia="Calibri"/>
          <w:b/>
          <w:bCs/>
          <w:rtl/>
        </w:rPr>
        <w:t xml:space="preserve"> אין כל ביטחון שהמשרד יוכל לממש זאת במצב חירום אמיתי.</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באוקטובר 2025 מסר משרד החוץ בתשובתו למשרד מבקר המדינה כי </w:t>
      </w:r>
      <w:r w:rsidRPr="003B5D33">
        <w:rPr>
          <w:rFonts w:eastAsia="Calibri"/>
          <w:rtl/>
        </w:rPr>
        <w:t xml:space="preserve">המשרד מבצע העתקה קבועה של כלל הנתונים </w:t>
      </w:r>
      <w:r w:rsidRPr="003B5D33">
        <w:rPr>
          <w:rFonts w:eastAsia="Calibri" w:hint="cs"/>
          <w:rtl/>
        </w:rPr>
        <w:t>ברשתות המשרד</w:t>
      </w:r>
      <w:r w:rsidRPr="003B5D33">
        <w:rPr>
          <w:rFonts w:eastAsia="Calibri"/>
          <w:rtl/>
        </w:rPr>
        <w:t xml:space="preserve"> באופן קבוע </w:t>
      </w:r>
      <w:r w:rsidRPr="003B5D33">
        <w:rPr>
          <w:rFonts w:eastAsia="Calibri" w:hint="cs"/>
          <w:rtl/>
        </w:rPr>
        <w:t xml:space="preserve">וכי </w:t>
      </w:r>
      <w:r w:rsidRPr="003B5D33">
        <w:rPr>
          <w:rFonts w:eastAsia="Calibri"/>
          <w:rtl/>
        </w:rPr>
        <w:t xml:space="preserve">כלל המידע </w:t>
      </w:r>
      <w:r w:rsidRPr="003B5D33">
        <w:rPr>
          <w:rFonts w:eastAsia="Calibri" w:hint="cs"/>
          <w:rtl/>
        </w:rPr>
        <w:t>נשמר באתר ה-</w:t>
      </w:r>
      <w:r w:rsidRPr="003B5D33">
        <w:rPr>
          <w:rFonts w:eastAsia="Calibri" w:hint="cs"/>
        </w:rPr>
        <w:t>DR</w:t>
      </w:r>
      <w:r w:rsidRPr="003B5D33">
        <w:rPr>
          <w:rFonts w:eastAsia="Calibri" w:hint="cs"/>
          <w:rtl/>
        </w:rPr>
        <w:t xml:space="preserve"> </w:t>
      </w:r>
      <w:r w:rsidRPr="003B5D33">
        <w:rPr>
          <w:rFonts w:eastAsia="Calibri"/>
          <w:rtl/>
        </w:rPr>
        <w:t>על בסיס קבוע</w:t>
      </w:r>
      <w:r w:rsidRPr="003B5D33">
        <w:rPr>
          <w:rFonts w:eastAsia="Calibri" w:hint="cs"/>
          <w:rtl/>
        </w:rPr>
        <w:t xml:space="preserve"> באמצעות רפליקציה</w:t>
      </w:r>
      <w:r>
        <w:rPr>
          <w:rFonts w:eastAsia="Calibri"/>
          <w:vertAlign w:val="superscript"/>
          <w:rtl/>
        </w:rPr>
        <w:footnoteReference w:id="88"/>
      </w:r>
      <w:r w:rsidRPr="003B5D33">
        <w:rPr>
          <w:rFonts w:eastAsia="Calibri" w:hint="cs"/>
          <w:rtl/>
        </w:rPr>
        <w:t>. המשרד הוסיף כי כדי</w:t>
      </w:r>
      <w:r w:rsidRPr="003B5D33">
        <w:rPr>
          <w:rFonts w:eastAsia="Calibri"/>
          <w:rtl/>
        </w:rPr>
        <w:t xml:space="preserve"> להביא</w:t>
      </w:r>
      <w:r w:rsidRPr="003B5D33">
        <w:rPr>
          <w:rFonts w:eastAsia="Calibri" w:hint="cs"/>
          <w:rtl/>
        </w:rPr>
        <w:t xml:space="preserve"> את האתר</w:t>
      </w:r>
      <w:r w:rsidRPr="003B5D33">
        <w:rPr>
          <w:rFonts w:eastAsia="Calibri"/>
          <w:rtl/>
        </w:rPr>
        <w:t xml:space="preserve"> ליכולת התאוששות ב</w:t>
      </w:r>
      <w:r w:rsidRPr="003B5D33">
        <w:rPr>
          <w:rFonts w:eastAsia="Calibri" w:hint="cs"/>
          <w:rtl/>
        </w:rPr>
        <w:t>התאם ל</w:t>
      </w:r>
      <w:r w:rsidRPr="003B5D33">
        <w:rPr>
          <w:rFonts w:eastAsia="Calibri"/>
          <w:rtl/>
        </w:rPr>
        <w:t>מדדים שאושרו בו</w:t>
      </w:r>
      <w:r w:rsidRPr="003B5D33">
        <w:rPr>
          <w:rFonts w:eastAsia="Calibri" w:hint="cs"/>
          <w:rtl/>
        </w:rPr>
        <w:t>ו</w:t>
      </w:r>
      <w:r w:rsidRPr="003B5D33">
        <w:rPr>
          <w:rFonts w:eastAsia="Calibri"/>
          <w:rtl/>
        </w:rPr>
        <w:t>עדת ההיגוי להגנת הסייבר</w:t>
      </w:r>
      <w:r w:rsidRPr="003B5D33">
        <w:rPr>
          <w:rFonts w:eastAsia="Calibri" w:hint="cs"/>
          <w:rtl/>
        </w:rPr>
        <w:t>,</w:t>
      </w:r>
      <w:r w:rsidRPr="003B5D33">
        <w:rPr>
          <w:rFonts w:eastAsia="Calibri"/>
          <w:rtl/>
        </w:rPr>
        <w:t xml:space="preserve"> נדרשת השקעה משמעותית שעד כה לא התאפשרה.</w:t>
      </w:r>
      <w:r w:rsidRPr="003B5D33">
        <w:rPr>
          <w:rFonts w:eastAsia="Calibri" w:hint="cs"/>
          <w:rtl/>
        </w:rPr>
        <w:t xml:space="preserve"> המשרד הוסיף כי </w:t>
      </w:r>
      <w:r w:rsidRPr="003B5D33">
        <w:rPr>
          <w:rFonts w:eastAsia="Calibri"/>
          <w:rtl/>
        </w:rPr>
        <w:t>ה</w:t>
      </w:r>
      <w:r w:rsidRPr="003B5D33">
        <w:rPr>
          <w:rFonts w:eastAsia="Calibri" w:hint="cs"/>
          <w:rtl/>
        </w:rPr>
        <w:t>וא</w:t>
      </w:r>
      <w:r w:rsidRPr="003B5D33">
        <w:rPr>
          <w:rFonts w:eastAsia="Calibri"/>
          <w:rtl/>
        </w:rPr>
        <w:t xml:space="preserve"> נמצא בעיצומו של תהליך בניית מערך </w:t>
      </w:r>
      <w:r w:rsidRPr="003B5D33">
        <w:rPr>
          <w:rFonts w:eastAsia="Calibri"/>
        </w:rPr>
        <w:t>DR</w:t>
      </w:r>
      <w:r w:rsidRPr="003B5D33">
        <w:rPr>
          <w:rFonts w:eastAsia="Calibri"/>
          <w:rtl/>
        </w:rPr>
        <w:t xml:space="preserve"> </w:t>
      </w:r>
      <w:r w:rsidRPr="003B5D33">
        <w:rPr>
          <w:rFonts w:eastAsia="Calibri" w:hint="cs"/>
          <w:rtl/>
        </w:rPr>
        <w:t xml:space="preserve">לרשת נוספת, וכי </w:t>
      </w:r>
      <w:r w:rsidRPr="003B5D33">
        <w:rPr>
          <w:rFonts w:eastAsia="Calibri" w:hint="cs"/>
          <w:rtl/>
        </w:rPr>
        <w:t xml:space="preserve">במסגרת תהליך זה </w:t>
      </w:r>
      <w:r w:rsidRPr="003B5D33">
        <w:rPr>
          <w:rFonts w:eastAsia="Calibri"/>
          <w:rtl/>
        </w:rPr>
        <w:t>נקבע איום ייחוס של אי</w:t>
      </w:r>
      <w:r w:rsidRPr="003B5D33">
        <w:rPr>
          <w:rFonts w:eastAsia="Calibri" w:hint="cs"/>
          <w:rtl/>
        </w:rPr>
        <w:t>-</w:t>
      </w:r>
      <w:r w:rsidRPr="003B5D33">
        <w:rPr>
          <w:rFonts w:eastAsia="Calibri"/>
          <w:rtl/>
        </w:rPr>
        <w:t>זמינות מלאה של מערכות המחשב במטה ובחדר מחשב</w:t>
      </w:r>
      <w:r w:rsidRPr="003B5D33">
        <w:rPr>
          <w:rFonts w:eastAsia="Calibri" w:hint="cs"/>
          <w:rtl/>
        </w:rPr>
        <w:t xml:space="preserve">. עוד הדגיש כי </w:t>
      </w:r>
      <w:r w:rsidRPr="003B5D33">
        <w:rPr>
          <w:rFonts w:eastAsia="Calibri"/>
          <w:rtl/>
        </w:rPr>
        <w:t>התוכנית היא להמשיך פריסה בהתאם לתקציב וכ</w:t>
      </w:r>
      <w:r w:rsidRPr="003B5D33">
        <w:rPr>
          <w:rFonts w:eastAsia="Calibri" w:hint="cs"/>
          <w:rtl/>
        </w:rPr>
        <w:t>וח אדם</w:t>
      </w:r>
      <w:r w:rsidRPr="003B5D33">
        <w:rPr>
          <w:rFonts w:eastAsia="Calibri"/>
          <w:rtl/>
        </w:rPr>
        <w:t xml:space="preserve"> ובהתאם לת</w:t>
      </w:r>
      <w:r w:rsidRPr="003B5D33">
        <w:rPr>
          <w:rFonts w:eastAsia="Calibri" w:hint="cs"/>
          <w:rtl/>
        </w:rPr>
        <w:t>י</w:t>
      </w:r>
      <w:r w:rsidRPr="003B5D33">
        <w:rPr>
          <w:rFonts w:eastAsia="Calibri"/>
          <w:rtl/>
        </w:rPr>
        <w:t>עדוף המשרד</w:t>
      </w:r>
      <w:r w:rsidRPr="003B5D33">
        <w:rPr>
          <w:rFonts w:eastAsia="Calibri" w:hint="cs"/>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כדי להבטיח את הרציפות התפקודית של משרד החוץ, על משרד החוץ להגדיר פעולות שעליו לנקוט כדי להבטיח את התאוששות מערכות המידע הקריטיות באתר ה-</w:t>
      </w:r>
      <w:r w:rsidRPr="003B5D33">
        <w:rPr>
          <w:rFonts w:eastAsia="Calibri" w:hint="cs"/>
          <w:b/>
          <w:bCs/>
        </w:rPr>
        <w:t>DR</w:t>
      </w:r>
      <w:r w:rsidRPr="003B5D33">
        <w:rPr>
          <w:rFonts w:eastAsia="Calibri" w:hint="cs"/>
          <w:b/>
          <w:bCs/>
          <w:rtl/>
        </w:rPr>
        <w:t xml:space="preserve"> בהתאם למדדי ההתאוששות שאישרה הנהלת המשרד בספטמבר 2024 - וליישמם. במקביל, עליו לגבש באופן מיידי תוכנית </w:t>
      </w:r>
      <w:r w:rsidRPr="003B5D33">
        <w:rPr>
          <w:rFonts w:eastAsia="Calibri" w:hint="cs"/>
          <w:b/>
          <w:bCs/>
        </w:rPr>
        <w:t>DRP</w:t>
      </w:r>
      <w:r w:rsidRPr="003B5D33">
        <w:rPr>
          <w:rFonts w:eastAsia="Calibri" w:hint="cs"/>
          <w:b/>
          <w:bCs/>
          <w:rtl/>
        </w:rPr>
        <w:t>, שתיתן מענה לכלל רשתות המשרד, ולוודא כי באתר ה-</w:t>
      </w:r>
      <w:r w:rsidRPr="003B5D33">
        <w:rPr>
          <w:rFonts w:eastAsia="Calibri" w:hint="cs"/>
          <w:b/>
          <w:bCs/>
        </w:rPr>
        <w:t>DR</w:t>
      </w:r>
      <w:r w:rsidRPr="003B5D33">
        <w:rPr>
          <w:rFonts w:eastAsia="Calibri" w:hint="cs"/>
          <w:b/>
          <w:bCs/>
          <w:rtl/>
        </w:rPr>
        <w:t xml:space="preserve"> קיים עותק מעודכן עם המידע הנדרש לשם שחזור מערכות המידע הקריטיות והקמתן באתר זה.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כמו כן, מומלץ כי המשרד ייתן דעתו לכך שתרחיש הייחוס שהוגדר</w:t>
      </w:r>
      <w:r w:rsidRPr="003B5D33">
        <w:rPr>
          <w:rFonts w:eastAsia="Calibri"/>
          <w:rtl/>
        </w:rPr>
        <w:t xml:space="preserve"> </w:t>
      </w:r>
      <w:r w:rsidRPr="003B5D33">
        <w:rPr>
          <w:rFonts w:eastAsia="Calibri" w:hint="cs"/>
          <w:b/>
          <w:bCs/>
          <w:rtl/>
        </w:rPr>
        <w:t xml:space="preserve">למשרד </w:t>
      </w:r>
      <w:r w:rsidRPr="003B5D33">
        <w:rPr>
          <w:rFonts w:eastAsia="Calibri"/>
          <w:b/>
          <w:bCs/>
          <w:rtl/>
        </w:rPr>
        <w:t>אינ</w:t>
      </w:r>
      <w:r w:rsidRPr="003B5D33">
        <w:rPr>
          <w:rFonts w:eastAsia="Calibri" w:hint="cs"/>
          <w:b/>
          <w:bCs/>
          <w:rtl/>
        </w:rPr>
        <w:t>ו</w:t>
      </w:r>
      <w:r w:rsidRPr="003B5D33">
        <w:rPr>
          <w:rFonts w:eastAsia="Calibri"/>
          <w:b/>
          <w:bCs/>
          <w:rtl/>
        </w:rPr>
        <w:t xml:space="preserve"> מתייחס לתרחיש ייחוס משמעותי</w:t>
      </w:r>
      <w:r w:rsidRPr="003B5D33">
        <w:rPr>
          <w:rFonts w:eastAsia="Calibri" w:hint="cs"/>
          <w:b/>
          <w:bCs/>
          <w:rtl/>
        </w:rPr>
        <w:t xml:space="preserve"> ורלוונטי, ויבחן אם יש צורך בעדכון תרחיש ייחוס זה.</w:t>
      </w:r>
    </w:p>
    <w:p w:rsidR="003B5D33" w:rsidRPr="003B5D33" w:rsidP="003B5D33">
      <w:pPr>
        <w:spacing w:line="269" w:lineRule="auto"/>
        <w:rPr>
          <w:rFonts w:eastAsia="Calibri"/>
          <w:rtl/>
        </w:rPr>
      </w:pPr>
    </w:p>
    <w:p w:rsidR="003B5D33" w:rsidRPr="003B5D33" w:rsidP="003B5D33">
      <w:pPr>
        <w:keepNext/>
        <w:keepLines/>
        <w:spacing w:line="269" w:lineRule="auto"/>
        <w:outlineLvl w:val="3"/>
        <w:rPr>
          <w:rFonts w:eastAsia="Times New Roman"/>
          <w:bCs/>
          <w:szCs w:val="26"/>
          <w:rtl/>
        </w:rPr>
      </w:pPr>
      <w:r w:rsidRPr="003B5D33">
        <w:rPr>
          <w:rFonts w:eastAsia="Times New Roman"/>
          <w:bCs/>
          <w:szCs w:val="26"/>
          <w:rtl/>
        </w:rPr>
        <w:t>גיבויים והתאוששות נתונים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תהליכי גיבוי של נתונים ומערכות מידע מיועדים לשחזור המידע או המערכת בהתרחש אסון שבו נפגעת חוות השרתים או אין גישה אליה, או בהתרחש מקרים שבהם המידע כולו או חלקו נמחק או הושחת. לפיכך תהליכי הגיבוי צריכים לכלול גם תהליכי שחזור סדורים, שיבטיחו את יכולת השחזור המלאה של המידע בעת הצורך.</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על פי הנחיות מערך הדיגיטל, על האגף לקבוע נהלים לגיבוי נתונים, שיפרטו את תהליכי הגיבוי ותדירות הגיבוי לכל אחת ממערכות המידע ואת אופן הטיפול בגיבויים. בכלל זה נקבע בהנחיות כי</w:t>
      </w:r>
      <w:r w:rsidRPr="003B5D33">
        <w:rPr>
          <w:rFonts w:eastAsia="Calibri"/>
          <w:rtl/>
        </w:rPr>
        <w:t xml:space="preserve"> כדי להתמודד עם מתקפת כופרה, על המשרד לגבות את נכסי המידע בגיבוי קר</w:t>
      </w:r>
      <w:r w:rsidRPr="003B5D33">
        <w:rPr>
          <w:rFonts w:eastAsia="Calibri" w:hint="cs"/>
          <w:rtl/>
        </w:rPr>
        <w:t xml:space="preserve"> </w:t>
      </w:r>
      <w:r w:rsidRPr="003B5D33">
        <w:rPr>
          <w:rFonts w:eastAsia="Calibri"/>
        </w:rPr>
        <w:t>Offline)</w:t>
      </w:r>
      <w:r w:rsidRPr="003B5D33">
        <w:rPr>
          <w:rFonts w:eastAsia="Calibri" w:hint="cs"/>
          <w:rtl/>
        </w:rPr>
        <w:t>)</w:t>
      </w:r>
      <w:r w:rsidRPr="003B5D33">
        <w:rPr>
          <w:rFonts w:eastAsia="Calibri"/>
          <w:rtl/>
        </w:rPr>
        <w:t xml:space="preserve"> על גבי קלטות המאוחסנות באתר חיצוני ומרוחק, בכספת חסינת אש, כולל בקרת גישה</w:t>
      </w:r>
      <w:r w:rsidRPr="003B5D33">
        <w:rPr>
          <w:rFonts w:eastAsia="Calibri" w:hint="cs"/>
          <w:rtl/>
        </w:rPr>
        <w:t>,</w:t>
      </w:r>
      <w:r w:rsidRPr="003B5D33">
        <w:rPr>
          <w:rFonts w:eastAsia="Calibri"/>
          <w:rtl/>
        </w:rPr>
        <w:t xml:space="preserve"> או באמצעות פתרונות טכנולוגיים או פתרונות אחרים השומרים על המידע ברמת </w:t>
      </w:r>
      <w:r w:rsidRPr="003B5D33">
        <w:rPr>
          <w:rFonts w:eastAsia="Calibri"/>
        </w:rPr>
        <w:t>Read Only</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עוד נקבע בהנחיות מערך הדיגיטל כי </w:t>
      </w:r>
      <w:r w:rsidRPr="003B5D33">
        <w:rPr>
          <w:rFonts w:eastAsia="Calibri"/>
          <w:rtl/>
        </w:rPr>
        <w:t>בדיקת תקינות שחזור תבוצע לפחות אחת לחצי שנה</w:t>
      </w:r>
      <w:r w:rsidRPr="003B5D33">
        <w:rPr>
          <w:rFonts w:eastAsia="Calibri" w:hint="cs"/>
          <w:rtl/>
        </w:rPr>
        <w:t xml:space="preserve">, וכי </w:t>
      </w:r>
      <w:r w:rsidRPr="003B5D33">
        <w:rPr>
          <w:rFonts w:eastAsia="Calibri"/>
          <w:rtl/>
        </w:rPr>
        <w:t xml:space="preserve">סיכום בדיקת התקינות תישלח להנהלה </w:t>
      </w:r>
      <w:r w:rsidRPr="003B5D33">
        <w:rPr>
          <w:rFonts w:eastAsia="Calibri" w:hint="cs"/>
          <w:rtl/>
        </w:rPr>
        <w:t xml:space="preserve">לבקרה. כמו כן נקבע כי </w:t>
      </w:r>
      <w:r w:rsidRPr="003B5D33">
        <w:rPr>
          <w:rFonts w:eastAsia="Calibri"/>
          <w:rtl/>
        </w:rPr>
        <w:t>כדי לוודא את תקינותו של מערך הגיבוי יש לבצע באופן יזום ניסיונות שחזור מדגמיים</w:t>
      </w:r>
      <w:r w:rsidRPr="003B5D33">
        <w:rPr>
          <w:rFonts w:eastAsia="Calibri" w:hint="cs"/>
          <w:rtl/>
        </w:rPr>
        <w:t xml:space="preserve">. על פי ההנחיה, רשימת הבדיקות הנדרשת בתדירות שנתית היא: (א) </w:t>
      </w:r>
      <w:r w:rsidRPr="003B5D33">
        <w:rPr>
          <w:rFonts w:eastAsia="Calibri"/>
          <w:rtl/>
        </w:rPr>
        <w:t>בדיקת שחזור יזומה של פריט מידע</w:t>
      </w:r>
      <w:r w:rsidRPr="003B5D33">
        <w:rPr>
          <w:rFonts w:eastAsia="Calibri" w:hint="cs"/>
          <w:rtl/>
        </w:rPr>
        <w:t xml:space="preserve">; (ב) </w:t>
      </w:r>
      <w:r w:rsidRPr="003B5D33">
        <w:rPr>
          <w:rFonts w:eastAsia="Calibri"/>
          <w:rtl/>
        </w:rPr>
        <w:t>בדיקת שחזור יזומה של שרת</w:t>
      </w:r>
      <w:r w:rsidRPr="003B5D33">
        <w:rPr>
          <w:rFonts w:eastAsia="Calibri" w:hint="cs"/>
          <w:rtl/>
        </w:rPr>
        <w:t xml:space="preserve">; (ג) </w:t>
      </w:r>
      <w:r w:rsidRPr="003B5D33">
        <w:rPr>
          <w:rFonts w:eastAsia="Calibri"/>
          <w:rtl/>
        </w:rPr>
        <w:t>בדיקת שחזור יזומה של מערכת בסביבת ייצור</w:t>
      </w:r>
      <w:r w:rsidRPr="003B5D33">
        <w:rPr>
          <w:rFonts w:eastAsia="Calibri" w:hint="cs"/>
          <w:rtl/>
        </w:rPr>
        <w:t xml:space="preserve">; (ד) </w:t>
      </w:r>
      <w:r w:rsidRPr="003B5D33">
        <w:rPr>
          <w:rFonts w:eastAsia="Calibri"/>
          <w:rtl/>
        </w:rPr>
        <w:t>תרגילים שנתיים</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בהנחיות משרד החוץ בעניין זה נקבע כי יש לבצע</w:t>
      </w:r>
      <w:r w:rsidRPr="003B5D33">
        <w:rPr>
          <w:rFonts w:eastAsia="Calibri"/>
          <w:rtl/>
        </w:rPr>
        <w:t xml:space="preserve"> בדיקות תקופתיות לכל אחד מהנכסים המגובים</w:t>
      </w:r>
      <w:r w:rsidRPr="003B5D33">
        <w:rPr>
          <w:rFonts w:eastAsia="Calibri" w:hint="cs"/>
          <w:rtl/>
        </w:rPr>
        <w:t>, וכן לבצע תרגיל שחזור לבדיקה יסודית של כל מאגרי הגיבוי אחת לשנה.</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בירור שקיים משרד מבקר המדינה עם אגף התקשוב במשרד החוץ בספטמבר 2024 העלה כי האגף שומר גיבויים למערכות מידע מסוימות באופן מקוון בחוות השרתים הראשית, עותק נוסף נשמר באתר ה-</w:t>
      </w:r>
      <w:r w:rsidRPr="003B5D33">
        <w:rPr>
          <w:rFonts w:eastAsia="Calibri" w:hint="cs"/>
        </w:rPr>
        <w:t>DR</w:t>
      </w:r>
      <w:r w:rsidRPr="003B5D33">
        <w:rPr>
          <w:rFonts w:eastAsia="Calibri" w:hint="cs"/>
          <w:rtl/>
        </w:rPr>
        <w:t xml:space="preserve"> באמצעות רפליקציה</w:t>
      </w:r>
      <w:r>
        <w:rPr>
          <w:rFonts w:eastAsia="Calibri"/>
          <w:vertAlign w:val="superscript"/>
          <w:rtl/>
        </w:rPr>
        <w:footnoteReference w:id="89"/>
      </w:r>
      <w:r w:rsidRPr="003B5D33">
        <w:rPr>
          <w:rFonts w:eastAsia="Calibri" w:hint="cs"/>
          <w:rtl/>
        </w:rPr>
        <w:t xml:space="preserve"> לשרתי האחסון שבאתר, ועותק נוסף מגובה לקלטות. אשר לביצוע תהליכי שחזור, נציגי האגף מסרו </w:t>
      </w:r>
      <w:r w:rsidRPr="003B5D33">
        <w:rPr>
          <w:rFonts w:eastAsia="Calibri"/>
          <w:rtl/>
        </w:rPr>
        <w:t xml:space="preserve">כי תהליכי שחזור </w:t>
      </w:r>
      <w:r w:rsidRPr="003B5D33">
        <w:rPr>
          <w:rFonts w:eastAsia="Calibri" w:hint="cs"/>
          <w:rtl/>
        </w:rPr>
        <w:t xml:space="preserve">נקודתיים בכלל הרשתות </w:t>
      </w:r>
      <w:r w:rsidRPr="003B5D33">
        <w:rPr>
          <w:rFonts w:eastAsia="Calibri"/>
          <w:rtl/>
        </w:rPr>
        <w:t>מבוצעים אד-הוק על פי הצורך, אך לא באופן מתוכנן, כולל ומתועד</w:t>
      </w:r>
      <w:r w:rsidRPr="003B5D33">
        <w:rPr>
          <w:rFonts w:eastAsia="Calibri" w:hint="cs"/>
          <w:rtl/>
        </w:rPr>
        <w:t>, ו</w:t>
      </w:r>
      <w:r w:rsidRPr="003B5D33">
        <w:rPr>
          <w:rFonts w:eastAsia="Calibri"/>
          <w:rtl/>
        </w:rPr>
        <w:t>כי שחזורים נקודתיים שבוצעו</w:t>
      </w:r>
      <w:r w:rsidRPr="003B5D33">
        <w:rPr>
          <w:rFonts w:eastAsia="Calibri" w:hint="cs"/>
          <w:rtl/>
        </w:rPr>
        <w:t xml:space="preserve"> </w:t>
      </w:r>
      <w:r w:rsidRPr="003B5D33">
        <w:rPr>
          <w:rFonts w:eastAsia="Calibri"/>
          <w:rtl/>
        </w:rPr>
        <w:t>הסתיימו בהצלחה.</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באוקטובר 2025 מסר</w:t>
      </w:r>
      <w:r w:rsidRPr="003B5D33">
        <w:rPr>
          <w:rFonts w:eastAsia="Calibri"/>
          <w:rtl/>
        </w:rPr>
        <w:t xml:space="preserve"> משרד החוץ </w:t>
      </w:r>
      <w:r w:rsidRPr="003B5D33">
        <w:rPr>
          <w:rFonts w:eastAsia="Calibri" w:hint="cs"/>
          <w:rtl/>
        </w:rPr>
        <w:t xml:space="preserve">כי </w:t>
      </w:r>
      <w:r w:rsidRPr="003B5D33">
        <w:rPr>
          <w:rFonts w:eastAsia="Calibri"/>
          <w:rtl/>
        </w:rPr>
        <w:t xml:space="preserve">המשרד מבצע העתקה של כלל הנתונים </w:t>
      </w:r>
      <w:r w:rsidRPr="003B5D33">
        <w:rPr>
          <w:rFonts w:eastAsia="Calibri" w:hint="cs"/>
          <w:rtl/>
        </w:rPr>
        <w:t>ברשתות מסוימות</w:t>
      </w:r>
      <w:r w:rsidRPr="003B5D33">
        <w:rPr>
          <w:rFonts w:eastAsia="Calibri"/>
          <w:rtl/>
        </w:rPr>
        <w:t xml:space="preserve"> באופן קבוע</w:t>
      </w:r>
      <w:r w:rsidRPr="003B5D33">
        <w:rPr>
          <w:rFonts w:eastAsia="Calibri" w:hint="cs"/>
          <w:rtl/>
        </w:rPr>
        <w:t xml:space="preserve">, וכי </w:t>
      </w:r>
      <w:r w:rsidRPr="003B5D33">
        <w:rPr>
          <w:rFonts w:eastAsia="Calibri"/>
          <w:rtl/>
        </w:rPr>
        <w:t xml:space="preserve">מתבצע תהליך נוסף של גיבוי כמחצית מרשת </w:t>
      </w:r>
      <w:r w:rsidRPr="003B5D33">
        <w:rPr>
          <w:rFonts w:eastAsia="Calibri" w:hint="cs"/>
          <w:rtl/>
        </w:rPr>
        <w:t>מסוימת</w:t>
      </w:r>
      <w:r w:rsidRPr="003B5D33">
        <w:rPr>
          <w:rFonts w:eastAsia="Calibri"/>
          <w:rtl/>
        </w:rPr>
        <w:t xml:space="preserve"> לסביבת הענן המשרדית</w:t>
      </w:r>
      <w:r w:rsidRPr="003B5D33">
        <w:rPr>
          <w:rFonts w:eastAsia="Calibri" w:hint="cs"/>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הביקורת העלתה כי אף שנוהל הגיבוי והשחזור של משרד החוץ</w:t>
      </w:r>
      <w:r>
        <w:rPr>
          <w:rFonts w:eastAsia="Calibri"/>
          <w:b/>
          <w:bCs/>
          <w:vertAlign w:val="superscript"/>
          <w:rtl/>
        </w:rPr>
        <w:footnoteReference w:id="90"/>
      </w:r>
      <w:r w:rsidRPr="003B5D33">
        <w:rPr>
          <w:rFonts w:eastAsia="Calibri" w:hint="cs"/>
          <w:b/>
          <w:bCs/>
          <w:rtl/>
        </w:rPr>
        <w:t xml:space="preserve"> כולל הנחיות לביצוע בדיקות תקופתיות לכל אחד מהנכסים המגובים וכן תרגיל שחזור יזום אחת לשנה, הרי שלמעט שחזורים </w:t>
      </w:r>
      <w:r w:rsidRPr="003B5D33">
        <w:rPr>
          <w:rFonts w:eastAsia="Calibri" w:hint="cs"/>
          <w:b/>
          <w:bCs/>
          <w:rtl/>
        </w:rPr>
        <w:t xml:space="preserve">נקודתיים שבוצעו אד-הוק, לא ביצע המשרד בדיקות תקופתיות ותרגילי שחזור שנתיים. התנהלות זו גם אינה עולה בקנה אחד עם הנחיות מערך הדיגיטל.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בהיעדר ביצוע של תרגילי שחזור סדירים ומקיפים, שבהם בודקים שחזור של מערכות באופן מלא במקרה של תקלה או אסון - קיים סיכון ממשי לזמינות מערכות המידע של משרד החוץ, עד כדי פגיעה ברציפות התפקודית שלו. במצב הדברים הקיים, משרד החוץ אינו יכול להבטיח כי בעת הצורך או במצב חירום יתאפשר לו לבצע שחזור מלא ומוצלח של המידע הקריטי, של מערכות המידע הקריטיות, ובפרט של נכסי המידע המצויים בקלטות. </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hint="cs"/>
          <w:b/>
          <w:bCs/>
          <w:rtl/>
        </w:rPr>
        <w:t>על משרד החוץ לבצע תרגילי שחזור באופן רחב ועיתי, אחת לשנה לפחות, כפי שנדרש בהנחיותיו, בהנחיות מערך הדיגיטל ובפרקטיקה המקובלת, דבר שיסייע בהבטחת הרציפות התפקודית שלו.</w:t>
      </w:r>
    </w:p>
    <w:p w:rsidR="003B5D33" w:rsidRPr="003B5D33" w:rsidP="003B5D33">
      <w:pPr>
        <w:spacing w:line="269" w:lineRule="auto"/>
        <w:contextualSpacing/>
        <w:jc w:val="center"/>
        <w:rPr>
          <w:rFonts w:ascii="Arial" w:eastAsia="Calibri" w:hAnsi="Arial" w:cs="Arial"/>
          <w:b/>
          <w:bCs/>
          <w:sz w:val="36"/>
          <w:rtl/>
        </w:rPr>
      </w:pPr>
      <w:r w:rsidRPr="003B5D33">
        <w:rPr>
          <w:rFonts w:ascii="Segoe UI Symbol" w:eastAsia="Calibri" w:hAnsi="Segoe UI Symbol" w:cs="Segoe UI Symbol" w:hint="cs"/>
          <w:b/>
          <w:bCs/>
          <w:sz w:val="36"/>
          <w:rtl/>
        </w:rPr>
        <w:t>✰</w:t>
      </w:r>
    </w:p>
    <w:p w:rsidR="003B5D33" w:rsidRPr="003B5D33" w:rsidP="003B5D33">
      <w:pPr>
        <w:spacing w:line="269" w:lineRule="auto"/>
        <w:rPr>
          <w:rFonts w:eastAsia="Calibri"/>
          <w:b/>
          <w:bCs/>
          <w:rtl/>
        </w:rPr>
      </w:pPr>
    </w:p>
    <w:p w:rsidR="003B5D33" w:rsidP="003B5D33">
      <w:pPr>
        <w:spacing w:line="269" w:lineRule="auto"/>
        <w:rPr>
          <w:rFonts w:eastAsia="Calibri"/>
          <w:b/>
          <w:bCs/>
          <w:rtl/>
        </w:rPr>
      </w:pPr>
      <w:r w:rsidRPr="003B5D33">
        <w:rPr>
          <w:rFonts w:eastAsia="Calibri" w:hint="cs"/>
          <w:b/>
          <w:bCs/>
          <w:rtl/>
        </w:rPr>
        <w:t>מחקרים שנעשו בעולם</w:t>
      </w:r>
      <w:r>
        <w:rPr>
          <w:rFonts w:eastAsia="Calibri"/>
          <w:b/>
          <w:bCs/>
          <w:vertAlign w:val="superscript"/>
          <w:rtl/>
        </w:rPr>
        <w:footnoteReference w:id="91"/>
      </w:r>
      <w:r w:rsidRPr="003B5D33">
        <w:rPr>
          <w:rFonts w:eastAsia="Calibri" w:hint="cs"/>
          <w:b/>
          <w:bCs/>
          <w:rtl/>
        </w:rPr>
        <w:t xml:space="preserve"> ובארץ</w:t>
      </w:r>
      <w:r>
        <w:rPr>
          <w:rFonts w:eastAsia="Calibri"/>
          <w:b/>
          <w:bCs/>
          <w:vertAlign w:val="superscript"/>
          <w:rtl/>
        </w:rPr>
        <w:footnoteReference w:id="92"/>
      </w:r>
      <w:r w:rsidRPr="003B5D33">
        <w:rPr>
          <w:rFonts w:eastAsia="Calibri" w:hint="cs"/>
          <w:b/>
          <w:bCs/>
          <w:rtl/>
        </w:rPr>
        <w:t xml:space="preserve"> מצביעים על כך שקיים מתאם חיובי בין ממשל טכנולוגיות מידע לקוי לבין כישלונות של פרויקטים לפיתוח מערכות, תפקוד לקוי של ה-</w:t>
      </w:r>
      <w:r w:rsidRPr="003B5D33">
        <w:rPr>
          <w:rFonts w:eastAsia="Calibri" w:hint="cs"/>
          <w:b/>
          <w:bCs/>
        </w:rPr>
        <w:t>IT</w:t>
      </w:r>
      <w:r w:rsidRPr="003B5D33">
        <w:rPr>
          <w:rFonts w:eastAsia="Calibri" w:hint="cs"/>
          <w:b/>
          <w:bCs/>
          <w:rtl/>
        </w:rPr>
        <w:t xml:space="preserve"> הארגוני ופגיעה ביעדים העסקיים. בדומה, מחקרים נוספים מלמדים על מתאם חיובי בין ממשל טכנולוגיות מידע מוצלח לבין עמידה ביעדים העסקיים של הארגון</w:t>
      </w:r>
      <w:r>
        <w:rPr>
          <w:rFonts w:eastAsia="Calibri"/>
          <w:b/>
          <w:bCs/>
          <w:vertAlign w:val="superscript"/>
          <w:rtl/>
        </w:rPr>
        <w:footnoteReference w:id="93"/>
      </w:r>
      <w:r w:rsidRPr="003B5D33">
        <w:rPr>
          <w:rFonts w:eastAsia="Calibri" w:hint="cs"/>
          <w:b/>
          <w:bCs/>
          <w:rtl/>
        </w:rPr>
        <w:t>.</w:t>
      </w:r>
    </w:p>
    <w:p w:rsidR="000E6727"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הביקורת שעשה משרד מבקר המדינה העלתה פערים בניהול ממשל </w:t>
      </w:r>
      <w:r w:rsidRPr="003B5D33">
        <w:rPr>
          <w:rFonts w:eastAsia="Calibri"/>
          <w:b/>
          <w:bCs/>
          <w:rtl/>
        </w:rPr>
        <w:t xml:space="preserve">טכנולוגיות </w:t>
      </w:r>
      <w:r w:rsidRPr="003B5D33">
        <w:rPr>
          <w:rFonts w:eastAsia="Calibri" w:hint="cs"/>
          <w:b/>
          <w:bCs/>
          <w:rtl/>
        </w:rPr>
        <w:t>ה</w:t>
      </w:r>
      <w:r w:rsidRPr="003B5D33">
        <w:rPr>
          <w:rFonts w:eastAsia="Calibri"/>
          <w:b/>
          <w:bCs/>
          <w:rtl/>
        </w:rPr>
        <w:t>מידע</w:t>
      </w:r>
      <w:r w:rsidRPr="003B5D33">
        <w:rPr>
          <w:rFonts w:eastAsia="Calibri" w:hint="cs"/>
          <w:b/>
          <w:bCs/>
          <w:rtl/>
        </w:rPr>
        <w:t xml:space="preserve"> במשרד החוץ, בניהול הפרויקטים ובקיומה של</w:t>
      </w:r>
      <w:r w:rsidRPr="003B5D33">
        <w:rPr>
          <w:rFonts w:eastAsia="Calibri"/>
          <w:b/>
          <w:bCs/>
          <w:rtl/>
        </w:rPr>
        <w:t xml:space="preserve"> תוכנית התאוששות מאסון</w:t>
      </w:r>
      <w:r w:rsidRPr="003B5D33">
        <w:rPr>
          <w:rFonts w:eastAsia="Calibri" w:hint="cs"/>
          <w:b/>
          <w:bCs/>
          <w:rtl/>
        </w:rPr>
        <w:t>.</w:t>
      </w:r>
    </w:p>
    <w:p w:rsidR="003B5D33" w:rsidRPr="003B5D33" w:rsidP="003B5D33">
      <w:pPr>
        <w:spacing w:line="269" w:lineRule="auto"/>
        <w:jc w:val="center"/>
        <w:rPr>
          <w:rFonts w:eastAsia="Calibri"/>
          <w:rtl/>
        </w:rPr>
      </w:pPr>
      <w:bookmarkStart w:id="31" w:name="_Hlk198630596"/>
    </w:p>
    <w:p w:rsidR="003B5D33" w:rsidRPr="003B5D33" w:rsidP="003B5D33">
      <w:pPr>
        <w:keepNext/>
        <w:keepLines/>
        <w:spacing w:line="269" w:lineRule="auto"/>
        <w:jc w:val="center"/>
        <w:rPr>
          <w:rFonts w:eastAsia="Calibri"/>
          <w:b/>
          <w:bCs/>
          <w:rtl/>
        </w:rPr>
      </w:pPr>
      <w:r w:rsidRPr="003B5D33">
        <w:rPr>
          <w:rFonts w:eastAsia="Calibri" w:hint="eastAsia"/>
          <w:rtl/>
        </w:rPr>
        <w:t>תרשים</w:t>
      </w:r>
      <w:r w:rsidRPr="003B5D33">
        <w:rPr>
          <w:rFonts w:eastAsia="Calibri" w:hint="cs"/>
          <w:rtl/>
        </w:rPr>
        <w:t xml:space="preserve"> 6</w:t>
      </w:r>
      <w:r w:rsidRPr="003B5D33">
        <w:rPr>
          <w:rFonts w:eastAsia="Calibri"/>
          <w:rtl/>
        </w:rPr>
        <w:t>:</w:t>
      </w:r>
      <w:r w:rsidRPr="003B5D33">
        <w:rPr>
          <w:rFonts w:eastAsia="Calibri" w:hint="cs"/>
          <w:b/>
          <w:bCs/>
          <w:rtl/>
        </w:rPr>
        <w:t xml:space="preserve"> פערים מרכזיים בתהליכי ניהול ופיתוח של מערכות מידע</w:t>
      </w:r>
    </w:p>
    <w:bookmarkEnd w:id="14"/>
    <w:bookmarkEnd w:id="31"/>
    <w:p w:rsidR="003B5D33" w:rsidRPr="003B5D33" w:rsidP="00DA2F85">
      <w:pPr>
        <w:spacing w:line="480" w:lineRule="auto"/>
        <w:jc w:val="center"/>
        <w:rPr>
          <w:rFonts w:eastAsia="Calibri"/>
          <w:b/>
          <w:bCs/>
          <w:rtl/>
        </w:rPr>
      </w:pPr>
      <w:r w:rsidRPr="003B5D33">
        <w:rPr>
          <w:rFonts w:eastAsia="Calibri"/>
          <w:noProof/>
        </w:rPr>
        <w:drawing>
          <wp:inline distT="0" distB="0" distL="0" distR="0">
            <wp:extent cx="3565632" cy="3603009"/>
            <wp:effectExtent l="0" t="0" r="0" b="0"/>
            <wp:docPr id="9" name="תמונה 9" descr="נהלים חסרים ולא עדכניים.&#10;פעילות חלקית של ועדת התקשוב המשרדית.&#10;צורך בבחינת תקצוב מערך התקשוב.&#10;היעדר תוכנית עדכנית ותקפה להתאוששות מאסון.&#10;אי־ביצוע מלוא הבדיקות הנדרשות בתהליך הפיתוח וביצוע בקרות איכות באופן חלקי.&#10;היעדר ועדות היגוי למרבית הפרויקטים.&#10;היעדר ביצוע של תהליכי תחקור והפקת לקחים.&#10;ניהול לקוי של סיכוני התקשו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67069" cy="3604461"/>
                    </a:xfrm>
                    <a:prstGeom prst="rect">
                      <a:avLst/>
                    </a:prstGeom>
                    <a:noFill/>
                    <a:ln>
                      <a:noFill/>
                    </a:ln>
                  </pic:spPr>
                </pic:pic>
              </a:graphicData>
            </a:graphic>
          </wp:inline>
        </w:drawing>
      </w:r>
    </w:p>
    <w:p w:rsidR="003B5D33" w:rsidRPr="003B5D33" w:rsidP="003B5D33">
      <w:pPr>
        <w:spacing w:line="269" w:lineRule="auto"/>
        <w:rPr>
          <w:rFonts w:eastAsia="Calibri"/>
          <w:b/>
          <w:bCs/>
          <w:rtl/>
        </w:rPr>
      </w:pPr>
      <w:r w:rsidRPr="003B5D33">
        <w:rPr>
          <w:rFonts w:eastAsia="Calibri" w:hint="cs"/>
          <w:b/>
          <w:bCs/>
          <w:rtl/>
        </w:rPr>
        <w:t xml:space="preserve">יצוין כי במהלך השנים 2022 - 2024 פעל אגף התקשוב בכמה צירים לשם הגברת ממשל טכנולוגיות המידע. במסגרת זו הוכנה תוכנית אסטרטגית, הכוללת התייחסות למבנה הארגוני המומלץ, ובוצע סקר סיכוני תקשוב משרדי. עם זאת, התוכנית האסטרטגית וסקר סיכוני התקשוב טרם הובאו כאמור בפני הנהלת המשרד או ועדת ההיגוי המשרדית לתקשוב, ולא התקבלו החלטות בנוגע לצעדים הנדרשים כדי להתמודד עם הפערים והסיכונים שהועלו ולממש את ההמלצות שניתנו במסגרתם. יודגש כי </w:t>
      </w:r>
      <w:r w:rsidRPr="003B5D33">
        <w:rPr>
          <w:rFonts w:eastAsia="Calibri"/>
          <w:b/>
          <w:bCs/>
          <w:rtl/>
        </w:rPr>
        <w:t xml:space="preserve">מעורבות הנהלה </w:t>
      </w:r>
      <w:r w:rsidRPr="003B5D33">
        <w:rPr>
          <w:rFonts w:eastAsia="Calibri" w:hint="cs"/>
          <w:b/>
          <w:bCs/>
          <w:rtl/>
        </w:rPr>
        <w:t xml:space="preserve">ובראשה מנכ"ל המשרד </w:t>
      </w:r>
      <w:r w:rsidRPr="003B5D33">
        <w:rPr>
          <w:rFonts w:eastAsia="Calibri"/>
          <w:b/>
          <w:bCs/>
          <w:rtl/>
        </w:rPr>
        <w:t>בתהליכי מחשוב ארגוניים חיונית להצלחתם, שכן היא מבטיחה הקצאת משאבים, ת</w:t>
      </w:r>
      <w:r w:rsidRPr="003B5D33">
        <w:rPr>
          <w:rFonts w:eastAsia="Calibri" w:hint="cs"/>
          <w:b/>
          <w:bCs/>
          <w:rtl/>
        </w:rPr>
        <w:t>י</w:t>
      </w:r>
      <w:r w:rsidRPr="003B5D33">
        <w:rPr>
          <w:rFonts w:eastAsia="Calibri"/>
          <w:b/>
          <w:bCs/>
          <w:rtl/>
        </w:rPr>
        <w:t xml:space="preserve">עדוף משימות ויישום מדיניות התואמת את יעדי הארגון. </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hint="cs"/>
          <w:b/>
          <w:bCs/>
          <w:rtl/>
        </w:rPr>
        <w:t xml:space="preserve">על מנכ"ל משרד החוץ לקיים בחינה מעמיקה ויסודית, בשיתוף עם ועדת ההיגוי המשרדית לתקשוב, בנוגע לפערים </w:t>
      </w:r>
      <w:r w:rsidRPr="003B5D33">
        <w:rPr>
          <w:rFonts w:eastAsia="Calibri"/>
          <w:b/>
          <w:bCs/>
          <w:rtl/>
        </w:rPr>
        <w:t>בתהליכי ניהול ופיתוח של מערכות מידע</w:t>
      </w:r>
      <w:r w:rsidRPr="003B5D33">
        <w:rPr>
          <w:rFonts w:eastAsia="Calibri" w:hint="cs"/>
          <w:b/>
          <w:bCs/>
          <w:rtl/>
        </w:rPr>
        <w:t>, כמו גם בנוגע לממצאים שהועלו בתוכנית האסטרטגית ובסקר הסיכונים, תוך ניתוח השלכותיהם על פעילות המשרד. בחינה זו תסייע בזיהוי בעיות השורש ותאפשר קבלת החלטות מושכלת תוך תיעדוף משימות, וגיבוש תוכנית פעולה ברורה הכוללת צעדים אופרטיביים, לוחות זמנים וגורמים אחראים לביצוע. זאת ועוד, דבר זה יסייע גם</w:t>
      </w:r>
      <w:r w:rsidRPr="003B5D33">
        <w:rPr>
          <w:rFonts w:eastAsia="Calibri"/>
          <w:b/>
          <w:bCs/>
          <w:rtl/>
        </w:rPr>
        <w:t xml:space="preserve"> להבטיח כי תחום התקשוב במשרד החוץ יטופל באופן יסודי ומקיף </w:t>
      </w:r>
      <w:r w:rsidRPr="003B5D33">
        <w:rPr>
          <w:rFonts w:eastAsia="Calibri" w:hint="cs"/>
          <w:b/>
          <w:bCs/>
          <w:rtl/>
        </w:rPr>
        <w:t>תוך מתן התמיכה הנדרשת ליחידות המשרד בביצוע תפקידיהן ובהשגת יעדיהן בתחומי הפעולה השונים בזירה הבין-לאומית ובתחומים הקונסולריים</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מנכ"ל משרד החוץ מסר למשרד מבקר המדינה באוקטובר 2025 כי האתגרים העומדים בפניו, כפי שעמדו גם בפני קודמיו לתפקיד, ימשיכו להיות אתגרים של משאבים וסדרי עדיפויות, ובכלל זה תקציב מצומצם, כוח אדם שאינו מספק ומערכות </w:t>
      </w:r>
      <w:r w:rsidRPr="003B5D33">
        <w:rPr>
          <w:rFonts w:eastAsia="Calibri" w:hint="cs"/>
          <w:rtl/>
        </w:rPr>
        <w:t>שנדרש לשדרגן</w:t>
      </w:r>
      <w:r w:rsidRPr="003B5D33">
        <w:rPr>
          <w:rFonts w:eastAsia="Calibri"/>
          <w:rtl/>
        </w:rPr>
        <w:t>. עוד מסר המנכ"ל כי הוא הורה לסמנכ"ל תקשוב להציג תכנית עבודה לתיקון הליקויים.</w:t>
      </w:r>
    </w:p>
    <w:p w:rsidR="003B5D33" w:rsidRPr="003B5D33" w:rsidP="003B5D33">
      <w:pPr>
        <w:spacing w:line="269" w:lineRule="auto"/>
        <w:rPr>
          <w:rFonts w:eastAsia="Calibri"/>
          <w:rtl/>
          <w:cs/>
          <w:lang w:val="he-IL"/>
        </w:rPr>
      </w:pPr>
    </w:p>
    <w:p w:rsidR="00FD1373">
      <w:pPr>
        <w:bidi w:val="0"/>
        <w:spacing w:after="200" w:line="276" w:lineRule="auto"/>
        <w:rPr>
          <w:rFonts w:eastAsia="Times New Roman"/>
          <w:bCs/>
          <w:szCs w:val="32"/>
          <w:rtl/>
        </w:rPr>
      </w:pPr>
      <w:bookmarkStart w:id="32" w:name="_Toc218592799"/>
      <w:bookmarkStart w:id="33" w:name="_Hlk203654842"/>
      <w:r>
        <w:rPr>
          <w:rFonts w:eastAsia="Times New Roman"/>
          <w:bCs/>
          <w:szCs w:val="32"/>
          <w:rtl/>
        </w:rPr>
        <w:br w:type="page"/>
      </w:r>
    </w:p>
    <w:p w:rsidR="003B5D33" w:rsidRPr="003B5D33" w:rsidP="003B5D33">
      <w:pPr>
        <w:keepNext/>
        <w:keepLines/>
        <w:spacing w:line="269" w:lineRule="auto"/>
        <w:jc w:val="center"/>
        <w:outlineLvl w:val="1"/>
        <w:rPr>
          <w:rFonts w:eastAsia="Times New Roman"/>
          <w:bCs/>
          <w:szCs w:val="32"/>
          <w:rtl/>
        </w:rPr>
      </w:pPr>
      <w:r w:rsidRPr="003B5D33">
        <w:rPr>
          <w:rFonts w:eastAsia="Times New Roman" w:hint="cs"/>
          <w:bCs/>
          <w:szCs w:val="32"/>
          <w:rtl/>
        </w:rPr>
        <w:t>אבטחת המידע והגנת הסייבר במשרד החוץ</w:t>
      </w:r>
      <w:bookmarkEnd w:id="32"/>
    </w:p>
    <w:bookmarkEnd w:id="33"/>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הסביבה התקשובית שבה פועל משרד החוץ היא</w:t>
      </w:r>
      <w:r w:rsidRPr="003B5D33">
        <w:rPr>
          <w:rFonts w:eastAsia="Calibri"/>
          <w:rtl/>
        </w:rPr>
        <w:t xml:space="preserve"> מאתגרת</w:t>
      </w:r>
      <w:r w:rsidRPr="003B5D33">
        <w:rPr>
          <w:rFonts w:eastAsia="Calibri" w:hint="cs"/>
          <w:rtl/>
        </w:rPr>
        <w:t>,</w:t>
      </w:r>
      <w:r w:rsidRPr="003B5D33">
        <w:rPr>
          <w:rFonts w:eastAsia="Calibri"/>
          <w:rtl/>
        </w:rPr>
        <w:t xml:space="preserve"> ייחודית</w:t>
      </w:r>
      <w:r w:rsidRPr="003B5D33">
        <w:rPr>
          <w:rFonts w:eastAsia="Calibri" w:hint="cs"/>
          <w:rtl/>
        </w:rPr>
        <w:t xml:space="preserve"> ו</w:t>
      </w:r>
      <w:r w:rsidRPr="003B5D33">
        <w:rPr>
          <w:rFonts w:eastAsia="Calibri"/>
          <w:rtl/>
        </w:rPr>
        <w:t>פרי</w:t>
      </w:r>
      <w:r w:rsidRPr="003B5D33">
        <w:rPr>
          <w:rFonts w:eastAsia="Calibri" w:hint="cs"/>
          <w:rtl/>
        </w:rPr>
        <w:t>סת</w:t>
      </w:r>
      <w:r w:rsidRPr="003B5D33">
        <w:rPr>
          <w:rFonts w:eastAsia="Calibri"/>
          <w:rtl/>
        </w:rPr>
        <w:t>ה גלובלית</w:t>
      </w:r>
      <w:r w:rsidRPr="003B5D33">
        <w:rPr>
          <w:rFonts w:eastAsia="Calibri" w:hint="cs"/>
          <w:rtl/>
        </w:rPr>
        <w:t xml:space="preserve">. כאמור בין מטה משרד החוץ בירושלים לנציגויות בכל העולם פרוסות כמה רשתות מחשוב.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גורמי המקצוע האחראים לנושא אבטחת המידע והגנת הסייבר במשרד הם אגף התקשוב וחטיבת בטמ"ח. במסגרת יישום החלטת הממשלה העוסקת בין היתר בקידום הגנת הסייבר בממשלה</w:t>
      </w:r>
      <w:r>
        <w:rPr>
          <w:rFonts w:eastAsia="Calibri"/>
          <w:vertAlign w:val="superscript"/>
          <w:rtl/>
        </w:rPr>
        <w:footnoteReference w:id="94"/>
      </w:r>
      <w:r w:rsidRPr="003B5D33">
        <w:rPr>
          <w:rFonts w:eastAsia="Calibri" w:hint="cs"/>
          <w:rtl/>
        </w:rPr>
        <w:t xml:space="preserve"> (להלן - החלטה 2443), מונה</w:t>
      </w:r>
      <w:r w:rsidRPr="003B5D33">
        <w:rPr>
          <w:rFonts w:eastAsia="Calibri"/>
          <w:rtl/>
        </w:rPr>
        <w:t xml:space="preserve"> </w:t>
      </w:r>
      <w:r w:rsidRPr="003B5D33">
        <w:rPr>
          <w:rFonts w:eastAsia="Calibri" w:hint="cs"/>
          <w:rtl/>
        </w:rPr>
        <w:t xml:space="preserve">במשרד החוץ </w:t>
      </w:r>
      <w:r w:rsidRPr="003B5D33">
        <w:rPr>
          <w:rFonts w:eastAsia="Calibri"/>
          <w:rtl/>
        </w:rPr>
        <w:t xml:space="preserve">ממונה על הגנת הסייבר </w:t>
      </w:r>
      <w:r w:rsidRPr="003B5D33">
        <w:rPr>
          <w:rFonts w:eastAsia="Calibri" w:hint="cs"/>
          <w:rtl/>
        </w:rPr>
        <w:t xml:space="preserve">במשרד (להלן - ממונה הגנת הסייבר) </w:t>
      </w:r>
      <w:r w:rsidRPr="003B5D33">
        <w:rPr>
          <w:rFonts w:eastAsia="Calibri"/>
          <w:rtl/>
        </w:rPr>
        <w:t>ו</w:t>
      </w:r>
      <w:r w:rsidRPr="003B5D33">
        <w:rPr>
          <w:rFonts w:eastAsia="Calibri" w:hint="cs"/>
          <w:rtl/>
        </w:rPr>
        <w:t>הוקמה</w:t>
      </w:r>
      <w:r w:rsidRPr="003B5D33">
        <w:rPr>
          <w:rFonts w:eastAsia="Calibri"/>
          <w:rtl/>
        </w:rPr>
        <w:t xml:space="preserve"> ועדת היגוי משרדית להגנת הסייבר</w:t>
      </w:r>
      <w:r w:rsidRPr="003B5D33">
        <w:rPr>
          <w:rFonts w:eastAsia="Calibri" w:hint="cs"/>
          <w:rtl/>
        </w:rPr>
        <w:t xml:space="preserve"> (להלן -</w:t>
      </w:r>
      <w:r w:rsidRPr="003B5D33">
        <w:rPr>
          <w:rFonts w:eastAsia="Calibri"/>
          <w:rtl/>
        </w:rPr>
        <w:t xml:space="preserve"> ועדת ההיגוי להגנת הסייבר</w:t>
      </w:r>
      <w:r w:rsidRPr="003B5D33">
        <w:rPr>
          <w:rFonts w:eastAsia="Calibri" w:hint="cs"/>
          <w:rtl/>
        </w:rPr>
        <w:t>), המשמשת מסגרת ארגונית-</w:t>
      </w:r>
      <w:r w:rsidRPr="003B5D33">
        <w:rPr>
          <w:rFonts w:eastAsia="Calibri"/>
          <w:rtl/>
        </w:rPr>
        <w:softHyphen/>
      </w:r>
      <w:r w:rsidRPr="003B5D33">
        <w:rPr>
          <w:rFonts w:eastAsia="Calibri" w:hint="cs"/>
          <w:rtl/>
        </w:rPr>
        <w:t>ניהולית לקבלת החלטות אסטרטגיות בתחום הגנת הסייבר ולביצוע בקרה ניהולית על יישום הגנת הסייבר במשרד</w:t>
      </w:r>
      <w:r w:rsidRPr="003B5D33">
        <w:rPr>
          <w:rFonts w:eastAsia="Calibri"/>
          <w:rtl/>
        </w:rPr>
        <w:t xml:space="preserve">. </w:t>
      </w:r>
    </w:p>
    <w:p w:rsidR="003B5D33" w:rsidRPr="003B5D33" w:rsidP="003B5D33">
      <w:pPr>
        <w:spacing w:line="269" w:lineRule="auto"/>
        <w:jc w:val="center"/>
        <w:rPr>
          <w:rFonts w:eastAsia="Calibri"/>
          <w:rtl/>
        </w:rPr>
      </w:pPr>
    </w:p>
    <w:p w:rsidR="003B5D33" w:rsidRPr="003B5D33" w:rsidP="003B5D33">
      <w:pPr>
        <w:spacing w:line="269" w:lineRule="auto"/>
        <w:jc w:val="center"/>
        <w:rPr>
          <w:rFonts w:eastAsia="Calibri"/>
          <w:b/>
          <w:bCs/>
          <w:rtl/>
        </w:rPr>
      </w:pPr>
      <w:r w:rsidRPr="003B5D33">
        <w:rPr>
          <w:rFonts w:eastAsia="Calibri" w:hint="eastAsia"/>
          <w:rtl/>
        </w:rPr>
        <w:t>תרשים</w:t>
      </w:r>
      <w:r w:rsidRPr="003B5D33">
        <w:rPr>
          <w:rFonts w:eastAsia="Calibri"/>
          <w:rtl/>
        </w:rPr>
        <w:t xml:space="preserve"> </w:t>
      </w:r>
      <w:r w:rsidRPr="003B5D33">
        <w:rPr>
          <w:rFonts w:eastAsia="Calibri"/>
        </w:rPr>
        <w:t>7</w:t>
      </w:r>
      <w:r w:rsidRPr="003B5D33">
        <w:rPr>
          <w:rFonts w:eastAsia="Calibri"/>
          <w:rtl/>
        </w:rPr>
        <w:t>:</w:t>
      </w:r>
      <w:r w:rsidRPr="003B5D33">
        <w:rPr>
          <w:rFonts w:eastAsia="Calibri" w:hint="cs"/>
          <w:b/>
          <w:bCs/>
          <w:rtl/>
        </w:rPr>
        <w:t xml:space="preserve"> המבנה הארגוני של המערך להגנת הסייבר במשרד החוץ</w:t>
      </w:r>
    </w:p>
    <w:p w:rsidR="003B5D33" w:rsidRPr="003B5D33" w:rsidP="003B5D33">
      <w:pPr>
        <w:spacing w:line="269" w:lineRule="auto"/>
        <w:jc w:val="center"/>
        <w:rPr>
          <w:rFonts w:eastAsia="Calibri"/>
          <w:b/>
          <w:bCs/>
          <w:rtl/>
        </w:rPr>
      </w:pPr>
      <w:r w:rsidRPr="003B5D33">
        <w:rPr>
          <w:rFonts w:eastAsia="Calibri"/>
          <w:noProof/>
        </w:rPr>
        <w:drawing>
          <wp:inline distT="0" distB="0" distL="0" distR="0">
            <wp:extent cx="4962472" cy="4544705"/>
            <wp:effectExtent l="0" t="0" r="0" b="8255"/>
            <wp:docPr id="11" name="תמונה 11" descr="בראש התרשים נמצא מנכ&quot;ל המשרד, שלו אחריות כוללת להגנת הסייבר. מתחתיו מופיעה ועדת היגוי להגנת הסייבר, ובהמשך ממונה הגנת הסייבר, שהוא גם מנהל אגף התקשוב. תפקידו של הממונה הוא להוביל את פעולות הגנת הסייבר במשרד ולנהל סיכוני סייבר וטכנולוגיות מידע.&#10;&#10;לצד המבנה המרכזי מופיעים גורמים מנחים: השב&quot;כ, יה&quot;ב, והרשות להגנת הפרטיות – מאגרי מידע.&#10;&#10;מתחת לממונה הגנת הסייבר מופיעים כמה בעלי תפקידים ותחומי אחריות:&#10;&#10;רח&quot;ט מתודולוגיות הגנת הסייבר – אחראי על ניהול סיכונים, בניין כוח, הנחיה ובקרה. תחתיו מופיעים ארבעה תחומים:&#10;רח&quot;ט יישומים רוחביים.&#10;רח&quot;ט טכנולוגיות הגנת הסייבר – יישום טכנולוגיות הגנת הסייבר.&#10;רח&quot;ט תשתיות – פיתוח תשתיות תקשוביות.&#10;רח&quot;ט יישומים – פיתוח תשתיות אפליקטיביות.&#10;רח&quot;ט בטמ&quot;ח – מופיע כגורם שממנו מסתעפים שני תחומי אחריות:&#10;קב&quot;ט המשרד – הגנת המידע בארץ: אבטחה פיזית, מהימנות עובדים, מניעת דלף מידע בארץ, מודעות עובדים, וממונה הגנת הפרטיות.&#10;ראש ענף הגנת המידע בחו&quot;ל: אבטחה פיזית, מהימנות והגנה פיזית, מניעת דלף מידע בחו&quot;ל, ומודעות עובדים.&#10;בצד התרשים מופיע גם יועץ משפטי - בכפיפות למנכ&quot;ל המשר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7"/>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4964773" cy="4546813"/>
                    </a:xfrm>
                    <a:prstGeom prst="rect">
                      <a:avLst/>
                    </a:prstGeom>
                    <a:noFill/>
                    <a:ln>
                      <a:noFill/>
                    </a:ln>
                  </pic:spPr>
                </pic:pic>
              </a:graphicData>
            </a:graphic>
          </wp:inline>
        </w:drawing>
      </w:r>
    </w:p>
    <w:p w:rsidR="003B5D33" w:rsidRPr="003B5D33" w:rsidP="003B5D33">
      <w:pPr>
        <w:spacing w:line="269" w:lineRule="auto"/>
        <w:rPr>
          <w:rFonts w:eastAsia="Calibri"/>
          <w:szCs w:val="20"/>
          <w:rtl/>
        </w:rPr>
      </w:pPr>
      <w:r w:rsidRPr="003B5D33">
        <w:rPr>
          <w:rFonts w:eastAsia="Calibri" w:hint="cs"/>
          <w:szCs w:val="20"/>
          <w:rtl/>
        </w:rPr>
        <w:t xml:space="preserve">הוכן בידי משרד מבקר המדינה.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יה"ב מנחה </w:t>
      </w:r>
      <w:r w:rsidRPr="003B5D33">
        <w:rPr>
          <w:rFonts w:eastAsia="Calibri"/>
          <w:rtl/>
        </w:rPr>
        <w:softHyphen/>
      </w:r>
      <w:r w:rsidRPr="003B5D33">
        <w:rPr>
          <w:rFonts w:eastAsia="Calibri"/>
          <w:rtl/>
        </w:rPr>
        <w:softHyphen/>
      </w:r>
      <w:r w:rsidRPr="003B5D33">
        <w:rPr>
          <w:rFonts w:eastAsia="Calibri"/>
          <w:rtl/>
        </w:rPr>
        <w:softHyphen/>
      </w:r>
      <w:r w:rsidRPr="003B5D33">
        <w:rPr>
          <w:rFonts w:eastAsia="Calibri" w:hint="cs"/>
          <w:rtl/>
        </w:rPr>
        <w:t>את משרד החוץ בכל הנוגע לרשת הבלמ"ס, והשב"כ אחראי להנחיית המשרד בכל הנוגע לרשתות מסוימות במשרד</w:t>
      </w:r>
      <w:r w:rsidRPr="003B5D33">
        <w:rPr>
          <w:rFonts w:eastAsia="Calibri"/>
          <w:rtl/>
        </w:rPr>
        <w:t xml:space="preserve"> </w:t>
      </w:r>
      <w:r w:rsidRPr="003B5D33">
        <w:rPr>
          <w:rFonts w:eastAsia="Calibri" w:hint="cs"/>
          <w:rtl/>
        </w:rPr>
        <w:t xml:space="preserve">וכן </w:t>
      </w:r>
      <w:r w:rsidRPr="003B5D33">
        <w:rPr>
          <w:rFonts w:eastAsia="Calibri"/>
          <w:rtl/>
        </w:rPr>
        <w:t>ב</w:t>
      </w:r>
      <w:r w:rsidRPr="003B5D33">
        <w:rPr>
          <w:rFonts w:eastAsia="Calibri" w:hint="cs"/>
          <w:rtl/>
        </w:rPr>
        <w:t>נוגע ל</w:t>
      </w:r>
      <w:r w:rsidRPr="003B5D33">
        <w:rPr>
          <w:rFonts w:eastAsia="Calibri"/>
          <w:rtl/>
        </w:rPr>
        <w:t xml:space="preserve">נושאים </w:t>
      </w:r>
      <w:r w:rsidRPr="003B5D33">
        <w:rPr>
          <w:rFonts w:eastAsia="Calibri" w:hint="cs"/>
          <w:rtl/>
        </w:rPr>
        <w:t xml:space="preserve">ספציפיים </w:t>
      </w:r>
      <w:r w:rsidRPr="003B5D33">
        <w:rPr>
          <w:rFonts w:eastAsia="Calibri"/>
          <w:rtl/>
        </w:rPr>
        <w:t>שקשורים לרשת הבלמ"ס</w:t>
      </w:r>
      <w:r w:rsidRPr="003B5D33">
        <w:rPr>
          <w:rFonts w:eastAsia="Calibri" w:hint="cs"/>
          <w:rtl/>
        </w:rPr>
        <w:t>. השב"כ מעביר לגופים המונחים</w:t>
      </w:r>
      <w:r w:rsidRPr="003B5D33">
        <w:rPr>
          <w:rFonts w:eastAsia="Calibri"/>
          <w:rtl/>
        </w:rPr>
        <w:t xml:space="preserve"> אוסף הנחיות להגנת נכסי מידע </w:t>
      </w:r>
      <w:r w:rsidRPr="003B5D33">
        <w:rPr>
          <w:rFonts w:eastAsia="Calibri" w:hint="cs"/>
          <w:rtl/>
        </w:rPr>
        <w:t xml:space="preserve">מסוימים </w:t>
      </w:r>
      <w:r w:rsidRPr="003B5D33">
        <w:rPr>
          <w:rFonts w:eastAsia="Calibri"/>
          <w:rtl/>
        </w:rPr>
        <w:t>במרחב</w:t>
      </w:r>
      <w:r w:rsidRPr="003B5D33">
        <w:rPr>
          <w:rFonts w:eastAsia="Calibri" w:hint="cs"/>
          <w:rtl/>
        </w:rPr>
        <w:t xml:space="preserve"> </w:t>
      </w:r>
      <w:r w:rsidRPr="003B5D33">
        <w:rPr>
          <w:rFonts w:eastAsia="Calibri"/>
          <w:rtl/>
        </w:rPr>
        <w:t>הסייבר הארגוני. עמידה בהנחיות</w:t>
      </w:r>
      <w:r w:rsidRPr="003B5D33">
        <w:rPr>
          <w:rFonts w:eastAsia="Calibri" w:hint="cs"/>
          <w:rtl/>
        </w:rPr>
        <w:t>יו</w:t>
      </w:r>
      <w:r w:rsidRPr="003B5D33">
        <w:rPr>
          <w:rFonts w:eastAsia="Calibri"/>
          <w:rtl/>
        </w:rPr>
        <w:t xml:space="preserve"> מאפשרת לארגון להתמודד כנדרש עם אתגרי ההגנה, וכמו כן היא מאפשרת לגורם המנחה למדוד את מידת עמידותו של הארגון בפני איום הייחוס</w:t>
      </w:r>
      <w:r w:rsidRPr="003B5D33">
        <w:rPr>
          <w:rFonts w:eastAsia="Calibri" w:hint="cs"/>
          <w:rtl/>
        </w:rPr>
        <w:t>,</w:t>
      </w:r>
      <w:r w:rsidRPr="003B5D33">
        <w:rPr>
          <w:rFonts w:eastAsia="Calibri"/>
          <w:rtl/>
        </w:rPr>
        <w:t xml:space="preserve"> כדי שהגורם המנחה יוכל להגביר את מידת עמידותו של הארגון, על פי התפתחות האיום</w:t>
      </w:r>
      <w:r w:rsidRPr="003B5D33">
        <w:rPr>
          <w:rFonts w:eastAsia="Calibri" w:hint="cs"/>
          <w:rtl/>
        </w:rPr>
        <w:t>.</w:t>
      </w:r>
    </w:p>
    <w:p w:rsidR="003B5D33" w:rsidRPr="003B5D33" w:rsidP="003B5D33">
      <w:pPr>
        <w:spacing w:line="269" w:lineRule="auto"/>
        <w:rPr>
          <w:rFonts w:eastAsia="Calibri"/>
          <w:rtl/>
        </w:rPr>
      </w:pPr>
      <w:bookmarkStart w:id="34" w:name="_Hlk203654900"/>
    </w:p>
    <w:p w:rsidR="003B5D33" w:rsidRPr="003B5D33" w:rsidP="003B5D33">
      <w:pPr>
        <w:spacing w:line="269" w:lineRule="auto"/>
        <w:rPr>
          <w:rFonts w:eastAsia="Calibri"/>
          <w:rtl/>
        </w:rPr>
      </w:pPr>
      <w:r w:rsidRPr="003B5D33">
        <w:rPr>
          <w:rFonts w:eastAsia="Calibri" w:hint="cs"/>
          <w:rtl/>
        </w:rPr>
        <w:t xml:space="preserve">משרד החוץ </w:t>
      </w:r>
      <w:r w:rsidRPr="003B5D33">
        <w:rPr>
          <w:rFonts w:eastAsia="Calibri" w:hint="eastAsia"/>
          <w:rtl/>
        </w:rPr>
        <w:t>מחזיק</w:t>
      </w:r>
      <w:r w:rsidRPr="003B5D33">
        <w:rPr>
          <w:rFonts w:eastAsia="Calibri"/>
          <w:rtl/>
        </w:rPr>
        <w:t xml:space="preserve"> </w:t>
      </w:r>
      <w:r w:rsidRPr="003B5D33">
        <w:rPr>
          <w:rFonts w:eastAsia="Calibri" w:hint="cs"/>
          <w:rtl/>
        </w:rPr>
        <w:t>מידע רגיש מהבחינה המדינית-דיפלומטית ומידע רגיש</w:t>
      </w:r>
      <w:bookmarkEnd w:id="34"/>
      <w:r w:rsidRPr="003B5D33">
        <w:rPr>
          <w:rFonts w:eastAsia="Calibri" w:hint="cs"/>
          <w:rtl/>
        </w:rPr>
        <w:t xml:space="preserve"> נוסף. המידע כולל, בין היתר,</w:t>
      </w:r>
      <w:r w:rsidRPr="003B5D33">
        <w:rPr>
          <w:rFonts w:eastAsia="Calibri"/>
          <w:rtl/>
        </w:rPr>
        <w:t xml:space="preserve"> הערכ</w:t>
      </w:r>
      <w:r w:rsidRPr="003B5D33">
        <w:rPr>
          <w:rFonts w:eastAsia="Calibri" w:hint="cs"/>
          <w:rtl/>
        </w:rPr>
        <w:t>ו</w:t>
      </w:r>
      <w:r w:rsidRPr="003B5D33">
        <w:rPr>
          <w:rFonts w:eastAsia="Calibri"/>
          <w:rtl/>
        </w:rPr>
        <w:t>ת מצב מדיני</w:t>
      </w:r>
      <w:r w:rsidRPr="003B5D33">
        <w:rPr>
          <w:rFonts w:eastAsia="Calibri" w:hint="cs"/>
          <w:rtl/>
        </w:rPr>
        <w:t>ו</w:t>
      </w:r>
      <w:r w:rsidRPr="003B5D33">
        <w:rPr>
          <w:rFonts w:eastAsia="Calibri"/>
          <w:rtl/>
        </w:rPr>
        <w:t>ת, אסטרטגיה מדינית, שיתופי פעולה בי</w:t>
      </w:r>
      <w:r w:rsidRPr="003B5D33">
        <w:rPr>
          <w:rFonts w:eastAsia="Calibri" w:hint="cs"/>
          <w:rtl/>
        </w:rPr>
        <w:t>ן-</w:t>
      </w:r>
      <w:r w:rsidRPr="003B5D33">
        <w:rPr>
          <w:rFonts w:eastAsia="Calibri"/>
          <w:rtl/>
        </w:rPr>
        <w:t>לאומיים</w:t>
      </w:r>
      <w:r w:rsidRPr="003B5D33">
        <w:rPr>
          <w:rFonts w:eastAsia="Calibri" w:hint="cs"/>
          <w:rtl/>
        </w:rPr>
        <w:t xml:space="preserve"> ותכתובות עם גורמי ממשל</w:t>
      </w:r>
      <w:r w:rsidRPr="003B5D33">
        <w:rPr>
          <w:rFonts w:eastAsia="Calibri"/>
          <w:rtl/>
        </w:rPr>
        <w:t>.</w:t>
      </w:r>
      <w:r w:rsidRPr="003B5D33">
        <w:rPr>
          <w:rFonts w:eastAsia="Calibri" w:hint="cs"/>
          <w:rtl/>
        </w:rPr>
        <w:t xml:space="preserve"> </w:t>
      </w:r>
    </w:p>
    <w:p w:rsidR="003B5D33" w:rsidRPr="003B5D33" w:rsidP="003B5D33">
      <w:pPr>
        <w:spacing w:line="269" w:lineRule="auto"/>
        <w:rPr>
          <w:rFonts w:eastAsia="Calibri"/>
          <w:rtl/>
        </w:rPr>
      </w:pPr>
      <w:bookmarkStart w:id="35" w:name="_Hlk203654941"/>
    </w:p>
    <w:p w:rsidR="003B5D33" w:rsidRPr="003B5D33" w:rsidP="003B5D33">
      <w:pPr>
        <w:spacing w:line="269" w:lineRule="auto"/>
        <w:rPr>
          <w:rFonts w:eastAsia="Calibri"/>
          <w:rtl/>
        </w:rPr>
      </w:pPr>
      <w:r w:rsidRPr="003B5D33">
        <w:rPr>
          <w:rFonts w:eastAsia="Calibri" w:hint="cs"/>
          <w:rtl/>
        </w:rPr>
        <w:t>משרד החוץ הוא יעד</w:t>
      </w:r>
      <w:r w:rsidRPr="003B5D33">
        <w:rPr>
          <w:rFonts w:eastAsia="Calibri"/>
          <w:rtl/>
        </w:rPr>
        <w:t xml:space="preserve"> מרכזי </w:t>
      </w:r>
      <w:r w:rsidRPr="003B5D33">
        <w:rPr>
          <w:rFonts w:eastAsia="Calibri" w:hint="cs"/>
          <w:rtl/>
        </w:rPr>
        <w:t>ל</w:t>
      </w:r>
      <w:r w:rsidRPr="003B5D33">
        <w:rPr>
          <w:rFonts w:eastAsia="Calibri"/>
          <w:rtl/>
        </w:rPr>
        <w:t>תקיפות סייבר של מגוון יריבים</w:t>
      </w:r>
      <w:r w:rsidRPr="003B5D33">
        <w:rPr>
          <w:rFonts w:eastAsia="Calibri" w:hint="cs"/>
          <w:rtl/>
        </w:rPr>
        <w:t xml:space="preserve">, </w:t>
      </w:r>
      <w:r w:rsidRPr="003B5D33">
        <w:rPr>
          <w:rFonts w:eastAsia="Calibri"/>
          <w:rtl/>
        </w:rPr>
        <w:t xml:space="preserve">החל </w:t>
      </w:r>
      <w:r w:rsidRPr="003B5D33">
        <w:rPr>
          <w:rFonts w:eastAsia="Calibri" w:hint="cs"/>
          <w:rtl/>
        </w:rPr>
        <w:t>בפצחנים</w:t>
      </w:r>
      <w:r w:rsidRPr="003B5D33">
        <w:rPr>
          <w:rFonts w:eastAsia="Calibri"/>
          <w:rtl/>
        </w:rPr>
        <w:t xml:space="preserve"> בודדים</w:t>
      </w:r>
      <w:r w:rsidRPr="003B5D33">
        <w:rPr>
          <w:rFonts w:eastAsia="Calibri" w:hint="cs"/>
          <w:rtl/>
        </w:rPr>
        <w:t xml:space="preserve"> וכלה </w:t>
      </w:r>
      <w:bookmarkEnd w:id="35"/>
      <w:r w:rsidRPr="003B5D33">
        <w:rPr>
          <w:rFonts w:eastAsia="Calibri" w:hint="cs"/>
          <w:rtl/>
        </w:rPr>
        <w:t>בגורמים מדינתיים</w:t>
      </w:r>
      <w:r w:rsidRPr="003B5D33">
        <w:rPr>
          <w:rFonts w:eastAsia="Calibri"/>
        </w:rPr>
        <w:t>.</w:t>
      </w:r>
      <w:r w:rsidRPr="003B5D33">
        <w:rPr>
          <w:rFonts w:eastAsia="Calibri"/>
          <w:rtl/>
        </w:rPr>
        <w:t xml:space="preserve"> </w:t>
      </w:r>
      <w:r w:rsidRPr="003B5D33">
        <w:rPr>
          <w:rFonts w:eastAsia="Calibri" w:hint="cs"/>
          <w:rtl/>
        </w:rPr>
        <w:t>פעילויות סייבר שזוהו במשך</w:t>
      </w:r>
      <w:r w:rsidRPr="003B5D33">
        <w:rPr>
          <w:rFonts w:eastAsia="Calibri"/>
          <w:rtl/>
        </w:rPr>
        <w:t xml:space="preserve"> השנים יוחס</w:t>
      </w:r>
      <w:r w:rsidRPr="003B5D33">
        <w:rPr>
          <w:rFonts w:eastAsia="Calibri" w:hint="cs"/>
          <w:rtl/>
        </w:rPr>
        <w:t>ו</w:t>
      </w:r>
      <w:r w:rsidRPr="003B5D33">
        <w:rPr>
          <w:rFonts w:eastAsia="Calibri"/>
          <w:rtl/>
        </w:rPr>
        <w:t xml:space="preserve"> לגורמים איראני</w:t>
      </w:r>
      <w:r w:rsidRPr="003B5D33">
        <w:rPr>
          <w:rFonts w:eastAsia="Calibri" w:hint="cs"/>
          <w:rtl/>
        </w:rPr>
        <w:t>י</w:t>
      </w:r>
      <w:r w:rsidRPr="003B5D33">
        <w:rPr>
          <w:rFonts w:eastAsia="Calibri"/>
          <w:rtl/>
        </w:rPr>
        <w:t xml:space="preserve">ם, </w:t>
      </w:r>
      <w:r w:rsidRPr="003B5D33">
        <w:rPr>
          <w:rFonts w:eastAsia="Calibri" w:hint="cs"/>
          <w:rtl/>
        </w:rPr>
        <w:t>לגורמים מ</w:t>
      </w:r>
      <w:r w:rsidRPr="003B5D33">
        <w:rPr>
          <w:rFonts w:eastAsia="Calibri"/>
          <w:rtl/>
        </w:rPr>
        <w:t>ח</w:t>
      </w:r>
      <w:r w:rsidRPr="003B5D33">
        <w:rPr>
          <w:rFonts w:eastAsia="Calibri" w:hint="cs"/>
          <w:rtl/>
        </w:rPr>
        <w:t>י</w:t>
      </w:r>
      <w:r w:rsidRPr="003B5D33">
        <w:rPr>
          <w:rFonts w:eastAsia="Calibri"/>
          <w:rtl/>
        </w:rPr>
        <w:t xml:space="preserve">זבאללה, </w:t>
      </w:r>
      <w:r w:rsidRPr="003B5D33">
        <w:rPr>
          <w:rFonts w:eastAsia="Calibri" w:hint="cs"/>
          <w:rtl/>
        </w:rPr>
        <w:t>מ</w:t>
      </w:r>
      <w:r w:rsidRPr="003B5D33">
        <w:rPr>
          <w:rFonts w:eastAsia="Calibri"/>
          <w:rtl/>
        </w:rPr>
        <w:t>חמאס ואחרים.</w:t>
      </w:r>
    </w:p>
    <w:p w:rsidR="003B5D33" w:rsidRPr="003B5D33" w:rsidP="003B5D33">
      <w:pPr>
        <w:spacing w:line="269" w:lineRule="auto"/>
        <w:rPr>
          <w:rFonts w:eastAsia="Calibri"/>
          <w:rtl/>
        </w:rPr>
      </w:pPr>
      <w:bookmarkStart w:id="36" w:name="_Hlk203654959"/>
      <w:bookmarkStart w:id="37" w:name="_Toc218592800"/>
      <w:bookmarkStart w:id="38" w:name="_Hlk203654969"/>
    </w:p>
    <w:p w:rsidR="003B5D33" w:rsidP="003B5D33">
      <w:pPr>
        <w:spacing w:line="269" w:lineRule="auto"/>
        <w:rPr>
          <w:rFonts w:eastAsia="Calibri"/>
          <w:rtl/>
        </w:rPr>
      </w:pPr>
      <w:r w:rsidRPr="003B5D33">
        <w:rPr>
          <w:rFonts w:eastAsia="Calibri" w:hint="eastAsia"/>
          <w:rtl/>
        </w:rPr>
        <w:t>לנוכח</w:t>
      </w:r>
      <w:r w:rsidRPr="003B5D33">
        <w:rPr>
          <w:rFonts w:eastAsia="Calibri"/>
          <w:rtl/>
        </w:rPr>
        <w:t xml:space="preserve"> </w:t>
      </w:r>
      <w:r w:rsidRPr="003B5D33">
        <w:rPr>
          <w:rFonts w:eastAsia="Calibri" w:hint="eastAsia"/>
          <w:rtl/>
        </w:rPr>
        <w:t>האתגרים</w:t>
      </w:r>
      <w:r w:rsidRPr="003B5D33">
        <w:rPr>
          <w:rFonts w:eastAsia="Calibri"/>
          <w:rtl/>
        </w:rPr>
        <w:t xml:space="preserve"> הייחודיים </w:t>
      </w:r>
      <w:r w:rsidRPr="003B5D33">
        <w:rPr>
          <w:rFonts w:eastAsia="Calibri" w:hint="eastAsia"/>
          <w:rtl/>
        </w:rPr>
        <w:t>שמתמודד</w:t>
      </w:r>
      <w:r w:rsidRPr="003B5D33">
        <w:rPr>
          <w:rFonts w:eastAsia="Calibri"/>
          <w:rtl/>
        </w:rPr>
        <w:t xml:space="preserve"> </w:t>
      </w:r>
      <w:r w:rsidRPr="003B5D33">
        <w:rPr>
          <w:rFonts w:eastAsia="Calibri" w:hint="eastAsia"/>
          <w:rtl/>
        </w:rPr>
        <w:t>עימם</w:t>
      </w:r>
      <w:r w:rsidRPr="003B5D33">
        <w:rPr>
          <w:rFonts w:eastAsia="Calibri"/>
          <w:rtl/>
        </w:rPr>
        <w:t xml:space="preserve"> </w:t>
      </w:r>
      <w:r w:rsidRPr="003B5D33">
        <w:rPr>
          <w:rFonts w:eastAsia="Calibri" w:hint="eastAsia"/>
          <w:rtl/>
        </w:rPr>
        <w:t>משרד</w:t>
      </w:r>
      <w:r w:rsidRPr="003B5D33">
        <w:rPr>
          <w:rFonts w:eastAsia="Calibri"/>
          <w:rtl/>
        </w:rPr>
        <w:t xml:space="preserve"> החוץ בהיבטי התקשוב, בחן משרד מבקר המדינה היבטים הנוגעים לאבטחת המידע </w:t>
      </w:r>
      <w:r w:rsidRPr="003B5D33">
        <w:rPr>
          <w:rFonts w:eastAsia="Calibri" w:hint="eastAsia"/>
          <w:rtl/>
        </w:rPr>
        <w:t>והגנת</w:t>
      </w:r>
      <w:r w:rsidRPr="003B5D33">
        <w:rPr>
          <w:rFonts w:eastAsia="Calibri"/>
          <w:rtl/>
        </w:rPr>
        <w:t xml:space="preserve"> </w:t>
      </w:r>
      <w:r w:rsidRPr="003B5D33">
        <w:rPr>
          <w:rFonts w:eastAsia="Calibri" w:hint="eastAsia"/>
          <w:rtl/>
        </w:rPr>
        <w:t>הסייבר</w:t>
      </w:r>
      <w:r w:rsidRPr="003B5D33">
        <w:rPr>
          <w:rFonts w:eastAsia="Calibri"/>
          <w:rtl/>
        </w:rPr>
        <w:t xml:space="preserve"> </w:t>
      </w:r>
      <w:r w:rsidRPr="003B5D33">
        <w:rPr>
          <w:rFonts w:eastAsia="Calibri" w:hint="eastAsia"/>
          <w:rtl/>
        </w:rPr>
        <w:t>במשרד</w:t>
      </w:r>
      <w:r w:rsidRPr="003B5D33">
        <w:rPr>
          <w:rFonts w:eastAsia="Calibri"/>
          <w:rtl/>
        </w:rPr>
        <w:t xml:space="preserve"> </w:t>
      </w:r>
      <w:r w:rsidRPr="003B5D33">
        <w:rPr>
          <w:rFonts w:eastAsia="Calibri" w:hint="eastAsia"/>
          <w:rtl/>
        </w:rPr>
        <w:t>החוץ</w:t>
      </w:r>
      <w:r w:rsidRPr="003B5D33">
        <w:rPr>
          <w:rFonts w:eastAsia="Calibri"/>
          <w:rtl/>
        </w:rPr>
        <w:t xml:space="preserve">. </w:t>
      </w:r>
      <w:r w:rsidRPr="003B5D33">
        <w:rPr>
          <w:rFonts w:eastAsia="Calibri" w:hint="eastAsia"/>
          <w:rtl/>
        </w:rPr>
        <w:t>נוסף</w:t>
      </w:r>
      <w:r w:rsidRPr="003B5D33">
        <w:rPr>
          <w:rFonts w:eastAsia="Calibri"/>
          <w:rtl/>
        </w:rPr>
        <w:t xml:space="preserve"> על כך </w:t>
      </w:r>
      <w:r w:rsidRPr="003B5D33">
        <w:rPr>
          <w:rFonts w:eastAsia="Calibri" w:hint="eastAsia"/>
          <w:rtl/>
        </w:rPr>
        <w:t>ביצע</w:t>
      </w:r>
      <w:r w:rsidRPr="003B5D33">
        <w:rPr>
          <w:rFonts w:eastAsia="Calibri"/>
          <w:rtl/>
        </w:rPr>
        <w:t xml:space="preserve"> </w:t>
      </w:r>
      <w:r w:rsidRPr="003B5D33">
        <w:rPr>
          <w:rFonts w:eastAsia="Calibri" w:hint="eastAsia"/>
          <w:rtl/>
        </w:rPr>
        <w:t>משרד</w:t>
      </w:r>
      <w:r w:rsidRPr="003B5D33">
        <w:rPr>
          <w:rFonts w:eastAsia="Calibri"/>
          <w:rtl/>
        </w:rPr>
        <w:t xml:space="preserve"> </w:t>
      </w:r>
      <w:r w:rsidRPr="003B5D33">
        <w:rPr>
          <w:rFonts w:eastAsia="Calibri" w:hint="eastAsia"/>
          <w:rtl/>
        </w:rPr>
        <w:t>מבקר</w:t>
      </w:r>
      <w:r w:rsidRPr="003B5D33">
        <w:rPr>
          <w:rFonts w:eastAsia="Calibri"/>
          <w:rtl/>
        </w:rPr>
        <w:t xml:space="preserve"> </w:t>
      </w:r>
      <w:r w:rsidRPr="003B5D33">
        <w:rPr>
          <w:rFonts w:eastAsia="Calibri" w:hint="eastAsia"/>
          <w:rtl/>
        </w:rPr>
        <w:t>המדינה</w:t>
      </w:r>
      <w:r w:rsidRPr="003B5D33">
        <w:rPr>
          <w:rFonts w:eastAsia="Calibri"/>
          <w:rtl/>
        </w:rPr>
        <w:t xml:space="preserve"> </w:t>
      </w:r>
      <w:r w:rsidRPr="003B5D33">
        <w:rPr>
          <w:rFonts w:eastAsia="Calibri" w:hint="eastAsia"/>
          <w:rtl/>
        </w:rPr>
        <w:t>מבדק</w:t>
      </w:r>
      <w:r w:rsidRPr="003B5D33">
        <w:rPr>
          <w:rFonts w:eastAsia="Calibri"/>
          <w:rtl/>
        </w:rPr>
        <w:t xml:space="preserve"> </w:t>
      </w:r>
      <w:r w:rsidRPr="003B5D33">
        <w:rPr>
          <w:rFonts w:eastAsia="Calibri" w:hint="eastAsia"/>
          <w:rtl/>
        </w:rPr>
        <w:t>חוסן</w:t>
      </w:r>
      <w:r w:rsidRPr="003B5D33">
        <w:rPr>
          <w:rFonts w:eastAsia="Calibri"/>
          <w:rtl/>
        </w:rPr>
        <w:t xml:space="preserve"> הכולל סקר הערכת פגיעויות ומבדק חדירה ל</w:t>
      </w:r>
      <w:r w:rsidRPr="003B5D33">
        <w:rPr>
          <w:rFonts w:eastAsia="Calibri" w:hint="cs"/>
          <w:rtl/>
        </w:rPr>
        <w:t>אחת מ</w:t>
      </w:r>
      <w:r w:rsidRPr="003B5D33">
        <w:rPr>
          <w:rFonts w:eastAsia="Calibri"/>
          <w:rtl/>
        </w:rPr>
        <w:t>רשת</w:t>
      </w:r>
      <w:r w:rsidRPr="003B5D33">
        <w:rPr>
          <w:rFonts w:eastAsia="Calibri" w:hint="cs"/>
          <w:rtl/>
        </w:rPr>
        <w:t>ות</w:t>
      </w:r>
      <w:r w:rsidRPr="003B5D33">
        <w:rPr>
          <w:rFonts w:eastAsia="Calibri"/>
          <w:rtl/>
        </w:rPr>
        <w:t xml:space="preserve"> </w:t>
      </w:r>
      <w:bookmarkEnd w:id="36"/>
      <w:r w:rsidRPr="003B5D33">
        <w:rPr>
          <w:rFonts w:eastAsia="Calibri" w:hint="cs"/>
          <w:rtl/>
        </w:rPr>
        <w:t>המשרד</w:t>
      </w:r>
      <w:r w:rsidRPr="003B5D33">
        <w:rPr>
          <w:rFonts w:eastAsia="Calibri"/>
          <w:rtl/>
        </w:rPr>
        <w:t>.</w:t>
      </w:r>
    </w:p>
    <w:p w:rsidR="00DA2F85" w:rsidRPr="003B5D33" w:rsidP="003B5D33">
      <w:pPr>
        <w:spacing w:line="269" w:lineRule="auto"/>
        <w:rPr>
          <w:rFonts w:eastAsia="Calibri"/>
          <w:rtl/>
        </w:rPr>
      </w:pPr>
    </w:p>
    <w:p w:rsidR="003B5D33" w:rsidRPr="003B5D33" w:rsidP="003B5D33">
      <w:pPr>
        <w:spacing w:line="269" w:lineRule="auto"/>
        <w:rPr>
          <w:rFonts w:eastAsia="Calibri"/>
          <w:rtl/>
        </w:rPr>
      </w:pPr>
    </w:p>
    <w:p w:rsidR="003B5D33" w:rsidRPr="003B5D33" w:rsidP="003B5D33">
      <w:pPr>
        <w:keepNext/>
        <w:keepLines/>
        <w:bidi w:val="0"/>
        <w:spacing w:line="269" w:lineRule="auto"/>
        <w:jc w:val="center"/>
        <w:outlineLvl w:val="1"/>
        <w:rPr>
          <w:rFonts w:eastAsia="Times New Roman"/>
          <w:bCs/>
          <w:szCs w:val="32"/>
        </w:rPr>
      </w:pPr>
      <w:r w:rsidRPr="003B5D33">
        <w:rPr>
          <w:rFonts w:eastAsia="Times New Roman" w:hint="cs"/>
          <w:bCs/>
          <w:szCs w:val="32"/>
          <w:rtl/>
        </w:rPr>
        <w:t>ממשל אבטחת מידע במשרד החוץ</w:t>
      </w:r>
      <w:bookmarkEnd w:id="37"/>
    </w:p>
    <w:bookmarkEnd w:id="38"/>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מסגרת ממשל לאבטחת מידע ברורה, מקיפה ויציבה נדרשת כדי להבטיח הגנה אפקטיבית על נכסי המידע של הארגון. מסגרת זו היא התשתית הניהולית והארגונית שבאמצעותה ניתן לקבוע מדיניות, להטיל אחריות ולפקח על תהליכי אבטחה בהתאם ליעדים ולסיכונים של הארגון. הממשל מתבסס על שילוב של נהלים, תקנים ובקרות, הנתמכים על ידי מינוי בעלי תפקיד מרכזיים, כגון ממונה הגנת הסייבר, ממונה הגנה על הפרטיות וועדת ההיגוי וקביעת תחומי אחריות לגבי כל רמות הפעולה. מסגרת זו מדגישה גם את חשיבות אבטחת המידע בארגון כחלק אינטגרלי מהאסטרטגיה העסקית. לצורך כך, על ההנהלה הבכירה להיות מעורבת בתהליך קבלת ההחלטות ולהפגין מחויבות ברורה לנושא. אחד המרכיבים המרכזיים במסגרת זו הוא קיום תהליך מובנה לזיהוי פערים ולהערכת סיכונים, המאפשר התאמה דינמית של המדיניות והבקרות לסיכונים שזוהו לאורך זמן</w:t>
      </w:r>
      <w:r>
        <w:rPr>
          <w:rFonts w:eastAsia="Calibri"/>
          <w:vertAlign w:val="superscript"/>
          <w:rtl/>
        </w:rPr>
        <w:footnoteReference w:id="95"/>
      </w:r>
      <w:r w:rsidRPr="003B5D33">
        <w:rPr>
          <w:rFonts w:eastAsia="Calibri" w:hint="cs"/>
          <w:rtl/>
        </w:rPr>
        <w:t>.</w:t>
      </w:r>
    </w:p>
    <w:p w:rsidR="003B5D33" w:rsidRPr="003B5D33" w:rsidP="003B5D33">
      <w:pPr>
        <w:spacing w:line="269" w:lineRule="auto"/>
        <w:rPr>
          <w:rFonts w:eastAsia="Calibri"/>
          <w:szCs w:val="20"/>
          <w:rtl/>
        </w:rPr>
      </w:pPr>
    </w:p>
    <w:p w:rsidR="003B5D33" w:rsidRPr="003B5D33" w:rsidP="003B5D33">
      <w:pPr>
        <w:spacing w:line="269" w:lineRule="auto"/>
        <w:rPr>
          <w:rFonts w:eastAsia="Calibri"/>
          <w:rtl/>
        </w:rPr>
      </w:pPr>
      <w:r w:rsidRPr="003B5D33">
        <w:rPr>
          <w:rFonts w:eastAsia="Calibri" w:hint="cs"/>
          <w:rtl/>
        </w:rPr>
        <w:t xml:space="preserve">לנוכח האתגרים שמתמודד עימם משרד החוץ כאמור גוברת החשיבות של ממשל אבטחת מידע יעיל שמזהה סיכונים ופערים, מכין תוכנית עבודה </w:t>
      </w:r>
      <w:r w:rsidRPr="003B5D33">
        <w:rPr>
          <w:rFonts w:eastAsia="Calibri"/>
          <w:rtl/>
        </w:rPr>
        <w:t>להתמודדות עם הסיכונים ולצמצום הפערים</w:t>
      </w:r>
      <w:r w:rsidRPr="003B5D33">
        <w:rPr>
          <w:rFonts w:eastAsia="Calibri" w:hint="cs"/>
          <w:rtl/>
        </w:rPr>
        <w:t>, ובכלל זה מקצה את המשאבים הנדרשים לטיפול בנושא, וכן מבצע בקרה על רמת ההגנה בסייבר במשרד.</w:t>
      </w:r>
    </w:p>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39" w:name="_Toc218592801"/>
      <w:bookmarkStart w:id="40" w:name="_Hlk203655034"/>
      <w:bookmarkStart w:id="41" w:name="_Hlk203655023"/>
      <w:r w:rsidRPr="003B5D33">
        <w:rPr>
          <w:rFonts w:eastAsia="Times New Roman" w:hint="cs"/>
          <w:bCs/>
          <w:szCs w:val="28"/>
          <w:u w:val="single"/>
          <w:rtl/>
        </w:rPr>
        <w:t>מדיניות הגנת הסייבר ועדכונה</w:t>
      </w:r>
      <w:bookmarkEnd w:id="39"/>
    </w:p>
    <w:bookmarkEnd w:id="40"/>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w:t>
      </w:r>
      <w:r w:rsidRPr="003B5D33">
        <w:rPr>
          <w:rFonts w:eastAsia="Calibri"/>
          <w:rtl/>
        </w:rPr>
        <w:t>החלטת הממשלה</w:t>
      </w:r>
      <w:r w:rsidRPr="003B5D33">
        <w:rPr>
          <w:rFonts w:eastAsia="Calibri" w:hint="cs"/>
          <w:rtl/>
        </w:rPr>
        <w:t xml:space="preserve"> 2443 נקבע כי </w:t>
      </w:r>
      <w:r w:rsidRPr="003B5D33">
        <w:rPr>
          <w:rFonts w:eastAsia="Calibri"/>
          <w:rtl/>
        </w:rPr>
        <w:t>ממונה הגנת הסייבר</w:t>
      </w:r>
      <w:r w:rsidRPr="003B5D33">
        <w:rPr>
          <w:rFonts w:eastAsia="Calibri" w:hint="cs"/>
          <w:rtl/>
        </w:rPr>
        <w:t xml:space="preserve"> יפעל לגיבוש </w:t>
      </w:r>
      <w:r w:rsidRPr="003B5D33">
        <w:rPr>
          <w:rFonts w:eastAsia="Calibri"/>
          <w:rtl/>
        </w:rPr>
        <w:t>מדיניות הגנת הסייבר במשרד</w:t>
      </w:r>
      <w:r w:rsidRPr="003B5D33">
        <w:rPr>
          <w:rFonts w:eastAsia="Calibri" w:hint="cs"/>
          <w:rtl/>
        </w:rPr>
        <w:t xml:space="preserve"> ממשלתי</w:t>
      </w:r>
      <w:r w:rsidRPr="003B5D33">
        <w:rPr>
          <w:rFonts w:eastAsia="Calibri"/>
          <w:rtl/>
        </w:rPr>
        <w:t xml:space="preserve"> בהתאם לתהליך </w:t>
      </w:r>
      <w:r w:rsidRPr="003B5D33">
        <w:rPr>
          <w:rFonts w:eastAsia="Calibri" w:hint="cs"/>
          <w:rtl/>
        </w:rPr>
        <w:t xml:space="preserve">של </w:t>
      </w:r>
      <w:r w:rsidRPr="003B5D33">
        <w:rPr>
          <w:rFonts w:eastAsia="Calibri"/>
          <w:rtl/>
        </w:rPr>
        <w:t>ניהול סיכונים ארגוני</w:t>
      </w:r>
      <w:r w:rsidRPr="003B5D33">
        <w:rPr>
          <w:rFonts w:eastAsia="Calibri" w:hint="cs"/>
          <w:rtl/>
        </w:rPr>
        <w:t xml:space="preserve"> וביצוע</w:t>
      </w:r>
      <w:r w:rsidRPr="003B5D33">
        <w:rPr>
          <w:rFonts w:eastAsia="Calibri"/>
          <w:rtl/>
        </w:rPr>
        <w:t xml:space="preserve"> ניתוח והערכה שוטפים של ת</w:t>
      </w:r>
      <w:r w:rsidRPr="003B5D33">
        <w:rPr>
          <w:rFonts w:eastAsia="Calibri" w:hint="cs"/>
          <w:rtl/>
        </w:rPr>
        <w:t>ו</w:t>
      </w:r>
      <w:r w:rsidRPr="003B5D33">
        <w:rPr>
          <w:rFonts w:eastAsia="Calibri"/>
          <w:rtl/>
        </w:rPr>
        <w:t>כנית הגנת הסייבר והמדיניות</w:t>
      </w:r>
      <w:r w:rsidRPr="003B5D33">
        <w:rPr>
          <w:rFonts w:eastAsia="Calibri" w:hint="cs"/>
          <w:rtl/>
        </w:rPr>
        <w:t>, הנשען</w:t>
      </w:r>
      <w:r w:rsidRPr="003B5D33">
        <w:rPr>
          <w:rFonts w:eastAsia="Calibri"/>
          <w:rtl/>
        </w:rPr>
        <w:t xml:space="preserve"> </w:t>
      </w:r>
      <w:r w:rsidRPr="003B5D33">
        <w:rPr>
          <w:rFonts w:eastAsia="Calibri" w:hint="cs"/>
          <w:rtl/>
        </w:rPr>
        <w:t>על הערכת</w:t>
      </w:r>
      <w:r w:rsidRPr="003B5D33">
        <w:rPr>
          <w:rFonts w:eastAsia="Calibri"/>
          <w:rtl/>
        </w:rPr>
        <w:t xml:space="preserve"> צרכים, איומים ומענים</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בהנחיות יה"ב נקבע כי על ועדת ההיגוי להגנת הסייבר לאשר ולתקף את מדיניות הגנת הסייבר במשרד, וכי</w:t>
      </w:r>
      <w:r w:rsidRPr="003B5D33">
        <w:rPr>
          <w:rFonts w:eastAsia="Calibri"/>
          <w:rtl/>
        </w:rPr>
        <w:t xml:space="preserve"> </w:t>
      </w:r>
      <w:r w:rsidRPr="003B5D33">
        <w:rPr>
          <w:rFonts w:eastAsia="Calibri" w:hint="cs"/>
          <w:rtl/>
        </w:rPr>
        <w:t>ה</w:t>
      </w:r>
      <w:r w:rsidRPr="003B5D33">
        <w:rPr>
          <w:rFonts w:eastAsia="Calibri"/>
          <w:rtl/>
        </w:rPr>
        <w:t>מדיניות תיבדק ותאושרר אחת לשנתיים או מוקדם יותר</w:t>
      </w:r>
      <w:r w:rsidRPr="003B5D33">
        <w:rPr>
          <w:rFonts w:eastAsia="Calibri" w:hint="cs"/>
          <w:rtl/>
        </w:rPr>
        <w:t>,</w:t>
      </w:r>
      <w:r w:rsidRPr="003B5D33">
        <w:rPr>
          <w:rFonts w:eastAsia="Calibri"/>
          <w:rtl/>
        </w:rPr>
        <w:t xml:space="preserve"> בהתאם לצורך מיוחד (</w:t>
      </w:r>
      <w:r w:rsidRPr="003B5D33">
        <w:rPr>
          <w:rFonts w:eastAsia="Calibri" w:hint="cs"/>
          <w:rtl/>
        </w:rPr>
        <w:t xml:space="preserve">לנוכח </w:t>
      </w:r>
      <w:r w:rsidRPr="003B5D33">
        <w:rPr>
          <w:rFonts w:eastAsia="Calibri"/>
          <w:rtl/>
        </w:rPr>
        <w:t xml:space="preserve">שינויים </w:t>
      </w:r>
      <w:r w:rsidRPr="003B5D33">
        <w:rPr>
          <w:rFonts w:eastAsia="Calibri" w:hint="cs"/>
          <w:rtl/>
        </w:rPr>
        <w:t>ניכרים</w:t>
      </w:r>
      <w:r w:rsidRPr="003B5D33">
        <w:rPr>
          <w:rFonts w:eastAsia="Calibri"/>
          <w:rtl/>
        </w:rPr>
        <w:t xml:space="preserve"> במערך המחשוב או </w:t>
      </w:r>
      <w:r w:rsidRPr="003B5D33">
        <w:rPr>
          <w:rFonts w:eastAsia="Calibri" w:hint="cs"/>
          <w:rtl/>
        </w:rPr>
        <w:t xml:space="preserve">במערך </w:t>
      </w:r>
      <w:r w:rsidRPr="003B5D33">
        <w:rPr>
          <w:rFonts w:eastAsia="Calibri"/>
          <w:rtl/>
        </w:rPr>
        <w:t xml:space="preserve">הארגוני של המשרד). </w:t>
      </w:r>
      <w:r w:rsidRPr="003B5D33">
        <w:rPr>
          <w:rFonts w:eastAsia="Calibri" w:hint="cs"/>
          <w:rtl/>
        </w:rPr>
        <w:t>בנוגע למידע מסווג נקבע כי מנכ"ל המשרד הממשלתי, או מי שהוא הסמיך מטעמו לעניין זה, יקבע אם לאשר את המדיניות,</w:t>
      </w:r>
      <w:r w:rsidRPr="003B5D33">
        <w:rPr>
          <w:rFonts w:eastAsia="Calibri"/>
          <w:rtl/>
        </w:rPr>
        <w:t xml:space="preserve"> </w:t>
      </w:r>
      <w:r w:rsidRPr="003B5D33">
        <w:rPr>
          <w:rFonts w:eastAsia="Calibri" w:hint="cs"/>
          <w:rtl/>
        </w:rPr>
        <w:t xml:space="preserve">והיא תתוקף </w:t>
      </w:r>
      <w:r w:rsidRPr="003B5D33">
        <w:rPr>
          <w:rFonts w:eastAsia="Calibri"/>
          <w:rtl/>
        </w:rPr>
        <w:t>אחת לשלוש שנים.</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כמו כן, בהנחיות יה"ב מפורטת רשימת הנושאים שיש להידרש אליהם במסגרת מסמך מדיניות ההגנה על הסייבר במשרד, כגון הגדרת מסגרות ארגוניות שיישמו את המדיניות ויבקרו את יישומה, הגדרת שכבות הגנה בתחומים הלוגיים, ניהול וסיווג של נכסים, טיפול באירועי סייבר וגיבוש תוכנית עבודה ותקציב בתחומי הגנת הסייבר.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באפריל 2018 אישרו ועדת ההיגוי להגנת הסייבר ומנכ"ל המשרד את מסמך מדיניות הגנת הסייבר ואבטחת המידע במשרד החוץ (להלן - מסמך מדיניות הגנת הסייבר). במהלך השנים 2018 - 2024 חלו שינויים מהותיים במפת האיומים ובמבנה הארגוני של מערך התקשוב של משרד החוץ.</w:t>
      </w:r>
    </w:p>
    <w:p w:rsidR="003B5D33" w:rsidRPr="003B5D33" w:rsidP="003B5D33">
      <w:pPr>
        <w:spacing w:line="269" w:lineRule="auto"/>
        <w:ind w:left="312"/>
        <w:contextualSpacing/>
        <w:rPr>
          <w:rFonts w:eastAsia="Calibri"/>
        </w:rPr>
      </w:pPr>
    </w:p>
    <w:p w:rsidR="003B5D33" w:rsidRPr="003B5D33" w:rsidP="003B5D33">
      <w:pPr>
        <w:numPr>
          <w:ilvl w:val="0"/>
          <w:numId w:val="16"/>
        </w:numPr>
        <w:spacing w:line="269" w:lineRule="auto"/>
        <w:ind w:left="312"/>
        <w:contextualSpacing/>
        <w:rPr>
          <w:rFonts w:eastAsia="Calibri"/>
        </w:rPr>
      </w:pPr>
      <w:r w:rsidRPr="003B5D33">
        <w:rPr>
          <w:rFonts w:eastAsia="Times New Roman" w:hint="eastAsia"/>
          <w:bCs/>
          <w:spacing w:val="40"/>
          <w:rtl/>
        </w:rPr>
        <w:t>שינוי</w:t>
      </w:r>
      <w:r w:rsidRPr="003B5D33">
        <w:rPr>
          <w:rFonts w:eastAsia="Times New Roman"/>
          <w:bCs/>
          <w:spacing w:val="40"/>
          <w:rtl/>
        </w:rPr>
        <w:t xml:space="preserve"> </w:t>
      </w:r>
      <w:r w:rsidRPr="003B5D33">
        <w:rPr>
          <w:rFonts w:eastAsia="Times New Roman" w:hint="eastAsia"/>
          <w:bCs/>
          <w:spacing w:val="40"/>
          <w:rtl/>
        </w:rPr>
        <w:t>איום</w:t>
      </w:r>
      <w:r w:rsidRPr="003B5D33">
        <w:rPr>
          <w:rFonts w:eastAsia="Times New Roman"/>
          <w:bCs/>
          <w:spacing w:val="40"/>
          <w:rtl/>
        </w:rPr>
        <w:t xml:space="preserve"> </w:t>
      </w:r>
      <w:r w:rsidRPr="003B5D33">
        <w:rPr>
          <w:rFonts w:eastAsia="Times New Roman" w:hint="eastAsia"/>
          <w:bCs/>
          <w:spacing w:val="40"/>
          <w:rtl/>
        </w:rPr>
        <w:t>הייחוס</w:t>
      </w:r>
      <w:r w:rsidRPr="003B5D33">
        <w:rPr>
          <w:rFonts w:eastAsia="Times New Roman"/>
          <w:bCs/>
          <w:spacing w:val="40"/>
          <w:rtl/>
        </w:rPr>
        <w:t xml:space="preserve"> </w:t>
      </w:r>
      <w:r w:rsidRPr="003B5D33">
        <w:rPr>
          <w:rFonts w:eastAsia="Times New Roman" w:hint="eastAsia"/>
          <w:bCs/>
          <w:spacing w:val="40"/>
          <w:rtl/>
        </w:rPr>
        <w:t>של</w:t>
      </w:r>
      <w:r w:rsidRPr="003B5D33">
        <w:rPr>
          <w:rFonts w:eastAsia="Times New Roman"/>
          <w:bCs/>
          <w:spacing w:val="40"/>
          <w:rtl/>
        </w:rPr>
        <w:t xml:space="preserve"> </w:t>
      </w:r>
      <w:r w:rsidRPr="003B5D33">
        <w:rPr>
          <w:rFonts w:eastAsia="Times New Roman" w:hint="eastAsia"/>
          <w:bCs/>
          <w:spacing w:val="40"/>
          <w:rtl/>
        </w:rPr>
        <w:t>המשרד</w:t>
      </w:r>
      <w:r w:rsidRPr="003B5D33">
        <w:rPr>
          <w:rFonts w:eastAsia="Calibri"/>
          <w:rtl/>
        </w:rPr>
        <w:t>.</w:t>
      </w:r>
    </w:p>
    <w:p w:rsidR="003B5D33" w:rsidRPr="003B5D33" w:rsidP="003B5D33">
      <w:pPr>
        <w:spacing w:line="269" w:lineRule="auto"/>
        <w:ind w:left="312"/>
        <w:contextualSpacing/>
        <w:rPr>
          <w:rFonts w:eastAsia="Calibri"/>
        </w:rPr>
      </w:pPr>
    </w:p>
    <w:p w:rsidR="003B5D33" w:rsidRPr="003B5D33" w:rsidP="003B5D33">
      <w:pPr>
        <w:numPr>
          <w:ilvl w:val="0"/>
          <w:numId w:val="16"/>
        </w:numPr>
        <w:spacing w:line="269" w:lineRule="auto"/>
        <w:contextualSpacing/>
        <w:rPr>
          <w:rFonts w:eastAsia="Calibri"/>
        </w:rPr>
      </w:pPr>
      <w:r w:rsidRPr="003B5D33">
        <w:rPr>
          <w:rFonts w:eastAsia="Times New Roman" w:hint="eastAsia"/>
          <w:bCs/>
          <w:spacing w:val="40"/>
          <w:rtl/>
        </w:rPr>
        <w:t>שינוי</w:t>
      </w:r>
      <w:r w:rsidRPr="003B5D33">
        <w:rPr>
          <w:rFonts w:eastAsia="Times New Roman"/>
          <w:bCs/>
          <w:spacing w:val="40"/>
          <w:rtl/>
        </w:rPr>
        <w:t xml:space="preserve"> בזהות הגורם המנחה את </w:t>
      </w:r>
      <w:r w:rsidRPr="003B5D33">
        <w:rPr>
          <w:rFonts w:eastAsia="Times New Roman" w:hint="eastAsia"/>
          <w:bCs/>
          <w:spacing w:val="40"/>
          <w:rtl/>
        </w:rPr>
        <w:t>משרד</w:t>
      </w:r>
      <w:r w:rsidRPr="003B5D33">
        <w:rPr>
          <w:rFonts w:eastAsia="Times New Roman" w:hint="cs"/>
          <w:bCs/>
          <w:spacing w:val="40"/>
          <w:rtl/>
        </w:rPr>
        <w:t xml:space="preserve"> החוץ</w:t>
      </w:r>
      <w:r w:rsidRPr="003B5D33">
        <w:rPr>
          <w:rFonts w:eastAsia="Calibri" w:hint="cs"/>
          <w:rtl/>
        </w:rPr>
        <w:t>.</w:t>
      </w:r>
    </w:p>
    <w:p w:rsidR="003B5D33" w:rsidRPr="003B5D33" w:rsidP="003B5D33">
      <w:pPr>
        <w:spacing w:line="269" w:lineRule="auto"/>
        <w:ind w:left="340"/>
        <w:contextualSpacing/>
        <w:rPr>
          <w:rFonts w:eastAsia="Calibri"/>
          <w:rtl/>
        </w:rPr>
      </w:pPr>
    </w:p>
    <w:p w:rsidR="003B5D33" w:rsidRPr="003B5D33" w:rsidP="003B5D33">
      <w:pPr>
        <w:numPr>
          <w:ilvl w:val="0"/>
          <w:numId w:val="16"/>
        </w:numPr>
        <w:spacing w:line="269" w:lineRule="auto"/>
        <w:contextualSpacing/>
        <w:rPr>
          <w:rFonts w:eastAsia="Calibri"/>
        </w:rPr>
      </w:pPr>
      <w:r w:rsidRPr="003B5D33">
        <w:rPr>
          <w:rFonts w:eastAsia="Times New Roman" w:hint="eastAsia"/>
          <w:bCs/>
          <w:spacing w:val="40"/>
          <w:rtl/>
        </w:rPr>
        <w:t>שינוי</w:t>
      </w:r>
      <w:r w:rsidRPr="003B5D33">
        <w:rPr>
          <w:rFonts w:eastAsia="Times New Roman"/>
          <w:bCs/>
          <w:spacing w:val="40"/>
          <w:rtl/>
        </w:rPr>
        <w:t xml:space="preserve"> </w:t>
      </w:r>
      <w:r w:rsidRPr="003B5D33">
        <w:rPr>
          <w:rFonts w:eastAsia="Times New Roman" w:hint="eastAsia"/>
          <w:bCs/>
          <w:spacing w:val="40"/>
          <w:rtl/>
        </w:rPr>
        <w:t>במבנה</w:t>
      </w:r>
      <w:r w:rsidRPr="003B5D33">
        <w:rPr>
          <w:rFonts w:eastAsia="Times New Roman"/>
          <w:bCs/>
          <w:spacing w:val="40"/>
          <w:rtl/>
        </w:rPr>
        <w:t xml:space="preserve"> </w:t>
      </w:r>
      <w:r w:rsidRPr="003B5D33">
        <w:rPr>
          <w:rFonts w:eastAsia="Times New Roman" w:hint="eastAsia"/>
          <w:bCs/>
          <w:spacing w:val="40"/>
          <w:rtl/>
        </w:rPr>
        <w:t>הארגוני</w:t>
      </w:r>
      <w:r w:rsidRPr="003B5D33">
        <w:rPr>
          <w:rFonts w:eastAsia="Times New Roman"/>
          <w:bCs/>
          <w:spacing w:val="40"/>
          <w:rtl/>
        </w:rPr>
        <w:t xml:space="preserve"> </w:t>
      </w:r>
      <w:r w:rsidRPr="003B5D33">
        <w:rPr>
          <w:rFonts w:eastAsia="Times New Roman" w:hint="eastAsia"/>
          <w:bCs/>
          <w:spacing w:val="40"/>
          <w:rtl/>
        </w:rPr>
        <w:t>של</w:t>
      </w:r>
      <w:r w:rsidRPr="003B5D33">
        <w:rPr>
          <w:rFonts w:eastAsia="Times New Roman"/>
          <w:bCs/>
          <w:spacing w:val="40"/>
          <w:rtl/>
        </w:rPr>
        <w:t xml:space="preserve"> </w:t>
      </w:r>
      <w:r w:rsidRPr="003B5D33">
        <w:rPr>
          <w:rFonts w:eastAsia="Times New Roman" w:hint="eastAsia"/>
          <w:bCs/>
          <w:spacing w:val="40"/>
          <w:rtl/>
        </w:rPr>
        <w:t>הגנת</w:t>
      </w:r>
      <w:r w:rsidRPr="003B5D33">
        <w:rPr>
          <w:rFonts w:eastAsia="Times New Roman"/>
          <w:bCs/>
          <w:spacing w:val="40"/>
          <w:rtl/>
        </w:rPr>
        <w:t xml:space="preserve"> </w:t>
      </w:r>
      <w:r w:rsidRPr="003B5D33">
        <w:rPr>
          <w:rFonts w:eastAsia="Times New Roman" w:hint="eastAsia"/>
          <w:bCs/>
          <w:spacing w:val="40"/>
          <w:rtl/>
        </w:rPr>
        <w:t>הסייבר</w:t>
      </w:r>
      <w:r w:rsidRPr="003B5D33">
        <w:rPr>
          <w:rFonts w:eastAsia="Times New Roman"/>
          <w:bCs/>
          <w:spacing w:val="40"/>
          <w:rtl/>
        </w:rPr>
        <w:t xml:space="preserve"> </w:t>
      </w:r>
      <w:r w:rsidRPr="003B5D33">
        <w:rPr>
          <w:rFonts w:eastAsia="Times New Roman" w:hint="eastAsia"/>
          <w:bCs/>
          <w:spacing w:val="40"/>
          <w:rtl/>
        </w:rPr>
        <w:t>במשרד</w:t>
      </w:r>
      <w:r w:rsidRPr="003B5D33">
        <w:rPr>
          <w:rFonts w:eastAsia="Calibri"/>
          <w:rtl/>
        </w:rPr>
        <w:t>.</w:t>
      </w:r>
      <w:r w:rsidRPr="003B5D33">
        <w:rPr>
          <w:rFonts w:eastAsia="Calibri" w:hint="cs"/>
          <w:rtl/>
        </w:rPr>
        <w:t xml:space="preserve"> </w:t>
      </w:r>
    </w:p>
    <w:p w:rsidR="003B5D33" w:rsidRPr="003B5D33" w:rsidP="003B5D33">
      <w:pPr>
        <w:spacing w:line="269" w:lineRule="auto"/>
        <w:ind w:left="340"/>
        <w:contextualSpacing/>
        <w:rPr>
          <w:rFonts w:eastAsia="Calibri"/>
        </w:rPr>
      </w:pPr>
    </w:p>
    <w:p w:rsidR="003B5D33" w:rsidRPr="003B5D33" w:rsidP="003B5D33">
      <w:pPr>
        <w:numPr>
          <w:ilvl w:val="0"/>
          <w:numId w:val="16"/>
        </w:numPr>
        <w:spacing w:line="269" w:lineRule="auto"/>
        <w:contextualSpacing/>
        <w:rPr>
          <w:rFonts w:eastAsia="Calibri"/>
        </w:rPr>
      </w:pPr>
      <w:r w:rsidRPr="003B5D33">
        <w:rPr>
          <w:rFonts w:eastAsia="Times New Roman" w:hint="eastAsia"/>
          <w:bCs/>
          <w:spacing w:val="40"/>
          <w:rtl/>
        </w:rPr>
        <w:t>שינויים</w:t>
      </w:r>
      <w:r w:rsidRPr="003B5D33">
        <w:rPr>
          <w:rFonts w:eastAsia="Times New Roman"/>
          <w:bCs/>
          <w:spacing w:val="40"/>
          <w:rtl/>
        </w:rPr>
        <w:t xml:space="preserve"> </w:t>
      </w:r>
      <w:r w:rsidRPr="003B5D33">
        <w:rPr>
          <w:rFonts w:eastAsia="Times New Roman" w:hint="eastAsia"/>
          <w:bCs/>
          <w:spacing w:val="40"/>
          <w:rtl/>
        </w:rPr>
        <w:t>טכנולוגיים</w:t>
      </w:r>
      <w:r w:rsidRPr="003B5D33">
        <w:rPr>
          <w:rFonts w:eastAsia="Times New Roman" w:hint="cs"/>
          <w:bCs/>
          <w:spacing w:val="40"/>
          <w:rtl/>
        </w:rPr>
        <w:t>:</w:t>
      </w:r>
      <w:r w:rsidRPr="003B5D33">
        <w:rPr>
          <w:rFonts w:eastAsia="Calibri" w:hint="cs"/>
          <w:rtl/>
        </w:rPr>
        <w:t xml:space="preserve"> בשנים 2018 - 2024 אירעו שינויים טכנולוגיים מהותיים כמו שימוש ב</w:t>
      </w:r>
      <w:r w:rsidRPr="003B5D33">
        <w:rPr>
          <w:rFonts w:eastAsia="Calibri"/>
          <w:rtl/>
        </w:rPr>
        <w:t>מערכות מבוססות ענן</w:t>
      </w:r>
      <w:r w:rsidRPr="003B5D33">
        <w:rPr>
          <w:rFonts w:eastAsia="Calibri" w:hint="cs"/>
          <w:rtl/>
        </w:rPr>
        <w:t>; מעבר לעבודה מרחוק; שימוש העובדים והמשרד ברשתות חברתיות; שימוש העובדים ביישום</w:t>
      </w:r>
      <w:r w:rsidRPr="003B5D33">
        <w:rPr>
          <w:rFonts w:eastAsia="Calibri"/>
        </w:rPr>
        <w:t xml:space="preserve"> </w:t>
      </w:r>
      <w:r w:rsidRPr="003B5D33">
        <w:rPr>
          <w:rFonts w:eastAsia="Calibri" w:hint="cs"/>
          <w:rtl/>
        </w:rPr>
        <w:t>מסוים</w:t>
      </w:r>
      <w:r w:rsidRPr="003B5D33">
        <w:rPr>
          <w:rFonts w:eastAsia="Calibri" w:hint="cs"/>
        </w:rPr>
        <w:t xml:space="preserve"> </w:t>
      </w:r>
      <w:r w:rsidRPr="003B5D33">
        <w:rPr>
          <w:rFonts w:eastAsia="Calibri" w:hint="cs"/>
          <w:rtl/>
        </w:rPr>
        <w:t xml:space="preserve">במחשבי המשרד; </w:t>
      </w:r>
      <w:r w:rsidRPr="003B5D33">
        <w:rPr>
          <w:rFonts w:eastAsia="Calibri"/>
          <w:rtl/>
        </w:rPr>
        <w:t>הטמעת יישומים משרדיים מאובטחים</w:t>
      </w:r>
      <w:r w:rsidRPr="003B5D33">
        <w:rPr>
          <w:rFonts w:eastAsia="Calibri" w:hint="cs"/>
          <w:rtl/>
        </w:rPr>
        <w:t>; ושימוש באפליקציות של בינה מלאכותית.</w:t>
      </w:r>
    </w:p>
    <w:p w:rsidR="003B5D33" w:rsidRPr="003B5D33" w:rsidP="003B5D33">
      <w:pPr>
        <w:spacing w:line="269" w:lineRule="auto"/>
        <w:ind w:left="340"/>
        <w:contextualSpacing/>
        <w:rPr>
          <w:rFonts w:eastAsia="Calibri"/>
        </w:rPr>
      </w:pPr>
    </w:p>
    <w:p w:rsidR="003B5D33" w:rsidRPr="003B5D33" w:rsidP="003B5D33">
      <w:pPr>
        <w:numPr>
          <w:ilvl w:val="0"/>
          <w:numId w:val="16"/>
        </w:numPr>
        <w:spacing w:line="269" w:lineRule="auto"/>
        <w:contextualSpacing/>
        <w:rPr>
          <w:rFonts w:eastAsia="Calibri"/>
        </w:rPr>
      </w:pPr>
      <w:r w:rsidRPr="003B5D33">
        <w:rPr>
          <w:rFonts w:eastAsia="Times New Roman" w:hint="eastAsia"/>
          <w:bCs/>
          <w:spacing w:val="40"/>
          <w:rtl/>
        </w:rPr>
        <w:t>הגדרת</w:t>
      </w:r>
      <w:r w:rsidRPr="003B5D33">
        <w:rPr>
          <w:rFonts w:eastAsia="Times New Roman"/>
          <w:bCs/>
          <w:spacing w:val="40"/>
          <w:rtl/>
        </w:rPr>
        <w:t xml:space="preserve"> </w:t>
      </w:r>
      <w:r w:rsidRPr="003B5D33">
        <w:rPr>
          <w:rFonts w:eastAsia="Times New Roman" w:hint="eastAsia"/>
          <w:bCs/>
          <w:spacing w:val="40"/>
          <w:rtl/>
        </w:rPr>
        <w:t>מידע</w:t>
      </w:r>
      <w:r w:rsidRPr="003B5D33">
        <w:rPr>
          <w:rFonts w:eastAsia="Times New Roman"/>
          <w:bCs/>
          <w:spacing w:val="40"/>
          <w:rtl/>
        </w:rPr>
        <w:t xml:space="preserve"> </w:t>
      </w:r>
      <w:r w:rsidRPr="003B5D33">
        <w:rPr>
          <w:rFonts w:eastAsia="Times New Roman" w:hint="eastAsia"/>
          <w:bCs/>
          <w:spacing w:val="40"/>
          <w:rtl/>
        </w:rPr>
        <w:t>רגיש</w:t>
      </w:r>
      <w:r w:rsidRPr="003B5D33">
        <w:rPr>
          <w:rFonts w:eastAsia="Times New Roman"/>
          <w:bCs/>
          <w:spacing w:val="40"/>
          <w:rtl/>
        </w:rPr>
        <w:t xml:space="preserve"> </w:t>
      </w:r>
      <w:r w:rsidRPr="003B5D33">
        <w:rPr>
          <w:rFonts w:eastAsia="Times New Roman" w:hint="eastAsia"/>
          <w:bCs/>
          <w:spacing w:val="40"/>
          <w:rtl/>
        </w:rPr>
        <w:t>שאינו</w:t>
      </w:r>
      <w:r w:rsidRPr="003B5D33">
        <w:rPr>
          <w:rFonts w:eastAsia="Times New Roman"/>
          <w:bCs/>
          <w:spacing w:val="40"/>
          <w:rtl/>
        </w:rPr>
        <w:t xml:space="preserve"> </w:t>
      </w:r>
      <w:r w:rsidRPr="003B5D33">
        <w:rPr>
          <w:rFonts w:eastAsia="Times New Roman" w:hint="eastAsia"/>
          <w:bCs/>
          <w:spacing w:val="40"/>
          <w:rtl/>
        </w:rPr>
        <w:t>מסווג</w:t>
      </w:r>
      <w:r w:rsidRPr="003B5D33">
        <w:rPr>
          <w:rFonts w:eastAsia="Times New Roman"/>
          <w:bCs/>
          <w:spacing w:val="40"/>
          <w:rtl/>
        </w:rPr>
        <w:t>:</w:t>
      </w:r>
      <w:r w:rsidRPr="003B5D33">
        <w:rPr>
          <w:rFonts w:eastAsia="Times New Roman" w:hint="cs"/>
          <w:bCs/>
          <w:spacing w:val="40"/>
          <w:rtl/>
        </w:rPr>
        <w:t xml:space="preserve"> </w:t>
      </w:r>
      <w:r w:rsidRPr="003B5D33">
        <w:rPr>
          <w:rFonts w:eastAsia="Calibri"/>
          <w:rtl/>
        </w:rPr>
        <w:t>בהנחיות יה"ב ותורת ההגנה בסייבר</w:t>
      </w:r>
      <w:r w:rsidRPr="003B5D33">
        <w:rPr>
          <w:rFonts w:eastAsia="Calibri" w:hint="cs"/>
          <w:rtl/>
        </w:rPr>
        <w:t xml:space="preserve"> של מס"ל</w:t>
      </w:r>
      <w:r w:rsidRPr="003B5D33">
        <w:rPr>
          <w:rFonts w:eastAsia="Calibri"/>
          <w:rtl/>
        </w:rPr>
        <w:t xml:space="preserve"> </w:t>
      </w:r>
      <w:r w:rsidRPr="003B5D33">
        <w:rPr>
          <w:rFonts w:eastAsia="Calibri" w:hint="cs"/>
          <w:rtl/>
        </w:rPr>
        <w:t>נקבעו</w:t>
      </w:r>
      <w:r w:rsidRPr="003B5D33">
        <w:rPr>
          <w:rFonts w:eastAsia="Calibri"/>
          <w:rtl/>
        </w:rPr>
        <w:t xml:space="preserve"> הגדרות מפורטות ועדכניות </w:t>
      </w:r>
      <w:r w:rsidRPr="003B5D33">
        <w:rPr>
          <w:rFonts w:eastAsia="Calibri" w:hint="cs"/>
          <w:rtl/>
        </w:rPr>
        <w:t>בנוגע</w:t>
      </w:r>
      <w:r w:rsidRPr="003B5D33">
        <w:rPr>
          <w:rFonts w:eastAsia="Calibri"/>
          <w:rtl/>
        </w:rPr>
        <w:t xml:space="preserve"> למידע רגיש שאינו מסווג</w:t>
      </w:r>
      <w:r w:rsidRPr="003B5D33">
        <w:rPr>
          <w:rFonts w:eastAsia="Calibri" w:hint="cs"/>
          <w:rtl/>
        </w:rPr>
        <w:t>,</w:t>
      </w:r>
      <w:r w:rsidRPr="003B5D33">
        <w:rPr>
          <w:rFonts w:eastAsia="Calibri"/>
          <w:rtl/>
        </w:rPr>
        <w:t xml:space="preserve"> המתייחסות לכמה סוגי מידע רגיש (מידע רגיש, מידע משפטי או כלכלי, מידע חסוי או מידע </w:t>
      </w:r>
      <w:r w:rsidRPr="003B5D33">
        <w:rPr>
          <w:rFonts w:eastAsia="Calibri" w:hint="cs"/>
          <w:rtl/>
        </w:rPr>
        <w:t xml:space="preserve">שהוא </w:t>
      </w:r>
      <w:r w:rsidRPr="003B5D33">
        <w:rPr>
          <w:rFonts w:eastAsia="Calibri"/>
          <w:rtl/>
        </w:rPr>
        <w:t>חסוי לפי חוק) וכן למידת הנזק שתיגרם מחשיפת מידע רגיש</w:t>
      </w:r>
      <w:r w:rsidRPr="003B5D33">
        <w:rPr>
          <w:rFonts w:eastAsia="Calibri" w:hint="cs"/>
          <w:rtl/>
        </w:rPr>
        <w:t>.</w:t>
      </w:r>
      <w:r w:rsidRPr="003B5D33">
        <w:rPr>
          <w:rFonts w:eastAsia="Calibri"/>
          <w:rtl/>
        </w:rPr>
        <w:t xml:space="preserve"> </w:t>
      </w:r>
      <w:r w:rsidRPr="003B5D33">
        <w:rPr>
          <w:rFonts w:eastAsia="Calibri" w:hint="cs"/>
          <w:rtl/>
        </w:rPr>
        <w:t xml:space="preserve">מסמך </w:t>
      </w:r>
      <w:r w:rsidRPr="003B5D33">
        <w:rPr>
          <w:rFonts w:eastAsia="Calibri"/>
          <w:rtl/>
        </w:rPr>
        <w:t>מדיניות</w:t>
      </w:r>
      <w:r w:rsidRPr="003B5D33">
        <w:rPr>
          <w:rFonts w:eastAsia="Calibri" w:hint="cs"/>
          <w:rtl/>
        </w:rPr>
        <w:t xml:space="preserve"> הגנת הסייבר</w:t>
      </w:r>
      <w:r w:rsidRPr="003B5D33">
        <w:rPr>
          <w:rFonts w:eastAsia="Calibri"/>
          <w:rtl/>
        </w:rPr>
        <w:t xml:space="preserve"> של המשרד </w:t>
      </w:r>
      <w:r w:rsidRPr="003B5D33">
        <w:rPr>
          <w:rFonts w:eastAsia="Calibri" w:hint="cs"/>
          <w:rtl/>
        </w:rPr>
        <w:t xml:space="preserve">אינו כולל התייחסות מפורטת מעין זו. </w:t>
      </w:r>
    </w:p>
    <w:p w:rsidR="003B5D33" w:rsidRPr="003B5D33" w:rsidP="003B5D33">
      <w:pPr>
        <w:spacing w:line="269" w:lineRule="auto"/>
        <w:contextualSpacing/>
        <w:rPr>
          <w:rFonts w:eastAsia="Calibri"/>
        </w:rPr>
      </w:pPr>
    </w:p>
    <w:p w:rsidR="003B5D33" w:rsidRPr="003B5D33" w:rsidP="003B5D33">
      <w:pPr>
        <w:numPr>
          <w:ilvl w:val="0"/>
          <w:numId w:val="16"/>
        </w:numPr>
        <w:spacing w:line="269" w:lineRule="auto"/>
        <w:contextualSpacing/>
        <w:rPr>
          <w:rFonts w:eastAsia="Calibri"/>
        </w:rPr>
      </w:pPr>
      <w:r w:rsidRPr="003B5D33">
        <w:rPr>
          <w:rFonts w:eastAsia="Times New Roman" w:hint="eastAsia"/>
          <w:bCs/>
          <w:spacing w:val="40"/>
          <w:rtl/>
        </w:rPr>
        <w:t>שרשרת</w:t>
      </w:r>
      <w:r w:rsidRPr="003B5D33">
        <w:rPr>
          <w:rFonts w:eastAsia="Times New Roman"/>
          <w:bCs/>
          <w:spacing w:val="40"/>
          <w:rtl/>
        </w:rPr>
        <w:t xml:space="preserve"> </w:t>
      </w:r>
      <w:r w:rsidRPr="003B5D33">
        <w:rPr>
          <w:rFonts w:eastAsia="Times New Roman" w:hint="eastAsia"/>
          <w:bCs/>
          <w:spacing w:val="40"/>
          <w:rtl/>
        </w:rPr>
        <w:t>אספקה</w:t>
      </w:r>
      <w:r w:rsidRPr="003B5D33">
        <w:rPr>
          <w:rFonts w:eastAsia="Times New Roman"/>
          <w:bCs/>
          <w:spacing w:val="40"/>
          <w:rtl/>
        </w:rPr>
        <w:t>:</w:t>
      </w:r>
      <w:r w:rsidRPr="003B5D33">
        <w:rPr>
          <w:rFonts w:eastAsia="Calibri" w:hint="cs"/>
          <w:rtl/>
        </w:rPr>
        <w:t xml:space="preserve"> בשנים 2018 - 2024 ניתנו הוראות חדשות של מס"ל ויה"ב לגבי ההגנה על הסייבר ואבטחת המידע בשרשרת האספקה.</w:t>
      </w:r>
    </w:p>
    <w:p w:rsidR="003B5D33" w:rsidRPr="003B5D33" w:rsidP="003B5D33">
      <w:pPr>
        <w:spacing w:line="269" w:lineRule="auto"/>
        <w:contextualSpacing/>
        <w:rPr>
          <w:rFonts w:eastAsia="Calibri"/>
        </w:rPr>
      </w:pPr>
    </w:p>
    <w:p w:rsidR="003B5D33" w:rsidRPr="003B5D33" w:rsidP="003B5D33">
      <w:pPr>
        <w:numPr>
          <w:ilvl w:val="0"/>
          <w:numId w:val="16"/>
        </w:numPr>
        <w:spacing w:line="269" w:lineRule="auto"/>
        <w:contextualSpacing/>
        <w:rPr>
          <w:rFonts w:eastAsia="Calibri"/>
        </w:rPr>
      </w:pPr>
      <w:r w:rsidRPr="003B5D33">
        <w:rPr>
          <w:rFonts w:eastAsia="Times New Roman" w:hint="eastAsia"/>
          <w:bCs/>
          <w:spacing w:val="40"/>
          <w:rtl/>
        </w:rPr>
        <w:t>רשת</w:t>
      </w:r>
      <w:r w:rsidRPr="003B5D33">
        <w:rPr>
          <w:rFonts w:eastAsia="Times New Roman"/>
          <w:bCs/>
          <w:spacing w:val="40"/>
          <w:rtl/>
        </w:rPr>
        <w:t xml:space="preserve"> </w:t>
      </w:r>
      <w:r w:rsidRPr="003B5D33">
        <w:rPr>
          <w:rFonts w:eastAsia="Times New Roman" w:hint="cs"/>
          <w:bCs/>
          <w:spacing w:val="40"/>
          <w:rtl/>
        </w:rPr>
        <w:t>מסוימת</w:t>
      </w:r>
      <w:r w:rsidRPr="003B5D33">
        <w:rPr>
          <w:rFonts w:eastAsia="Times New Roman"/>
          <w:bCs/>
          <w:spacing w:val="40"/>
          <w:rtl/>
        </w:rPr>
        <w:t>:</w:t>
      </w:r>
      <w:r w:rsidRPr="003B5D33">
        <w:rPr>
          <w:rFonts w:eastAsia="Calibri" w:hint="cs"/>
          <w:rtl/>
        </w:rPr>
        <w:t xml:space="preserve"> במשרד פועלת רשת מסוימת. במסמך המדיניות אין התייחסות מיוחדת לרשת זו, אף שבשנים 2022 - 2024 עסקו במשרד בשדרוגה לנוכח ליקויים בהגנה עליה.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יצוין </w:t>
      </w:r>
      <w:r w:rsidRPr="003B5D33">
        <w:rPr>
          <w:rFonts w:eastAsia="Calibri" w:hint="eastAsia"/>
          <w:rtl/>
        </w:rPr>
        <w:t>כי</w:t>
      </w:r>
      <w:r w:rsidRPr="003B5D33">
        <w:rPr>
          <w:rFonts w:eastAsia="Calibri"/>
          <w:rtl/>
        </w:rPr>
        <w:t xml:space="preserve"> </w:t>
      </w:r>
      <w:r w:rsidRPr="003B5D33">
        <w:rPr>
          <w:rFonts w:eastAsia="Calibri" w:hint="cs"/>
          <w:rtl/>
        </w:rPr>
        <w:t>נושא ה</w:t>
      </w:r>
      <w:r w:rsidR="005A30CA">
        <w:rPr>
          <w:rFonts w:eastAsia="Calibri" w:hint="cs"/>
          <w:rtl/>
        </w:rPr>
        <w:t>י</w:t>
      </w:r>
      <w:r w:rsidRPr="003B5D33">
        <w:rPr>
          <w:rFonts w:eastAsia="Calibri" w:hint="cs"/>
          <w:rtl/>
        </w:rPr>
        <w:t xml:space="preserve">עדר מדיניות סייבר ברורה הועלה </w:t>
      </w:r>
      <w:r w:rsidRPr="003B5D33">
        <w:rPr>
          <w:rFonts w:eastAsia="Calibri"/>
          <w:rtl/>
        </w:rPr>
        <w:t>ביוני 2023</w:t>
      </w:r>
      <w:r w:rsidRPr="003B5D33">
        <w:rPr>
          <w:rFonts w:eastAsia="Calibri" w:hint="cs"/>
          <w:rtl/>
        </w:rPr>
        <w:t xml:space="preserve"> </w:t>
      </w:r>
      <w:r w:rsidRPr="003B5D33">
        <w:rPr>
          <w:rFonts w:eastAsia="Calibri"/>
          <w:rtl/>
        </w:rPr>
        <w:t xml:space="preserve">לפני מנכ"ל </w:t>
      </w:r>
      <w:r w:rsidRPr="003B5D33">
        <w:rPr>
          <w:rFonts w:eastAsia="Calibri" w:hint="eastAsia"/>
          <w:rtl/>
        </w:rPr>
        <w:t>המשרד</w:t>
      </w:r>
      <w:r w:rsidRPr="003B5D33">
        <w:rPr>
          <w:rFonts w:eastAsia="Calibri"/>
          <w:rtl/>
        </w:rPr>
        <w:t xml:space="preserve"> וסמנכ"לית תיאום, </w:t>
      </w:r>
      <w:r w:rsidRPr="003B5D33">
        <w:rPr>
          <w:rFonts w:eastAsia="Calibri" w:hint="eastAsia"/>
          <w:rtl/>
        </w:rPr>
        <w:t>המשמשת</w:t>
      </w:r>
      <w:r w:rsidRPr="003B5D33">
        <w:rPr>
          <w:rFonts w:eastAsia="Calibri"/>
          <w:rtl/>
        </w:rPr>
        <w:t xml:space="preserve"> </w:t>
      </w:r>
      <w:r w:rsidRPr="003B5D33">
        <w:rPr>
          <w:rFonts w:eastAsia="Calibri" w:hint="eastAsia"/>
          <w:rtl/>
        </w:rPr>
        <w:t>יו</w:t>
      </w:r>
      <w:r w:rsidRPr="003B5D33">
        <w:rPr>
          <w:rFonts w:eastAsia="Calibri"/>
          <w:rtl/>
        </w:rPr>
        <w:t xml:space="preserve">"ר </w:t>
      </w:r>
      <w:r w:rsidRPr="003B5D33">
        <w:rPr>
          <w:rFonts w:eastAsia="Calibri" w:hint="eastAsia"/>
          <w:rtl/>
        </w:rPr>
        <w:t>ועדת</w:t>
      </w:r>
      <w:r w:rsidRPr="003B5D33">
        <w:rPr>
          <w:rFonts w:eastAsia="Calibri"/>
          <w:rtl/>
        </w:rPr>
        <w:t xml:space="preserve"> </w:t>
      </w:r>
      <w:r w:rsidRPr="003B5D33">
        <w:rPr>
          <w:rFonts w:eastAsia="Calibri" w:hint="eastAsia"/>
          <w:rtl/>
        </w:rPr>
        <w:t>ההיגוי</w:t>
      </w:r>
      <w:r w:rsidRPr="003B5D33">
        <w:rPr>
          <w:rFonts w:eastAsia="Calibri"/>
          <w:rtl/>
        </w:rPr>
        <w:t xml:space="preserve"> </w:t>
      </w:r>
      <w:r w:rsidRPr="003B5D33">
        <w:rPr>
          <w:rFonts w:eastAsia="Calibri" w:hint="eastAsia"/>
          <w:rtl/>
        </w:rPr>
        <w:t>להגנת</w:t>
      </w:r>
      <w:r w:rsidRPr="003B5D33">
        <w:rPr>
          <w:rFonts w:eastAsia="Calibri"/>
          <w:rtl/>
        </w:rPr>
        <w:t xml:space="preserve"> </w:t>
      </w:r>
      <w:r w:rsidRPr="003B5D33">
        <w:rPr>
          <w:rFonts w:eastAsia="Calibri" w:hint="eastAsia"/>
          <w:rtl/>
        </w:rPr>
        <w:t>הסייבר</w:t>
      </w:r>
      <w:r w:rsidRPr="003B5D33">
        <w:rPr>
          <w:rFonts w:eastAsia="Calibri"/>
          <w:rtl/>
        </w:rPr>
        <w:t xml:space="preserve"> במשרד</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מסר למשרד מבקר המדינה באוקטובר 2024 כי מאז אישורה של מדיניות הגנת הסייבר בשנת 2018 נעשתה פעילות לעדכון המדיניות, אך היא לא הבשילה לכדי הבאתה לאישור מחדש של ההנהלה.</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מדיניות הגנת סייבר מעודכ</w:t>
      </w:r>
      <w:r w:rsidRPr="003B5D33">
        <w:rPr>
          <w:rFonts w:eastAsia="Calibri" w:hint="cs"/>
          <w:b/>
          <w:bCs/>
          <w:rtl/>
        </w:rPr>
        <w:t>נ</w:t>
      </w:r>
      <w:r w:rsidRPr="003B5D33">
        <w:rPr>
          <w:rFonts w:eastAsia="Calibri"/>
          <w:b/>
          <w:bCs/>
          <w:rtl/>
        </w:rPr>
        <w:t xml:space="preserve">ת היא כלי </w:t>
      </w:r>
      <w:r w:rsidRPr="003B5D33">
        <w:rPr>
          <w:rFonts w:eastAsia="Calibri" w:hint="cs"/>
          <w:b/>
          <w:bCs/>
          <w:rtl/>
        </w:rPr>
        <w:t>מרכזי</w:t>
      </w:r>
      <w:r w:rsidRPr="003B5D33">
        <w:rPr>
          <w:rFonts w:eastAsia="Calibri"/>
          <w:b/>
          <w:bCs/>
          <w:rtl/>
        </w:rPr>
        <w:t xml:space="preserve"> </w:t>
      </w:r>
      <w:r w:rsidRPr="003B5D33">
        <w:rPr>
          <w:rFonts w:eastAsia="Calibri" w:hint="cs"/>
          <w:b/>
          <w:bCs/>
          <w:rtl/>
        </w:rPr>
        <w:t>ב</w:t>
      </w:r>
      <w:r w:rsidRPr="003B5D33">
        <w:rPr>
          <w:rFonts w:eastAsia="Calibri"/>
          <w:b/>
          <w:bCs/>
          <w:rtl/>
        </w:rPr>
        <w:t>הג</w:t>
      </w:r>
      <w:r w:rsidRPr="003B5D33">
        <w:rPr>
          <w:rFonts w:eastAsia="Calibri" w:hint="cs"/>
          <w:b/>
          <w:bCs/>
          <w:rtl/>
        </w:rPr>
        <w:t>נה</w:t>
      </w:r>
      <w:r w:rsidRPr="003B5D33">
        <w:rPr>
          <w:rFonts w:eastAsia="Calibri"/>
          <w:b/>
          <w:bCs/>
          <w:rtl/>
        </w:rPr>
        <w:t xml:space="preserve"> על נכסי המידע</w:t>
      </w:r>
      <w:r w:rsidRPr="003B5D33">
        <w:rPr>
          <w:rFonts w:eastAsia="Calibri" w:hint="cs"/>
          <w:b/>
          <w:bCs/>
          <w:rtl/>
        </w:rPr>
        <w:t>, ב</w:t>
      </w:r>
      <w:r w:rsidRPr="003B5D33">
        <w:rPr>
          <w:rFonts w:eastAsia="Calibri"/>
          <w:b/>
          <w:bCs/>
          <w:rtl/>
        </w:rPr>
        <w:t xml:space="preserve">ניהול סיכונים, </w:t>
      </w:r>
      <w:r w:rsidRPr="003B5D33">
        <w:rPr>
          <w:rFonts w:eastAsia="Calibri" w:hint="cs"/>
          <w:b/>
          <w:bCs/>
          <w:rtl/>
        </w:rPr>
        <w:t>ב</w:t>
      </w:r>
      <w:r w:rsidRPr="003B5D33">
        <w:rPr>
          <w:rFonts w:eastAsia="Calibri"/>
          <w:b/>
          <w:bCs/>
          <w:rtl/>
        </w:rPr>
        <w:t>התמודדות עם איומים משתנים ו</w:t>
      </w:r>
      <w:r w:rsidRPr="003B5D33">
        <w:rPr>
          <w:rFonts w:eastAsia="Calibri" w:hint="cs"/>
          <w:b/>
          <w:bCs/>
          <w:rtl/>
        </w:rPr>
        <w:t>ב</w:t>
      </w:r>
      <w:r w:rsidRPr="003B5D33">
        <w:rPr>
          <w:rFonts w:eastAsia="Calibri"/>
          <w:b/>
          <w:bCs/>
          <w:rtl/>
        </w:rPr>
        <w:t xml:space="preserve">הבטחת המשכיות תפקודית. </w:t>
      </w:r>
      <w:bookmarkStart w:id="42" w:name="_Hlk203655003"/>
      <w:r w:rsidRPr="003B5D33">
        <w:rPr>
          <w:rFonts w:eastAsia="Calibri" w:hint="cs"/>
          <w:b/>
          <w:bCs/>
          <w:rtl/>
        </w:rPr>
        <w:t xml:space="preserve">נמצא כי נכון לינואר 2025 ועדת ההיגוי להגנת הסייבר ומנכ"ל משרד החוץ לא עדכנו ולא תיקפו את מסמך מדיניות הגנת הסייבר, אף שחלפו כשבע שנים ממועד אישורו על ידי </w:t>
      </w:r>
      <w:r w:rsidRPr="003B5D33">
        <w:rPr>
          <w:rFonts w:eastAsia="Calibri"/>
          <w:b/>
          <w:bCs/>
          <w:rtl/>
        </w:rPr>
        <w:t>ועדת ההיגוי להגנת הסייבר ומנכ"ל המשרד</w:t>
      </w:r>
      <w:r w:rsidRPr="003B5D33">
        <w:rPr>
          <w:rFonts w:eastAsia="Calibri" w:hint="cs"/>
          <w:b/>
          <w:bCs/>
          <w:rtl/>
        </w:rPr>
        <w:t xml:space="preserve"> באפריל 2018. זאת בניגוד להנחיות הגורמים המנחים שלפיהן יש לאשרר את המדיניות מדי שנתיים עד שלוש שנים, ואף על פי שבשנים 2018 - 2024 חלו שינויים מהותיים במפת האיומים ובמבנה הארגוני של מערך התקשוב של משרד החוץ, ובכלל זה באיום הייחוס של המשרד </w:t>
      </w:r>
      <w:bookmarkStart w:id="43" w:name="_Hlk205368214"/>
      <w:r w:rsidRPr="003B5D33">
        <w:rPr>
          <w:rFonts w:eastAsia="Calibri" w:hint="cs"/>
          <w:b/>
          <w:bCs/>
          <w:rtl/>
        </w:rPr>
        <w:t>ובפרט לאור העלייה באיומי הסייבר במהלך מלחמת "חרבות ברזל"</w:t>
      </w:r>
      <w:bookmarkEnd w:id="43"/>
      <w:r w:rsidRPr="003B5D33">
        <w:rPr>
          <w:rFonts w:eastAsia="Calibri" w:hint="cs"/>
          <w:b/>
          <w:bCs/>
          <w:rtl/>
        </w:rPr>
        <w:t>, בזהות הגורם המנחה של המשרד ובמבנה הארגוני של הגנת הסייבר של המשרד. בהיעדר מדיניות הגנת סייבר מקיפה ועדכנית גוברת החשיפה של משרד החוץ לתקיפות סייבר ולדליפת מידע רגיש, וכן גובר הסיכון הכרוך בכך.</w:t>
      </w:r>
    </w:p>
    <w:bookmarkEnd w:id="42"/>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נוכח החשיבות שיש לעבודה על פי מדיניות סייבר ארגונית מעודכנת, </w:t>
      </w:r>
      <w:bookmarkStart w:id="44" w:name="_Hlk203655015"/>
      <w:r w:rsidRPr="003B5D33">
        <w:rPr>
          <w:rFonts w:eastAsia="Calibri" w:hint="cs"/>
          <w:b/>
          <w:bCs/>
          <w:rtl/>
        </w:rPr>
        <w:t xml:space="preserve">על מנכ"ל משרד החוץ לוודא כי מדיניות הגנת הסייבר במשרד תעודכן ותובא בהקדם לאישור הגורמים האחראים לנושא - מנכ"ל המשרד וועדת ההיגוי להגנת הסייבר - דבר שיסייע להבטיח כי הגנת הסייבר </w:t>
      </w:r>
      <w:r w:rsidRPr="003B5D33">
        <w:rPr>
          <w:rFonts w:eastAsia="Calibri" w:hint="cs"/>
          <w:b/>
          <w:bCs/>
          <w:rtl/>
        </w:rPr>
        <w:t xml:space="preserve">על המשרד ועל נכסיו האסטרטגיים תהיה מיטבית ואפקטיבית. כמו כן, על מנכ"ל המשרד לוודא כי מדיניות הגנת הסייבר תתוקף כנדרש באופן עתי על ידי ועדת ההיגוי להגנת הסייבר ובכלל זה לנוכח האיומים שנוספו במהלך מלחמת "חרבות ברזל". </w:t>
      </w:r>
    </w:p>
    <w:bookmarkEnd w:id="44"/>
    <w:p w:rsidR="003B5D33" w:rsidRPr="003B5D33" w:rsidP="003B5D33">
      <w:pPr>
        <w:spacing w:line="269" w:lineRule="auto"/>
        <w:rPr>
          <w:rFonts w:eastAsia="Calibri"/>
          <w:u w:val="single"/>
          <w:rtl/>
        </w:rPr>
      </w:pPr>
    </w:p>
    <w:p w:rsidR="003B5D33" w:rsidRPr="003B5D33" w:rsidP="003B5D33">
      <w:pPr>
        <w:keepNext/>
        <w:keepLines/>
        <w:spacing w:line="269" w:lineRule="auto"/>
        <w:outlineLvl w:val="2"/>
        <w:rPr>
          <w:rFonts w:eastAsia="Times New Roman"/>
          <w:bCs/>
          <w:szCs w:val="28"/>
          <w:u w:val="single"/>
          <w:rtl/>
        </w:rPr>
      </w:pPr>
      <w:bookmarkStart w:id="45" w:name="_Toc218592802"/>
      <w:r w:rsidRPr="003B5D33">
        <w:rPr>
          <w:rFonts w:eastAsia="Times New Roman" w:hint="cs"/>
          <w:bCs/>
          <w:szCs w:val="28"/>
          <w:u w:val="single"/>
          <w:rtl/>
        </w:rPr>
        <w:t>אישור</w:t>
      </w:r>
      <w:r w:rsidRPr="003B5D33">
        <w:rPr>
          <w:rFonts w:eastAsia="Times New Roman"/>
          <w:bCs/>
          <w:szCs w:val="28"/>
          <w:u w:val="single"/>
          <w:rtl/>
        </w:rPr>
        <w:t xml:space="preserve"> ת</w:t>
      </w:r>
      <w:r w:rsidRPr="003B5D33">
        <w:rPr>
          <w:rFonts w:eastAsia="Times New Roman" w:hint="cs"/>
          <w:bCs/>
          <w:szCs w:val="28"/>
          <w:u w:val="single"/>
          <w:rtl/>
        </w:rPr>
        <w:t>ו</w:t>
      </w:r>
      <w:r w:rsidRPr="003B5D33">
        <w:rPr>
          <w:rFonts w:eastAsia="Times New Roman"/>
          <w:bCs/>
          <w:szCs w:val="28"/>
          <w:u w:val="single"/>
          <w:rtl/>
        </w:rPr>
        <w:t>כנית העבודה בתחום הגנת הסייבר ובקר</w:t>
      </w:r>
      <w:r w:rsidRPr="003B5D33">
        <w:rPr>
          <w:rFonts w:eastAsia="Times New Roman" w:hint="cs"/>
          <w:bCs/>
          <w:szCs w:val="28"/>
          <w:u w:val="single"/>
          <w:rtl/>
        </w:rPr>
        <w:t>ה על</w:t>
      </w:r>
      <w:r w:rsidRPr="003B5D33">
        <w:rPr>
          <w:rFonts w:eastAsia="Times New Roman"/>
          <w:bCs/>
          <w:szCs w:val="28"/>
          <w:u w:val="single"/>
          <w:rtl/>
        </w:rPr>
        <w:t xml:space="preserve"> יישומה</w:t>
      </w:r>
      <w:bookmarkEnd w:id="45"/>
    </w:p>
    <w:bookmarkEnd w:id="41"/>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הבניית תוכנית עבודה רב-שנתית בתחום הגנת הסייבר וגיבוש תוכניות עבודה שנתיות ליישומה הם צעדים נדרשים להתמודדות עם האיומים המתפתחים. תוכנית כזו מאפשרת תכנון ארוך טווח, הקצאת משאבים מושכלת, קביעת סדרי עדיפויות לטיפול בפערים, שיפור ההיערכות הארגונית והתאמה מתמדת של הגנת הסייבר לטכנולוגיות חדשות. הכנת תוכנית רב-שנתית מסייעת להבטיח כי מרב הפערים בתחום זה יטופלו בשנים הקרובות.</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בהחלטת הממשלה 2443 נקבע כי על ממונה הגנת הסייבר לגבש תוכנית עבודה להגנת הסייבר על פי מדיניות המשרד. ב</w:t>
      </w:r>
      <w:r w:rsidRPr="003B5D33">
        <w:rPr>
          <w:rFonts w:eastAsia="Calibri"/>
          <w:rtl/>
        </w:rPr>
        <w:t>הנחי</w:t>
      </w:r>
      <w:r w:rsidRPr="003B5D33">
        <w:rPr>
          <w:rFonts w:eastAsia="Calibri" w:hint="cs"/>
          <w:rtl/>
        </w:rPr>
        <w:t>ו</w:t>
      </w:r>
      <w:r w:rsidRPr="003B5D33">
        <w:rPr>
          <w:rFonts w:eastAsia="Calibri"/>
          <w:rtl/>
        </w:rPr>
        <w:t>ת יה"ב ו</w:t>
      </w:r>
      <w:r w:rsidRPr="003B5D33">
        <w:rPr>
          <w:rFonts w:eastAsia="Calibri" w:hint="cs"/>
          <w:rtl/>
        </w:rPr>
        <w:t>שב"כ</w:t>
      </w:r>
      <w:r w:rsidRPr="003B5D33">
        <w:rPr>
          <w:rFonts w:eastAsia="Calibri"/>
          <w:rtl/>
        </w:rPr>
        <w:t xml:space="preserve"> </w:t>
      </w:r>
      <w:r w:rsidRPr="003B5D33">
        <w:rPr>
          <w:rFonts w:eastAsia="Calibri" w:hint="cs"/>
          <w:rtl/>
        </w:rPr>
        <w:t>נקבע כי על</w:t>
      </w:r>
      <w:r w:rsidRPr="003B5D33">
        <w:rPr>
          <w:rFonts w:eastAsia="Calibri"/>
          <w:rtl/>
        </w:rPr>
        <w:t xml:space="preserve"> ועדת ההיגוי לאשר את ת</w:t>
      </w:r>
      <w:r w:rsidRPr="003B5D33">
        <w:rPr>
          <w:rFonts w:eastAsia="Calibri" w:hint="cs"/>
          <w:rtl/>
        </w:rPr>
        <w:t>ו</w:t>
      </w:r>
      <w:r w:rsidRPr="003B5D33">
        <w:rPr>
          <w:rFonts w:eastAsia="Calibri"/>
          <w:rtl/>
        </w:rPr>
        <w:t xml:space="preserve">כנית העבודה בתחום הגנת הסייבר </w:t>
      </w:r>
      <w:r w:rsidRPr="003B5D33">
        <w:rPr>
          <w:rFonts w:eastAsia="Calibri" w:hint="cs"/>
          <w:rtl/>
        </w:rPr>
        <w:t>ולבצע בקרה על</w:t>
      </w:r>
      <w:r w:rsidRPr="003B5D33">
        <w:rPr>
          <w:rFonts w:eastAsia="Calibri"/>
          <w:rtl/>
        </w:rPr>
        <w:t xml:space="preserve"> יישומה</w:t>
      </w:r>
      <w:r w:rsidRPr="003B5D33">
        <w:rPr>
          <w:rFonts w:eastAsia="Calibri" w:hint="cs"/>
          <w:rtl/>
        </w:rPr>
        <w:t xml:space="preserve">. בהנחיות שב"כ נקבע גם כי יש להגדיר תוכנית הטמעה רב-שנתית ליישום הנחיות שב"כ, ועליה תתבסס תוכנית האבטחה הנדרשת.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לנוכח קביעת איום ייחוס עדכני על ידי הגופים המנחים גובשה בשנת</w:t>
      </w:r>
      <w:r w:rsidRPr="003B5D33">
        <w:rPr>
          <w:rFonts w:eastAsia="Calibri"/>
          <w:rtl/>
        </w:rPr>
        <w:t xml:space="preserve"> 2019 ת</w:t>
      </w:r>
      <w:r w:rsidRPr="003B5D33">
        <w:rPr>
          <w:rFonts w:eastAsia="Calibri" w:hint="cs"/>
          <w:rtl/>
        </w:rPr>
        <w:t>ו</w:t>
      </w:r>
      <w:r w:rsidRPr="003B5D33">
        <w:rPr>
          <w:rFonts w:eastAsia="Calibri"/>
          <w:rtl/>
        </w:rPr>
        <w:t xml:space="preserve">כנית </w:t>
      </w:r>
      <w:r w:rsidRPr="003B5D33">
        <w:rPr>
          <w:rFonts w:eastAsia="Calibri" w:hint="cs"/>
          <w:rtl/>
        </w:rPr>
        <w:t>רב</w:t>
      </w:r>
      <w:r w:rsidRPr="003B5D33">
        <w:rPr>
          <w:rFonts w:eastAsia="Calibri"/>
          <w:rtl/>
        </w:rPr>
        <w:t>-שנתית להגנת הסייבר במשרד החוץ</w:t>
      </w:r>
      <w:r w:rsidRPr="003B5D33">
        <w:rPr>
          <w:rFonts w:eastAsia="Calibri" w:hint="cs"/>
          <w:rtl/>
        </w:rPr>
        <w:t xml:space="preserve"> לשנים 2020 - 2024 בסך כולל של כ-54 מיליון ש"ח כתקציב ייעודי.</w:t>
      </w:r>
      <w:r w:rsidRPr="003B5D33">
        <w:rPr>
          <w:rFonts w:eastAsia="Calibri"/>
          <w:rtl/>
        </w:rPr>
        <w:t xml:space="preserve"> </w:t>
      </w:r>
      <w:r w:rsidRPr="003B5D33">
        <w:rPr>
          <w:rFonts w:eastAsia="Calibri" w:hint="cs"/>
          <w:rtl/>
        </w:rPr>
        <w:t>התוכנית הרב-שנתית כוללת צירים מרכזיים וכן פירוט של התכולות, אבני הדרך והמשאבים הנדרשים לשם מימוש התכולות.</w:t>
      </w:r>
      <w:r w:rsidRPr="003B5D33">
        <w:rPr>
          <w:rFonts w:eastAsia="Calibri"/>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באוגוסט 2019 </w:t>
      </w:r>
      <w:r w:rsidRPr="003B5D33">
        <w:rPr>
          <w:rFonts w:eastAsia="Calibri"/>
          <w:rtl/>
        </w:rPr>
        <w:t xml:space="preserve">מנכ"ל המשרד </w:t>
      </w:r>
      <w:r w:rsidRPr="003B5D33">
        <w:rPr>
          <w:rFonts w:eastAsia="Calibri" w:hint="cs"/>
          <w:rtl/>
        </w:rPr>
        <w:t xml:space="preserve">אישר עקרונית את התוכנית, וקבע </w:t>
      </w:r>
      <w:r w:rsidRPr="003B5D33">
        <w:rPr>
          <w:rFonts w:eastAsia="Calibri"/>
          <w:rtl/>
        </w:rPr>
        <w:t>כי אי</w:t>
      </w:r>
      <w:r w:rsidRPr="003B5D33">
        <w:rPr>
          <w:rFonts w:eastAsia="Calibri" w:hint="cs"/>
          <w:rtl/>
        </w:rPr>
        <w:t xml:space="preserve">-נקיטת </w:t>
      </w:r>
      <w:r w:rsidRPr="003B5D33">
        <w:rPr>
          <w:rFonts w:eastAsia="Calibri"/>
          <w:rtl/>
        </w:rPr>
        <w:t xml:space="preserve">פעולה </w:t>
      </w:r>
      <w:r w:rsidRPr="003B5D33">
        <w:rPr>
          <w:rFonts w:eastAsia="Calibri" w:hint="cs"/>
          <w:rtl/>
        </w:rPr>
        <w:t>מיידית</w:t>
      </w:r>
      <w:r w:rsidRPr="003B5D33">
        <w:rPr>
          <w:rFonts w:eastAsia="Calibri"/>
          <w:rtl/>
        </w:rPr>
        <w:t xml:space="preserve"> </w:t>
      </w:r>
      <w:r w:rsidRPr="003B5D33">
        <w:rPr>
          <w:rFonts w:eastAsia="Calibri" w:hint="cs"/>
          <w:rtl/>
        </w:rPr>
        <w:t>בתחום הגנת הסייבר</w:t>
      </w:r>
      <w:r w:rsidRPr="003B5D33">
        <w:rPr>
          <w:rFonts w:eastAsia="Calibri" w:hint="cs"/>
        </w:rPr>
        <w:t xml:space="preserve"> </w:t>
      </w:r>
      <w:r w:rsidRPr="003B5D33">
        <w:rPr>
          <w:rFonts w:eastAsia="Calibri"/>
          <w:rtl/>
        </w:rPr>
        <w:t>היא אופציה בלתי מתקבלת</w:t>
      </w:r>
      <w:r w:rsidRPr="003B5D33">
        <w:rPr>
          <w:rFonts w:eastAsia="Calibri" w:hint="cs"/>
          <w:rtl/>
        </w:rPr>
        <w:t xml:space="preserve"> על הדעת</w:t>
      </w:r>
      <w:r w:rsidRPr="003B5D33">
        <w:rPr>
          <w:rFonts w:eastAsia="Calibri"/>
          <w:rtl/>
        </w:rPr>
        <w:t xml:space="preserve"> מ</w:t>
      </w:r>
      <w:r w:rsidRPr="003B5D33">
        <w:rPr>
          <w:rFonts w:eastAsia="Calibri" w:hint="cs"/>
          <w:rtl/>
        </w:rPr>
        <w:t>ה</w:t>
      </w:r>
      <w:r w:rsidRPr="003B5D33">
        <w:rPr>
          <w:rFonts w:eastAsia="Calibri"/>
          <w:rtl/>
        </w:rPr>
        <w:t xml:space="preserve">בחינה </w:t>
      </w:r>
      <w:r w:rsidRPr="003B5D33">
        <w:rPr>
          <w:rFonts w:eastAsia="Calibri" w:hint="cs"/>
          <w:rtl/>
        </w:rPr>
        <w:t>ה</w:t>
      </w:r>
      <w:r w:rsidRPr="003B5D33">
        <w:rPr>
          <w:rFonts w:eastAsia="Calibri"/>
          <w:rtl/>
        </w:rPr>
        <w:t>ארגונית, ו</w:t>
      </w:r>
      <w:r w:rsidRPr="003B5D33">
        <w:rPr>
          <w:rFonts w:eastAsia="Calibri" w:hint="cs"/>
          <w:rtl/>
        </w:rPr>
        <w:t>לפיכך</w:t>
      </w:r>
      <w:r w:rsidRPr="003B5D33">
        <w:rPr>
          <w:rFonts w:eastAsia="Calibri" w:hint="cs"/>
        </w:rPr>
        <w:t xml:space="preserve"> </w:t>
      </w:r>
      <w:r w:rsidRPr="003B5D33">
        <w:rPr>
          <w:rFonts w:eastAsia="Calibri" w:hint="cs"/>
          <w:rtl/>
        </w:rPr>
        <w:t>יש</w:t>
      </w:r>
      <w:r w:rsidRPr="003B5D33">
        <w:rPr>
          <w:rFonts w:eastAsia="Calibri"/>
          <w:rtl/>
        </w:rPr>
        <w:t xml:space="preserve"> להשיק</w:t>
      </w:r>
      <w:r w:rsidRPr="003B5D33">
        <w:rPr>
          <w:rFonts w:eastAsia="Calibri" w:hint="cs"/>
          <w:rtl/>
        </w:rPr>
        <w:t xml:space="preserve"> את התוכנית</w:t>
      </w:r>
      <w:r w:rsidRPr="003B5D33">
        <w:rPr>
          <w:rFonts w:eastAsia="Calibri"/>
          <w:rtl/>
        </w:rPr>
        <w:t xml:space="preserve"> בשנת 2020 </w:t>
      </w:r>
      <w:r w:rsidRPr="003B5D33">
        <w:rPr>
          <w:rFonts w:eastAsia="Calibri" w:hint="cs"/>
          <w:rtl/>
        </w:rPr>
        <w:t xml:space="preserve">בהנחה </w:t>
      </w:r>
      <w:r w:rsidRPr="003B5D33">
        <w:rPr>
          <w:rFonts w:eastAsia="Calibri"/>
          <w:rtl/>
        </w:rPr>
        <w:t>ש</w:t>
      </w:r>
      <w:r w:rsidRPr="003B5D33">
        <w:rPr>
          <w:rFonts w:eastAsia="Calibri" w:hint="cs"/>
          <w:rtl/>
        </w:rPr>
        <w:t xml:space="preserve">אכן </w:t>
      </w:r>
      <w:r w:rsidRPr="003B5D33">
        <w:rPr>
          <w:rFonts w:eastAsia="Calibri"/>
          <w:rtl/>
        </w:rPr>
        <w:t>יתקבלו המשאבים הדרושים.</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מדיוני ועדת ההיגוי בשנים 2020 - 2021 עלה כי </w:t>
      </w:r>
      <w:r w:rsidRPr="003B5D33">
        <w:rPr>
          <w:rFonts w:eastAsia="Calibri"/>
          <w:rtl/>
        </w:rPr>
        <w:t>הת</w:t>
      </w:r>
      <w:r w:rsidRPr="003B5D33">
        <w:rPr>
          <w:rFonts w:eastAsia="Calibri" w:hint="cs"/>
          <w:rtl/>
        </w:rPr>
        <w:t>ו</w:t>
      </w:r>
      <w:r w:rsidRPr="003B5D33">
        <w:rPr>
          <w:rFonts w:eastAsia="Calibri"/>
          <w:rtl/>
        </w:rPr>
        <w:t xml:space="preserve">כנית </w:t>
      </w:r>
      <w:r w:rsidRPr="003B5D33">
        <w:rPr>
          <w:rFonts w:eastAsia="Calibri" w:hint="cs"/>
          <w:rtl/>
        </w:rPr>
        <w:t xml:space="preserve">הרב-שנתית לשנים 2020 - 2024 </w:t>
      </w:r>
      <w:r w:rsidRPr="003B5D33">
        <w:rPr>
          <w:rFonts w:eastAsia="Calibri"/>
          <w:rtl/>
        </w:rPr>
        <w:t>לא תוקצבה</w:t>
      </w:r>
      <w:r w:rsidRPr="003B5D33">
        <w:rPr>
          <w:rFonts w:eastAsia="Calibri" w:hint="cs"/>
          <w:rtl/>
        </w:rPr>
        <w:t xml:space="preserve"> באופן ייעודי,</w:t>
      </w:r>
      <w:r w:rsidRPr="003B5D33">
        <w:rPr>
          <w:rFonts w:eastAsia="Calibri"/>
          <w:rtl/>
        </w:rPr>
        <w:t xml:space="preserve"> </w:t>
      </w:r>
      <w:r w:rsidRPr="003B5D33">
        <w:rPr>
          <w:rFonts w:eastAsia="Calibri" w:hint="cs"/>
          <w:rtl/>
        </w:rPr>
        <w:t xml:space="preserve">וכי </w:t>
      </w:r>
      <w:r w:rsidRPr="003B5D33">
        <w:rPr>
          <w:rFonts w:eastAsia="Calibri"/>
          <w:rtl/>
        </w:rPr>
        <w:t xml:space="preserve">אגף </w:t>
      </w:r>
      <w:r w:rsidRPr="003B5D33">
        <w:rPr>
          <w:rFonts w:eastAsia="Calibri" w:hint="cs"/>
          <w:rtl/>
        </w:rPr>
        <w:t>ה</w:t>
      </w:r>
      <w:r w:rsidRPr="003B5D33">
        <w:rPr>
          <w:rFonts w:eastAsia="Calibri"/>
          <w:rtl/>
        </w:rPr>
        <w:t xml:space="preserve">תקשוב מימש </w:t>
      </w:r>
      <w:r w:rsidRPr="003B5D33">
        <w:rPr>
          <w:rFonts w:eastAsia="Calibri" w:hint="cs"/>
          <w:rtl/>
        </w:rPr>
        <w:t>כמה</w:t>
      </w:r>
      <w:r w:rsidRPr="003B5D33">
        <w:rPr>
          <w:rFonts w:eastAsia="Calibri"/>
          <w:rtl/>
        </w:rPr>
        <w:t xml:space="preserve"> רכיבים בת</w:t>
      </w:r>
      <w:r w:rsidRPr="003B5D33">
        <w:rPr>
          <w:rFonts w:eastAsia="Calibri" w:hint="cs"/>
          <w:rtl/>
        </w:rPr>
        <w:t>ו</w:t>
      </w:r>
      <w:r w:rsidRPr="003B5D33">
        <w:rPr>
          <w:rFonts w:eastAsia="Calibri"/>
          <w:rtl/>
        </w:rPr>
        <w:t xml:space="preserve">כנית </w:t>
      </w:r>
      <w:r w:rsidRPr="003B5D33">
        <w:rPr>
          <w:rFonts w:eastAsia="Calibri" w:hint="cs"/>
          <w:rtl/>
        </w:rPr>
        <w:t xml:space="preserve">הרב-שנתית </w:t>
      </w:r>
      <w:r w:rsidRPr="003B5D33">
        <w:rPr>
          <w:rFonts w:eastAsia="Calibri"/>
          <w:rtl/>
        </w:rPr>
        <w:t xml:space="preserve">במסגרת היכולות </w:t>
      </w:r>
      <w:r w:rsidRPr="003B5D33">
        <w:rPr>
          <w:rFonts w:eastAsia="Calibri" w:hint="cs"/>
          <w:rtl/>
        </w:rPr>
        <w:t>והמשאבים</w:t>
      </w:r>
      <w:r w:rsidRPr="003B5D33">
        <w:rPr>
          <w:rFonts w:eastAsia="Calibri"/>
          <w:rtl/>
        </w:rPr>
        <w:t xml:space="preserve"> שעמדו לרשותו</w:t>
      </w:r>
      <w:r w:rsidRPr="003B5D33">
        <w:rPr>
          <w:rFonts w:eastAsia="Calibri" w:hint="cs"/>
          <w:rtl/>
        </w:rPr>
        <w:t xml:space="preserve">, </w:t>
      </w:r>
      <w:r w:rsidRPr="003B5D33">
        <w:rPr>
          <w:rFonts w:eastAsia="Calibri"/>
          <w:rtl/>
        </w:rPr>
        <w:t>ללא תוספות חיצוניות</w:t>
      </w:r>
      <w:r w:rsidRPr="003B5D33">
        <w:rPr>
          <w:rFonts w:eastAsia="Calibri" w:hint="cs"/>
          <w:rtl/>
        </w:rPr>
        <w:t xml:space="preserve">, ובהם הקמת </w:t>
      </w:r>
      <w:r w:rsidRPr="003B5D33">
        <w:rPr>
          <w:rFonts w:eastAsia="Calibri"/>
          <w:rtl/>
        </w:rPr>
        <w:t>מרכז גלובלי לניטור ותגובה לאירועי סייבר (</w:t>
      </w:r>
      <w:r w:rsidRPr="003B5D33">
        <w:rPr>
          <w:rFonts w:eastAsia="Calibri"/>
        </w:rPr>
        <w:t>SOC</w:t>
      </w:r>
      <w:r w:rsidRPr="003B5D33">
        <w:rPr>
          <w:rFonts w:eastAsia="Calibri"/>
          <w:rtl/>
        </w:rPr>
        <w:t>)</w:t>
      </w:r>
      <w:r w:rsidRPr="003B5D33">
        <w:rPr>
          <w:rFonts w:eastAsia="Calibri" w:hint="cs"/>
          <w:rtl/>
        </w:rPr>
        <w:t xml:space="preserve"> ש</w:t>
      </w:r>
      <w:r w:rsidRPr="003B5D33">
        <w:rPr>
          <w:rFonts w:eastAsia="Calibri"/>
          <w:rtl/>
        </w:rPr>
        <w:t xml:space="preserve">מנטר </w:t>
      </w:r>
      <w:r w:rsidRPr="003B5D33">
        <w:rPr>
          <w:rFonts w:eastAsia="Calibri" w:hint="eastAsia"/>
          <w:rtl/>
        </w:rPr>
        <w:t>אלפי</w:t>
      </w:r>
      <w:r w:rsidRPr="003B5D33">
        <w:rPr>
          <w:rFonts w:eastAsia="Calibri"/>
          <w:rtl/>
        </w:rPr>
        <w:t xml:space="preserve"> עמדות קצה ומאות מערכות בסביבות </w:t>
      </w:r>
      <w:r w:rsidRPr="003B5D33">
        <w:rPr>
          <w:rFonts w:eastAsia="Calibri" w:hint="cs"/>
          <w:rtl/>
        </w:rPr>
        <w:t>ה</w:t>
      </w:r>
      <w:r w:rsidRPr="003B5D33">
        <w:rPr>
          <w:rFonts w:eastAsia="Calibri"/>
          <w:rtl/>
        </w:rPr>
        <w:t>רשת של המשרד</w:t>
      </w:r>
      <w:r w:rsidRPr="003B5D33">
        <w:rPr>
          <w:rFonts w:eastAsia="Calibri" w:hint="cs"/>
          <w:rtl/>
        </w:rPr>
        <w:t>, וכן הקמת חטיבה למתודולוגיות סייבר באגף התקשוב שאמונה על הנחיה ובקרה בתחום הגנת הסייבר</w:t>
      </w:r>
      <w:r w:rsidRPr="003B5D33">
        <w:rPr>
          <w:rFonts w:eastAsia="Calibri"/>
          <w:rtl/>
        </w:rPr>
        <w:t>.</w:t>
      </w:r>
      <w:r w:rsidRPr="003B5D33">
        <w:rPr>
          <w:rFonts w:eastAsia="Calibri" w:hint="cs"/>
          <w:rtl/>
        </w:rPr>
        <w:t xml:space="preserve"> אשר לתוכנית העבודה של שנת 2021, במסגרת דיוני הוועדה צוין על ידי יו"ר ועדת ההיגוי כי התוכנית יועדה לביצוע משימות שניתן לקדם במהלך שנת עבודה בלבד, וכי לנוכח העובדה שמדובר</w:t>
      </w:r>
      <w:r w:rsidRPr="003B5D33">
        <w:rPr>
          <w:rFonts w:eastAsia="Calibri"/>
          <w:rtl/>
        </w:rPr>
        <w:t xml:space="preserve"> בשנה של תקציב המשכי</w:t>
      </w:r>
      <w:r w:rsidRPr="003B5D33">
        <w:rPr>
          <w:rFonts w:eastAsia="Calibri" w:hint="cs"/>
          <w:rtl/>
        </w:rPr>
        <w:t>, קיים</w:t>
      </w:r>
      <w:r w:rsidRPr="003B5D33">
        <w:rPr>
          <w:rFonts w:eastAsia="Calibri"/>
          <w:rtl/>
        </w:rPr>
        <w:t xml:space="preserve"> קושי ממשי </w:t>
      </w:r>
      <w:r w:rsidRPr="003B5D33">
        <w:rPr>
          <w:rFonts w:eastAsia="Calibri" w:hint="cs"/>
          <w:rtl/>
        </w:rPr>
        <w:t>ב</w:t>
      </w:r>
      <w:r w:rsidRPr="003B5D33">
        <w:rPr>
          <w:rFonts w:eastAsia="Calibri"/>
          <w:rtl/>
        </w:rPr>
        <w:t>מימוש ת</w:t>
      </w:r>
      <w:r w:rsidRPr="003B5D33">
        <w:rPr>
          <w:rFonts w:eastAsia="Calibri" w:hint="cs"/>
          <w:rtl/>
        </w:rPr>
        <w:t>ו</w:t>
      </w:r>
      <w:r w:rsidRPr="003B5D33">
        <w:rPr>
          <w:rFonts w:eastAsia="Calibri"/>
          <w:rtl/>
        </w:rPr>
        <w:t>כניות עבודה</w:t>
      </w:r>
      <w:r w:rsidRPr="003B5D33">
        <w:rPr>
          <w:rFonts w:eastAsia="Calibri" w:hint="cs"/>
          <w:rtl/>
        </w:rPr>
        <w:t xml:space="preserve"> בשנה זו</w:t>
      </w:r>
      <w:r w:rsidRPr="003B5D33">
        <w:rPr>
          <w:rFonts w:eastAsia="Calibri"/>
          <w:rtl/>
        </w:rPr>
        <w:t>.</w:t>
      </w:r>
      <w:r w:rsidRPr="003B5D33">
        <w:rPr>
          <w:rFonts w:eastAsia="Calibri" w:hint="cs"/>
          <w:rtl/>
        </w:rPr>
        <w:t xml:space="preserve"> בהקשר זה יצוין כי נציג מס"ל ציין בדיון לגבי התוכנית הרב-שנתית שחלפו שנתיים מאז גיבושה</w:t>
      </w:r>
      <w:r w:rsidRPr="003B5D33">
        <w:rPr>
          <w:rFonts w:eastAsia="Calibri"/>
          <w:rtl/>
        </w:rPr>
        <w:t xml:space="preserve"> ויש ל</w:t>
      </w:r>
      <w:r w:rsidRPr="003B5D33">
        <w:rPr>
          <w:rFonts w:eastAsia="Calibri" w:hint="cs"/>
          <w:rtl/>
        </w:rPr>
        <w:t>שוב ול</w:t>
      </w:r>
      <w:r w:rsidRPr="003B5D33">
        <w:rPr>
          <w:rFonts w:eastAsia="Calibri"/>
          <w:rtl/>
        </w:rPr>
        <w:t>תקף אותה</w:t>
      </w:r>
      <w:r w:rsidRPr="003B5D33">
        <w:rPr>
          <w:rFonts w:eastAsia="Calibri" w:hint="cs"/>
          <w:rtl/>
        </w:rPr>
        <w:t>, היות</w:t>
      </w:r>
      <w:r w:rsidRPr="003B5D33">
        <w:rPr>
          <w:rFonts w:eastAsia="Calibri"/>
          <w:rtl/>
        </w:rPr>
        <w:t xml:space="preserve"> </w:t>
      </w:r>
      <w:r w:rsidRPr="003B5D33">
        <w:rPr>
          <w:rFonts w:eastAsia="Calibri" w:hint="cs"/>
          <w:rtl/>
        </w:rPr>
        <w:t>שתחום</w:t>
      </w:r>
      <w:r w:rsidRPr="003B5D33">
        <w:rPr>
          <w:rFonts w:eastAsia="Calibri"/>
          <w:rtl/>
        </w:rPr>
        <w:t xml:space="preserve"> הסייבר הוא דינמי מאוד</w:t>
      </w:r>
      <w:r w:rsidRPr="003B5D33">
        <w:rPr>
          <w:rFonts w:eastAsia="Calibri" w:hint="cs"/>
          <w:rtl/>
        </w:rPr>
        <w:t>, ו</w:t>
      </w:r>
      <w:r w:rsidRPr="003B5D33">
        <w:rPr>
          <w:rFonts w:eastAsia="Calibri"/>
          <w:rtl/>
        </w:rPr>
        <w:t xml:space="preserve">מה שנקבע לפני כשנתיים </w:t>
      </w:r>
      <w:r w:rsidRPr="003B5D33">
        <w:rPr>
          <w:rFonts w:eastAsia="Calibri" w:hint="cs"/>
          <w:rtl/>
        </w:rPr>
        <w:t>אינו</w:t>
      </w:r>
      <w:r w:rsidRPr="003B5D33">
        <w:rPr>
          <w:rFonts w:eastAsia="Calibri"/>
          <w:rtl/>
        </w:rPr>
        <w:t xml:space="preserve"> רלוונטי</w:t>
      </w:r>
      <w:r w:rsidRPr="003B5D33">
        <w:rPr>
          <w:rFonts w:eastAsia="Calibri" w:hint="cs"/>
          <w:rtl/>
        </w:rPr>
        <w:t xml:space="preserve"> עוד.</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מסר למשרד מבקר המדינה כי בשנת 2021 הוחלט שאין טעם להמשיך בניסיונות לקדם אישור תקציב ייעודי רב-שנתי לתוכנית שגובשה בשנת 2019, ולכן המשרד התמקד בשנים שלאחר מכן בתוכניות ברמה השנתית, תוך ניסיון לממש חלק מרכיבי התוכנית הרב-שנתית הקודמת במסגרתן.</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בדיון ועדת ההיגוי מנובמבר 2022 צוין בנוגע לתוכנית העבודה לשנת 2022 כי היא עודנה בביצוע, ו</w:t>
      </w:r>
      <w:r w:rsidRPr="003B5D33">
        <w:rPr>
          <w:rFonts w:eastAsia="Calibri"/>
          <w:rtl/>
        </w:rPr>
        <w:t>יו"ר ה</w:t>
      </w:r>
      <w:r w:rsidRPr="003B5D33">
        <w:rPr>
          <w:rFonts w:eastAsia="Calibri" w:hint="cs"/>
          <w:rtl/>
        </w:rPr>
        <w:t>ו</w:t>
      </w:r>
      <w:r w:rsidRPr="003B5D33">
        <w:rPr>
          <w:rFonts w:eastAsia="Calibri"/>
          <w:rtl/>
        </w:rPr>
        <w:t>ועדה</w:t>
      </w:r>
      <w:r w:rsidRPr="003B5D33">
        <w:rPr>
          <w:rFonts w:eastAsia="Calibri" w:hint="cs"/>
          <w:rtl/>
        </w:rPr>
        <w:t xml:space="preserve"> סיכמה כי </w:t>
      </w:r>
      <w:r w:rsidRPr="003B5D33">
        <w:rPr>
          <w:rFonts w:eastAsia="Calibri"/>
          <w:rtl/>
        </w:rPr>
        <w:t>תמונת המצב שהוצגה מטרידה ומחייבת התייחסות ניהולית ראויה</w:t>
      </w:r>
      <w:r w:rsidRPr="003B5D33">
        <w:rPr>
          <w:rFonts w:eastAsia="Calibri" w:hint="cs"/>
          <w:rtl/>
        </w:rPr>
        <w:t>. כן הדגישה</w:t>
      </w:r>
      <w:r w:rsidRPr="003B5D33">
        <w:rPr>
          <w:rFonts w:eastAsia="Calibri"/>
          <w:rtl/>
        </w:rPr>
        <w:t xml:space="preserve"> </w:t>
      </w:r>
      <w:r w:rsidRPr="003B5D33">
        <w:rPr>
          <w:rFonts w:eastAsia="Calibri" w:hint="cs"/>
          <w:rtl/>
        </w:rPr>
        <w:t>ש</w:t>
      </w:r>
      <w:r w:rsidRPr="003B5D33">
        <w:rPr>
          <w:rFonts w:eastAsia="Calibri"/>
          <w:rtl/>
        </w:rPr>
        <w:t>נדרש להציג ת</w:t>
      </w:r>
      <w:r w:rsidRPr="003B5D33">
        <w:rPr>
          <w:rFonts w:eastAsia="Calibri" w:hint="cs"/>
          <w:rtl/>
        </w:rPr>
        <w:t>ו</w:t>
      </w:r>
      <w:r w:rsidRPr="003B5D33">
        <w:rPr>
          <w:rFonts w:eastAsia="Calibri"/>
          <w:rtl/>
        </w:rPr>
        <w:t>כנית עבודה רב</w:t>
      </w:r>
      <w:r w:rsidRPr="003B5D33">
        <w:rPr>
          <w:rFonts w:eastAsia="Calibri" w:hint="cs"/>
          <w:rtl/>
        </w:rPr>
        <w:t>-</w:t>
      </w:r>
      <w:r w:rsidRPr="003B5D33">
        <w:rPr>
          <w:rFonts w:eastAsia="Calibri"/>
          <w:rtl/>
        </w:rPr>
        <w:t xml:space="preserve">שנתית לטיפול בסוגיות שהוצגו, המתכללת את הגופים הרלוונטיים, לרבות </w:t>
      </w:r>
      <w:r w:rsidRPr="003B5D33">
        <w:rPr>
          <w:rFonts w:eastAsia="Calibri" w:hint="cs"/>
          <w:rtl/>
        </w:rPr>
        <w:t>את ה</w:t>
      </w:r>
      <w:r w:rsidRPr="003B5D33">
        <w:rPr>
          <w:rFonts w:eastAsia="Calibri"/>
          <w:rtl/>
        </w:rPr>
        <w:t xml:space="preserve">דרישות </w:t>
      </w:r>
      <w:r w:rsidRPr="003B5D33">
        <w:rPr>
          <w:rFonts w:eastAsia="Calibri" w:hint="cs"/>
          <w:rtl/>
        </w:rPr>
        <w:t xml:space="preserve">מבחינת </w:t>
      </w:r>
      <w:r w:rsidRPr="003B5D33">
        <w:rPr>
          <w:rFonts w:eastAsia="Calibri"/>
          <w:rtl/>
        </w:rPr>
        <w:t xml:space="preserve">כוח </w:t>
      </w:r>
      <w:r w:rsidRPr="003B5D33">
        <w:rPr>
          <w:rFonts w:eastAsia="Calibri" w:hint="cs"/>
          <w:rtl/>
        </w:rPr>
        <w:t>ה</w:t>
      </w:r>
      <w:r w:rsidRPr="003B5D33">
        <w:rPr>
          <w:rFonts w:eastAsia="Calibri"/>
          <w:rtl/>
        </w:rPr>
        <w:t xml:space="preserve">אדם </w:t>
      </w:r>
      <w:r w:rsidRPr="003B5D33">
        <w:rPr>
          <w:rFonts w:eastAsia="Calibri" w:hint="cs"/>
          <w:rtl/>
        </w:rPr>
        <w:t>וה</w:t>
      </w:r>
      <w:r w:rsidRPr="003B5D33">
        <w:rPr>
          <w:rFonts w:eastAsia="Calibri"/>
          <w:rtl/>
        </w:rPr>
        <w:t>תקציב</w:t>
      </w:r>
      <w:r w:rsidRPr="003B5D33">
        <w:rPr>
          <w:rFonts w:eastAsia="Calibri" w:hint="cs"/>
          <w:rtl/>
        </w:rPr>
        <w:t>,</w:t>
      </w:r>
      <w:r w:rsidRPr="003B5D33">
        <w:rPr>
          <w:rFonts w:eastAsia="Calibri"/>
          <w:rtl/>
        </w:rPr>
        <w:t xml:space="preserve"> </w:t>
      </w:r>
      <w:r w:rsidRPr="003B5D33">
        <w:rPr>
          <w:rFonts w:eastAsia="Calibri" w:hint="cs"/>
          <w:rtl/>
        </w:rPr>
        <w:t>וכי יש להגדיר</w:t>
      </w:r>
      <w:r w:rsidRPr="003B5D33">
        <w:rPr>
          <w:rFonts w:eastAsia="Calibri"/>
          <w:rtl/>
        </w:rPr>
        <w:t xml:space="preserve"> </w:t>
      </w:r>
      <w:r w:rsidRPr="003B5D33">
        <w:rPr>
          <w:rFonts w:eastAsia="Calibri" w:hint="cs"/>
          <w:rtl/>
        </w:rPr>
        <w:t>לוח זמנים</w:t>
      </w:r>
      <w:r w:rsidRPr="003B5D33">
        <w:rPr>
          <w:rFonts w:eastAsia="Calibri"/>
          <w:rtl/>
        </w:rPr>
        <w:t xml:space="preserve"> לסיום</w:t>
      </w:r>
      <w:r w:rsidRPr="003B5D33">
        <w:rPr>
          <w:rFonts w:eastAsia="Calibri" w:hint="cs"/>
          <w:rtl/>
        </w:rPr>
        <w:t xml:space="preserve"> ביצועה של התוכנית</w:t>
      </w:r>
      <w:r w:rsidRPr="003B5D33">
        <w:rPr>
          <w:rFonts w:eastAsia="Calibri"/>
          <w:rtl/>
        </w:rPr>
        <w:t xml:space="preserve">. </w:t>
      </w:r>
      <w:r w:rsidRPr="003B5D33">
        <w:rPr>
          <w:rFonts w:eastAsia="Calibri" w:hint="cs"/>
          <w:rtl/>
        </w:rPr>
        <w:t xml:space="preserve">הוועדה ביקשה כי </w:t>
      </w:r>
      <w:r w:rsidRPr="003B5D33">
        <w:rPr>
          <w:rFonts w:eastAsia="Calibri"/>
          <w:rtl/>
        </w:rPr>
        <w:t xml:space="preserve">ממונה הגנת הסייבר </w:t>
      </w:r>
      <w:r w:rsidRPr="003B5D33">
        <w:rPr>
          <w:rFonts w:eastAsia="Calibri" w:hint="cs"/>
          <w:rtl/>
        </w:rPr>
        <w:t>ירכז את התוכנית ויציג</w:t>
      </w:r>
      <w:r w:rsidRPr="003B5D33">
        <w:rPr>
          <w:rFonts w:eastAsia="Calibri"/>
          <w:rtl/>
        </w:rPr>
        <w:t xml:space="preserve"> ל</w:t>
      </w:r>
      <w:r w:rsidRPr="003B5D33">
        <w:rPr>
          <w:rFonts w:eastAsia="Calibri" w:hint="cs"/>
          <w:rtl/>
        </w:rPr>
        <w:t>ה אותה בינואר 2023. עוד עלה כי הוועדה קיבלה דיווח על יישום תוכנית העבודה לשנת 2021.</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בדיון הוועדה ממאי 2023 צוין כי </w:t>
      </w:r>
      <w:r w:rsidRPr="003B5D33">
        <w:rPr>
          <w:rFonts w:eastAsia="Calibri"/>
          <w:rtl/>
        </w:rPr>
        <w:t>מרבית ת</w:t>
      </w:r>
      <w:r w:rsidRPr="003B5D33">
        <w:rPr>
          <w:rFonts w:eastAsia="Calibri" w:hint="cs"/>
          <w:rtl/>
        </w:rPr>
        <w:t>ו</w:t>
      </w:r>
      <w:r w:rsidRPr="003B5D33">
        <w:rPr>
          <w:rFonts w:eastAsia="Calibri"/>
          <w:rtl/>
        </w:rPr>
        <w:t>כנית העבודה</w:t>
      </w:r>
      <w:r w:rsidRPr="003B5D33">
        <w:rPr>
          <w:rFonts w:eastAsia="Calibri" w:hint="cs"/>
          <w:rtl/>
        </w:rPr>
        <w:t xml:space="preserve"> לשנת 2023</w:t>
      </w:r>
      <w:r w:rsidRPr="003B5D33">
        <w:rPr>
          <w:rFonts w:eastAsia="Calibri"/>
          <w:rtl/>
        </w:rPr>
        <w:t xml:space="preserve"> מוקפאת </w:t>
      </w:r>
      <w:r w:rsidRPr="003B5D33">
        <w:rPr>
          <w:rFonts w:eastAsia="Calibri" w:hint="cs"/>
          <w:rtl/>
        </w:rPr>
        <w:t>לנוכח</w:t>
      </w:r>
      <w:r w:rsidRPr="003B5D33">
        <w:rPr>
          <w:rFonts w:eastAsia="Calibri"/>
          <w:rtl/>
        </w:rPr>
        <w:t xml:space="preserve"> אי</w:t>
      </w:r>
      <w:r w:rsidRPr="003B5D33">
        <w:rPr>
          <w:rFonts w:eastAsia="Calibri" w:hint="cs"/>
          <w:rtl/>
        </w:rPr>
        <w:t>-</w:t>
      </w:r>
      <w:r w:rsidRPr="003B5D33">
        <w:rPr>
          <w:rFonts w:eastAsia="Calibri"/>
          <w:rtl/>
        </w:rPr>
        <w:t xml:space="preserve">אישור תקציב המדינה </w:t>
      </w:r>
      <w:r w:rsidRPr="003B5D33">
        <w:rPr>
          <w:rFonts w:eastAsia="Calibri" w:hint="cs"/>
          <w:rtl/>
        </w:rPr>
        <w:t xml:space="preserve">וכי </w:t>
      </w:r>
      <w:r w:rsidRPr="003B5D33">
        <w:rPr>
          <w:rFonts w:eastAsia="Calibri"/>
          <w:rtl/>
        </w:rPr>
        <w:t>מקודמות משימות בתחום המתודולוגיות</w:t>
      </w:r>
      <w:r w:rsidRPr="003B5D33">
        <w:rPr>
          <w:rFonts w:eastAsia="Calibri" w:hint="cs"/>
          <w:rtl/>
        </w:rPr>
        <w:t>. מבירור שביצע משרד מבקר המדינה עם נציג אגף התקשוב באוקטוב</w:t>
      </w:r>
      <w:r w:rsidRPr="003B5D33">
        <w:rPr>
          <w:rFonts w:eastAsia="Calibri" w:hint="eastAsia"/>
          <w:rtl/>
        </w:rPr>
        <w:t>ר</w:t>
      </w:r>
      <w:r w:rsidRPr="003B5D33">
        <w:rPr>
          <w:rFonts w:eastAsia="Calibri" w:hint="cs"/>
          <w:rtl/>
        </w:rPr>
        <w:t xml:space="preserve"> 2024 עולה כי לא הוכנה תוכנית רב-שנתית חדשה להגנת הסייבר</w:t>
      </w:r>
      <w:r w:rsidRPr="003B5D33">
        <w:rPr>
          <w:rFonts w:eastAsia="Calibri"/>
          <w:rtl/>
        </w:rPr>
        <w:t>.</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באוקטובר 2025 מסר משרד החוץ למשרד מבקר המדינה כי </w:t>
      </w:r>
      <w:r w:rsidRPr="003B5D33">
        <w:rPr>
          <w:rFonts w:eastAsia="Calibri"/>
          <w:rtl/>
        </w:rPr>
        <w:t xml:space="preserve">אין </w:t>
      </w:r>
      <w:r w:rsidRPr="003B5D33">
        <w:rPr>
          <w:rFonts w:eastAsia="Calibri" w:hint="cs"/>
          <w:rtl/>
        </w:rPr>
        <w:t>ב</w:t>
      </w:r>
      <w:r w:rsidRPr="003B5D33">
        <w:rPr>
          <w:rFonts w:eastAsia="Calibri"/>
          <w:rtl/>
        </w:rPr>
        <w:t>אפשרות</w:t>
      </w:r>
      <w:r w:rsidRPr="003B5D33">
        <w:rPr>
          <w:rFonts w:eastAsia="Calibri" w:hint="cs"/>
          <w:rtl/>
        </w:rPr>
        <w:t xml:space="preserve">ו </w:t>
      </w:r>
      <w:r w:rsidRPr="003B5D33">
        <w:rPr>
          <w:rFonts w:eastAsia="Calibri"/>
          <w:rtl/>
        </w:rPr>
        <w:t>להוציא לפועל ת</w:t>
      </w:r>
      <w:r w:rsidRPr="003B5D33">
        <w:rPr>
          <w:rFonts w:eastAsia="Calibri" w:hint="cs"/>
          <w:rtl/>
        </w:rPr>
        <w:t>ו</w:t>
      </w:r>
      <w:r w:rsidRPr="003B5D33">
        <w:rPr>
          <w:rFonts w:eastAsia="Calibri"/>
          <w:rtl/>
        </w:rPr>
        <w:t>כנית רב-שנתית.</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עולה אפוא כי בשנת 2019 גובשה במשרד החוץ תוכנית רב-שנתית להגנת הסייבר לשנים 2020 - 2024, הכוללת יעדים, פעולות נדרשות, סדרי עדיפויות ומשאבים שנדרשים למימושם בסך כולל של כ-54 מיליון ש"ח, אולם תוכנית זו יושמה באופן חלקי בלבד עקב קשיים בהעמדת משאבים למימושה. נמצא כי המשרד לא הכין תוכנית רב-שנתית חדשה במקומה. עוד עולה כי החל משנת 2021 הציג אגף התקשוב לפני ועדת ההיגוי להגנת הסייבר תוכניות עבודה שנתיות בלבד ואת ממצאי המעקב אחר יישומן.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זאת ועוד, הועלה כי בניגוד להנחיות הגורמים המנחים, ועדת ההיגוי כלל לא אישרה את תוכנית העבודה לשנת 2024, ואף שבספטמבר 2024 התקיים דיון של ועדת ההיגוי, נושא תוכנית העבודה וסטטוס יישומה לא הועלה לפני הוועדה.</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תוכניות עבודה שנתיות ורב-שנתיות בתחום הגנת הסייבר נועדו להבטיח פעילות סדורה ושוטפת להתמודדות עם איומים ותקיפות באמצעות הגדרת יעדים, ניתוח סיכונים, הקצאת משאבים ויישום בקרות מתאימות. </w:t>
      </w:r>
      <w:bookmarkStart w:id="46" w:name="_Hlk203655063"/>
      <w:r w:rsidRPr="003B5D33">
        <w:rPr>
          <w:rFonts w:eastAsia="Calibri" w:hint="cs"/>
          <w:b/>
          <w:bCs/>
          <w:rtl/>
        </w:rPr>
        <w:t xml:space="preserve">תמונת המצב המשתקפת מכל האמור מלמדת על חולשה של ועדת ההיגוי להגנת הסייבר במשרד החוץ בכל הנוגע לפעילות סדורה המבוססת על תוכנית רב-שנתית, לפיקוח ובקרה על מימוש תוכניות העבודה וליכולתה לעמוד על הפערים הקיימים בתחום הגנת הסייבר ולקבל החלטות בהתאם לכך.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על ועדת ההיגוי להגנת הסייבר לאשר מדי שנה בשנה תוכנית עבודה הכוללת את כלל המשימות הנוגעות להגנת הסייבר, לרבות משימות שההחלטה לבצען התקבלה בישיבת ועדת ההיגוי, וכן עליה לעקוב אחר יישומה מדי שנה. כמו כן על הוועדה לעמוד על כך שתגובש תוכנית רב-שנתית להגנת הסייבר שתבטיח טיפול בכל הפערים, תוך קביעת סדרי העדיפויות והקצאת המשאבים הנדרשים וכן לעקוב אחר מימושה.</w:t>
      </w:r>
    </w:p>
    <w:bookmarkEnd w:id="46"/>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47" w:name="_Toc218592803"/>
      <w:bookmarkStart w:id="48" w:name="_Hlk203655075"/>
      <w:r w:rsidRPr="003B5D33">
        <w:rPr>
          <w:rFonts w:eastAsia="Times New Roman" w:hint="cs"/>
          <w:bCs/>
          <w:szCs w:val="28"/>
          <w:u w:val="single"/>
          <w:rtl/>
        </w:rPr>
        <w:t>פעילות ועדת ההיגוי להגנת הסייבר</w:t>
      </w:r>
      <w:bookmarkEnd w:id="47"/>
    </w:p>
    <w:bookmarkEnd w:id="48"/>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eastAsia"/>
          <w:rtl/>
        </w:rPr>
        <w:t>משרד</w:t>
      </w:r>
      <w:r w:rsidRPr="003B5D33">
        <w:rPr>
          <w:rFonts w:eastAsia="Calibri"/>
          <w:rtl/>
        </w:rPr>
        <w:t xml:space="preserve"> מבקר המדינה </w:t>
      </w:r>
      <w:r w:rsidRPr="003B5D33">
        <w:rPr>
          <w:rFonts w:eastAsia="Calibri" w:hint="eastAsia"/>
          <w:rtl/>
        </w:rPr>
        <w:t>בדק</w:t>
      </w:r>
      <w:r w:rsidRPr="003B5D33">
        <w:rPr>
          <w:rFonts w:eastAsia="Calibri"/>
          <w:rtl/>
        </w:rPr>
        <w:t xml:space="preserve"> </w:t>
      </w:r>
      <w:r w:rsidRPr="003B5D33">
        <w:rPr>
          <w:rFonts w:eastAsia="Calibri" w:hint="eastAsia"/>
          <w:rtl/>
        </w:rPr>
        <w:t>את</w:t>
      </w:r>
      <w:r w:rsidRPr="003B5D33">
        <w:rPr>
          <w:rFonts w:eastAsia="Calibri"/>
          <w:rtl/>
        </w:rPr>
        <w:t xml:space="preserve"> </w:t>
      </w:r>
      <w:r w:rsidRPr="003B5D33">
        <w:rPr>
          <w:rFonts w:eastAsia="Calibri" w:hint="eastAsia"/>
          <w:rtl/>
        </w:rPr>
        <w:t>פעילות</w:t>
      </w:r>
      <w:r w:rsidRPr="003B5D33">
        <w:rPr>
          <w:rFonts w:eastAsia="Calibri"/>
          <w:rtl/>
        </w:rPr>
        <w:t xml:space="preserve"> </w:t>
      </w:r>
      <w:r w:rsidRPr="003B5D33">
        <w:rPr>
          <w:rFonts w:eastAsia="Calibri" w:hint="eastAsia"/>
          <w:rtl/>
        </w:rPr>
        <w:t>ועדת</w:t>
      </w:r>
      <w:r w:rsidRPr="003B5D33">
        <w:rPr>
          <w:rFonts w:eastAsia="Calibri"/>
          <w:rtl/>
        </w:rPr>
        <w:t xml:space="preserve"> </w:t>
      </w:r>
      <w:r w:rsidRPr="003B5D33">
        <w:rPr>
          <w:rFonts w:eastAsia="Calibri" w:hint="eastAsia"/>
          <w:rtl/>
        </w:rPr>
        <w:t>ההיגוי</w:t>
      </w:r>
      <w:r w:rsidRPr="003B5D33">
        <w:rPr>
          <w:rFonts w:eastAsia="Calibri"/>
          <w:rtl/>
        </w:rPr>
        <w:t xml:space="preserve"> </w:t>
      </w:r>
      <w:r w:rsidRPr="003B5D33">
        <w:rPr>
          <w:rFonts w:eastAsia="Calibri" w:hint="eastAsia"/>
          <w:rtl/>
        </w:rPr>
        <w:t>להגנת</w:t>
      </w:r>
      <w:r w:rsidRPr="003B5D33">
        <w:rPr>
          <w:rFonts w:eastAsia="Calibri"/>
          <w:rtl/>
        </w:rPr>
        <w:t xml:space="preserve"> </w:t>
      </w:r>
      <w:r w:rsidRPr="003B5D33">
        <w:rPr>
          <w:rFonts w:eastAsia="Calibri" w:hint="eastAsia"/>
          <w:rtl/>
        </w:rPr>
        <w:t>הסייבר</w:t>
      </w:r>
      <w:r w:rsidRPr="003B5D33">
        <w:rPr>
          <w:rFonts w:eastAsia="Calibri"/>
          <w:rtl/>
        </w:rPr>
        <w:t xml:space="preserve"> </w:t>
      </w:r>
      <w:r w:rsidRPr="003B5D33">
        <w:rPr>
          <w:rFonts w:eastAsia="Calibri" w:hint="eastAsia"/>
          <w:rtl/>
        </w:rPr>
        <w:t>במשרד</w:t>
      </w:r>
      <w:r w:rsidRPr="003B5D33">
        <w:rPr>
          <w:rFonts w:eastAsia="Calibri"/>
          <w:rtl/>
        </w:rPr>
        <w:t xml:space="preserve"> </w:t>
      </w:r>
      <w:r w:rsidRPr="003B5D33">
        <w:rPr>
          <w:rFonts w:eastAsia="Calibri" w:hint="eastAsia"/>
          <w:rtl/>
        </w:rPr>
        <w:t>החוץ</w:t>
      </w:r>
      <w:r w:rsidRPr="003B5D33">
        <w:rPr>
          <w:rFonts w:eastAsia="Calibri"/>
          <w:rtl/>
        </w:rPr>
        <w:t xml:space="preserve"> </w:t>
      </w:r>
      <w:r w:rsidRPr="003B5D33">
        <w:rPr>
          <w:rFonts w:eastAsia="Calibri" w:hint="eastAsia"/>
          <w:rtl/>
        </w:rPr>
        <w:t>בשנים</w:t>
      </w:r>
      <w:r w:rsidRPr="003B5D33">
        <w:rPr>
          <w:rFonts w:eastAsia="Calibri"/>
          <w:rtl/>
        </w:rPr>
        <w:t xml:space="preserve"> 2018 - 2024. </w:t>
      </w:r>
      <w:r w:rsidRPr="003B5D33">
        <w:rPr>
          <w:rFonts w:eastAsia="Calibri" w:hint="eastAsia"/>
          <w:rtl/>
        </w:rPr>
        <w:t>הבדיקה</w:t>
      </w:r>
      <w:r w:rsidRPr="003B5D33">
        <w:rPr>
          <w:rFonts w:eastAsia="Calibri"/>
          <w:rtl/>
        </w:rPr>
        <w:t xml:space="preserve"> </w:t>
      </w:r>
      <w:r w:rsidRPr="003B5D33">
        <w:rPr>
          <w:rFonts w:eastAsia="Calibri" w:hint="eastAsia"/>
          <w:rtl/>
        </w:rPr>
        <w:t>התמקדה</w:t>
      </w:r>
      <w:r w:rsidRPr="003B5D33">
        <w:rPr>
          <w:rFonts w:eastAsia="Calibri"/>
          <w:rtl/>
        </w:rPr>
        <w:t xml:space="preserve"> </w:t>
      </w:r>
      <w:r w:rsidRPr="003B5D33">
        <w:rPr>
          <w:rFonts w:eastAsia="Calibri" w:hint="eastAsia"/>
          <w:rtl/>
        </w:rPr>
        <w:t>במעקב</w:t>
      </w:r>
      <w:r w:rsidRPr="003B5D33">
        <w:rPr>
          <w:rFonts w:eastAsia="Calibri"/>
          <w:rtl/>
        </w:rPr>
        <w:t xml:space="preserve"> </w:t>
      </w:r>
      <w:r w:rsidRPr="003B5D33">
        <w:rPr>
          <w:rFonts w:eastAsia="Calibri" w:hint="eastAsia"/>
          <w:rtl/>
        </w:rPr>
        <w:t>שקיימה</w:t>
      </w:r>
      <w:r w:rsidRPr="003B5D33">
        <w:rPr>
          <w:rFonts w:eastAsia="Calibri"/>
          <w:rtl/>
        </w:rPr>
        <w:t xml:space="preserve"> </w:t>
      </w:r>
      <w:r w:rsidRPr="003B5D33">
        <w:rPr>
          <w:rFonts w:eastAsia="Calibri" w:hint="eastAsia"/>
          <w:rtl/>
        </w:rPr>
        <w:t>הוועדה</w:t>
      </w:r>
      <w:r w:rsidRPr="003B5D33">
        <w:rPr>
          <w:rFonts w:eastAsia="Calibri"/>
          <w:rtl/>
        </w:rPr>
        <w:t xml:space="preserve"> </w:t>
      </w:r>
      <w:r w:rsidRPr="003B5D33">
        <w:rPr>
          <w:rFonts w:eastAsia="Calibri" w:hint="eastAsia"/>
          <w:rtl/>
        </w:rPr>
        <w:t>אחר</w:t>
      </w:r>
      <w:r w:rsidRPr="003B5D33">
        <w:rPr>
          <w:rFonts w:eastAsia="Calibri"/>
          <w:rtl/>
        </w:rPr>
        <w:t xml:space="preserve"> נושאים מהותיים בהגנה על הסייבר </w:t>
      </w:r>
      <w:r w:rsidRPr="003B5D33">
        <w:rPr>
          <w:rFonts w:eastAsia="Calibri" w:hint="eastAsia"/>
          <w:rtl/>
        </w:rPr>
        <w:t>שהובאו</w:t>
      </w:r>
      <w:r w:rsidRPr="003B5D33">
        <w:rPr>
          <w:rFonts w:eastAsia="Calibri"/>
          <w:rtl/>
        </w:rPr>
        <w:t xml:space="preserve"> </w:t>
      </w:r>
      <w:r w:rsidRPr="003B5D33">
        <w:rPr>
          <w:rFonts w:eastAsia="Calibri" w:hint="eastAsia"/>
          <w:rtl/>
        </w:rPr>
        <w:t>לפתחה</w:t>
      </w:r>
      <w:r w:rsidRPr="003B5D33">
        <w:rPr>
          <w:rFonts w:eastAsia="Calibri"/>
          <w:rtl/>
        </w:rPr>
        <w:t xml:space="preserve"> </w:t>
      </w:r>
      <w:r w:rsidRPr="003B5D33">
        <w:rPr>
          <w:rFonts w:eastAsia="Calibri" w:hint="eastAsia"/>
          <w:rtl/>
        </w:rPr>
        <w:t>וההחלטות</w:t>
      </w:r>
      <w:r w:rsidRPr="003B5D33">
        <w:rPr>
          <w:rFonts w:eastAsia="Calibri"/>
          <w:rtl/>
        </w:rPr>
        <w:t xml:space="preserve"> שקיבלה על מדיניות המשרד בנושאים אלו. </w:t>
      </w:r>
      <w:r w:rsidRPr="003B5D33">
        <w:rPr>
          <w:rFonts w:eastAsia="Calibri" w:hint="eastAsia"/>
          <w:rtl/>
        </w:rPr>
        <w:t>להלן</w:t>
      </w:r>
      <w:r w:rsidRPr="003B5D33">
        <w:rPr>
          <w:rFonts w:eastAsia="Calibri"/>
          <w:rtl/>
        </w:rPr>
        <w:t xml:space="preserve"> </w:t>
      </w:r>
      <w:r w:rsidRPr="003B5D33">
        <w:rPr>
          <w:rFonts w:eastAsia="Calibri" w:hint="eastAsia"/>
          <w:rtl/>
        </w:rPr>
        <w:t>כמה</w:t>
      </w:r>
      <w:r w:rsidRPr="003B5D33">
        <w:rPr>
          <w:rFonts w:eastAsia="Calibri"/>
          <w:rtl/>
        </w:rPr>
        <w:t xml:space="preserve"> </w:t>
      </w:r>
      <w:r w:rsidRPr="003B5D33">
        <w:rPr>
          <w:rFonts w:eastAsia="Calibri" w:hint="eastAsia"/>
          <w:rtl/>
        </w:rPr>
        <w:t>דוגמאות</w:t>
      </w:r>
      <w:r w:rsidRPr="003B5D33">
        <w:rPr>
          <w:rFonts w:eastAsia="Calibri"/>
          <w:rtl/>
        </w:rPr>
        <w:t xml:space="preserve">: </w:t>
      </w:r>
    </w:p>
    <w:p w:rsidR="003B5D33" w:rsidRPr="003B5D33" w:rsidP="003B5D33">
      <w:pPr>
        <w:spacing w:line="269" w:lineRule="auto"/>
        <w:rPr>
          <w:rFonts w:eastAsia="Calibri"/>
          <w:bCs/>
          <w:rtl/>
        </w:rPr>
      </w:pPr>
    </w:p>
    <w:p w:rsidR="003B5D33" w:rsidRPr="003B5D33" w:rsidP="003B5D33">
      <w:pPr>
        <w:spacing w:line="269" w:lineRule="auto"/>
        <w:rPr>
          <w:rFonts w:eastAsia="Calibri"/>
          <w:rtl/>
        </w:rPr>
      </w:pPr>
      <w:r w:rsidRPr="003B5D33">
        <w:rPr>
          <w:rFonts w:eastAsia="Calibri"/>
          <w:bCs/>
          <w:rtl/>
        </w:rPr>
        <w:t>מדיניות הגנת המידע</w:t>
      </w:r>
      <w:r w:rsidRPr="003B5D33">
        <w:rPr>
          <w:rFonts w:eastAsia="Calibri" w:hint="cs"/>
          <w:rtl/>
        </w:rPr>
        <w:t xml:space="preserve">: </w:t>
      </w:r>
      <w:r w:rsidRPr="003B5D33">
        <w:rPr>
          <w:rFonts w:eastAsia="Calibri" w:hint="cs"/>
          <w:b/>
          <w:rtl/>
        </w:rPr>
        <w:t>בוועדת ההיגוי מ</w:t>
      </w:r>
      <w:r w:rsidRPr="003B5D33">
        <w:rPr>
          <w:rFonts w:eastAsia="Calibri"/>
          <w:b/>
          <w:rtl/>
        </w:rPr>
        <w:t xml:space="preserve">פברואר 2020 סוכם כי </w:t>
      </w:r>
      <w:r w:rsidR="00031CA3">
        <w:rPr>
          <w:rFonts w:eastAsia="Calibri" w:hint="cs"/>
          <w:b/>
          <w:rtl/>
        </w:rPr>
        <w:t>ראש חטיבת</w:t>
      </w:r>
      <w:r w:rsidRPr="003B5D33">
        <w:rPr>
          <w:rFonts w:eastAsia="Calibri" w:hint="cs"/>
          <w:b/>
          <w:rtl/>
        </w:rPr>
        <w:t xml:space="preserve"> בטמ"ח</w:t>
      </w:r>
      <w:r w:rsidRPr="003B5D33">
        <w:rPr>
          <w:rFonts w:eastAsia="Calibri"/>
          <w:b/>
          <w:rtl/>
        </w:rPr>
        <w:t xml:space="preserve"> יגבש מדיניות לסיווג מידע רגיש שאינו מסווג</w:t>
      </w:r>
      <w:r w:rsidRPr="003B5D33">
        <w:rPr>
          <w:rFonts w:eastAsia="Calibri" w:hint="cs"/>
          <w:b/>
          <w:rtl/>
        </w:rPr>
        <w:t xml:space="preserve"> מהבחינה</w:t>
      </w:r>
      <w:r w:rsidRPr="003B5D33">
        <w:rPr>
          <w:rFonts w:eastAsia="Calibri"/>
          <w:b/>
          <w:rtl/>
        </w:rPr>
        <w:t xml:space="preserve"> </w:t>
      </w:r>
      <w:r w:rsidRPr="003B5D33">
        <w:rPr>
          <w:rFonts w:eastAsia="Calibri" w:hint="cs"/>
          <w:b/>
          <w:rtl/>
        </w:rPr>
        <w:t>ה</w:t>
      </w:r>
      <w:r w:rsidRPr="003B5D33">
        <w:rPr>
          <w:rFonts w:eastAsia="Calibri"/>
          <w:b/>
          <w:rtl/>
        </w:rPr>
        <w:t>ביטחונית</w:t>
      </w:r>
      <w:r w:rsidRPr="003B5D33">
        <w:rPr>
          <w:rFonts w:eastAsia="Calibri" w:hint="cs"/>
          <w:b/>
          <w:rtl/>
        </w:rPr>
        <w:t xml:space="preserve"> ולטיפול במידע זה</w:t>
      </w:r>
      <w:r w:rsidRPr="003B5D33">
        <w:rPr>
          <w:rFonts w:eastAsia="Calibri"/>
          <w:b/>
          <w:rtl/>
        </w:rPr>
        <w:t>, לרבות בהיבטי הגנת הפרטיות</w:t>
      </w:r>
      <w:r w:rsidRPr="003B5D33">
        <w:rPr>
          <w:rFonts w:eastAsia="Calibri"/>
          <w:rtl/>
        </w:rPr>
        <w:t>.</w:t>
      </w:r>
      <w:r w:rsidRPr="003B5D33">
        <w:rPr>
          <w:rFonts w:eastAsia="Calibri" w:hint="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נמצא כי אף שכבר בשנת 2020 ביקשה ועדת ההיגוי שתגובש מדיניות לסיווג מידע רגיש (שאינו מסווג מהבחינה הביטחונית) ולטיפול בו, נכון לאוקטובר 2024 מדיניות זו עודנה בגדר טיוטה והוועדה לא אישרה אותה, ומשכך היא גם לא פורסמה בקרב עובדי המשרד.</w:t>
      </w:r>
    </w:p>
    <w:p w:rsidR="003B5D33" w:rsidRPr="003B5D33" w:rsidP="003B5D33">
      <w:pPr>
        <w:spacing w:line="269" w:lineRule="auto"/>
        <w:rPr>
          <w:rFonts w:eastAsia="Calibri"/>
          <w:bCs/>
          <w:rtl/>
        </w:rPr>
      </w:pPr>
    </w:p>
    <w:p w:rsidR="003B5D33" w:rsidRPr="003B5D33" w:rsidP="003B5D33">
      <w:pPr>
        <w:spacing w:line="269" w:lineRule="auto"/>
        <w:rPr>
          <w:rFonts w:eastAsia="Calibri"/>
          <w:rtl/>
        </w:rPr>
      </w:pPr>
      <w:r w:rsidRPr="003B5D33">
        <w:rPr>
          <w:rFonts w:eastAsia="Calibri" w:hint="cs"/>
          <w:bCs/>
          <w:rtl/>
        </w:rPr>
        <w:t>מדיניות המשרד בנוגע לשימוש העובדים ביישום מסוים:</w:t>
      </w:r>
      <w:r w:rsidRPr="003B5D33">
        <w:rPr>
          <w:rFonts w:eastAsia="Calibri"/>
          <w:rtl/>
        </w:rPr>
        <w:t xml:space="preserve"> </w:t>
      </w:r>
      <w:r w:rsidRPr="003B5D33">
        <w:rPr>
          <w:rFonts w:eastAsia="Calibri" w:hint="cs"/>
          <w:rtl/>
        </w:rPr>
        <w:t xml:space="preserve">בדיון של ועדת ההיגוי מנובמבר 2022 הועלה נושא זה לראשונה כאחד הנושאים שיש לקבל החלטה בעניינם, והועלתה הצעה בנוגע לאופן השימוש של העובדים ביישום זה. בסיכום הדיון ציינה יו"ר הוועדה כי המשרד </w:t>
      </w:r>
      <w:r w:rsidRPr="003B5D33">
        <w:rPr>
          <w:rFonts w:eastAsia="Calibri"/>
          <w:rtl/>
        </w:rPr>
        <w:t xml:space="preserve">נדרש לגבש מדיניות </w:t>
      </w:r>
      <w:r w:rsidRPr="003B5D33">
        <w:rPr>
          <w:rFonts w:eastAsia="Calibri" w:hint="cs"/>
          <w:rtl/>
        </w:rPr>
        <w:t>ב</w:t>
      </w:r>
      <w:r w:rsidRPr="003B5D33">
        <w:rPr>
          <w:rFonts w:eastAsia="Calibri"/>
          <w:rtl/>
        </w:rPr>
        <w:t>נושא</w:t>
      </w:r>
      <w:r w:rsidRPr="003B5D33">
        <w:rPr>
          <w:rFonts w:eastAsia="Calibri" w:hint="cs"/>
          <w:rtl/>
        </w:rPr>
        <w:t>, והיא הנחתה ל</w:t>
      </w:r>
      <w:r w:rsidRPr="003B5D33">
        <w:rPr>
          <w:rFonts w:eastAsia="Calibri"/>
          <w:rtl/>
        </w:rPr>
        <w:t>זמן דיון ממוקד בראשות</w:t>
      </w:r>
      <w:r w:rsidRPr="003B5D33">
        <w:rPr>
          <w:rFonts w:eastAsia="Calibri" w:hint="cs"/>
          <w:rtl/>
        </w:rPr>
        <w:t>ה</w:t>
      </w:r>
      <w:r w:rsidRPr="003B5D33">
        <w:rPr>
          <w:rFonts w:eastAsia="Calibri"/>
          <w:rtl/>
        </w:rPr>
        <w:t xml:space="preserve"> ולהציג</w:t>
      </w:r>
      <w:r w:rsidRPr="003B5D33">
        <w:rPr>
          <w:rFonts w:eastAsia="Calibri" w:hint="cs"/>
          <w:rtl/>
        </w:rPr>
        <w:t xml:space="preserve"> בו</w:t>
      </w:r>
      <w:r w:rsidRPr="003B5D33">
        <w:rPr>
          <w:rFonts w:eastAsia="Calibri"/>
          <w:rtl/>
        </w:rPr>
        <w:t xml:space="preserve"> את ההחלטות הנדרשות.</w:t>
      </w:r>
      <w:r w:rsidRPr="003B5D33">
        <w:rPr>
          <w:rFonts w:eastAsia="Calibri" w:hint="cs"/>
          <w:rtl/>
        </w:rPr>
        <w:t xml:space="preserve"> בישיבת ועדת ההיגוי ממאי 2023 נמסר לחברי הוועדה כי</w:t>
      </w:r>
      <w:r w:rsidRPr="003B5D33">
        <w:rPr>
          <w:rFonts w:eastAsia="Calibri"/>
          <w:rtl/>
        </w:rPr>
        <w:t xml:space="preserve"> טרם התקבלה החלטה </w:t>
      </w:r>
      <w:r w:rsidRPr="003B5D33">
        <w:rPr>
          <w:rFonts w:eastAsia="Calibri" w:hint="cs"/>
          <w:rtl/>
        </w:rPr>
        <w:t>לגבי</w:t>
      </w:r>
      <w:r w:rsidRPr="003B5D33">
        <w:rPr>
          <w:rFonts w:eastAsia="Calibri"/>
          <w:rtl/>
        </w:rPr>
        <w:t xml:space="preserve"> מדיניות המשרד להנגש</w:t>
      </w:r>
      <w:r w:rsidRPr="003B5D33">
        <w:rPr>
          <w:rFonts w:eastAsia="Calibri" w:hint="cs"/>
          <w:rtl/>
        </w:rPr>
        <w:t>ת היישום</w:t>
      </w:r>
      <w:r w:rsidRPr="003B5D33">
        <w:rPr>
          <w:rFonts w:eastAsia="Calibri"/>
          <w:rtl/>
        </w:rPr>
        <w:t xml:space="preserve"> לעובדים </w:t>
      </w:r>
      <w:r w:rsidRPr="003B5D33">
        <w:rPr>
          <w:rFonts w:eastAsia="Calibri" w:hint="cs"/>
          <w:rtl/>
        </w:rPr>
        <w:t>ו</w:t>
      </w:r>
      <w:r w:rsidRPr="003B5D33">
        <w:rPr>
          <w:rFonts w:eastAsia="Calibri"/>
          <w:rtl/>
        </w:rPr>
        <w:t>נדרשת החלטה ברורה של ההנהלה בנושא.</w:t>
      </w:r>
      <w:r w:rsidRPr="003B5D33">
        <w:rPr>
          <w:rFonts w:eastAsia="Calibri" w:hint="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נמצא כי אף שכבר בשנת 2022 הועלה נושא השימוש של העובדים</w:t>
      </w:r>
      <w:r w:rsidRPr="003B5D33">
        <w:rPr>
          <w:rFonts w:eastAsia="Calibri"/>
          <w:b/>
          <w:bCs/>
          <w:rtl/>
        </w:rPr>
        <w:t xml:space="preserve"> ביישום </w:t>
      </w:r>
      <w:r w:rsidRPr="003B5D33">
        <w:rPr>
          <w:rFonts w:eastAsia="Calibri" w:hint="cs"/>
          <w:b/>
          <w:bCs/>
          <w:rtl/>
        </w:rPr>
        <w:t xml:space="preserve">זה, ועדת ההיגוי לא דנה בנושא ונכון ליולי 2025 </w:t>
      </w:r>
      <w:r w:rsidRPr="003B5D33">
        <w:rPr>
          <w:rFonts w:eastAsia="Calibri"/>
          <w:b/>
          <w:bCs/>
          <w:rtl/>
        </w:rPr>
        <w:t xml:space="preserve">לא התקבלה </w:t>
      </w:r>
      <w:r w:rsidRPr="003B5D33">
        <w:rPr>
          <w:rFonts w:eastAsia="Calibri" w:hint="cs"/>
          <w:b/>
          <w:bCs/>
          <w:rtl/>
        </w:rPr>
        <w:t>החלטה בעניינו ומשכך לא ניתנו הנחיות לעובדים בנושא</w:t>
      </w:r>
      <w:r w:rsidRPr="003B5D33">
        <w:rPr>
          <w:rFonts w:eastAsia="Calibri"/>
          <w:b/>
          <w:bCs/>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Times New Roman" w:hint="cs"/>
          <w:bCs/>
          <w:spacing w:val="40"/>
          <w:rtl/>
        </w:rPr>
        <w:t>הגנת הפרטיות</w:t>
      </w:r>
      <w:r w:rsidRPr="003B5D33">
        <w:rPr>
          <w:rFonts w:eastAsia="Times New Roman"/>
          <w:bCs/>
          <w:spacing w:val="40"/>
          <w:rtl/>
        </w:rPr>
        <w:t>:</w:t>
      </w:r>
      <w:r w:rsidRPr="003B5D33">
        <w:rPr>
          <w:rFonts w:eastAsia="Calibri" w:hint="cs"/>
          <w:rtl/>
        </w:rPr>
        <w:t xml:space="preserve"> במסמך המדיניות להגנה על הסייבר מאפריל 2018 צוין כי </w:t>
      </w:r>
      <w:r w:rsidRPr="003B5D33">
        <w:rPr>
          <w:rFonts w:eastAsia="Calibri"/>
          <w:rtl/>
        </w:rPr>
        <w:t>הנהלת המשרד מחויבת להגן על</w:t>
      </w:r>
      <w:r w:rsidRPr="003B5D33">
        <w:rPr>
          <w:rFonts w:eastAsia="Calibri" w:hint="cs"/>
          <w:rtl/>
        </w:rPr>
        <w:t xml:space="preserve"> מידע </w:t>
      </w:r>
      <w:r w:rsidRPr="003B5D33">
        <w:rPr>
          <w:rFonts w:eastAsia="Calibri"/>
          <w:rtl/>
        </w:rPr>
        <w:t xml:space="preserve">על עובדים </w:t>
      </w:r>
      <w:r w:rsidRPr="003B5D33">
        <w:rPr>
          <w:rFonts w:eastAsia="Calibri" w:hint="cs"/>
          <w:rtl/>
        </w:rPr>
        <w:t>שהוא</w:t>
      </w:r>
      <w:r w:rsidRPr="003B5D33">
        <w:rPr>
          <w:rFonts w:eastAsia="Calibri"/>
          <w:rtl/>
        </w:rPr>
        <w:t xml:space="preserve"> בגדר צנעת הפרט בהתאם להוראות הדין, לרבות תקנות הגנת הפרטיות</w:t>
      </w:r>
      <w:r w:rsidRPr="003B5D33">
        <w:rPr>
          <w:rFonts w:eastAsia="Calibri" w:hint="cs"/>
          <w:rtl/>
        </w:rPr>
        <w:t>. בישיבת ועדת ההיגוי להגנת הסייבר מפברואר 2020 שדנה בממצאי סקר שבחן את עמידת המאגר הקונסולרי ב</w:t>
      </w:r>
      <w:r w:rsidRPr="003B5D33">
        <w:rPr>
          <w:rFonts w:eastAsia="Calibri"/>
          <w:rtl/>
        </w:rPr>
        <w:t xml:space="preserve">תקנות הגנת הפרטיות (אבטחת מידע), </w:t>
      </w:r>
      <w:r w:rsidRPr="003B5D33">
        <w:rPr>
          <w:rFonts w:eastAsia="Calibri" w:hint="cs"/>
          <w:rtl/>
        </w:rPr>
        <w:t>ה</w:t>
      </w:r>
      <w:r w:rsidRPr="003B5D33">
        <w:rPr>
          <w:rFonts w:eastAsia="Calibri"/>
          <w:rtl/>
        </w:rPr>
        <w:t>תשע"ז-2017</w:t>
      </w:r>
      <w:r w:rsidRPr="003B5D33">
        <w:rPr>
          <w:rFonts w:eastAsia="Calibri" w:hint="cs"/>
          <w:rtl/>
        </w:rPr>
        <w:t xml:space="preserve"> צוין כי </w:t>
      </w:r>
      <w:r w:rsidRPr="003B5D33">
        <w:rPr>
          <w:rFonts w:eastAsia="Calibri"/>
          <w:rtl/>
        </w:rPr>
        <w:t>למשרד פערים לעמידה בתקנות בכלל המאגרים</w:t>
      </w:r>
      <w:r w:rsidRPr="003B5D33">
        <w:rPr>
          <w:rFonts w:eastAsia="Calibri" w:hint="cs"/>
          <w:rtl/>
        </w:rPr>
        <w:t xml:space="preserve"> שברשותו ויש לגבש תוכנית לעמידת כלל מאגרי המשרד בתקנות אבטחת המידע עד לסוף שנת 2021 לרבות ביצוע סקרי סיכונים גם למאגרים אלו.</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הועלה כי אף שוועדת ההיגוי עסקה בהגנה על מאגרי מידע שבהם מידע פרטי בשנים 2020 - 2023, נכון לאוקטובר 2024 </w:t>
      </w:r>
      <w:r w:rsidRPr="003B5D33">
        <w:rPr>
          <w:rFonts w:eastAsia="Calibri"/>
          <w:b/>
          <w:bCs/>
          <w:rtl/>
        </w:rPr>
        <w:t xml:space="preserve">לא בוצעו סקרי </w:t>
      </w:r>
      <w:r w:rsidRPr="003B5D33">
        <w:rPr>
          <w:rFonts w:eastAsia="Calibri" w:hint="cs"/>
          <w:b/>
          <w:bCs/>
          <w:rtl/>
        </w:rPr>
        <w:t xml:space="preserve">הערכת </w:t>
      </w:r>
      <w:r w:rsidRPr="003B5D33">
        <w:rPr>
          <w:rFonts w:eastAsia="Calibri"/>
          <w:b/>
          <w:bCs/>
          <w:rtl/>
        </w:rPr>
        <w:t xml:space="preserve">סיכונים </w:t>
      </w:r>
      <w:r w:rsidRPr="003B5D33">
        <w:rPr>
          <w:rFonts w:eastAsia="Calibri" w:hint="cs"/>
          <w:b/>
          <w:bCs/>
          <w:rtl/>
        </w:rPr>
        <w:t>(להלן - סקרי סיכונים)</w:t>
      </w:r>
      <w:r w:rsidRPr="003B5D33">
        <w:rPr>
          <w:rFonts w:eastAsia="Calibri" w:hint="cs"/>
          <w:b/>
          <w:bCs/>
        </w:rPr>
        <w:t xml:space="preserve"> </w:t>
      </w:r>
      <w:r w:rsidRPr="003B5D33">
        <w:rPr>
          <w:rFonts w:eastAsia="Calibri"/>
          <w:b/>
          <w:bCs/>
          <w:rtl/>
        </w:rPr>
        <w:t>ל</w:t>
      </w:r>
      <w:r w:rsidRPr="003B5D33">
        <w:rPr>
          <w:rFonts w:eastAsia="Calibri" w:hint="cs"/>
          <w:b/>
          <w:bCs/>
          <w:rtl/>
        </w:rPr>
        <w:t xml:space="preserve">גבי </w:t>
      </w:r>
      <w:r w:rsidRPr="003B5D33">
        <w:rPr>
          <w:rFonts w:eastAsia="Calibri"/>
          <w:b/>
          <w:bCs/>
          <w:rtl/>
        </w:rPr>
        <w:t>מאגרי מידע שברשות משרד</w:t>
      </w:r>
      <w:r w:rsidRPr="003B5D33">
        <w:rPr>
          <w:rFonts w:eastAsia="Calibri" w:hint="cs"/>
          <w:b/>
          <w:bCs/>
          <w:rtl/>
        </w:rPr>
        <w:t xml:space="preserve"> החוץ (מלבד המאגר הקונסולרי),</w:t>
      </w:r>
      <w:r w:rsidRPr="003B5D33">
        <w:rPr>
          <w:rFonts w:eastAsia="Calibri"/>
          <w:b/>
          <w:bCs/>
          <w:rtl/>
        </w:rPr>
        <w:t xml:space="preserve"> ולא </w:t>
      </w:r>
      <w:r w:rsidRPr="003B5D33">
        <w:rPr>
          <w:rFonts w:eastAsia="Calibri" w:hint="cs"/>
          <w:b/>
          <w:bCs/>
          <w:rtl/>
        </w:rPr>
        <w:t xml:space="preserve">הוכנה תוכנית לעמידה בתקנות הגנת הפרטיות בעניינם.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ציין בתשובתו מאוקטובר 2025 בנוגע ל</w:t>
      </w:r>
      <w:r w:rsidRPr="003B5D33">
        <w:rPr>
          <w:rFonts w:eastAsia="Calibri"/>
          <w:rtl/>
        </w:rPr>
        <w:t>מדיניות המשרד בנו</w:t>
      </w:r>
      <w:r w:rsidRPr="003B5D33">
        <w:rPr>
          <w:rFonts w:eastAsia="Calibri" w:hint="cs"/>
          <w:rtl/>
        </w:rPr>
        <w:t>שא</w:t>
      </w:r>
      <w:r w:rsidRPr="003B5D33">
        <w:rPr>
          <w:rFonts w:eastAsia="Calibri"/>
          <w:rtl/>
        </w:rPr>
        <w:t xml:space="preserve"> שימוש העובדים ביישום </w:t>
      </w:r>
      <w:r w:rsidRPr="003B5D33">
        <w:rPr>
          <w:rFonts w:eastAsia="Calibri" w:hint="cs"/>
          <w:rtl/>
        </w:rPr>
        <w:t xml:space="preserve">המסוים, כי </w:t>
      </w:r>
      <w:r w:rsidRPr="003B5D33">
        <w:rPr>
          <w:rFonts w:eastAsia="Calibri"/>
          <w:rtl/>
        </w:rPr>
        <w:t>בו</w:t>
      </w:r>
      <w:r w:rsidRPr="003B5D33">
        <w:rPr>
          <w:rFonts w:eastAsia="Calibri" w:hint="cs"/>
          <w:rtl/>
        </w:rPr>
        <w:t>ו</w:t>
      </w:r>
      <w:r w:rsidRPr="003B5D33">
        <w:rPr>
          <w:rFonts w:eastAsia="Calibri"/>
          <w:rtl/>
        </w:rPr>
        <w:t xml:space="preserve">עדת ההיגוי הקרובה תוצג מדיניות עדכנית לרבות התייחסות חוזרת ליישום </w:t>
      </w:r>
      <w:r w:rsidRPr="003B5D33">
        <w:rPr>
          <w:rFonts w:eastAsia="Calibri" w:hint="cs"/>
          <w:rtl/>
        </w:rPr>
        <w:t xml:space="preserve">זה.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ועדת ההיגוי להגנת הסייבר אמורה לשמש מסגרת ארגונית ניהולית לקבלת החלטות בתחום הגנת הסייבר ולמעקב אחר יישומן. </w:t>
      </w:r>
      <w:bookmarkStart w:id="49" w:name="_Hlk203655099"/>
      <w:r w:rsidRPr="003B5D33">
        <w:rPr>
          <w:rFonts w:eastAsia="Calibri" w:hint="cs"/>
          <w:b/>
          <w:bCs/>
          <w:rtl/>
        </w:rPr>
        <w:t>בביקורת עלה כי ועדת ההיגוי במשרד החוץ לא עקבה באופן שיטתי ורציף אחר יישום החלטות שקיבלה בנוגע לנושאים מהותיים. היעדר מעקב אחר יישום החלטות שנועדו לקדם טיפול בסוגיות אבטחת מידע חושף את המשרד לסיכונים ופוגע ביכולת לשפר את רמת ההגנה על המשרד ונכסיו.</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על ועדת ההיגוי להגנת הסייבר לעקוב באופן שיטתי ורציף אחר קידום נושאים שנדונו בישיבותיה ולקבל החלטות בנושאים מהותיים שנדרשת הכרעה בהם כדי לשפר את רמת ההגנה על הסייבר במשרד החוץ ולוודא כי המשרד עומד בדרישות הגורמים המנחים.</w:t>
      </w:r>
    </w:p>
    <w:bookmarkEnd w:id="49"/>
    <w:p w:rsidR="003B5D33" w:rsidRPr="003B5D33" w:rsidP="003B5D33">
      <w:pPr>
        <w:spacing w:line="269" w:lineRule="auto"/>
        <w:rPr>
          <w:rFonts w:eastAsia="Times New Roman"/>
          <w:bCs/>
          <w:szCs w:val="26"/>
          <w:rtl/>
        </w:rPr>
      </w:pPr>
    </w:p>
    <w:p w:rsidR="003B5D33" w:rsidRPr="003B5D33" w:rsidP="003B5D33">
      <w:pPr>
        <w:keepNext/>
        <w:keepLines/>
        <w:spacing w:line="269" w:lineRule="auto"/>
        <w:outlineLvl w:val="2"/>
        <w:rPr>
          <w:rFonts w:eastAsia="Times New Roman"/>
          <w:bCs/>
          <w:szCs w:val="28"/>
          <w:u w:val="single"/>
          <w:rtl/>
        </w:rPr>
      </w:pPr>
      <w:bookmarkStart w:id="50" w:name="_Toc218592804"/>
      <w:bookmarkStart w:id="51" w:name="_Hlk203655112"/>
      <w:r w:rsidRPr="003B5D33">
        <w:rPr>
          <w:rFonts w:eastAsia="Times New Roman" w:hint="cs"/>
          <w:bCs/>
          <w:szCs w:val="28"/>
          <w:u w:val="single"/>
          <w:rtl/>
        </w:rPr>
        <w:t>ביצוע סקרי סיכונים ומבדקי חדירה</w:t>
      </w:r>
      <w:bookmarkEnd w:id="50"/>
    </w:p>
    <w:bookmarkEnd w:id="51"/>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על פי הנחיית יה"ב, סקר הערכת סיכונים (להלן - סקר סיכונים) הוא תהליך שיטתי שמטרתו לזהות נכסים, תהליכי מידע ואיומים הנשקפים להם, להעריך את הסיכון הנובע מהם ולזהות את הבקרות הנדרשות לצמצום הסיכונים, תוך התחשבות בסבירות ההתממשות והנזק הפוטנציאלי כתוצאה מכך. בכל הנוגע לעולם הסייבר ומערכות המידע, הסיכון שנדרש להעריך בסקר סיכונים </w:t>
      </w:r>
      <w:r w:rsidRPr="003B5D33">
        <w:rPr>
          <w:rFonts w:eastAsia="Calibri"/>
          <w:rtl/>
        </w:rPr>
        <w:t>מוגדר כאפשרות לחשיפה לפגיעה או לפגיעה ממשית וגרימת נזק לנכסי המידע</w:t>
      </w:r>
      <w:r>
        <w:rPr>
          <w:rFonts w:eastAsia="Calibri"/>
          <w:vertAlign w:val="superscript"/>
          <w:rtl/>
        </w:rPr>
        <w:footnoteReference w:id="96"/>
      </w:r>
      <w:r w:rsidRPr="003B5D33">
        <w:rPr>
          <w:rFonts w:eastAsia="Calibri"/>
          <w:rtl/>
        </w:rPr>
        <w:t xml:space="preserve"> כתוצאה מניצול פגיעות </w:t>
      </w:r>
      <w:r w:rsidRPr="003B5D33">
        <w:rPr>
          <w:rFonts w:eastAsia="Calibri" w:hint="cs"/>
          <w:rtl/>
        </w:rPr>
        <w:t xml:space="preserve">או </w:t>
      </w:r>
      <w:r w:rsidRPr="003B5D33">
        <w:rPr>
          <w:rFonts w:eastAsia="Calibri"/>
          <w:rtl/>
        </w:rPr>
        <w:t>חולשה</w:t>
      </w:r>
      <w:r w:rsidRPr="003B5D33">
        <w:rPr>
          <w:rFonts w:eastAsia="Calibri" w:hint="cs"/>
          <w:rtl/>
        </w:rPr>
        <w:t xml:space="preserve"> הקיימות בנכסי המידע. מקובל לאמוד תחילה את הסיכון המובנה הקיים בנכס מידע או בתהליך מידע ללא התחשבות בבקרות כלשהן, וכן את הסיכון השיורי שנותר לאחר התחשבות בבקרות הקיימות. בתרשים מוצגים השלבים הכלולים בסקר הערכת הסיכונים על נכסי המידע, אשר עשויים לגרום נזק לתפקודו התקין של המשרד. </w:t>
      </w:r>
    </w:p>
    <w:p w:rsidR="003B5D33" w:rsidRPr="003B5D33" w:rsidP="003B5D33">
      <w:pPr>
        <w:spacing w:line="269" w:lineRule="auto"/>
        <w:rPr>
          <w:rFonts w:eastAsia="Calibri"/>
          <w:rtl/>
        </w:rPr>
      </w:pPr>
    </w:p>
    <w:p w:rsidR="003B5D33" w:rsidRPr="003B5D33" w:rsidP="00FD1373">
      <w:pPr>
        <w:keepNext/>
        <w:keepLines/>
        <w:spacing w:line="269" w:lineRule="auto"/>
        <w:jc w:val="center"/>
        <w:rPr>
          <w:rFonts w:eastAsia="Calibri"/>
          <w:b/>
          <w:bCs/>
          <w:rtl/>
        </w:rPr>
      </w:pPr>
      <w:r w:rsidRPr="003B5D33">
        <w:rPr>
          <w:rFonts w:eastAsia="Calibri" w:hint="eastAsia"/>
          <w:rtl/>
        </w:rPr>
        <w:t>תרשים</w:t>
      </w:r>
      <w:r w:rsidRPr="003B5D33">
        <w:rPr>
          <w:rFonts w:eastAsia="Calibri"/>
          <w:rtl/>
        </w:rPr>
        <w:t xml:space="preserve"> </w:t>
      </w:r>
      <w:r w:rsidRPr="003B5D33">
        <w:rPr>
          <w:rFonts w:eastAsia="Calibri" w:hint="cs"/>
          <w:rtl/>
        </w:rPr>
        <w:t>8</w:t>
      </w:r>
      <w:r w:rsidRPr="003B5D33">
        <w:rPr>
          <w:rFonts w:eastAsia="Calibri"/>
          <w:rtl/>
        </w:rPr>
        <w:t>:</w:t>
      </w:r>
      <w:r w:rsidRPr="003B5D33">
        <w:rPr>
          <w:rFonts w:eastAsia="Calibri" w:hint="cs"/>
          <w:b/>
          <w:bCs/>
          <w:rtl/>
        </w:rPr>
        <w:t xml:space="preserve"> שלבי הביצוע של סקר הערכת סיכונים</w:t>
      </w:r>
    </w:p>
    <w:p w:rsidR="003B5D33" w:rsidRPr="003B5D33" w:rsidP="003B5D33">
      <w:pPr>
        <w:spacing w:line="269" w:lineRule="auto"/>
        <w:ind w:left="-567" w:firstLine="927"/>
        <w:jc w:val="left"/>
        <w:rPr>
          <w:rFonts w:eastAsia="Calibri"/>
          <w:szCs w:val="20"/>
          <w:rtl/>
        </w:rPr>
      </w:pPr>
      <w:r w:rsidRPr="003B5D33">
        <w:rPr>
          <w:rFonts w:eastAsia="Calibri"/>
          <w:noProof/>
        </w:rPr>
        <w:drawing>
          <wp:inline distT="0" distB="0" distL="0" distR="0">
            <wp:extent cx="4479925" cy="4146188"/>
            <wp:effectExtent l="0" t="0" r="0" b="6985"/>
            <wp:docPr id="12" name="תמונה 12" descr="1. מיפוי תהליכי עבודה ונכסי מידע.&#10;2. הערכת המידה שבה תהליכי העבודה ונכסי המידע קריטיים לפעילות הארגון.&#10;3. מיפוי מערכות הגנה ומיפוי בקרות קיימות ומידת נחיצותן.&#10;4. מיפוי פגיעויות ואיומים על נכסי המידע של הארגון מצד הטכנולוגיה, מצד האנשים ומצד תהליכי העבודה.&#10;5. קביעת רמת ההגנה הנדרשת על נכסי המידע, בהתאם למדיניות אבטחת המידע של הארגון ודרישות המאסדרים.&#10;6. ניתוח הפער בין רמת ההגנה הנדרשת לזו הקיימת בפועל והגדרת הסיכונים.&#10;7. קביעת תוכנית עבודה לטיפול בסיכו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9"/>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rcRect t="2979"/>
                    <a:stretch>
                      <a:fillRect/>
                    </a:stretch>
                  </pic:blipFill>
                  <pic:spPr bwMode="auto">
                    <a:xfrm>
                      <a:off x="0" y="0"/>
                      <a:ext cx="4499755" cy="416454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3B5D33" w:rsidRPr="003B5D33" w:rsidP="003B5D33">
      <w:pPr>
        <w:spacing w:line="269" w:lineRule="auto"/>
        <w:jc w:val="left"/>
        <w:rPr>
          <w:rFonts w:eastAsia="Calibri"/>
          <w:szCs w:val="20"/>
          <w:rtl/>
        </w:rPr>
      </w:pPr>
      <w:r w:rsidRPr="003B5D33">
        <w:rPr>
          <w:rFonts w:eastAsia="Calibri" w:hint="eastAsia"/>
          <w:szCs w:val="20"/>
          <w:rtl/>
        </w:rPr>
        <w:t>על</w:t>
      </w:r>
      <w:r w:rsidRPr="003B5D33">
        <w:rPr>
          <w:rFonts w:eastAsia="Calibri"/>
          <w:szCs w:val="20"/>
          <w:rtl/>
        </w:rPr>
        <w:t xml:space="preserve"> </w:t>
      </w:r>
      <w:r w:rsidRPr="003B5D33">
        <w:rPr>
          <w:rFonts w:eastAsia="Calibri" w:hint="eastAsia"/>
          <w:szCs w:val="20"/>
          <w:rtl/>
        </w:rPr>
        <w:t>פי</w:t>
      </w:r>
      <w:r w:rsidRPr="003B5D33">
        <w:rPr>
          <w:rFonts w:eastAsia="Calibri"/>
          <w:szCs w:val="20"/>
          <w:rtl/>
        </w:rPr>
        <w:t xml:space="preserve"> הנחיית יה"ב </w:t>
      </w:r>
      <w:r w:rsidRPr="003B5D33">
        <w:rPr>
          <w:rFonts w:eastAsia="Calibri" w:hint="eastAsia"/>
          <w:szCs w:val="20"/>
          <w:rtl/>
        </w:rPr>
        <w:t>בעיבוד</w:t>
      </w:r>
      <w:r w:rsidRPr="003B5D33">
        <w:rPr>
          <w:rFonts w:eastAsia="Calibri"/>
          <w:szCs w:val="20"/>
          <w:rtl/>
        </w:rPr>
        <w:t xml:space="preserve"> </w:t>
      </w:r>
      <w:r w:rsidRPr="003B5D33">
        <w:rPr>
          <w:rFonts w:eastAsia="Calibri" w:hint="eastAsia"/>
          <w:szCs w:val="20"/>
          <w:rtl/>
        </w:rPr>
        <w:t>משרד</w:t>
      </w:r>
      <w:r w:rsidRPr="003B5D33">
        <w:rPr>
          <w:rFonts w:eastAsia="Calibri"/>
          <w:szCs w:val="20"/>
          <w:rtl/>
        </w:rPr>
        <w:t xml:space="preserve"> </w:t>
      </w:r>
      <w:r w:rsidRPr="003B5D33">
        <w:rPr>
          <w:rFonts w:eastAsia="Calibri" w:hint="eastAsia"/>
          <w:szCs w:val="20"/>
          <w:rtl/>
        </w:rPr>
        <w:t>מבקר</w:t>
      </w:r>
      <w:r w:rsidRPr="003B5D33">
        <w:rPr>
          <w:rFonts w:eastAsia="Calibri"/>
          <w:szCs w:val="20"/>
          <w:rtl/>
        </w:rPr>
        <w:t xml:space="preserve"> </w:t>
      </w:r>
      <w:r w:rsidRPr="003B5D33">
        <w:rPr>
          <w:rFonts w:eastAsia="Calibri" w:hint="eastAsia"/>
          <w:szCs w:val="20"/>
          <w:rtl/>
        </w:rPr>
        <w:t>המדינה</w:t>
      </w:r>
      <w:r w:rsidRPr="003B5D33">
        <w:rPr>
          <w:rFonts w:eastAsia="Calibri"/>
          <w:szCs w:val="20"/>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על פי הנחי</w:t>
      </w:r>
      <w:r w:rsidRPr="003B5D33">
        <w:rPr>
          <w:rFonts w:eastAsia="Calibri" w:hint="cs"/>
          <w:rtl/>
        </w:rPr>
        <w:t>י</w:t>
      </w:r>
      <w:r w:rsidRPr="003B5D33">
        <w:rPr>
          <w:rFonts w:eastAsia="Calibri"/>
          <w:rtl/>
        </w:rPr>
        <w:t xml:space="preserve">ת יה"ב, על משרד ממשלתי לבצע סקר סיכונים </w:t>
      </w:r>
      <w:r w:rsidRPr="003B5D33">
        <w:rPr>
          <w:rFonts w:eastAsia="Calibri" w:hint="cs"/>
          <w:rtl/>
        </w:rPr>
        <w:t xml:space="preserve">כולל </w:t>
      </w:r>
      <w:r w:rsidRPr="003B5D33">
        <w:rPr>
          <w:rFonts w:eastAsia="Calibri"/>
          <w:rtl/>
        </w:rPr>
        <w:t>במערכות המידע שלו, לכל הפחות אחת ל-36 חודשים</w:t>
      </w:r>
      <w:r w:rsidRPr="003B5D33">
        <w:rPr>
          <w:rFonts w:eastAsia="Calibri" w:hint="cs"/>
          <w:rtl/>
        </w:rPr>
        <w:t>,</w:t>
      </w:r>
      <w:r w:rsidRPr="003B5D33">
        <w:rPr>
          <w:rFonts w:eastAsia="Calibri"/>
          <w:rtl/>
        </w:rPr>
        <w:t xml:space="preserve"> ולתקף את ממצאי הסקר לפחות אחת ל-18 חודשים. סקר הסיכונים </w:t>
      </w:r>
      <w:r w:rsidRPr="003B5D33">
        <w:rPr>
          <w:rFonts w:eastAsia="Calibri" w:hint="cs"/>
          <w:rtl/>
        </w:rPr>
        <w:t>ישמש</w:t>
      </w:r>
      <w:r w:rsidRPr="003B5D33">
        <w:rPr>
          <w:rFonts w:eastAsia="Calibri"/>
          <w:rtl/>
        </w:rPr>
        <w:t xml:space="preserve"> עבור המשרד בסיס לבניית ת</w:t>
      </w:r>
      <w:r w:rsidRPr="003B5D33">
        <w:rPr>
          <w:rFonts w:eastAsia="Calibri" w:hint="cs"/>
          <w:rtl/>
        </w:rPr>
        <w:t>ו</w:t>
      </w:r>
      <w:r w:rsidRPr="003B5D33">
        <w:rPr>
          <w:rFonts w:eastAsia="Calibri"/>
          <w:rtl/>
        </w:rPr>
        <w:t xml:space="preserve">כנית עבודה רב-שנתית ושנתית. במקרים מיוחדים, כגון שינוי </w:t>
      </w:r>
      <w:r w:rsidRPr="003B5D33">
        <w:rPr>
          <w:rFonts w:eastAsia="Calibri" w:hint="cs"/>
          <w:rtl/>
        </w:rPr>
        <w:t>מהותי</w:t>
      </w:r>
      <w:r w:rsidRPr="003B5D33">
        <w:rPr>
          <w:rFonts w:eastAsia="Calibri"/>
          <w:rtl/>
        </w:rPr>
        <w:t xml:space="preserve"> בסביבה הטכנולוגית או בתהליכי העבודה, על המשרד לבצע סקר סיכונים נוסף.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מהנחיות הגורמים המנחים</w:t>
      </w:r>
      <w:r w:rsidRPr="003B5D33">
        <w:rPr>
          <w:rFonts w:eastAsia="Calibri"/>
          <w:rtl/>
        </w:rPr>
        <w:t xml:space="preserve"> עולה כי תפקידי ועדת ההיגוי הם בין השאר</w:t>
      </w:r>
      <w:r w:rsidRPr="003B5D33">
        <w:rPr>
          <w:rFonts w:eastAsia="Calibri" w:hint="cs"/>
          <w:rtl/>
        </w:rPr>
        <w:t xml:space="preserve"> בחינה, תיקוף</w:t>
      </w:r>
      <w:r w:rsidRPr="003B5D33">
        <w:rPr>
          <w:rFonts w:eastAsia="Calibri"/>
          <w:rtl/>
        </w:rPr>
        <w:t xml:space="preserve"> </w:t>
      </w:r>
      <w:r w:rsidRPr="003B5D33">
        <w:rPr>
          <w:rFonts w:eastAsia="Calibri" w:hint="cs"/>
          <w:rtl/>
        </w:rPr>
        <w:t>ו</w:t>
      </w:r>
      <w:r w:rsidRPr="003B5D33">
        <w:rPr>
          <w:rFonts w:eastAsia="Calibri"/>
          <w:rtl/>
        </w:rPr>
        <w:t>א</w:t>
      </w:r>
      <w:r w:rsidRPr="003B5D33">
        <w:rPr>
          <w:rFonts w:eastAsia="Calibri" w:hint="cs"/>
          <w:rtl/>
        </w:rPr>
        <w:t>י</w:t>
      </w:r>
      <w:r w:rsidRPr="003B5D33">
        <w:rPr>
          <w:rFonts w:eastAsia="Calibri"/>
          <w:rtl/>
        </w:rPr>
        <w:t>ש</w:t>
      </w:r>
      <w:r w:rsidRPr="003B5D33">
        <w:rPr>
          <w:rFonts w:eastAsia="Calibri" w:hint="cs"/>
          <w:rtl/>
        </w:rPr>
        <w:t>ו</w:t>
      </w:r>
      <w:r w:rsidRPr="003B5D33">
        <w:rPr>
          <w:rFonts w:eastAsia="Calibri"/>
          <w:rtl/>
        </w:rPr>
        <w:t>ר</w:t>
      </w:r>
      <w:r w:rsidRPr="003B5D33">
        <w:rPr>
          <w:rFonts w:eastAsia="Calibri" w:hint="cs"/>
          <w:rtl/>
        </w:rPr>
        <w:t xml:space="preserve"> של</w:t>
      </w:r>
      <w:r w:rsidRPr="003B5D33">
        <w:rPr>
          <w:rFonts w:eastAsia="Calibri"/>
          <w:rtl/>
        </w:rPr>
        <w:t xml:space="preserve"> מפת סיכונים משרדית</w:t>
      </w:r>
      <w:r w:rsidRPr="003B5D33">
        <w:rPr>
          <w:rFonts w:eastAsia="Calibri" w:hint="cs"/>
          <w:rtl/>
        </w:rPr>
        <w:t xml:space="preserve"> כפי שהיא עולה מסקר הסיכונים המשרדי, התעדכנות בסיכונים ובאיומים הנוגעים למשרד, פיקוח על ניהול סיכוני סייבר המבוצע במשרד וקבלת החלטות בנוגע לצורך בביצוע שינויים בעקרונות הגנת הסייבר.</w:t>
      </w:r>
    </w:p>
    <w:p w:rsidR="003B5D33" w:rsidRPr="003B5D33" w:rsidP="003B5D33">
      <w:pPr>
        <w:spacing w:line="269" w:lineRule="auto"/>
        <w:rPr>
          <w:rFonts w:eastAsia="Calibri"/>
          <w:rtl/>
        </w:rPr>
      </w:pPr>
      <w:bookmarkStart w:id="52" w:name="_Hlk220576198"/>
    </w:p>
    <w:p w:rsidR="003B5D33" w:rsidRPr="003B5D33" w:rsidP="003B5D33">
      <w:pPr>
        <w:spacing w:line="269" w:lineRule="auto"/>
        <w:rPr>
          <w:rFonts w:eastAsia="Calibri"/>
          <w:rtl/>
        </w:rPr>
      </w:pPr>
      <w:r w:rsidRPr="003B5D33">
        <w:rPr>
          <w:rFonts w:eastAsia="Calibri" w:hint="cs"/>
          <w:rtl/>
        </w:rPr>
        <w:t>משרד מבקר המדינה בחן את סקרי הסיכונים שביצע משרד החוץ בשנים 2017 - 2024</w:t>
      </w:r>
      <w:r w:rsidRPr="003B5D33">
        <w:rPr>
          <w:rFonts w:eastAsia="Calibri"/>
          <w:rtl/>
        </w:rPr>
        <w:t xml:space="preserve"> </w:t>
      </w:r>
      <w:r w:rsidRPr="003B5D33">
        <w:rPr>
          <w:rFonts w:eastAsia="Calibri" w:hint="cs"/>
          <w:rtl/>
        </w:rPr>
        <w:t>ולהלן הממצאים שהועלו</w:t>
      </w:r>
      <w:bookmarkEnd w:id="52"/>
      <w:r w:rsidRPr="003B5D33">
        <w:rPr>
          <w:rFonts w:eastAsia="Calibri" w:hint="cs"/>
          <w:rtl/>
        </w:rPr>
        <w:t>.</w:t>
      </w:r>
    </w:p>
    <w:p w:rsidR="003B5D33" w:rsidRPr="003B5D33" w:rsidP="003B5D33">
      <w:pPr>
        <w:spacing w:line="269" w:lineRule="auto"/>
        <w:ind w:left="312"/>
        <w:contextualSpacing/>
        <w:rPr>
          <w:rFonts w:eastAsia="Calibri"/>
          <w:b/>
          <w:bCs/>
        </w:rPr>
      </w:pPr>
    </w:p>
    <w:p w:rsidR="003B5D33" w:rsidRPr="003B5D33" w:rsidP="003B5D33">
      <w:pPr>
        <w:numPr>
          <w:ilvl w:val="0"/>
          <w:numId w:val="42"/>
        </w:numPr>
        <w:spacing w:line="269" w:lineRule="auto"/>
        <w:contextualSpacing/>
        <w:rPr>
          <w:rFonts w:eastAsia="Calibri"/>
          <w:b/>
          <w:bCs/>
        </w:rPr>
      </w:pPr>
      <w:r w:rsidRPr="003B5D33">
        <w:rPr>
          <w:rFonts w:eastAsia="Times New Roman" w:hint="cs"/>
          <w:bCs/>
          <w:spacing w:val="40"/>
          <w:rtl/>
        </w:rPr>
        <w:t>ביצוע סקר סיכוני סייבר כולל</w:t>
      </w:r>
      <w:r w:rsidRPr="003B5D33">
        <w:rPr>
          <w:rFonts w:eastAsia="Calibri" w:hint="cs"/>
          <w:b/>
          <w:bCs/>
          <w:rtl/>
        </w:rPr>
        <w:t>: נמצא כי בשנים 2017 - 2024 ערך המשרד כמה סקרי סיכונים כוללים שהוצגו לוועדת ההיגוי, אולם סקרים אלו היו חלקיים בלבד ולא כללו את כל רשתות המחשוב במשרד או שחסרו בהם חלק מהרכיבים הנדרשים לביצוע סקר סיכונים. כך למשל: בשנים 2017 ו-2019 ביצע המשרד סקרי סיכונים רק על חלק מרשתות המשרד, הסקרים בוצעו בחלק מיחידות המשרד; הסקר משנת 2017 העריך רק את הסיכון המובנה ולא את הסיכון השיורי, ובסקר משנת 2019 הוערכו סיכונים רוחביים במשרד ולא סיכונים לכל נכס מידע</w:t>
      </w:r>
      <w:r>
        <w:rPr>
          <w:rFonts w:eastAsia="Calibri"/>
          <w:vertAlign w:val="superscript"/>
          <w:rtl/>
        </w:rPr>
        <w:footnoteReference w:id="97"/>
      </w:r>
      <w:r w:rsidRPr="003B5D33">
        <w:rPr>
          <w:rFonts w:eastAsia="Calibri" w:hint="cs"/>
          <w:b/>
          <w:bCs/>
          <w:rtl/>
        </w:rPr>
        <w:t xml:space="preserve">; בשנת 2021 ערך אגף התקשוב סקר סיכונים שכלל 41 סיכונים רוחביים והוכנה תוכנית להפחתתם, עם זאת הסקר לא עסק בנכסי מידע ספציפיים. בשנת </w:t>
      </w:r>
      <w:r w:rsidRPr="003B5D33">
        <w:rPr>
          <w:rFonts w:eastAsia="Calibri" w:hint="cs"/>
          <w:b/>
          <w:bCs/>
          <w:rtl/>
        </w:rPr>
        <w:t>2024 נערך מיפוי נכסים בכל רשתות המשרד,</w:t>
      </w:r>
      <w:r w:rsidRPr="003B5D33">
        <w:rPr>
          <w:rFonts w:eastAsia="Calibri"/>
          <w:b/>
          <w:bCs/>
          <w:rtl/>
        </w:rPr>
        <w:t xml:space="preserve"> שבדק את מידת הקריטיות של כל נכס או תהליך לפעילות המשרד</w:t>
      </w:r>
      <w:r w:rsidRPr="003B5D33">
        <w:rPr>
          <w:rFonts w:eastAsia="Calibri" w:hint="cs"/>
          <w:b/>
          <w:bCs/>
          <w:rtl/>
        </w:rPr>
        <w:t>,</w:t>
      </w:r>
      <w:r w:rsidRPr="003B5D33">
        <w:rPr>
          <w:rFonts w:eastAsia="Calibri"/>
          <w:b/>
          <w:bCs/>
          <w:rtl/>
        </w:rPr>
        <w:t xml:space="preserve"> אולם המיפוי לא כלל הערכה של הסיכון המובנה והסיכון השיורי בכל נכס מידע שנכלל במיפוי</w:t>
      </w:r>
      <w:r w:rsidRPr="003B5D33">
        <w:rPr>
          <w:rFonts w:eastAsia="Calibri" w:hint="cs"/>
          <w:b/>
          <w:bCs/>
          <w:rtl/>
        </w:rPr>
        <w:t>.</w:t>
      </w:r>
    </w:p>
    <w:p w:rsidR="003B5D33" w:rsidRPr="003B5D33" w:rsidP="003B5D33">
      <w:pPr>
        <w:spacing w:line="269" w:lineRule="auto"/>
        <w:ind w:left="312"/>
        <w:contextualSpacing/>
        <w:rPr>
          <w:rFonts w:eastAsia="Calibri"/>
          <w:b/>
          <w:bCs/>
          <w:rtl/>
        </w:rPr>
      </w:pPr>
    </w:p>
    <w:p w:rsidR="003B5D33" w:rsidRPr="003B5D33" w:rsidP="003B5D33">
      <w:pPr>
        <w:spacing w:line="269" w:lineRule="auto"/>
        <w:ind w:left="312"/>
        <w:contextualSpacing/>
        <w:rPr>
          <w:rFonts w:eastAsia="Calibri"/>
          <w:b/>
          <w:bCs/>
          <w:rtl/>
        </w:rPr>
      </w:pPr>
      <w:r w:rsidRPr="003B5D33">
        <w:rPr>
          <w:rFonts w:eastAsia="Calibri" w:hint="cs"/>
          <w:b/>
          <w:bCs/>
          <w:rtl/>
        </w:rPr>
        <w:t>עוד נמצא כי מאז שנת 2021 ועדת ההיגוי</w:t>
      </w:r>
      <w:r w:rsidRPr="003B5D33">
        <w:rPr>
          <w:rFonts w:eastAsia="Calibri"/>
          <w:rtl/>
        </w:rPr>
        <w:t xml:space="preserve"> </w:t>
      </w:r>
      <w:r w:rsidRPr="003B5D33">
        <w:rPr>
          <w:rFonts w:eastAsia="Calibri"/>
          <w:b/>
          <w:bCs/>
          <w:rtl/>
        </w:rPr>
        <w:t>לא דנה בתוכנית להפחתת הסיכונים, במפת הסיכונים ובסיכונים השיוריים ולא אישרה אותם.</w:t>
      </w:r>
      <w:r w:rsidRPr="003B5D33">
        <w:rPr>
          <w:rFonts w:eastAsia="Calibri" w:hint="cs"/>
          <w:b/>
          <w:bCs/>
          <w:rtl/>
        </w:rPr>
        <w:t xml:space="preserve"> עלה כי מתוך חמש ישיבות שערכה ועדת ההיגוי בשנים 2019 - 2024, רק בשתי ישיבות, בשנים 2020 ו-2021, הוצגה לוועדה תוכנית עבודה להפחתת הסיכונים, וגם בישיבות אלו לא אישרה הוועדה תוכנית להפחתת הסיכונים.</w:t>
      </w:r>
    </w:p>
    <w:p w:rsidR="003B5D33" w:rsidRPr="003B5D33" w:rsidP="003B5D33">
      <w:pPr>
        <w:spacing w:line="269" w:lineRule="auto"/>
        <w:ind w:left="312"/>
        <w:contextualSpacing/>
        <w:rPr>
          <w:rFonts w:eastAsia="Times New Roman"/>
          <w:bCs/>
          <w:spacing w:val="40"/>
          <w:rtl/>
        </w:rPr>
      </w:pPr>
    </w:p>
    <w:p w:rsidR="003B5D33" w:rsidRPr="003B5D33" w:rsidP="003B5D33">
      <w:pPr>
        <w:numPr>
          <w:ilvl w:val="0"/>
          <w:numId w:val="42"/>
        </w:numPr>
        <w:spacing w:line="269" w:lineRule="auto"/>
        <w:contextualSpacing/>
        <w:rPr>
          <w:rFonts w:eastAsia="Calibri"/>
          <w:b/>
          <w:bCs/>
          <w:rtl/>
        </w:rPr>
      </w:pPr>
      <w:r w:rsidRPr="003B5D33">
        <w:rPr>
          <w:rFonts w:eastAsia="Times New Roman" w:hint="cs"/>
          <w:bCs/>
          <w:spacing w:val="40"/>
          <w:rtl/>
        </w:rPr>
        <w:t>ביצוע סקרי סיכונים ומבדקי חדירה ייעודיים בנכסי מידע ברשתות מסוימות במשרד</w:t>
      </w:r>
      <w:r w:rsidRPr="003B5D33">
        <w:rPr>
          <w:rFonts w:eastAsia="Calibri" w:hint="cs"/>
          <w:b/>
          <w:bCs/>
          <w:rtl/>
        </w:rPr>
        <w:t xml:space="preserve">: לפי הנחיות הגורמים המנחים, על הארגון לבצע סקר סיכונים או מבדק חדירה פרטני לכל נכס מידע קריטי אחת לשלוש שנים (בין שבמסגרת סקר הסיכונים הכולל ובין שבמסגרת סקר סיכונים ייעודי). בשנים 2020 - 2024 ביצע המשרד 17 סקרי סיכונים ומבדקי חדירה ייעודיים לתהליכים ונכסי מידע. נמצא כי, נכון ליולי 2024 בוצעו סקרי סיכונים או מבדקי חדירה </w:t>
      </w:r>
      <w:r w:rsidRPr="003B5D33">
        <w:rPr>
          <w:rFonts w:eastAsia="Calibri" w:hint="eastAsia"/>
          <w:b/>
          <w:bCs/>
          <w:rtl/>
        </w:rPr>
        <w:t>רק</w:t>
      </w:r>
      <w:r w:rsidRPr="003B5D33">
        <w:rPr>
          <w:rFonts w:eastAsia="Calibri"/>
          <w:b/>
          <w:bCs/>
          <w:rtl/>
        </w:rPr>
        <w:t xml:space="preserve"> </w:t>
      </w:r>
      <w:r w:rsidRPr="003B5D33">
        <w:rPr>
          <w:rFonts w:eastAsia="Calibri" w:hint="eastAsia"/>
          <w:b/>
          <w:bCs/>
          <w:rtl/>
        </w:rPr>
        <w:t>לחלק</w:t>
      </w:r>
      <w:r w:rsidRPr="003B5D33">
        <w:rPr>
          <w:rFonts w:eastAsia="Calibri"/>
          <w:b/>
          <w:bCs/>
          <w:rtl/>
        </w:rPr>
        <w:t xml:space="preserve"> </w:t>
      </w:r>
      <w:r w:rsidRPr="003B5D33">
        <w:rPr>
          <w:rFonts w:eastAsia="Calibri" w:hint="eastAsia"/>
          <w:b/>
          <w:bCs/>
          <w:rtl/>
        </w:rPr>
        <w:t>ממערכות</w:t>
      </w:r>
      <w:r w:rsidRPr="003B5D33">
        <w:rPr>
          <w:rFonts w:eastAsia="Calibri" w:hint="cs"/>
          <w:b/>
          <w:bCs/>
          <w:rtl/>
        </w:rPr>
        <w:t xml:space="preserve"> מידע.</w:t>
      </w:r>
    </w:p>
    <w:p w:rsidR="003B5D33" w:rsidRPr="003B5D33" w:rsidP="003B5D33">
      <w:pPr>
        <w:spacing w:line="269" w:lineRule="auto"/>
        <w:rPr>
          <w:rFonts w:eastAsia="Calibri"/>
          <w:b/>
          <w:bCs/>
          <w:rtl/>
        </w:rPr>
      </w:pPr>
      <w:bookmarkStart w:id="53" w:name="_Hlk203655138"/>
    </w:p>
    <w:p w:rsidR="003B5D33" w:rsidRPr="003B5D33" w:rsidP="003B5D33">
      <w:pPr>
        <w:spacing w:line="269" w:lineRule="auto"/>
        <w:rPr>
          <w:rFonts w:eastAsia="Calibri"/>
          <w:b/>
          <w:bCs/>
          <w:rtl/>
        </w:rPr>
      </w:pPr>
      <w:r w:rsidRPr="003B5D33">
        <w:rPr>
          <w:rFonts w:eastAsia="Calibri" w:hint="cs"/>
          <w:b/>
          <w:bCs/>
          <w:rtl/>
        </w:rPr>
        <w:t>ביצוע סקרי סיכונים ומבדקי חדירה הם כלים מהותיים בניהול וחיזוק של אבטחת המידע בארגון. הסקר מאפשר לזהות את האיומים והפגיעויות, לנתחם ולהעריכם ולמקד את המשאבים והמאמצים בהתאם לרמת הסיכון. עולה כי משרד החוץ פעל במהלך השנים 2018 - 2024 לביצוע סקרי סיכונים (הן סקרים כוללים והן סקרים ייעודיים) ומבדקי חדירה. עם זאת, סקרי הסיכונים ומבדקי החדירה היו חסרים, או שלא נגעו לכלל נכסי המידע והתהליכים הקריטיים במשרד.</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מסר למשרד מבקר המדינה באוקטובר 2025 כי </w:t>
      </w:r>
      <w:r w:rsidRPr="003B5D33">
        <w:rPr>
          <w:rFonts w:eastAsia="Calibri"/>
          <w:rtl/>
        </w:rPr>
        <w:t xml:space="preserve">סקרי הסיכונים מתבצעים בהתאם ליכולת אגף </w:t>
      </w:r>
      <w:r w:rsidRPr="003B5D33">
        <w:rPr>
          <w:rFonts w:eastAsia="Calibri" w:hint="cs"/>
          <w:rtl/>
        </w:rPr>
        <w:t>ה</w:t>
      </w:r>
      <w:r w:rsidRPr="003B5D33">
        <w:rPr>
          <w:rFonts w:eastAsia="Calibri"/>
          <w:rtl/>
        </w:rPr>
        <w:t>תקשוב בהיבטי כוח אדם ותקציב</w:t>
      </w:r>
      <w:r w:rsidRPr="003B5D33">
        <w:rPr>
          <w:rFonts w:eastAsia="Calibri" w:hint="cs"/>
          <w:rtl/>
        </w:rPr>
        <w:t>. המשרד הוסיף כי חלק</w:t>
      </w:r>
      <w:r w:rsidRPr="003B5D33">
        <w:rPr>
          <w:rFonts w:eastAsia="Calibri"/>
          <w:rtl/>
        </w:rPr>
        <w:t xml:space="preserve"> </w:t>
      </w:r>
      <w:r w:rsidRPr="003B5D33">
        <w:rPr>
          <w:rFonts w:eastAsia="Calibri" w:hint="cs"/>
          <w:rtl/>
        </w:rPr>
        <w:t>מ</w:t>
      </w:r>
      <w:r w:rsidRPr="003B5D33">
        <w:rPr>
          <w:rFonts w:eastAsia="Calibri"/>
          <w:rtl/>
        </w:rPr>
        <w:t>תשתיות המחשוב מיושנות</w:t>
      </w:r>
      <w:r w:rsidRPr="003B5D33">
        <w:rPr>
          <w:rFonts w:eastAsia="Calibri" w:hint="cs"/>
          <w:rtl/>
        </w:rPr>
        <w:t>,</w:t>
      </w:r>
      <w:r w:rsidRPr="003B5D33">
        <w:rPr>
          <w:rFonts w:eastAsia="Calibri"/>
          <w:rtl/>
        </w:rPr>
        <w:t xml:space="preserve"> ולכן להבנתו מבדק חדירה אינו כלי אפקטיבי מול תשתיות ויישומים בסטטוס </w:t>
      </w:r>
      <w:r w:rsidRPr="003B5D33">
        <w:rPr>
          <w:rFonts w:eastAsia="Calibri"/>
        </w:rPr>
        <w:t>EOL</w:t>
      </w:r>
      <w:r w:rsidRPr="003B5D33">
        <w:rPr>
          <w:rFonts w:eastAsia="Calibri" w:hint="cs"/>
          <w:rtl/>
        </w:rPr>
        <w:t>,</w:t>
      </w:r>
      <w:r w:rsidRPr="003B5D33">
        <w:rPr>
          <w:rFonts w:eastAsia="Calibri"/>
          <w:rtl/>
        </w:rPr>
        <w:t xml:space="preserve"> שכן לא ניתן ליישם תיקוני אבטחה בעקבות הממצאים הצפויים. </w:t>
      </w:r>
      <w:r w:rsidRPr="003B5D33">
        <w:rPr>
          <w:rFonts w:eastAsia="Calibri" w:hint="cs"/>
          <w:rtl/>
        </w:rPr>
        <w:t>לפיכך</w:t>
      </w:r>
      <w:r w:rsidRPr="003B5D33">
        <w:rPr>
          <w:rFonts w:eastAsia="Calibri"/>
          <w:rtl/>
        </w:rPr>
        <w:t xml:space="preserve"> במקום מבדקי חדירה ננקטו צעדים ובקרות מפצות לצמצום הסיכונים</w:t>
      </w:r>
      <w:r w:rsidRPr="003B5D33">
        <w:rPr>
          <w:rFonts w:eastAsia="Calibri" w:hint="cs"/>
          <w:rtl/>
        </w:rPr>
        <w:t>, ובהם</w:t>
      </w:r>
      <w:r w:rsidRPr="003B5D33">
        <w:rPr>
          <w:rFonts w:eastAsia="Calibri"/>
          <w:rtl/>
        </w:rPr>
        <w:t xml:space="preserve"> הקמת ה</w:t>
      </w:r>
      <w:r w:rsidRPr="003B5D33">
        <w:rPr>
          <w:rFonts w:eastAsia="Calibri"/>
        </w:rPr>
        <w:t>SOC-</w:t>
      </w:r>
      <w:r w:rsidRPr="003B5D33">
        <w:rPr>
          <w:rFonts w:eastAsia="Calibri"/>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בהתייחס לתשובת משרד החוץ יוער כי מבדקי חדירה נדרשים להיעשות גם מול תשתיות מחשוב ישנות, שכן הם בודקים גם את ההרשאות שניתנות במערכות המידע למשתמשים. כמו כן, גם אם מדובר ב</w:t>
      </w:r>
      <w:r w:rsidRPr="003B5D33">
        <w:rPr>
          <w:rFonts w:eastAsia="Calibri"/>
          <w:b/>
          <w:bCs/>
          <w:rtl/>
        </w:rPr>
        <w:t>מערכת</w:t>
      </w:r>
      <w:r w:rsidRPr="003B5D33">
        <w:rPr>
          <w:rFonts w:eastAsia="Calibri" w:hint="cs"/>
          <w:b/>
          <w:bCs/>
          <w:rtl/>
        </w:rPr>
        <w:t xml:space="preserve"> מידע</w:t>
      </w:r>
      <w:r w:rsidRPr="003B5D33">
        <w:rPr>
          <w:rFonts w:eastAsia="Calibri"/>
          <w:b/>
          <w:bCs/>
          <w:rtl/>
        </w:rPr>
        <w:t xml:space="preserve"> ש</w:t>
      </w:r>
      <w:r w:rsidRPr="003B5D33">
        <w:rPr>
          <w:rFonts w:eastAsia="Calibri" w:hint="cs"/>
          <w:b/>
          <w:bCs/>
          <w:rtl/>
        </w:rPr>
        <w:t>מ</w:t>
      </w:r>
      <w:r w:rsidRPr="003B5D33">
        <w:rPr>
          <w:rFonts w:eastAsia="Calibri"/>
          <w:b/>
          <w:bCs/>
          <w:rtl/>
        </w:rPr>
        <w:t xml:space="preserve">עולם לא נעשה לה </w:t>
      </w:r>
      <w:r w:rsidRPr="003B5D33">
        <w:rPr>
          <w:rFonts w:eastAsia="Calibri" w:hint="cs"/>
          <w:b/>
          <w:bCs/>
          <w:rtl/>
        </w:rPr>
        <w:t xml:space="preserve">מבדק חדירה </w:t>
      </w:r>
      <w:r w:rsidRPr="003B5D33">
        <w:rPr>
          <w:rFonts w:eastAsia="Calibri"/>
          <w:b/>
          <w:bCs/>
          <w:rtl/>
        </w:rPr>
        <w:t>או סקר, נכון לעשות</w:t>
      </w:r>
      <w:r w:rsidRPr="003B5D33">
        <w:rPr>
          <w:rFonts w:eastAsia="Calibri" w:hint="cs"/>
          <w:b/>
          <w:bCs/>
          <w:rtl/>
        </w:rPr>
        <w:t xml:space="preserve"> לה</w:t>
      </w:r>
      <w:r w:rsidRPr="003B5D33">
        <w:rPr>
          <w:rFonts w:eastAsia="Calibri"/>
          <w:b/>
          <w:bCs/>
          <w:rtl/>
        </w:rPr>
        <w:t xml:space="preserve"> לפחות סקר כדי </w:t>
      </w:r>
      <w:r w:rsidRPr="003B5D33">
        <w:rPr>
          <w:rFonts w:eastAsia="Calibri" w:hint="cs"/>
          <w:b/>
          <w:bCs/>
          <w:rtl/>
        </w:rPr>
        <w:t>לעמוד על</w:t>
      </w:r>
      <w:r w:rsidRPr="003B5D33">
        <w:rPr>
          <w:rFonts w:eastAsia="Calibri"/>
          <w:b/>
          <w:bCs/>
          <w:rtl/>
        </w:rPr>
        <w:t xml:space="preserve"> הסיכו</w:t>
      </w:r>
      <w:r w:rsidRPr="003B5D33">
        <w:rPr>
          <w:rFonts w:eastAsia="Calibri" w:hint="cs"/>
          <w:b/>
          <w:bCs/>
          <w:rtl/>
        </w:rPr>
        <w:t>נים הקיימים לגביה</w:t>
      </w:r>
      <w:r w:rsidRPr="003B5D33">
        <w:rPr>
          <w:rFonts w:eastAsia="Calibri"/>
          <w:b/>
          <w:bCs/>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על משרד החוץ, בשיתוף הגורמים המנחים יה"ב והשב"כ, לבצע סקר סיכונים הכולל את כלל נכסי המידע והתהליכים הקריטיים, לחשב עבור כל נכס מידע את הסיכון השיורי בהתחשב בבקרות הקיימות, ובהתאם לכך ליצור מפת סיכונים משרדית שתאושר על ידי ועדת ההיגוי להגנת הסייבר. כמו כן, על המשרד לגבש תוכנית להפחתת הסיכונים שהועלו, שתאושר גם היא על ידי ועדת ההיגוי במשרד. עוד על המשרד לגבש תוכנית עבודה שתבטיח ביצוע מבדקי חדירה לכל נכסי המידע שיש לבצע לגביהם בדיקה זו. </w:t>
      </w:r>
    </w:p>
    <w:bookmarkEnd w:id="53"/>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54" w:name="_Toc218592805"/>
      <w:bookmarkStart w:id="55" w:name="_Hlk203655172"/>
      <w:r w:rsidRPr="003B5D33">
        <w:rPr>
          <w:rFonts w:eastAsia="Times New Roman" w:hint="cs"/>
          <w:bCs/>
          <w:szCs w:val="28"/>
          <w:u w:val="single"/>
          <w:rtl/>
        </w:rPr>
        <w:t>הצגת רמת הגנת הסייבר במשרד החוץ לפני ועדת ההיגוי</w:t>
      </w:r>
      <w:bookmarkEnd w:id="54"/>
    </w:p>
    <w:bookmarkEnd w:id="55"/>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לפי החלטת הממשלה מפברואר 2015 (החלטה 2443), אחד מתפקידיו של ממונה הגנת הסייבר במשרד הוא ביצוע בקרה על יישום הגנת הסייבר וניהולה בהיבט הארגוני הרחב ובהתאם למדיניות, ועל ועדת ההיגוי להגנת הסייבר לפעול לשיפור רמת ההגנה בסייבר של המשרד ולפקח על הפעילות השוטפת המבוצעת במשרד בנושא זה.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בהנחיות יה"ב נקבע כי </w:t>
      </w:r>
      <w:r w:rsidRPr="003B5D33">
        <w:rPr>
          <w:rFonts w:eastAsia="Calibri"/>
          <w:rtl/>
        </w:rPr>
        <w:t>ועדת ההיגוי</w:t>
      </w:r>
      <w:r w:rsidRPr="003B5D33">
        <w:rPr>
          <w:rFonts w:eastAsia="Calibri" w:hint="cs"/>
          <w:rtl/>
        </w:rPr>
        <w:t xml:space="preserve"> </w:t>
      </w:r>
      <w:r w:rsidRPr="003B5D33">
        <w:rPr>
          <w:rFonts w:eastAsia="Calibri"/>
          <w:rtl/>
        </w:rPr>
        <w:t xml:space="preserve">תיזום סקרי הנהלה </w:t>
      </w:r>
      <w:r w:rsidRPr="003B5D33">
        <w:rPr>
          <w:rFonts w:eastAsia="Calibri" w:hint="cs"/>
          <w:rtl/>
        </w:rPr>
        <w:t>שיבדקו</w:t>
      </w:r>
      <w:r w:rsidRPr="003B5D33">
        <w:rPr>
          <w:rFonts w:eastAsia="Calibri"/>
          <w:rtl/>
        </w:rPr>
        <w:t xml:space="preserve"> את </w:t>
      </w:r>
      <w:r w:rsidRPr="003B5D33">
        <w:rPr>
          <w:rFonts w:eastAsia="Calibri" w:hint="cs"/>
          <w:rtl/>
        </w:rPr>
        <w:t>ה</w:t>
      </w:r>
      <w:r w:rsidRPr="003B5D33">
        <w:rPr>
          <w:rFonts w:eastAsia="Calibri"/>
          <w:rtl/>
        </w:rPr>
        <w:t>ישימות ו</w:t>
      </w:r>
      <w:r w:rsidRPr="003B5D33">
        <w:rPr>
          <w:rFonts w:eastAsia="Calibri" w:hint="cs"/>
          <w:rtl/>
        </w:rPr>
        <w:t>ה</w:t>
      </w:r>
      <w:r w:rsidRPr="003B5D33">
        <w:rPr>
          <w:rFonts w:eastAsia="Calibri"/>
          <w:rtl/>
        </w:rPr>
        <w:t>ביצוע</w:t>
      </w:r>
      <w:r w:rsidRPr="003B5D33">
        <w:rPr>
          <w:rFonts w:eastAsia="Calibri" w:hint="cs"/>
          <w:rtl/>
        </w:rPr>
        <w:t xml:space="preserve"> של</w:t>
      </w:r>
      <w:r w:rsidRPr="003B5D33">
        <w:rPr>
          <w:rFonts w:eastAsia="Calibri"/>
          <w:rtl/>
        </w:rPr>
        <w:t xml:space="preserve"> </w:t>
      </w:r>
      <w:r w:rsidRPr="003B5D33">
        <w:rPr>
          <w:rFonts w:eastAsia="Calibri" w:hint="cs"/>
          <w:rtl/>
        </w:rPr>
        <w:t xml:space="preserve">כלל </w:t>
      </w:r>
      <w:r w:rsidRPr="003B5D33">
        <w:rPr>
          <w:rFonts w:eastAsia="Calibri"/>
          <w:rtl/>
        </w:rPr>
        <w:t xml:space="preserve">הפעילויות </w:t>
      </w:r>
      <w:r w:rsidRPr="003B5D33">
        <w:rPr>
          <w:rFonts w:eastAsia="Calibri" w:hint="cs"/>
          <w:rtl/>
        </w:rPr>
        <w:t>ל</w:t>
      </w:r>
      <w:r w:rsidRPr="003B5D33">
        <w:rPr>
          <w:rFonts w:eastAsia="Calibri"/>
          <w:rtl/>
        </w:rPr>
        <w:t>הגנת הסייבר במשרד</w:t>
      </w:r>
      <w:r w:rsidRPr="003B5D33">
        <w:rPr>
          <w:rFonts w:eastAsia="Calibri" w:hint="cs"/>
          <w:rtl/>
        </w:rPr>
        <w:t xml:space="preserve">, </w:t>
      </w:r>
      <w:r w:rsidRPr="003B5D33">
        <w:rPr>
          <w:rFonts w:eastAsia="Calibri"/>
          <w:rtl/>
        </w:rPr>
        <w:t>לרבות ישימותם של מסמך המדיניות ונ</w:t>
      </w:r>
      <w:r w:rsidRPr="003B5D33">
        <w:rPr>
          <w:rFonts w:eastAsia="Calibri" w:hint="cs"/>
          <w:rtl/>
        </w:rPr>
        <w:t>ו</w:t>
      </w:r>
      <w:r w:rsidRPr="003B5D33">
        <w:rPr>
          <w:rFonts w:eastAsia="Calibri"/>
          <w:rtl/>
        </w:rPr>
        <w:t xml:space="preserve">הלי הגנת הסייבר. </w:t>
      </w:r>
      <w:r w:rsidRPr="003B5D33">
        <w:rPr>
          <w:rFonts w:eastAsia="Calibri"/>
          <w:rtl/>
        </w:rPr>
        <w:t>תוצאות הסקרים יועברו לוועד</w:t>
      </w:r>
      <w:r w:rsidRPr="003B5D33">
        <w:rPr>
          <w:rFonts w:eastAsia="Calibri" w:hint="cs"/>
          <w:rtl/>
        </w:rPr>
        <w:t>ה</w:t>
      </w:r>
      <w:r w:rsidRPr="003B5D33">
        <w:rPr>
          <w:rFonts w:eastAsia="Calibri"/>
          <w:rtl/>
        </w:rPr>
        <w:t>, אשר תשקול הטמעת ההמלצות וביצוע שינויים רלוונטיים כנדרש.</w:t>
      </w:r>
      <w:r w:rsidRPr="003B5D33">
        <w:rPr>
          <w:rFonts w:eastAsia="Calibri" w:hint="cs"/>
          <w:rtl/>
        </w:rPr>
        <w:t xml:space="preserve"> עוד נקבע בהנחיות כי כחלק מסקר ההנהלה, תגבש הוועדה</w:t>
      </w:r>
      <w:r w:rsidRPr="003B5D33">
        <w:rPr>
          <w:rFonts w:eastAsia="Calibri"/>
          <w:rtl/>
        </w:rPr>
        <w:t xml:space="preserve"> מדדים כמותיים בנושאי הגנת הסייבר, </w:t>
      </w:r>
      <w:r w:rsidRPr="003B5D33">
        <w:rPr>
          <w:rFonts w:eastAsia="Calibri" w:hint="cs"/>
          <w:rtl/>
        </w:rPr>
        <w:t>ש</w:t>
      </w:r>
      <w:r w:rsidRPr="003B5D33">
        <w:rPr>
          <w:rFonts w:eastAsia="Calibri"/>
          <w:rtl/>
        </w:rPr>
        <w:t xml:space="preserve">באמצעותם יהיה ניתן לבחון ולמדוד את רמת </w:t>
      </w:r>
      <w:r w:rsidRPr="003B5D33">
        <w:rPr>
          <w:rFonts w:eastAsia="Calibri" w:hint="cs"/>
          <w:rtl/>
        </w:rPr>
        <w:t>ה</w:t>
      </w:r>
      <w:r w:rsidRPr="003B5D33">
        <w:rPr>
          <w:rFonts w:eastAsia="Calibri"/>
          <w:rtl/>
        </w:rPr>
        <w:t xml:space="preserve">אפקטיביות </w:t>
      </w:r>
      <w:r w:rsidRPr="003B5D33">
        <w:rPr>
          <w:rFonts w:eastAsia="Calibri" w:hint="cs"/>
          <w:rtl/>
        </w:rPr>
        <w:t xml:space="preserve">של </w:t>
      </w:r>
      <w:r w:rsidRPr="003B5D33">
        <w:rPr>
          <w:rFonts w:eastAsia="Calibri"/>
          <w:rtl/>
        </w:rPr>
        <w:t>יישום תשתית הגנת הסייבר בתום כל חציון.</w:t>
      </w:r>
      <w:r w:rsidRPr="003B5D33">
        <w:rPr>
          <w:rFonts w:eastAsia="Calibri" w:hint="cs"/>
          <w:rtl/>
        </w:rPr>
        <w:t xml:space="preserve"> גם בהנחיות השב"כ נקבע כי אחד מהנושאים שנדרשים במסמך המדיניות הוא</w:t>
      </w:r>
      <w:r w:rsidRPr="003B5D33">
        <w:rPr>
          <w:rFonts w:eastAsia="Calibri"/>
          <w:rtl/>
        </w:rPr>
        <w:t xml:space="preserve"> פיקוח ובקרה </w:t>
      </w:r>
      <w:r w:rsidRPr="003B5D33">
        <w:rPr>
          <w:rFonts w:eastAsia="Calibri" w:hint="cs"/>
          <w:rtl/>
        </w:rPr>
        <w:t xml:space="preserve">של </w:t>
      </w:r>
      <w:r w:rsidRPr="003B5D33">
        <w:rPr>
          <w:rFonts w:eastAsia="Calibri"/>
          <w:rtl/>
        </w:rPr>
        <w:t xml:space="preserve">יישום הנחיות </w:t>
      </w:r>
      <w:r w:rsidRPr="003B5D33">
        <w:rPr>
          <w:rFonts w:eastAsia="Calibri" w:hint="cs"/>
          <w:rtl/>
        </w:rPr>
        <w:t>השב"כ באמצעות הגדרת</w:t>
      </w:r>
      <w:r w:rsidRPr="003B5D33">
        <w:rPr>
          <w:rFonts w:eastAsia="Calibri"/>
          <w:rtl/>
        </w:rPr>
        <w:t xml:space="preserve"> עקרונות </w:t>
      </w:r>
      <w:r w:rsidRPr="003B5D33">
        <w:rPr>
          <w:rFonts w:eastAsia="Calibri" w:hint="cs"/>
          <w:rtl/>
        </w:rPr>
        <w:t xml:space="preserve">הנוגעים </w:t>
      </w:r>
      <w:r w:rsidRPr="003B5D33">
        <w:rPr>
          <w:rFonts w:eastAsia="Calibri"/>
          <w:rtl/>
        </w:rPr>
        <w:t>לפיקוח ובקרה שוטפים אחר הנחיות</w:t>
      </w:r>
      <w:r w:rsidRPr="003B5D33">
        <w:rPr>
          <w:rFonts w:eastAsia="Calibri" w:hint="cs"/>
          <w:rtl/>
        </w:rPr>
        <w:t>יו</w:t>
      </w:r>
      <w:r w:rsidRPr="003B5D33">
        <w:rPr>
          <w:rFonts w:eastAsia="Calibri"/>
          <w:rtl/>
        </w:rPr>
        <w:t xml:space="preserve"> ו</w:t>
      </w:r>
      <w:r w:rsidRPr="003B5D33">
        <w:rPr>
          <w:rFonts w:eastAsia="Calibri" w:hint="cs"/>
          <w:rtl/>
        </w:rPr>
        <w:t>ל</w:t>
      </w:r>
      <w:r w:rsidRPr="003B5D33">
        <w:rPr>
          <w:rFonts w:eastAsia="Calibri"/>
          <w:rtl/>
        </w:rPr>
        <w:t>אופן הצגת הפערים להנהלה</w:t>
      </w:r>
      <w:r w:rsidRPr="003B5D33">
        <w:rPr>
          <w:rFonts w:eastAsia="Calibri" w:hint="cs"/>
          <w:rtl/>
        </w:rPr>
        <w:t xml:space="preserve">. </w:t>
      </w:r>
    </w:p>
    <w:p w:rsidR="003B5D33" w:rsidRPr="003B5D33" w:rsidP="003B5D33">
      <w:pPr>
        <w:spacing w:line="269" w:lineRule="auto"/>
        <w:ind w:left="312"/>
        <w:contextualSpacing/>
        <w:rPr>
          <w:rFonts w:eastAsia="Calibri"/>
          <w:b/>
          <w:bCs/>
        </w:rPr>
      </w:pPr>
    </w:p>
    <w:p w:rsidR="003B5D33" w:rsidRPr="003B5D33" w:rsidP="003B5D33">
      <w:pPr>
        <w:numPr>
          <w:ilvl w:val="0"/>
          <w:numId w:val="17"/>
        </w:numPr>
        <w:spacing w:line="269" w:lineRule="auto"/>
        <w:ind w:left="312"/>
        <w:contextualSpacing/>
        <w:rPr>
          <w:rFonts w:eastAsia="Calibri"/>
          <w:b/>
          <w:bCs/>
          <w:rtl/>
        </w:rPr>
      </w:pPr>
      <w:r w:rsidRPr="003B5D33">
        <w:rPr>
          <w:rFonts w:eastAsia="Calibri"/>
          <w:b/>
          <w:bCs/>
          <w:rtl/>
        </w:rPr>
        <w:t>הנחיות יה</w:t>
      </w:r>
      <w:r w:rsidRPr="003B5D33">
        <w:rPr>
          <w:rFonts w:eastAsia="Calibri" w:hint="cs"/>
          <w:b/>
          <w:bCs/>
          <w:rtl/>
        </w:rPr>
        <w:t>"</w:t>
      </w:r>
      <w:r w:rsidRPr="003B5D33">
        <w:rPr>
          <w:rFonts w:eastAsia="Calibri"/>
          <w:b/>
          <w:bCs/>
          <w:rtl/>
        </w:rPr>
        <w:t>ב מחייבות כי ועדת ההיגוי תיזום סקרי הנהלה שיבדקו ביצוע כלל הפעילויות להגנת הסייבר במשרד. הוועדה נדרשת על פי הנחיות יה</w:t>
      </w:r>
      <w:r w:rsidRPr="003B5D33">
        <w:rPr>
          <w:rFonts w:eastAsia="Calibri" w:hint="cs"/>
          <w:b/>
          <w:bCs/>
          <w:rtl/>
        </w:rPr>
        <w:t>"</w:t>
      </w:r>
      <w:r w:rsidRPr="003B5D33">
        <w:rPr>
          <w:rFonts w:eastAsia="Calibri"/>
          <w:b/>
          <w:bCs/>
          <w:rtl/>
        </w:rPr>
        <w:t xml:space="preserve">ב לשקול ביצוע שינויים לאור המלצות הסקרים. </w:t>
      </w:r>
      <w:bookmarkStart w:id="56" w:name="_Hlk203655245"/>
      <w:r w:rsidRPr="003B5D33">
        <w:rPr>
          <w:rFonts w:eastAsia="Calibri" w:hint="cs"/>
          <w:b/>
          <w:bCs/>
          <w:rtl/>
        </w:rPr>
        <w:t>נמצא כי בשנים 2021 - 2024 לא הובא לפני חברי הוועדה מידע על פערי אבטחה שצפו כגון אמצעי הגנה מסוימים שנדרשו להיות מותקנים לא הותקנו כנדרש</w:t>
      </w:r>
      <w:bookmarkEnd w:id="56"/>
      <w:r w:rsidRPr="003B5D33">
        <w:rPr>
          <w:rFonts w:eastAsia="Calibri" w:hint="cs"/>
          <w:b/>
          <w:bCs/>
          <w:rtl/>
        </w:rPr>
        <w:t xml:space="preserve">. </w:t>
      </w:r>
    </w:p>
    <w:p w:rsidR="003B5D33" w:rsidRPr="003B5D33" w:rsidP="003B5D33">
      <w:pPr>
        <w:spacing w:line="269" w:lineRule="auto"/>
        <w:ind w:left="312"/>
        <w:contextualSpacing/>
        <w:rPr>
          <w:rFonts w:eastAsia="Calibri"/>
          <w:b/>
          <w:bCs/>
        </w:rPr>
      </w:pPr>
      <w:bookmarkStart w:id="57" w:name="_Hlk203655257"/>
    </w:p>
    <w:p w:rsidR="003B5D33" w:rsidRPr="003B5D33" w:rsidP="003B5D33">
      <w:pPr>
        <w:numPr>
          <w:ilvl w:val="0"/>
          <w:numId w:val="17"/>
        </w:numPr>
        <w:spacing w:line="269" w:lineRule="auto"/>
        <w:ind w:left="312"/>
        <w:contextualSpacing/>
        <w:rPr>
          <w:rFonts w:eastAsia="Calibri"/>
          <w:b/>
          <w:bCs/>
        </w:rPr>
      </w:pPr>
      <w:r w:rsidRPr="003B5D33">
        <w:rPr>
          <w:rFonts w:eastAsia="Calibri" w:hint="cs"/>
          <w:b/>
          <w:bCs/>
          <w:rtl/>
        </w:rPr>
        <w:t xml:space="preserve">עוד נמצא כי ועדת ההיגוי להגנת הסייבר לא קבעה </w:t>
      </w:r>
      <w:r w:rsidRPr="003B5D33">
        <w:rPr>
          <w:rFonts w:eastAsia="Calibri"/>
          <w:b/>
          <w:bCs/>
          <w:rtl/>
        </w:rPr>
        <w:t xml:space="preserve">מדדים כמותיים בנושאי הגנת הסייבר, אשר באמצעותם יהיה ניתן לבחון ולמדוד את רמת </w:t>
      </w:r>
      <w:r w:rsidRPr="003B5D33">
        <w:rPr>
          <w:rFonts w:eastAsia="Calibri" w:hint="cs"/>
          <w:b/>
          <w:bCs/>
          <w:rtl/>
        </w:rPr>
        <w:t>ה</w:t>
      </w:r>
      <w:r w:rsidRPr="003B5D33">
        <w:rPr>
          <w:rFonts w:eastAsia="Calibri"/>
          <w:b/>
          <w:bCs/>
          <w:rtl/>
        </w:rPr>
        <w:t xml:space="preserve">אפקטיביות </w:t>
      </w:r>
      <w:r w:rsidRPr="003B5D33">
        <w:rPr>
          <w:rFonts w:eastAsia="Calibri" w:hint="cs"/>
          <w:b/>
          <w:bCs/>
          <w:rtl/>
        </w:rPr>
        <w:t xml:space="preserve">של </w:t>
      </w:r>
      <w:r w:rsidRPr="003B5D33">
        <w:rPr>
          <w:rFonts w:eastAsia="Calibri"/>
          <w:b/>
          <w:bCs/>
          <w:rtl/>
        </w:rPr>
        <w:t>יישום תשתית הגנת הסייבר</w:t>
      </w:r>
      <w:r w:rsidRPr="003B5D33">
        <w:rPr>
          <w:rFonts w:eastAsia="Calibri" w:hint="cs"/>
          <w:b/>
          <w:bCs/>
          <w:rtl/>
        </w:rPr>
        <w:t xml:space="preserve"> כנדרש בהנחיות יה"ב</w:t>
      </w:r>
      <w:bookmarkEnd w:id="57"/>
      <w:r w:rsidRPr="003B5D33">
        <w:rPr>
          <w:rFonts w:eastAsia="Calibri" w:hint="cs"/>
          <w:b/>
          <w:bCs/>
          <w:rtl/>
        </w:rPr>
        <w:t>.</w:t>
      </w:r>
    </w:p>
    <w:p w:rsidR="003B5D33" w:rsidRPr="003B5D33" w:rsidP="003B5D33">
      <w:pPr>
        <w:spacing w:line="269" w:lineRule="auto"/>
        <w:contextualSpacing/>
        <w:rPr>
          <w:rFonts w:eastAsia="Calibri"/>
          <w:b/>
          <w:bCs/>
        </w:rPr>
      </w:pPr>
    </w:p>
    <w:p w:rsidR="003B5D33" w:rsidRPr="003B5D33" w:rsidP="003B5D33">
      <w:pPr>
        <w:numPr>
          <w:ilvl w:val="0"/>
          <w:numId w:val="17"/>
        </w:numPr>
        <w:spacing w:line="269" w:lineRule="auto"/>
        <w:ind w:left="312"/>
        <w:contextualSpacing/>
        <w:rPr>
          <w:rFonts w:eastAsia="Calibri"/>
          <w:b/>
          <w:bCs/>
        </w:rPr>
      </w:pPr>
      <w:r w:rsidRPr="003B5D33">
        <w:rPr>
          <w:rFonts w:eastAsia="Calibri" w:hint="cs"/>
          <w:b/>
          <w:bCs/>
          <w:rtl/>
        </w:rPr>
        <w:t>לפי החלטת הממשלה תפקידה של ועדת ההיגוי לשפר את רמת ההגנה בסייבר במשרד. תפקיד זה מחייב כי הוועדה תקבל מידע על רמת ההגנה בסייבר הקיימת במשרד ובכלל זה על אפקטיביות תשתית הגנת הסייבר.</w:t>
      </w:r>
      <w:bookmarkStart w:id="58" w:name="_Hlk203655271"/>
      <w:r w:rsidRPr="003B5D33">
        <w:rPr>
          <w:rFonts w:eastAsia="Calibri" w:hint="cs"/>
          <w:b/>
          <w:bCs/>
          <w:rtl/>
        </w:rPr>
        <w:t xml:space="preserve"> נמצא כי מאז 2021 לא הוצגה לחברי הוועדה הערכה בדבר אפקטיביות תשתית הגנת הסייבר</w:t>
      </w:r>
      <w:r>
        <w:rPr>
          <w:rFonts w:eastAsia="Calibri"/>
          <w:b/>
          <w:bCs/>
          <w:vertAlign w:val="superscript"/>
          <w:rtl/>
        </w:rPr>
        <w:footnoteReference w:id="98"/>
      </w:r>
      <w:r w:rsidRPr="003B5D33">
        <w:rPr>
          <w:rFonts w:eastAsia="Calibri" w:hint="cs"/>
          <w:b/>
          <w:bCs/>
          <w:rtl/>
        </w:rPr>
        <w:t xml:space="preserve"> וכן לא הוצג מדד כללי שהמחיש לחברי הוועדה באופן כמותי את הפער שבין רמת ההגנה בסייבר במשרד לבין זו הרצויה לפי תתי-תחומים של הגנת הסייבר</w:t>
      </w:r>
      <w:bookmarkEnd w:id="58"/>
      <w:r w:rsidRPr="003B5D33">
        <w:rPr>
          <w:rFonts w:eastAsia="Calibri" w:hint="cs"/>
          <w:b/>
          <w:bCs/>
          <w:rtl/>
        </w:rPr>
        <w:t xml:space="preserve"> (</w:t>
      </w:r>
      <w:r w:rsidRPr="003B5D33">
        <w:rPr>
          <w:rFonts w:eastAsia="Calibri"/>
          <w:b/>
          <w:bCs/>
          <w:rtl/>
        </w:rPr>
        <w:t>הגנת הסייבר ברובד הלוגי, הגנת הסייבר ברובד הפיזי, הגנת הסייבר ברובד האנושי, אחריות הנהלה ותאימות, אבטחת מיקור</w:t>
      </w:r>
      <w:r w:rsidRPr="003B5D33">
        <w:rPr>
          <w:rFonts w:eastAsia="Calibri" w:hint="cs"/>
          <w:b/>
          <w:bCs/>
          <w:rtl/>
        </w:rPr>
        <w:t>-</w:t>
      </w:r>
      <w:r w:rsidRPr="003B5D33">
        <w:rPr>
          <w:rFonts w:eastAsia="Calibri"/>
          <w:b/>
          <w:bCs/>
          <w:rtl/>
        </w:rPr>
        <w:t>חוץ ושרשרת האספקה</w:t>
      </w:r>
      <w:r w:rsidRPr="003B5D33">
        <w:rPr>
          <w:rFonts w:eastAsia="Calibri" w:hint="cs"/>
          <w:b/>
          <w:bCs/>
          <w:rtl/>
        </w:rPr>
        <w:t xml:space="preserve">). </w:t>
      </w:r>
    </w:p>
    <w:p w:rsidR="003B5D33" w:rsidRPr="003B5D33" w:rsidP="003B5D33">
      <w:pPr>
        <w:spacing w:line="269" w:lineRule="auto"/>
        <w:contextualSpacing/>
        <w:rPr>
          <w:rFonts w:eastAsia="Calibri"/>
          <w:b/>
          <w:bCs/>
        </w:rPr>
      </w:pPr>
    </w:p>
    <w:p w:rsidR="003B5D33" w:rsidRPr="003B5D33" w:rsidP="003B5D33">
      <w:pPr>
        <w:numPr>
          <w:ilvl w:val="0"/>
          <w:numId w:val="17"/>
        </w:numPr>
        <w:spacing w:line="269" w:lineRule="auto"/>
        <w:ind w:left="312"/>
        <w:contextualSpacing/>
        <w:rPr>
          <w:rFonts w:eastAsia="Calibri"/>
          <w:rtl/>
        </w:rPr>
      </w:pPr>
      <w:r w:rsidRPr="003B5D33">
        <w:rPr>
          <w:rFonts w:eastAsia="Calibri" w:hint="cs"/>
          <w:rtl/>
        </w:rPr>
        <w:t>אחת מהדרכים לבדוק את ה</w:t>
      </w:r>
      <w:r w:rsidRPr="003B5D33">
        <w:rPr>
          <w:rFonts w:eastAsia="Calibri"/>
          <w:rtl/>
        </w:rPr>
        <w:t>ישימות ו</w:t>
      </w:r>
      <w:r w:rsidRPr="003B5D33">
        <w:rPr>
          <w:rFonts w:eastAsia="Calibri" w:hint="cs"/>
          <w:rtl/>
        </w:rPr>
        <w:t>ה</w:t>
      </w:r>
      <w:r w:rsidRPr="003B5D33">
        <w:rPr>
          <w:rFonts w:eastAsia="Calibri"/>
          <w:rtl/>
        </w:rPr>
        <w:t>ביצוע</w:t>
      </w:r>
      <w:r w:rsidRPr="003B5D33">
        <w:rPr>
          <w:rFonts w:eastAsia="Calibri" w:hint="cs"/>
          <w:rtl/>
        </w:rPr>
        <w:t xml:space="preserve"> של</w:t>
      </w:r>
      <w:r w:rsidRPr="003B5D33">
        <w:rPr>
          <w:rFonts w:eastAsia="Calibri"/>
          <w:rtl/>
        </w:rPr>
        <w:t xml:space="preserve"> כלל הפעילויות להגנת הסייבר במשרד </w:t>
      </w:r>
      <w:r w:rsidRPr="003B5D33">
        <w:rPr>
          <w:rFonts w:eastAsia="Calibri" w:hint="cs"/>
          <w:rtl/>
        </w:rPr>
        <w:t>היא ביצוע סקרי סיכונים או מבדקי חדירה למערכות מידע בגוף, שמעלים בין היתר פערים בפעילותם של אמצעים להגנת הסייבר. בהנחיות השב"כ נקבע</w:t>
      </w:r>
      <w:r w:rsidRPr="003B5D33">
        <w:rPr>
          <w:rFonts w:eastAsia="Calibri"/>
          <w:rtl/>
        </w:rPr>
        <w:t xml:space="preserve"> כי עיקר הממצאים החריגים</w:t>
      </w:r>
      <w:r w:rsidRPr="003B5D33">
        <w:rPr>
          <w:rFonts w:eastAsia="Calibri" w:hint="cs"/>
          <w:rtl/>
        </w:rPr>
        <w:t xml:space="preserve"> שיעלו בביצוע</w:t>
      </w:r>
      <w:r w:rsidRPr="003B5D33">
        <w:rPr>
          <w:rFonts w:eastAsia="Calibri"/>
          <w:rtl/>
        </w:rPr>
        <w:t xml:space="preserve"> בקרות פנימיות</w:t>
      </w:r>
      <w:r w:rsidRPr="003B5D33">
        <w:rPr>
          <w:rFonts w:eastAsia="Calibri" w:hint="cs"/>
          <w:rtl/>
        </w:rPr>
        <w:t xml:space="preserve"> בגוף המונחה</w:t>
      </w:r>
      <w:r w:rsidRPr="003B5D33">
        <w:rPr>
          <w:rFonts w:eastAsia="Calibri"/>
          <w:rtl/>
        </w:rPr>
        <w:t xml:space="preserve"> יוצגו במעמד ועדת ההיגוי בגוף.</w:t>
      </w:r>
    </w:p>
    <w:p w:rsidR="003B5D33" w:rsidRPr="003B5D33" w:rsidP="003B5D33">
      <w:pPr>
        <w:spacing w:line="269" w:lineRule="auto"/>
        <w:ind w:left="312"/>
        <w:contextualSpacing/>
        <w:rPr>
          <w:rFonts w:eastAsia="Calibri"/>
          <w:b/>
          <w:bCs/>
          <w:rtl/>
        </w:rPr>
      </w:pPr>
      <w:bookmarkStart w:id="59" w:name="_Hlk203655290"/>
    </w:p>
    <w:p w:rsidR="003B5D33" w:rsidRPr="003B5D33" w:rsidP="003B5D33">
      <w:pPr>
        <w:spacing w:line="269" w:lineRule="auto"/>
        <w:ind w:left="312"/>
        <w:contextualSpacing/>
        <w:rPr>
          <w:rFonts w:eastAsia="Calibri"/>
          <w:b/>
          <w:bCs/>
          <w:rtl/>
        </w:rPr>
      </w:pPr>
      <w:r w:rsidRPr="003B5D33">
        <w:rPr>
          <w:rFonts w:eastAsia="Calibri" w:hint="cs"/>
          <w:b/>
          <w:bCs/>
          <w:rtl/>
        </w:rPr>
        <w:t xml:space="preserve">כאמור, בשנים 2020 - 2024 ערך משרד החוץ 17 סקרי סיכונים או מבדקי חדירה למערכות המחשוב במשרד. נמצא כי אף שבשישה מהם הועלו ממצאים שנדרש היה להביאם בפני ועדת ההיגוי, הם לא הוצגו לפני חברי ועדת ההיגוי. </w:t>
      </w:r>
      <w:bookmarkEnd w:id="59"/>
    </w:p>
    <w:p w:rsidR="003B5D33" w:rsidRPr="003B5D33" w:rsidP="003B5D33">
      <w:pPr>
        <w:spacing w:line="269" w:lineRule="auto"/>
        <w:rPr>
          <w:rFonts w:eastAsia="Calibri"/>
          <w:b/>
          <w:bCs/>
          <w:rtl/>
        </w:rPr>
      </w:pPr>
      <w:bookmarkStart w:id="60" w:name="_Hlk203655306"/>
    </w:p>
    <w:p w:rsidR="003B5D33" w:rsidRPr="003B5D33" w:rsidP="003B5D33">
      <w:pPr>
        <w:spacing w:line="269" w:lineRule="auto"/>
        <w:rPr>
          <w:rFonts w:eastAsia="Calibri"/>
          <w:b/>
          <w:bCs/>
          <w:rtl/>
        </w:rPr>
      </w:pPr>
      <w:r w:rsidRPr="003B5D33">
        <w:rPr>
          <w:rFonts w:eastAsia="Calibri" w:hint="cs"/>
          <w:b/>
          <w:bCs/>
          <w:rtl/>
        </w:rPr>
        <w:t>חברי ועדת ההיגוי להגנת הסייבר אחראים לפעול</w:t>
      </w:r>
      <w:r w:rsidRPr="003B5D33">
        <w:rPr>
          <w:rFonts w:eastAsia="Calibri"/>
          <w:b/>
          <w:bCs/>
          <w:rtl/>
        </w:rPr>
        <w:t xml:space="preserve"> לשיפור רמת הגנת הסייבר של המשרד</w:t>
      </w:r>
      <w:r w:rsidRPr="003B5D33">
        <w:rPr>
          <w:rFonts w:eastAsia="Calibri" w:hint="cs"/>
          <w:b/>
          <w:bCs/>
          <w:rtl/>
        </w:rPr>
        <w:t>,</w:t>
      </w:r>
      <w:r w:rsidRPr="003B5D33">
        <w:rPr>
          <w:rFonts w:eastAsia="Calibri"/>
          <w:b/>
          <w:bCs/>
          <w:rtl/>
        </w:rPr>
        <w:t xml:space="preserve"> ו</w:t>
      </w:r>
      <w:r w:rsidRPr="003B5D33">
        <w:rPr>
          <w:rFonts w:eastAsia="Calibri" w:hint="cs"/>
          <w:b/>
          <w:bCs/>
          <w:rtl/>
        </w:rPr>
        <w:t>עליהם ל</w:t>
      </w:r>
      <w:r w:rsidRPr="003B5D33">
        <w:rPr>
          <w:rFonts w:eastAsia="Calibri"/>
          <w:b/>
          <w:bCs/>
          <w:rtl/>
        </w:rPr>
        <w:t>פקח על הפעילות השוטפת המבוצעת בתחום זה</w:t>
      </w:r>
      <w:r w:rsidRPr="003B5D33">
        <w:rPr>
          <w:rFonts w:eastAsia="Calibri" w:hint="cs"/>
          <w:b/>
          <w:bCs/>
          <w:rtl/>
        </w:rPr>
        <w:t>,</w:t>
      </w:r>
      <w:r w:rsidRPr="003B5D33">
        <w:rPr>
          <w:rFonts w:eastAsia="Calibri"/>
          <w:b/>
          <w:bCs/>
          <w:rtl/>
        </w:rPr>
        <w:t xml:space="preserve"> לאשר</w:t>
      </w:r>
      <w:r w:rsidRPr="003B5D33">
        <w:rPr>
          <w:rFonts w:eastAsia="Calibri" w:hint="cs"/>
          <w:b/>
          <w:bCs/>
          <w:rtl/>
        </w:rPr>
        <w:t xml:space="preserve"> את</w:t>
      </w:r>
      <w:r w:rsidRPr="003B5D33">
        <w:rPr>
          <w:rFonts w:eastAsia="Calibri"/>
          <w:b/>
          <w:bCs/>
          <w:rtl/>
        </w:rPr>
        <w:t xml:space="preserve"> מפת </w:t>
      </w:r>
      <w:r w:rsidRPr="003B5D33">
        <w:rPr>
          <w:rFonts w:eastAsia="Calibri" w:hint="cs"/>
          <w:b/>
          <w:bCs/>
          <w:rtl/>
        </w:rPr>
        <w:t>ה</w:t>
      </w:r>
      <w:r w:rsidRPr="003B5D33">
        <w:rPr>
          <w:rFonts w:eastAsia="Calibri"/>
          <w:b/>
          <w:bCs/>
          <w:rtl/>
        </w:rPr>
        <w:t xml:space="preserve">סיכונים </w:t>
      </w:r>
      <w:r w:rsidRPr="003B5D33">
        <w:rPr>
          <w:rFonts w:eastAsia="Calibri" w:hint="cs"/>
          <w:b/>
          <w:bCs/>
          <w:rtl/>
        </w:rPr>
        <w:t>ה</w:t>
      </w:r>
      <w:r w:rsidRPr="003B5D33">
        <w:rPr>
          <w:rFonts w:eastAsia="Calibri"/>
          <w:b/>
          <w:bCs/>
          <w:rtl/>
        </w:rPr>
        <w:t xml:space="preserve">משרדית </w:t>
      </w:r>
      <w:r w:rsidRPr="003B5D33">
        <w:rPr>
          <w:rFonts w:eastAsia="Calibri" w:hint="cs"/>
          <w:b/>
          <w:bCs/>
          <w:rtl/>
        </w:rPr>
        <w:t>ו</w:t>
      </w:r>
      <w:r w:rsidRPr="003B5D33">
        <w:rPr>
          <w:rFonts w:eastAsia="Calibri"/>
          <w:b/>
          <w:bCs/>
          <w:rtl/>
        </w:rPr>
        <w:t>לאשר את ת</w:t>
      </w:r>
      <w:r w:rsidRPr="003B5D33">
        <w:rPr>
          <w:rFonts w:eastAsia="Calibri" w:hint="cs"/>
          <w:b/>
          <w:bCs/>
          <w:rtl/>
        </w:rPr>
        <w:t>ו</w:t>
      </w:r>
      <w:r w:rsidRPr="003B5D33">
        <w:rPr>
          <w:rFonts w:eastAsia="Calibri"/>
          <w:b/>
          <w:bCs/>
          <w:rtl/>
        </w:rPr>
        <w:t>כנית העבודה בתחום הגנת הסייבר ולבקר את יישומה</w:t>
      </w:r>
      <w:r w:rsidRPr="003B5D33">
        <w:rPr>
          <w:rFonts w:eastAsia="Calibri" w:hint="cs"/>
          <w:b/>
          <w:bCs/>
          <w:rtl/>
        </w:rPr>
        <w:t>. לשם כך עליהם לקבל את מלוא המידע על סקרים ומבדקים שנערכו במשרד, המשקפים את יישום הגנת הסייבר במשרד. מידע זה יכול להשפיע על התייחסות חברי הוועדה למפת הסיכונים המשרדית ולתוכנית העבודה בתחום הגנת הסייבר שהם נדרשים לאשר.</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מומלץ כי ממונה הגנת הסייבר יעדכן את חברי ועדת ההיגוי בתחילת כל שנת עבודה בנוגע לסקרים ומבדקי חדירה שעתידים להתבצע, יביא בפניהם את ממצאי הסקרים והמבדקים לאחר ביצועם וכן ידווח לוועדה על הפעולות שננקטו לשם התמודדות עם הפערים ומידת תיקון הליקויים הקריטיים שעלו בהם. </w:t>
      </w:r>
      <w:bookmarkEnd w:id="60"/>
    </w:p>
    <w:p w:rsidR="003B5D33" w:rsidRPr="003B5D33" w:rsidP="003B5D33">
      <w:pPr>
        <w:spacing w:line="269" w:lineRule="auto"/>
        <w:rPr>
          <w:rFonts w:eastAsia="Calibri"/>
          <w:b/>
          <w:bCs/>
          <w:rtl/>
        </w:rPr>
      </w:pPr>
    </w:p>
    <w:p w:rsidR="003B5D33" w:rsidRPr="003B5D33" w:rsidP="003B5D33">
      <w:pPr>
        <w:keepNext/>
        <w:keepLines/>
        <w:spacing w:line="269" w:lineRule="auto"/>
        <w:outlineLvl w:val="3"/>
        <w:rPr>
          <w:rFonts w:eastAsia="Times New Roman"/>
          <w:bCs/>
          <w:szCs w:val="26"/>
          <w:rtl/>
        </w:rPr>
      </w:pPr>
      <w:bookmarkStart w:id="61" w:name="_Hlk203655335"/>
      <w:r w:rsidRPr="003B5D33">
        <w:rPr>
          <w:rFonts w:eastAsia="Times New Roman" w:hint="cs"/>
          <w:bCs/>
          <w:szCs w:val="26"/>
          <w:rtl/>
        </w:rPr>
        <w:t xml:space="preserve">התעדכנות באירועי סייבר חריגים במשרד </w:t>
      </w:r>
    </w:p>
    <w:bookmarkEnd w:id="61"/>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לפי הנחיות יה"ב, אחד מתפקידי ועדת ההיגוי הוא להתעדכן </w:t>
      </w:r>
      <w:r w:rsidRPr="003B5D33">
        <w:rPr>
          <w:rFonts w:eastAsia="Calibri"/>
          <w:rtl/>
        </w:rPr>
        <w:t>באירועי סייבר חריגים שאירעו במשרד</w:t>
      </w:r>
      <w:r w:rsidRPr="003B5D33">
        <w:rPr>
          <w:rFonts w:eastAsia="Calibri" w:hint="cs"/>
          <w:rtl/>
        </w:rPr>
        <w:t xml:space="preserve">, לקיים הערכת נזקים בעקבות תקלות ולגבש המלצות לטיפול. </w:t>
      </w:r>
    </w:p>
    <w:p w:rsidR="003B5D33" w:rsidRPr="003B5D33" w:rsidP="003B5D33">
      <w:pPr>
        <w:spacing w:line="269" w:lineRule="auto"/>
        <w:rPr>
          <w:rFonts w:eastAsia="Calibri"/>
          <w:b/>
          <w:bCs/>
          <w:rtl/>
        </w:rPr>
      </w:pPr>
      <w:bookmarkStart w:id="62" w:name="_Hlk203655351"/>
    </w:p>
    <w:p w:rsidR="003B5D33" w:rsidRPr="003B5D33" w:rsidP="003B5D33">
      <w:pPr>
        <w:spacing w:line="269" w:lineRule="auto"/>
        <w:rPr>
          <w:rFonts w:eastAsia="Calibri"/>
          <w:b/>
          <w:bCs/>
          <w:rtl/>
        </w:rPr>
      </w:pPr>
      <w:r w:rsidRPr="003B5D33">
        <w:rPr>
          <w:rFonts w:eastAsia="Calibri" w:hint="cs"/>
          <w:b/>
          <w:bCs/>
          <w:rtl/>
        </w:rPr>
        <w:t xml:space="preserve">נמצא כי בשנים </w:t>
      </w:r>
      <w:r w:rsidRPr="003B5D33">
        <w:rPr>
          <w:rFonts w:eastAsia="Calibri"/>
          <w:b/>
          <w:bCs/>
          <w:rtl/>
        </w:rPr>
        <w:t>2024-2018</w:t>
      </w:r>
      <w:r w:rsidRPr="003B5D33">
        <w:rPr>
          <w:rFonts w:eastAsia="Calibri" w:hint="cs"/>
          <w:b/>
          <w:bCs/>
          <w:rtl/>
        </w:rPr>
        <w:t xml:space="preserve"> לא הועברו לוועדת ההיגוי כל הדיווחים על אירועי הסייבר המשמעותיים שאירעו במשרד כמתחייב על פי הנחיות יה"ב.</w:t>
      </w:r>
    </w:p>
    <w:bookmarkEnd w:id="62"/>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נמצא כי בשנים 2020 - 2024 אירעו אירועי סייבר חריגים, אולם רק בספטמבר 2024 הובא דיווח תמציתי לוועדת ההיגוי על התרחשותם, ודיווח זה נגע רק לחלק מהאירועים.</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יידוע חברי ועדת ההיגוי בדבר אירועי סייבר חריגים נועד כדי שחברי הוועדה יכירו את רמת ההגנה בסייבר הקיימת במשרד וכן לצורך ביצוע הערכת נזקים בעקבות האירועים וגיבוש המלצות לטיפולם. העברת מידע על חלק מאירועי הסייבר, ובאיחור ניכר לאחר מועד התרחשותם, אינה מאפשרת לחברי הוועדה להעריך במועד את הנזק שנגרם לרמת הגנת הסייבר המשרד ולגבש המלצות לצורך תיקון הפערים שהועלו.</w:t>
      </w:r>
    </w:p>
    <w:p w:rsidR="003B5D33" w:rsidRPr="003B5D33" w:rsidP="003B5D33">
      <w:pPr>
        <w:spacing w:line="269" w:lineRule="auto"/>
        <w:rPr>
          <w:rFonts w:eastAsia="Calibri"/>
          <w:b/>
          <w:bCs/>
          <w:rtl/>
        </w:rPr>
      </w:pPr>
      <w:bookmarkStart w:id="63" w:name="_Hlk203655361"/>
    </w:p>
    <w:p w:rsidR="003B5D33" w:rsidRPr="003B5D33" w:rsidP="003B5D33">
      <w:pPr>
        <w:spacing w:line="269" w:lineRule="auto"/>
        <w:rPr>
          <w:rFonts w:eastAsia="Calibri"/>
          <w:b/>
          <w:bCs/>
          <w:rtl/>
        </w:rPr>
      </w:pPr>
      <w:r w:rsidRPr="003B5D33">
        <w:rPr>
          <w:rFonts w:eastAsia="Calibri" w:hint="cs"/>
          <w:b/>
          <w:bCs/>
          <w:rtl/>
        </w:rPr>
        <w:t>על מנכ"ל משרד החוץ לוודא כי גורמי המקצוע במשרד יעבירו דיווח מפורט על אירועי סייבר חריגים לוועדת ההיגוי בכינוס הוועדה בסמוך למועד התרחשותם, כך שלפני חברי הוועדה תוצג תמונת המצב המלאה בנושא, מהלך שיאפשר להם לקדם את רמת ההגנה בסייבר במשרד.</w:t>
      </w:r>
    </w:p>
    <w:bookmarkEnd w:id="63"/>
    <w:p w:rsidR="003B5D33" w:rsidRPr="003B5D33" w:rsidP="003B5D33">
      <w:pPr>
        <w:spacing w:line="269" w:lineRule="auto"/>
        <w:rPr>
          <w:rFonts w:eastAsia="Calibri"/>
          <w:b/>
          <w:bCs/>
          <w:rtl/>
        </w:rPr>
      </w:pPr>
    </w:p>
    <w:p w:rsidR="003B5D33" w:rsidRPr="003B5D33" w:rsidP="003B5D33">
      <w:pPr>
        <w:keepNext/>
        <w:keepLines/>
        <w:spacing w:line="269" w:lineRule="auto"/>
        <w:outlineLvl w:val="3"/>
        <w:rPr>
          <w:rFonts w:eastAsia="Times New Roman"/>
          <w:bCs/>
          <w:szCs w:val="26"/>
          <w:rtl/>
        </w:rPr>
      </w:pPr>
      <w:bookmarkStart w:id="64" w:name="_Hlk203655371"/>
      <w:r w:rsidRPr="003B5D33">
        <w:rPr>
          <w:rFonts w:eastAsia="Times New Roman" w:hint="cs"/>
          <w:bCs/>
          <w:szCs w:val="26"/>
          <w:rtl/>
        </w:rPr>
        <w:t>מינוי חברי ועדת ההיגוי להגנת הסייבר ותדירות התכנסותה</w:t>
      </w:r>
    </w:p>
    <w:bookmarkEnd w:id="64"/>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לפי החלטת הממשלה מפברואר 2015</w:t>
      </w:r>
      <w:r>
        <w:rPr>
          <w:rFonts w:eastAsia="Calibri"/>
          <w:vertAlign w:val="superscript"/>
          <w:rtl/>
        </w:rPr>
        <w:footnoteReference w:id="99"/>
      </w:r>
      <w:r w:rsidRPr="003B5D33">
        <w:rPr>
          <w:rFonts w:eastAsia="Calibri" w:hint="cs"/>
          <w:rtl/>
        </w:rPr>
        <w:t xml:space="preserve"> והנחיית יה"ב, בראש ועדת ההיגוי יעמוד מנכ"ל המשרד ויתר חבריה יהיו בעלי התפקידים הבאים במשרד: ממונה הגנת הסייבר, מנהל משאבי אנוש, מנהל מערכות מידע, מנהל ביטחון (הגנה פיזית), יועץ משפטי, חשב וכן נציג יה"ב. עוד נקבע כי הוועדה תתכנס לכל הפחות פעם בחציון. בהנחיות השב"כ נקבעו הוראות דומות בנוגע לוועדת ההיגוי שתפעל על פי הנחיותיו</w:t>
      </w:r>
      <w:r>
        <w:rPr>
          <w:rFonts w:eastAsia="Calibri"/>
          <w:vertAlign w:val="superscript"/>
          <w:rtl/>
        </w:rPr>
        <w:footnoteReference w:id="100"/>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ועדת ההיגוי להגנת הסייבר במשרד החוץ החלה לפעול בינואר 2016 והתכנסה עד לשנת 2018 בתדירות הנדרשת. בספטמבר 2019 הוקמה ועדה נוספת, הוועדה התקשובית להגנת הסייבר, בראשות ממונה הגנת הסייבר במשרד ובהשתתפות מנהלים מאגף התקשוב במשרד, ותפקידיה היו יישום</w:t>
      </w:r>
      <w:r w:rsidRPr="003B5D33">
        <w:rPr>
          <w:rFonts w:eastAsia="Calibri"/>
          <w:rtl/>
        </w:rPr>
        <w:t xml:space="preserve"> החלטות ועדת ההיגוי העליונה</w:t>
      </w:r>
      <w:r w:rsidRPr="003B5D33">
        <w:rPr>
          <w:rFonts w:eastAsia="Calibri" w:hint="cs"/>
          <w:rtl/>
        </w:rPr>
        <w:t>;</w:t>
      </w:r>
      <w:r w:rsidRPr="003B5D33">
        <w:rPr>
          <w:rFonts w:eastAsia="Calibri"/>
        </w:rPr>
        <w:t xml:space="preserve"> </w:t>
      </w:r>
      <w:r w:rsidRPr="003B5D33">
        <w:rPr>
          <w:rFonts w:eastAsia="Calibri" w:hint="cs"/>
          <w:rtl/>
        </w:rPr>
        <w:t>מעקב</w:t>
      </w:r>
      <w:r w:rsidRPr="003B5D33">
        <w:rPr>
          <w:rFonts w:eastAsia="Calibri"/>
          <w:rtl/>
        </w:rPr>
        <w:t xml:space="preserve"> אחר מימוש ת</w:t>
      </w:r>
      <w:r w:rsidRPr="003B5D33">
        <w:rPr>
          <w:rFonts w:eastAsia="Calibri" w:hint="cs"/>
          <w:rtl/>
        </w:rPr>
        <w:t>ו</w:t>
      </w:r>
      <w:r w:rsidRPr="003B5D33">
        <w:rPr>
          <w:rFonts w:eastAsia="Calibri"/>
          <w:rtl/>
        </w:rPr>
        <w:t>כנית העבודה של המשרד בתחום הגנת הסייבר</w:t>
      </w:r>
      <w:r w:rsidRPr="003B5D33">
        <w:rPr>
          <w:rFonts w:eastAsia="Calibri" w:hint="cs"/>
          <w:rtl/>
        </w:rPr>
        <w:t>;</w:t>
      </w:r>
      <w:r w:rsidRPr="003B5D33">
        <w:rPr>
          <w:rFonts w:eastAsia="Calibri"/>
          <w:rtl/>
        </w:rPr>
        <w:t xml:space="preserve"> </w:t>
      </w:r>
      <w:r w:rsidRPr="003B5D33">
        <w:rPr>
          <w:rFonts w:eastAsia="Calibri" w:hint="cs"/>
          <w:rtl/>
        </w:rPr>
        <w:t>גיבוש</w:t>
      </w:r>
      <w:r w:rsidRPr="003B5D33">
        <w:rPr>
          <w:rFonts w:eastAsia="Calibri"/>
          <w:rtl/>
        </w:rPr>
        <w:t xml:space="preserve"> נושאים לדיון בו</w:t>
      </w:r>
      <w:r w:rsidRPr="003B5D33">
        <w:rPr>
          <w:rFonts w:eastAsia="Calibri" w:hint="cs"/>
          <w:rtl/>
        </w:rPr>
        <w:t>ו</w:t>
      </w:r>
      <w:r w:rsidRPr="003B5D33">
        <w:rPr>
          <w:rFonts w:eastAsia="Calibri"/>
          <w:rtl/>
        </w:rPr>
        <w:t>עדת ההיגוי העליונה</w:t>
      </w:r>
      <w:r w:rsidRPr="003B5D33">
        <w:rPr>
          <w:rFonts w:eastAsia="Calibri" w:hint="cs"/>
          <w:rtl/>
        </w:rPr>
        <w:t xml:space="preserve"> והמלצה </w:t>
      </w:r>
      <w:r w:rsidRPr="003B5D33">
        <w:rPr>
          <w:rFonts w:eastAsia="Calibri"/>
          <w:rtl/>
        </w:rPr>
        <w:t>לממונה הגנת הסייבר על ת</w:t>
      </w:r>
      <w:r w:rsidRPr="003B5D33">
        <w:rPr>
          <w:rFonts w:eastAsia="Calibri" w:hint="cs"/>
          <w:rtl/>
        </w:rPr>
        <w:t>י</w:t>
      </w:r>
      <w:r w:rsidRPr="003B5D33">
        <w:rPr>
          <w:rFonts w:eastAsia="Calibri"/>
          <w:rtl/>
        </w:rPr>
        <w:t xml:space="preserve">עדוף משימות בהתאם לרמות </w:t>
      </w:r>
      <w:r w:rsidRPr="003B5D33">
        <w:rPr>
          <w:rFonts w:eastAsia="Calibri" w:hint="cs"/>
          <w:rtl/>
        </w:rPr>
        <w:t>ה</w:t>
      </w:r>
      <w:r w:rsidRPr="003B5D33">
        <w:rPr>
          <w:rFonts w:eastAsia="Calibri"/>
          <w:rtl/>
        </w:rPr>
        <w:t>סיכון.</w:t>
      </w:r>
      <w:r w:rsidRPr="003B5D33">
        <w:rPr>
          <w:rFonts w:eastAsia="Calibri" w:hint="cs"/>
          <w:rtl/>
        </w:rPr>
        <w:t xml:space="preserve"> </w:t>
      </w:r>
    </w:p>
    <w:p w:rsidR="003B5D33" w:rsidRPr="003B5D33" w:rsidP="003B5D33">
      <w:pPr>
        <w:spacing w:line="269" w:lineRule="auto"/>
        <w:rPr>
          <w:rFonts w:eastAsia="Calibri"/>
          <w:b/>
          <w:bCs/>
          <w:rtl/>
        </w:rPr>
      </w:pPr>
      <w:bookmarkStart w:id="65" w:name="_Hlk203655386"/>
    </w:p>
    <w:p w:rsidR="003B5D33" w:rsidRPr="003B5D33" w:rsidP="003B5D33">
      <w:pPr>
        <w:spacing w:line="269" w:lineRule="auto"/>
        <w:rPr>
          <w:rFonts w:eastAsia="Calibri"/>
          <w:b/>
          <w:bCs/>
          <w:rtl/>
        </w:rPr>
      </w:pPr>
      <w:r w:rsidRPr="003B5D33">
        <w:rPr>
          <w:rFonts w:eastAsia="Calibri" w:hint="cs"/>
          <w:b/>
          <w:bCs/>
          <w:rtl/>
        </w:rPr>
        <w:t xml:space="preserve">נמצא כי בניגוד </w:t>
      </w:r>
      <w:r w:rsidRPr="003B5D33">
        <w:rPr>
          <w:rFonts w:eastAsia="Calibri"/>
          <w:b/>
          <w:bCs/>
          <w:rtl/>
        </w:rPr>
        <w:t xml:space="preserve">להחלטת הממשלה ולהנחיות יה"ב </w:t>
      </w:r>
      <w:r w:rsidRPr="003B5D33">
        <w:rPr>
          <w:rFonts w:eastAsia="Calibri" w:hint="cs"/>
          <w:b/>
          <w:bCs/>
          <w:rtl/>
        </w:rPr>
        <w:t>ש</w:t>
      </w:r>
      <w:r w:rsidRPr="003B5D33">
        <w:rPr>
          <w:rFonts w:eastAsia="Calibri"/>
          <w:b/>
          <w:bCs/>
          <w:rtl/>
        </w:rPr>
        <w:t xml:space="preserve">לפיהן </w:t>
      </w:r>
      <w:r w:rsidRPr="003B5D33">
        <w:rPr>
          <w:rFonts w:eastAsia="Calibri" w:hint="cs"/>
          <w:b/>
          <w:bCs/>
          <w:rtl/>
        </w:rPr>
        <w:t>על ועדת ההיגוי</w:t>
      </w:r>
      <w:r w:rsidRPr="003B5D33">
        <w:rPr>
          <w:rFonts w:eastAsia="Calibri"/>
          <w:b/>
          <w:bCs/>
          <w:rtl/>
        </w:rPr>
        <w:t xml:space="preserve"> </w:t>
      </w:r>
      <w:r w:rsidRPr="003B5D33">
        <w:rPr>
          <w:rFonts w:eastAsia="Calibri" w:hint="cs"/>
          <w:b/>
          <w:bCs/>
          <w:rtl/>
        </w:rPr>
        <w:t>לה</w:t>
      </w:r>
      <w:r w:rsidRPr="003B5D33">
        <w:rPr>
          <w:rFonts w:eastAsia="Calibri"/>
          <w:b/>
          <w:bCs/>
          <w:rtl/>
        </w:rPr>
        <w:t>תכנס לכל הפחות פעם בחציון</w:t>
      </w:r>
      <w:r w:rsidRPr="003B5D33">
        <w:rPr>
          <w:rFonts w:eastAsia="Calibri" w:hint="cs"/>
          <w:b/>
          <w:bCs/>
          <w:rtl/>
        </w:rPr>
        <w:t>,</w:t>
      </w:r>
      <w:r w:rsidRPr="003B5D33">
        <w:rPr>
          <w:rFonts w:eastAsia="Calibri"/>
          <w:b/>
          <w:bCs/>
          <w:rtl/>
        </w:rPr>
        <w:t xml:space="preserve"> </w:t>
      </w:r>
      <w:r w:rsidRPr="003B5D33">
        <w:rPr>
          <w:rFonts w:eastAsia="Calibri" w:hint="cs"/>
          <w:b/>
          <w:bCs/>
          <w:rtl/>
        </w:rPr>
        <w:t>ועדת ההיגוי במשרד החוץ לא התכנסה כלל בשנת 2019, ובשנים 2020 - 2024 התכנסה פעם אחת בלבד בכל שנה</w:t>
      </w:r>
      <w:bookmarkEnd w:id="65"/>
      <w:r>
        <w:rPr>
          <w:rFonts w:eastAsia="Calibri"/>
          <w:b/>
          <w:bCs/>
          <w:vertAlign w:val="superscript"/>
          <w:rtl/>
        </w:rPr>
        <w:footnoteReference w:id="101"/>
      </w:r>
      <w:r w:rsidRPr="003B5D33">
        <w:rPr>
          <w:rFonts w:eastAsia="Calibri" w:hint="cs"/>
          <w:b/>
          <w:bCs/>
          <w:rtl/>
        </w:rPr>
        <w:t>. זאת אף</w:t>
      </w:r>
      <w:r w:rsidRPr="003B5D33">
        <w:rPr>
          <w:rFonts w:eastAsia="Calibri"/>
          <w:rtl/>
        </w:rPr>
        <w:t xml:space="preserve"> </w:t>
      </w:r>
      <w:r w:rsidRPr="003B5D33">
        <w:rPr>
          <w:rFonts w:eastAsia="Calibri"/>
          <w:b/>
          <w:bCs/>
          <w:rtl/>
        </w:rPr>
        <w:t>שבדיון של ועדת ההיגוי באפריל 2021 ציין נציג מס"ל כי "לאור הסיכונים המהותיים שהוצגו, מס"ל מבקשים כי הנהלת המשרד תקיים ועדת היגוי אחת לרבעון ברשות מנכ"ל המשרד; ועדת היגוי אמורה להתקיים לפחות פעמיים בשנה. על ההנהלה להבין כי היא אחראית על הגנת הסייבר של המשרד"</w:t>
      </w:r>
      <w:r>
        <w:rPr>
          <w:rFonts w:eastAsia="Calibri"/>
          <w:b/>
          <w:bCs/>
          <w:vertAlign w:val="superscript"/>
          <w:rtl/>
        </w:rPr>
        <w:footnoteReference w:id="102"/>
      </w:r>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עוד נמצא כי אף שהחלטת הממשלה מחייבת שמנכ"ל המשרד יעמוד בראש ועדת ההיגוי להגנת הסייבר, במהלך כל שנות פעילותה של הוועדה במשרד החוץ עמד בראשה סמנכ"ל תיאום ותכנון מדיני.</w:t>
      </w:r>
    </w:p>
    <w:p w:rsidR="003B5D33" w:rsidRPr="003B5D33" w:rsidP="003B5D33">
      <w:pPr>
        <w:spacing w:line="269" w:lineRule="auto"/>
        <w:rPr>
          <w:rFonts w:eastAsia="Calibri"/>
          <w:rtl/>
        </w:rPr>
      </w:pPr>
    </w:p>
    <w:p w:rsidR="003B5D33" w:rsidRPr="003B5D33" w:rsidP="003B5D33">
      <w:pPr>
        <w:spacing w:line="269" w:lineRule="auto"/>
        <w:rPr>
          <w:rFonts w:eastAsia="Calibri"/>
        </w:rPr>
      </w:pPr>
      <w:r w:rsidRPr="003B5D33">
        <w:rPr>
          <w:rFonts w:eastAsia="Calibri" w:hint="eastAsia"/>
          <w:rtl/>
        </w:rPr>
        <w:t>משרד</w:t>
      </w:r>
      <w:r w:rsidRPr="003B5D33">
        <w:rPr>
          <w:rFonts w:eastAsia="Calibri"/>
          <w:rtl/>
        </w:rPr>
        <w:t xml:space="preserve"> </w:t>
      </w:r>
      <w:r w:rsidRPr="003B5D33">
        <w:rPr>
          <w:rFonts w:eastAsia="Calibri" w:hint="eastAsia"/>
          <w:rtl/>
        </w:rPr>
        <w:t>החוץ</w:t>
      </w:r>
      <w:r w:rsidRPr="003B5D33">
        <w:rPr>
          <w:rFonts w:eastAsia="Calibri"/>
          <w:rtl/>
        </w:rPr>
        <w:t xml:space="preserve"> </w:t>
      </w:r>
      <w:r w:rsidRPr="003B5D33">
        <w:rPr>
          <w:rFonts w:eastAsia="Calibri" w:hint="eastAsia"/>
          <w:rtl/>
        </w:rPr>
        <w:t>השיב</w:t>
      </w:r>
      <w:r w:rsidRPr="003B5D33">
        <w:rPr>
          <w:rFonts w:eastAsia="Calibri" w:hint="cs"/>
          <w:rtl/>
        </w:rPr>
        <w:t xml:space="preserve"> כי </w:t>
      </w:r>
      <w:r w:rsidRPr="003B5D33">
        <w:rPr>
          <w:rFonts w:eastAsia="Calibri"/>
          <w:rtl/>
        </w:rPr>
        <w:t xml:space="preserve">בשנת 2015 </w:t>
      </w:r>
      <w:r w:rsidRPr="003B5D33">
        <w:rPr>
          <w:rFonts w:eastAsia="Calibri" w:hint="cs"/>
          <w:rtl/>
        </w:rPr>
        <w:t xml:space="preserve">הוחלט </w:t>
      </w:r>
      <w:r w:rsidRPr="003B5D33">
        <w:rPr>
          <w:rFonts w:eastAsia="Calibri"/>
          <w:rtl/>
        </w:rPr>
        <w:t>שבראש ועדת ההיגוי תעמוד סמנכ"ל תיאום ולא המנכ"ל.</w:t>
      </w:r>
      <w:r w:rsidRPr="003B5D33">
        <w:rPr>
          <w:rFonts w:eastAsia="Calibri" w:hint="cs"/>
          <w:rtl/>
        </w:rPr>
        <w:t xml:space="preserve"> המשרד הוסיף כי </w:t>
      </w:r>
      <w:r w:rsidRPr="003B5D33">
        <w:rPr>
          <w:rFonts w:eastAsia="Calibri" w:hint="eastAsia"/>
          <w:rtl/>
        </w:rPr>
        <w:t>בפברואר</w:t>
      </w:r>
      <w:r w:rsidRPr="003B5D33">
        <w:rPr>
          <w:rFonts w:eastAsia="Calibri"/>
          <w:rtl/>
        </w:rPr>
        <w:t xml:space="preserve"> 2025 העביר אגף התקשוב ללשכת מנכ"ל המשרד רשימה מוצעת של חברי </w:t>
      </w:r>
      <w:r w:rsidRPr="003B5D33">
        <w:rPr>
          <w:rFonts w:eastAsia="Calibri" w:hint="cs"/>
          <w:rtl/>
        </w:rPr>
        <w:t>ו</w:t>
      </w:r>
      <w:r w:rsidRPr="003B5D33">
        <w:rPr>
          <w:rFonts w:eastAsia="Calibri"/>
          <w:rtl/>
        </w:rPr>
        <w:t>ועדה לצורך פרסום כתבי מינוי עדכניים.</w:t>
      </w:r>
    </w:p>
    <w:p w:rsidR="003B5D33" w:rsidRPr="003B5D33" w:rsidP="003B5D33">
      <w:pPr>
        <w:spacing w:line="269" w:lineRule="auto"/>
        <w:rPr>
          <w:rFonts w:eastAsia="Calibri"/>
          <w:b/>
          <w:bCs/>
          <w:rtl/>
        </w:rPr>
      </w:pPr>
      <w:bookmarkStart w:id="66" w:name="_Hlk203655401"/>
    </w:p>
    <w:p w:rsidR="003B5D33" w:rsidRPr="003B5D33" w:rsidP="003B5D33">
      <w:pPr>
        <w:spacing w:line="269" w:lineRule="auto"/>
        <w:rPr>
          <w:rFonts w:eastAsia="Calibri"/>
          <w:b/>
          <w:bCs/>
          <w:rtl/>
        </w:rPr>
      </w:pPr>
      <w:r w:rsidRPr="003B5D33">
        <w:rPr>
          <w:rFonts w:eastAsia="Calibri" w:hint="cs"/>
          <w:b/>
          <w:bCs/>
          <w:rtl/>
        </w:rPr>
        <w:t>ממצאי דוח זה, כפי שיפורטו גם להלן, מצביעים כי נכון לסוף שנת 2024 משרד החוץ מתמודד עם סיכונים מהותיים בהגנה על הסייבר במטה המשרד ובנציגויות בחו"ל. לנוכח זאת, ובהתאם להחלטת הממשלה והנחיות יה"ב, על מנכ"ל משרד החוץ לעמוד בראש ועדת ההיגוי להגנת הסייבר ולהקפיד לכנס אותה לפחות פעמיים בשנה כדי לעקוב אחר החלטות הוועדה ולקדם ביעילות את נושא הגנת הסייבר במשרד</w:t>
      </w:r>
      <w:bookmarkEnd w:id="66"/>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67" w:name="_Toc218592806"/>
      <w:bookmarkStart w:id="68" w:name="_Hlk203655412"/>
      <w:r w:rsidRPr="003B5D33">
        <w:rPr>
          <w:rFonts w:eastAsia="Times New Roman" w:hint="cs"/>
          <w:bCs/>
          <w:szCs w:val="28"/>
          <w:u w:val="single"/>
          <w:rtl/>
        </w:rPr>
        <w:t xml:space="preserve">עמידה ברמת ההגנה הנדרשת ברשתות </w:t>
      </w:r>
      <w:bookmarkEnd w:id="67"/>
      <w:r w:rsidRPr="003B5D33">
        <w:rPr>
          <w:rFonts w:eastAsia="Times New Roman" w:hint="cs"/>
          <w:bCs/>
          <w:szCs w:val="28"/>
          <w:u w:val="single"/>
          <w:rtl/>
        </w:rPr>
        <w:t>מסוימות</w:t>
      </w:r>
      <w:r w:rsidRPr="003B5D33">
        <w:rPr>
          <w:rFonts w:eastAsia="Calibri" w:hint="cs"/>
          <w:bCs/>
          <w:szCs w:val="28"/>
          <w:u w:val="single"/>
          <w:rtl/>
        </w:rPr>
        <w:t xml:space="preserve"> </w:t>
      </w:r>
    </w:p>
    <w:bookmarkEnd w:id="68"/>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נמצא כי </w:t>
      </w:r>
      <w:r w:rsidRPr="003B5D33">
        <w:rPr>
          <w:rFonts w:eastAsia="Calibri"/>
          <w:b/>
          <w:bCs/>
          <w:rtl/>
        </w:rPr>
        <w:t xml:space="preserve">רמת ההגנה על המידע ברשתות </w:t>
      </w:r>
      <w:r w:rsidRPr="003B5D33">
        <w:rPr>
          <w:rFonts w:eastAsia="Calibri" w:hint="cs"/>
          <w:b/>
          <w:bCs/>
          <w:rtl/>
        </w:rPr>
        <w:t>מסוימות</w:t>
      </w:r>
      <w:r w:rsidRPr="003B5D33">
        <w:rPr>
          <w:rFonts w:eastAsia="Calibri"/>
          <w:b/>
          <w:bCs/>
          <w:rtl/>
        </w:rPr>
        <w:t xml:space="preserve"> נמוכה מרמת ההגנה הנדרשת ואינה עומדת בדרישות הגורם המנחה.</w:t>
      </w:r>
    </w:p>
    <w:p w:rsidR="003B5D33" w:rsidRPr="003B5D33" w:rsidP="003B5D33">
      <w:pPr>
        <w:spacing w:line="269" w:lineRule="auto"/>
        <w:rPr>
          <w:rFonts w:eastAsia="Calibri"/>
          <w:sz w:val="24"/>
          <w:rtl/>
        </w:rPr>
      </w:pPr>
    </w:p>
    <w:p w:rsidR="003B5D33" w:rsidRPr="003B5D33" w:rsidP="003B5D33">
      <w:pPr>
        <w:spacing w:line="269" w:lineRule="auto"/>
        <w:rPr>
          <w:rFonts w:eastAsia="Calibri"/>
          <w:sz w:val="24"/>
          <w:rtl/>
        </w:rPr>
      </w:pPr>
      <w:r w:rsidRPr="003B5D33">
        <w:rPr>
          <w:rFonts w:eastAsia="Calibri" w:hint="eastAsia"/>
          <w:sz w:val="24"/>
          <w:rtl/>
        </w:rPr>
        <w:t>באוקטובר</w:t>
      </w:r>
      <w:r w:rsidRPr="003B5D33">
        <w:rPr>
          <w:rFonts w:eastAsia="Calibri"/>
          <w:sz w:val="24"/>
          <w:rtl/>
        </w:rPr>
        <w:t xml:space="preserve"> 2025 </w:t>
      </w:r>
      <w:r w:rsidRPr="003B5D33">
        <w:rPr>
          <w:rFonts w:eastAsia="Calibri" w:hint="eastAsia"/>
          <w:sz w:val="24"/>
          <w:rtl/>
        </w:rPr>
        <w:t>ציין</w:t>
      </w:r>
      <w:r w:rsidRPr="003B5D33">
        <w:rPr>
          <w:rFonts w:eastAsia="Calibri"/>
          <w:sz w:val="24"/>
          <w:rtl/>
        </w:rPr>
        <w:t xml:space="preserve"> </w:t>
      </w:r>
      <w:r w:rsidRPr="003B5D33">
        <w:rPr>
          <w:rFonts w:eastAsia="Calibri" w:hint="cs"/>
          <w:sz w:val="24"/>
          <w:rtl/>
        </w:rPr>
        <w:t xml:space="preserve">אחד הגורמים המנחים בתשובתו כי לאחרונה </w:t>
      </w:r>
      <w:r w:rsidR="00031CA3">
        <w:rPr>
          <w:rFonts w:eastAsia="Calibri" w:hint="cs"/>
          <w:sz w:val="24"/>
          <w:rtl/>
        </w:rPr>
        <w:t>אישרה נציבות שירות המדינה</w:t>
      </w:r>
      <w:r w:rsidRPr="003B5D33">
        <w:rPr>
          <w:rFonts w:eastAsia="Calibri" w:hint="cs"/>
          <w:sz w:val="24"/>
          <w:rtl/>
        </w:rPr>
        <w:t xml:space="preserve"> למשרד החוץ שלוש משרות נוספות בתחום הגנת הסייבר</w:t>
      </w:r>
      <w:r>
        <w:rPr>
          <w:rFonts w:eastAsia="Calibri"/>
          <w:sz w:val="24"/>
          <w:vertAlign w:val="superscript"/>
          <w:rtl/>
        </w:rPr>
        <w:footnoteReference w:id="103"/>
      </w:r>
      <w:r w:rsidRPr="003B5D33">
        <w:rPr>
          <w:rFonts w:eastAsia="Calibri" w:hint="cs"/>
          <w:sz w:val="24"/>
          <w:rtl/>
        </w:rPr>
        <w:t xml:space="preserve">, ואיוש משרות אלה יאפשר לקדם משמעותית את רמת ההגנה על רשתות המשרד. </w:t>
      </w:r>
    </w:p>
    <w:p w:rsidR="003B5D33" w:rsidRPr="003B5D33" w:rsidP="003B5D33">
      <w:pPr>
        <w:spacing w:line="269" w:lineRule="auto"/>
        <w:rPr>
          <w:rFonts w:eastAsia="Calibri"/>
          <w:b/>
          <w:bCs/>
          <w:sz w:val="24"/>
          <w:rtl/>
        </w:rPr>
      </w:pPr>
      <w:bookmarkStart w:id="69" w:name="_Hlk150351889"/>
      <w:bookmarkStart w:id="70" w:name="_Hlk203655447"/>
    </w:p>
    <w:p w:rsidR="003B5D33" w:rsidRPr="003B5D33" w:rsidP="003B5D33">
      <w:pPr>
        <w:spacing w:line="269" w:lineRule="auto"/>
        <w:rPr>
          <w:rFonts w:eastAsia="Calibri"/>
          <w:b/>
          <w:bCs/>
          <w:sz w:val="24"/>
          <w:rtl/>
        </w:rPr>
      </w:pPr>
      <w:r w:rsidRPr="003B5D33">
        <w:rPr>
          <w:rFonts w:eastAsia="Calibri" w:hint="eastAsia"/>
          <w:b/>
          <w:bCs/>
          <w:sz w:val="24"/>
          <w:rtl/>
        </w:rPr>
        <w:t>משרד</w:t>
      </w:r>
      <w:r w:rsidRPr="003B5D33">
        <w:rPr>
          <w:rFonts w:eastAsia="Calibri"/>
          <w:b/>
          <w:bCs/>
          <w:sz w:val="24"/>
          <w:rtl/>
        </w:rPr>
        <w:t xml:space="preserve"> </w:t>
      </w:r>
      <w:r w:rsidRPr="003B5D33">
        <w:rPr>
          <w:rFonts w:eastAsia="Calibri" w:hint="cs"/>
          <w:b/>
          <w:bCs/>
          <w:sz w:val="24"/>
          <w:rtl/>
        </w:rPr>
        <w:t>החוץ</w:t>
      </w:r>
      <w:r w:rsidRPr="003B5D33">
        <w:rPr>
          <w:rFonts w:eastAsia="Calibri"/>
          <w:b/>
          <w:bCs/>
          <w:sz w:val="24"/>
          <w:rtl/>
        </w:rPr>
        <w:t xml:space="preserve"> הוא יעד המצוי באיום תמידי. </w:t>
      </w:r>
      <w:r w:rsidRPr="003B5D33">
        <w:rPr>
          <w:rFonts w:eastAsia="Calibri" w:hint="cs"/>
          <w:b/>
          <w:bCs/>
          <w:sz w:val="24"/>
          <w:rtl/>
        </w:rPr>
        <w:t xml:space="preserve">תמונת המצב המתוארת לעיל משקפת כי על אף פעולות שביצע משרד החוץ במטרה לקדם את רמת ההגנה על מערכותיו, עדיין קיים פער בין רמת האיום לבין רמת ההגנה שנקבעה ושעל המשרד לעמוד בה בשלב זה. </w:t>
      </w:r>
      <w:r w:rsidRPr="003B5D33">
        <w:rPr>
          <w:rFonts w:eastAsia="Calibri" w:hint="eastAsia"/>
          <w:b/>
          <w:bCs/>
          <w:sz w:val="24"/>
          <w:rtl/>
        </w:rPr>
        <w:t>הותרת</w:t>
      </w:r>
      <w:r w:rsidRPr="003B5D33">
        <w:rPr>
          <w:rFonts w:eastAsia="Calibri"/>
          <w:b/>
          <w:bCs/>
          <w:sz w:val="24"/>
          <w:rtl/>
        </w:rPr>
        <w:t xml:space="preserve"> </w:t>
      </w:r>
      <w:r w:rsidRPr="003B5D33">
        <w:rPr>
          <w:rFonts w:eastAsia="Calibri" w:hint="eastAsia"/>
          <w:b/>
          <w:bCs/>
          <w:sz w:val="24"/>
          <w:rtl/>
        </w:rPr>
        <w:t>הרשתות</w:t>
      </w:r>
      <w:r w:rsidRPr="003B5D33">
        <w:rPr>
          <w:rFonts w:eastAsia="Calibri"/>
          <w:b/>
          <w:bCs/>
          <w:sz w:val="24"/>
          <w:rtl/>
        </w:rPr>
        <w:t xml:space="preserve"> שבידי המשרד ברמת הגנה נמוכה מהנדרש </w:t>
      </w:r>
      <w:r w:rsidRPr="003B5D33">
        <w:rPr>
          <w:rFonts w:eastAsia="Calibri" w:hint="eastAsia"/>
          <w:b/>
          <w:bCs/>
          <w:sz w:val="24"/>
          <w:rtl/>
        </w:rPr>
        <w:t>עלולה</w:t>
      </w:r>
      <w:r w:rsidRPr="003B5D33">
        <w:rPr>
          <w:rFonts w:eastAsia="Calibri"/>
          <w:b/>
          <w:bCs/>
          <w:sz w:val="24"/>
          <w:rtl/>
        </w:rPr>
        <w:t xml:space="preserve"> להביא לפגיעה במדינת ישראל בהיבטים </w:t>
      </w:r>
      <w:r w:rsidRPr="003B5D33">
        <w:rPr>
          <w:rFonts w:eastAsia="Calibri" w:hint="cs"/>
          <w:b/>
          <w:bCs/>
          <w:sz w:val="24"/>
          <w:rtl/>
        </w:rPr>
        <w:t>ה</w:t>
      </w:r>
      <w:r w:rsidRPr="003B5D33">
        <w:rPr>
          <w:rFonts w:eastAsia="Calibri" w:hint="eastAsia"/>
          <w:b/>
          <w:bCs/>
          <w:sz w:val="24"/>
          <w:rtl/>
        </w:rPr>
        <w:t>מדיניים</w:t>
      </w:r>
      <w:r w:rsidRPr="003B5D33">
        <w:rPr>
          <w:rFonts w:eastAsia="Calibri"/>
          <w:b/>
          <w:bCs/>
          <w:sz w:val="24"/>
          <w:rtl/>
        </w:rPr>
        <w:t xml:space="preserve">, </w:t>
      </w:r>
      <w:r w:rsidRPr="003B5D33">
        <w:rPr>
          <w:rFonts w:eastAsia="Calibri" w:hint="cs"/>
          <w:b/>
          <w:bCs/>
          <w:sz w:val="24"/>
          <w:rtl/>
        </w:rPr>
        <w:t>ה</w:t>
      </w:r>
      <w:r w:rsidRPr="003B5D33">
        <w:rPr>
          <w:rFonts w:eastAsia="Calibri" w:hint="eastAsia"/>
          <w:b/>
          <w:bCs/>
          <w:sz w:val="24"/>
          <w:rtl/>
        </w:rPr>
        <w:t>ביטחוניים</w:t>
      </w:r>
      <w:r w:rsidRPr="003B5D33">
        <w:rPr>
          <w:rFonts w:eastAsia="Calibri"/>
          <w:b/>
          <w:bCs/>
          <w:sz w:val="24"/>
          <w:rtl/>
        </w:rPr>
        <w:t xml:space="preserve">, </w:t>
      </w:r>
      <w:r w:rsidRPr="003B5D33">
        <w:rPr>
          <w:rFonts w:eastAsia="Calibri" w:hint="cs"/>
          <w:b/>
          <w:bCs/>
          <w:sz w:val="24"/>
          <w:rtl/>
        </w:rPr>
        <w:t>ה</w:t>
      </w:r>
      <w:r w:rsidRPr="003B5D33">
        <w:rPr>
          <w:rFonts w:eastAsia="Calibri" w:hint="eastAsia"/>
          <w:b/>
          <w:bCs/>
          <w:sz w:val="24"/>
          <w:rtl/>
        </w:rPr>
        <w:t>כלכליים</w:t>
      </w:r>
      <w:r w:rsidRPr="003B5D33">
        <w:rPr>
          <w:rFonts w:eastAsia="Calibri"/>
          <w:b/>
          <w:bCs/>
          <w:sz w:val="24"/>
          <w:rtl/>
        </w:rPr>
        <w:t xml:space="preserve"> </w:t>
      </w:r>
      <w:r w:rsidRPr="003B5D33">
        <w:rPr>
          <w:rFonts w:eastAsia="Calibri" w:hint="eastAsia"/>
          <w:b/>
          <w:bCs/>
          <w:sz w:val="24"/>
          <w:rtl/>
        </w:rPr>
        <w:t>ו</w:t>
      </w:r>
      <w:r w:rsidRPr="003B5D33">
        <w:rPr>
          <w:rFonts w:eastAsia="Calibri" w:hint="cs"/>
          <w:b/>
          <w:bCs/>
          <w:sz w:val="24"/>
          <w:rtl/>
        </w:rPr>
        <w:t>ה</w:t>
      </w:r>
      <w:r w:rsidRPr="003B5D33">
        <w:rPr>
          <w:rFonts w:eastAsia="Calibri" w:hint="eastAsia"/>
          <w:b/>
          <w:bCs/>
          <w:sz w:val="24"/>
          <w:rtl/>
        </w:rPr>
        <w:t>תדמיתיים</w:t>
      </w:r>
      <w:r w:rsidRPr="003B5D33">
        <w:rPr>
          <w:rFonts w:eastAsia="Calibri"/>
          <w:b/>
          <w:bCs/>
          <w:sz w:val="24"/>
          <w:rtl/>
        </w:rPr>
        <w:t>.</w:t>
      </w:r>
      <w:bookmarkEnd w:id="69"/>
      <w:r w:rsidRPr="003B5D33">
        <w:rPr>
          <w:rFonts w:eastAsia="Calibri" w:hint="cs"/>
          <w:b/>
          <w:bCs/>
          <w:sz w:val="24"/>
          <w:rtl/>
        </w:rPr>
        <w:t xml:space="preserve"> </w:t>
      </w:r>
    </w:p>
    <w:p w:rsidR="003B5D33" w:rsidRPr="003B5D33" w:rsidP="003B5D33">
      <w:pPr>
        <w:spacing w:line="269" w:lineRule="auto"/>
        <w:rPr>
          <w:rFonts w:eastAsia="Calibri"/>
          <w:b/>
          <w:bCs/>
          <w:sz w:val="24"/>
          <w:rtl/>
        </w:rPr>
      </w:pPr>
    </w:p>
    <w:p w:rsidR="003B5D33" w:rsidP="003B5D33">
      <w:pPr>
        <w:spacing w:line="269" w:lineRule="auto"/>
        <w:rPr>
          <w:rFonts w:eastAsia="Calibri"/>
          <w:b/>
          <w:bCs/>
          <w:sz w:val="24"/>
          <w:rtl/>
        </w:rPr>
      </w:pPr>
      <w:r w:rsidRPr="003B5D33">
        <w:rPr>
          <w:rFonts w:eastAsia="Calibri" w:hint="cs"/>
          <w:b/>
          <w:bCs/>
          <w:sz w:val="24"/>
          <w:rtl/>
        </w:rPr>
        <w:t>על מנכ"ל משרד החוץ להבטיח כי ייעשו הפעולות הדרושות להשגת רמת ההגנה הנדרשת בהקדם, כמתחייב מרמת איום הייחוס שהוגדרה ושעל המשרד לעמוד בה. כמו כן, על הגורם המנחה להמשיך ולעקוב אחר יישום הנחיותיו במסגרת תהליך ההסמכה של משרד החוץ לעמידה ברמת הגנה הנדרשת.</w:t>
      </w:r>
    </w:p>
    <w:p w:rsidR="00E57B02" w:rsidRPr="003B5D33" w:rsidP="003B5D33">
      <w:pPr>
        <w:spacing w:line="269" w:lineRule="auto"/>
        <w:rPr>
          <w:rFonts w:eastAsia="Calibri"/>
          <w:b/>
          <w:bCs/>
          <w:sz w:val="24"/>
          <w:rtl/>
        </w:rPr>
      </w:pPr>
    </w:p>
    <w:p w:rsidR="003B5D33" w:rsidRPr="003B5D33" w:rsidP="003B5D33">
      <w:pPr>
        <w:spacing w:line="269" w:lineRule="auto"/>
        <w:rPr>
          <w:rFonts w:eastAsia="Calibri"/>
          <w:b/>
          <w:bCs/>
          <w:sz w:val="24"/>
          <w:rtl/>
        </w:rPr>
      </w:pPr>
    </w:p>
    <w:p w:rsidR="00DA2F85">
      <w:pPr>
        <w:bidi w:val="0"/>
        <w:spacing w:after="200" w:line="276" w:lineRule="auto"/>
        <w:rPr>
          <w:rFonts w:eastAsia="Times New Roman"/>
          <w:bCs/>
          <w:szCs w:val="32"/>
          <w:rtl/>
        </w:rPr>
      </w:pPr>
      <w:bookmarkStart w:id="71" w:name="_Toc218592807"/>
      <w:bookmarkStart w:id="72" w:name="_Hlk203655455"/>
      <w:bookmarkEnd w:id="70"/>
      <w:r>
        <w:rPr>
          <w:rFonts w:eastAsia="Times New Roman"/>
          <w:bCs/>
          <w:szCs w:val="32"/>
          <w:rtl/>
        </w:rPr>
        <w:br w:type="page"/>
      </w:r>
    </w:p>
    <w:p w:rsidR="003B5D33" w:rsidRPr="003B5D33" w:rsidP="003B5D33">
      <w:pPr>
        <w:keepNext/>
        <w:keepLines/>
        <w:spacing w:line="269" w:lineRule="auto"/>
        <w:jc w:val="center"/>
        <w:outlineLvl w:val="1"/>
        <w:rPr>
          <w:rFonts w:eastAsia="Times New Roman"/>
          <w:bCs/>
          <w:szCs w:val="32"/>
          <w:rtl/>
        </w:rPr>
      </w:pPr>
      <w:r w:rsidRPr="003B5D33">
        <w:rPr>
          <w:rFonts w:eastAsia="Times New Roman" w:hint="cs"/>
          <w:bCs/>
          <w:szCs w:val="32"/>
          <w:rtl/>
        </w:rPr>
        <w:t>הגנה על המידע ברשתות המחשוב במשרד החוץ</w:t>
      </w:r>
      <w:bookmarkEnd w:id="71"/>
    </w:p>
    <w:bookmarkEnd w:id="72"/>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משרד החוץ </w:t>
      </w:r>
      <w:r w:rsidRPr="003B5D33">
        <w:rPr>
          <w:rFonts w:eastAsia="Calibri" w:hint="cs"/>
          <w:rtl/>
        </w:rPr>
        <w:t>מחזיק מידע רגיש, ובכלל זאת מידע רגיש מהבחינה המדינית-דיפלומטית.</w:t>
      </w:r>
    </w:p>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73" w:name="_Toc218592808"/>
      <w:r w:rsidRPr="003B5D33">
        <w:rPr>
          <w:rFonts w:eastAsia="Times New Roman" w:hint="cs"/>
          <w:bCs/>
          <w:szCs w:val="28"/>
          <w:u w:val="single"/>
          <w:rtl/>
        </w:rPr>
        <w:t>סיווג נכסי המידע במשרד החוץ</w:t>
      </w:r>
      <w:bookmarkEnd w:id="73"/>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הנחיות הגורמים המנחים מחייבות כל ארגון לסווג את נכסי המידע שברשותו</w:t>
      </w:r>
      <w:r>
        <w:rPr>
          <w:rFonts w:eastAsia="Calibri"/>
          <w:vertAlign w:val="superscript"/>
          <w:rtl/>
        </w:rPr>
        <w:footnoteReference w:id="104"/>
      </w:r>
      <w:r w:rsidRPr="003B5D33">
        <w:rPr>
          <w:rFonts w:eastAsia="Calibri" w:hint="cs"/>
          <w:rtl/>
        </w:rPr>
        <w:t xml:space="preserve"> כדי להבטיח כי </w:t>
      </w:r>
      <w:r w:rsidRPr="003B5D33">
        <w:rPr>
          <w:rFonts w:eastAsia="Calibri"/>
          <w:rtl/>
        </w:rPr>
        <w:t>כל נכסי המידע של המשרד מפוקחים</w:t>
      </w:r>
      <w:r w:rsidRPr="003B5D33">
        <w:rPr>
          <w:rFonts w:eastAsia="Calibri" w:hint="cs"/>
          <w:rtl/>
        </w:rPr>
        <w:t xml:space="preserve"> ומאובטחים כנדרש</w:t>
      </w:r>
      <w:r w:rsidRPr="003B5D33">
        <w:rPr>
          <w:rFonts w:eastAsia="Calibri"/>
          <w:rtl/>
        </w:rPr>
        <w:t xml:space="preserve"> ו</w:t>
      </w:r>
      <w:r w:rsidRPr="003B5D33">
        <w:rPr>
          <w:rFonts w:eastAsia="Calibri" w:hint="cs"/>
          <w:rtl/>
        </w:rPr>
        <w:t xml:space="preserve">כי </w:t>
      </w:r>
      <w:r w:rsidRPr="003B5D33">
        <w:rPr>
          <w:rFonts w:eastAsia="Calibri"/>
          <w:rtl/>
        </w:rPr>
        <w:t>קיים גורם הנושא באחריות לגבי כל אחד מהנכסים</w:t>
      </w:r>
      <w:r w:rsidRPr="003B5D33">
        <w:rPr>
          <w:rFonts w:eastAsia="Calibri" w:hint="cs"/>
          <w:rtl/>
        </w:rPr>
        <w:t xml:space="preserve">. בהנחיות יה"ב נקבע כי יש לקבוע עקרונות לגבי סיווג המידע ומערכות המחשוב המעבדות ומאחסנות אותו, וכי קביעת העקרונות והקריטריונים להגדרת סיווג רגישות המידע תיעשה לפי מידת הנזק שייגרם למשרד, למדינת ישראל או לגורמים אחרים בשל חשיפה של המידע, חבלה בו, מחיקה או שיבוש שלו, של מאגריו או מערכותיו, בין שבמזיד </w:t>
      </w:r>
      <w:r w:rsidRPr="003B5D33">
        <w:rPr>
          <w:rFonts w:eastAsia="Calibri"/>
          <w:rtl/>
        </w:rPr>
        <w:t xml:space="preserve">ובין </w:t>
      </w:r>
      <w:r w:rsidRPr="003B5D33">
        <w:rPr>
          <w:rFonts w:eastAsia="Calibri" w:hint="cs"/>
          <w:rtl/>
        </w:rPr>
        <w:t>ש</w:t>
      </w:r>
      <w:r w:rsidRPr="003B5D33">
        <w:rPr>
          <w:rFonts w:eastAsia="Calibri"/>
          <w:rtl/>
        </w:rPr>
        <w:t>בשוגג</w:t>
      </w:r>
      <w:r>
        <w:rPr>
          <w:rFonts w:eastAsia="Calibri"/>
          <w:vertAlign w:val="superscript"/>
          <w:rtl/>
        </w:rPr>
        <w:footnoteReference w:id="105"/>
      </w:r>
      <w:r w:rsidRPr="003B5D33">
        <w:rPr>
          <w:rFonts w:eastAsia="Calibri"/>
          <w:rtl/>
        </w:rPr>
        <w:t>.</w:t>
      </w:r>
      <w:r w:rsidRPr="003B5D33">
        <w:rPr>
          <w:rFonts w:eastAsia="Calibri" w:hint="cs"/>
          <w:rtl/>
        </w:rPr>
        <w:t xml:space="preserve"> עוד נקבע כי המידע יסומן </w:t>
      </w:r>
      <w:r w:rsidRPr="003B5D33">
        <w:rPr>
          <w:rFonts w:eastAsia="Calibri"/>
          <w:rtl/>
        </w:rPr>
        <w:t>בתווית לפי סיווגו</w:t>
      </w:r>
      <w:r w:rsidRPr="003B5D33">
        <w:rPr>
          <w:rFonts w:eastAsia="Calibri" w:hint="cs"/>
          <w:rtl/>
        </w:rPr>
        <w:t>, וייקבעו</w:t>
      </w:r>
      <w:r w:rsidRPr="003B5D33">
        <w:rPr>
          <w:rFonts w:eastAsia="Calibri"/>
          <w:rtl/>
        </w:rPr>
        <w:t xml:space="preserve"> הנחיות לגבי מקום אחסונו, העברתו במשרד והרשאות הגישה אליו</w:t>
      </w:r>
      <w:r w:rsidRPr="003B5D33">
        <w:rPr>
          <w:rFonts w:eastAsia="Calibri" w:hint="cs"/>
          <w:rtl/>
        </w:rPr>
        <w:t xml:space="preserve">. בהתאם, צוין כי </w:t>
      </w:r>
      <w:r w:rsidRPr="003B5D33">
        <w:rPr>
          <w:rFonts w:eastAsia="Calibri"/>
          <w:rtl/>
        </w:rPr>
        <w:t xml:space="preserve">ממונה הגנת הסייבר בארגון </w:t>
      </w:r>
      <w:r w:rsidRPr="003B5D33">
        <w:rPr>
          <w:rFonts w:eastAsia="Calibri" w:hint="cs"/>
          <w:rtl/>
        </w:rPr>
        <w:t>יקבע את רמת ההגנה ה</w:t>
      </w:r>
      <w:r w:rsidRPr="003B5D33">
        <w:rPr>
          <w:rFonts w:eastAsia="Calibri"/>
          <w:rtl/>
        </w:rPr>
        <w:t>מחייבת לכל נכס מידע</w:t>
      </w:r>
      <w:r w:rsidRPr="003B5D33">
        <w:rPr>
          <w:rFonts w:eastAsia="Calibri" w:hint="cs"/>
          <w:rtl/>
        </w:rPr>
        <w:t xml:space="preserve"> </w:t>
      </w:r>
      <w:r w:rsidRPr="003B5D33">
        <w:rPr>
          <w:rFonts w:eastAsia="Calibri"/>
          <w:rtl/>
        </w:rPr>
        <w:t>(</w:t>
      </w:r>
      <w:r w:rsidRPr="003B5D33">
        <w:rPr>
          <w:rFonts w:eastAsia="Calibri" w:hint="cs"/>
          <w:rtl/>
        </w:rPr>
        <w:t xml:space="preserve">כגון - </w:t>
      </w:r>
      <w:r w:rsidRPr="003B5D33">
        <w:rPr>
          <w:rFonts w:eastAsia="Calibri"/>
          <w:rtl/>
        </w:rPr>
        <w:t>רמת ההזדהות, רמת המידור, רמת הבקרה, צורך בהצפנה וכיו"ב)</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במסמך מדיניות </w:t>
      </w:r>
      <w:r w:rsidRPr="003B5D33">
        <w:rPr>
          <w:rFonts w:eastAsia="Calibri"/>
          <w:rtl/>
        </w:rPr>
        <w:t>הגנת הסייבר</w:t>
      </w:r>
      <w:r w:rsidRPr="003B5D33">
        <w:rPr>
          <w:rFonts w:eastAsia="Calibri" w:hint="cs"/>
          <w:rtl/>
        </w:rPr>
        <w:t xml:space="preserve"> של משרד החוץ משנת 2018 נקבע כי </w:t>
      </w:r>
      <w:r w:rsidRPr="003B5D33">
        <w:rPr>
          <w:rFonts w:eastAsia="Calibri"/>
          <w:rtl/>
        </w:rPr>
        <w:t>נכסי המידע של המשרד יסווגו על ידי הממונה על הביטחון</w:t>
      </w:r>
      <w:r>
        <w:rPr>
          <w:rFonts w:eastAsia="Calibri"/>
          <w:vertAlign w:val="superscript"/>
          <w:rtl/>
        </w:rPr>
        <w:footnoteReference w:id="106"/>
      </w:r>
      <w:r w:rsidRPr="003B5D33">
        <w:rPr>
          <w:rFonts w:eastAsia="Calibri" w:hint="cs"/>
          <w:rtl/>
        </w:rPr>
        <w:t xml:space="preserve"> וכי </w:t>
      </w:r>
      <w:r w:rsidRPr="003B5D33">
        <w:rPr>
          <w:rFonts w:eastAsia="Calibri"/>
          <w:rtl/>
        </w:rPr>
        <w:t>סיווגו של נכס</w:t>
      </w:r>
      <w:r w:rsidRPr="003B5D33">
        <w:rPr>
          <w:rFonts w:eastAsia="Calibri" w:hint="cs"/>
          <w:rtl/>
        </w:rPr>
        <w:t xml:space="preserve"> </w:t>
      </w:r>
      <w:r w:rsidRPr="003B5D33">
        <w:rPr>
          <w:rFonts w:eastAsia="Calibri"/>
          <w:rtl/>
        </w:rPr>
        <w:t xml:space="preserve">מידע </w:t>
      </w:r>
      <w:r w:rsidRPr="003B5D33">
        <w:rPr>
          <w:rFonts w:eastAsia="Calibri" w:hint="cs"/>
          <w:rtl/>
        </w:rPr>
        <w:t>י</w:t>
      </w:r>
      <w:r w:rsidRPr="003B5D33">
        <w:rPr>
          <w:rFonts w:eastAsia="Calibri"/>
          <w:rtl/>
        </w:rPr>
        <w:t xml:space="preserve">יקבע, בין היתר, על פי רגישותו בהיבטים השונים </w:t>
      </w:r>
      <w:r w:rsidRPr="003B5D33">
        <w:rPr>
          <w:rFonts w:eastAsia="Calibri" w:hint="cs"/>
          <w:rtl/>
        </w:rPr>
        <w:t>(ה</w:t>
      </w:r>
      <w:r w:rsidRPr="003B5D33">
        <w:rPr>
          <w:rFonts w:eastAsia="Calibri"/>
          <w:rtl/>
        </w:rPr>
        <w:t xml:space="preserve">מדיניים, </w:t>
      </w:r>
      <w:r w:rsidRPr="003B5D33">
        <w:rPr>
          <w:rFonts w:eastAsia="Calibri" w:hint="cs"/>
          <w:rtl/>
        </w:rPr>
        <w:t>ה</w:t>
      </w:r>
      <w:r w:rsidRPr="003B5D33">
        <w:rPr>
          <w:rFonts w:eastAsia="Calibri"/>
          <w:rtl/>
        </w:rPr>
        <w:t>ביטחוניים,</w:t>
      </w:r>
      <w:r w:rsidRPr="003B5D33">
        <w:rPr>
          <w:rFonts w:eastAsia="Calibri" w:hint="cs"/>
          <w:rtl/>
        </w:rPr>
        <w:t xml:space="preserve"> ה</w:t>
      </w:r>
      <w:r w:rsidRPr="003B5D33">
        <w:rPr>
          <w:rFonts w:eastAsia="Calibri"/>
          <w:rtl/>
        </w:rPr>
        <w:t xml:space="preserve">משפטיים, </w:t>
      </w:r>
      <w:r w:rsidRPr="003B5D33">
        <w:rPr>
          <w:rFonts w:eastAsia="Calibri" w:hint="cs"/>
          <w:rtl/>
        </w:rPr>
        <w:t>ה</w:t>
      </w:r>
      <w:r w:rsidRPr="003B5D33">
        <w:rPr>
          <w:rFonts w:eastAsia="Calibri"/>
          <w:rtl/>
        </w:rPr>
        <w:t>כלכליים וכדומה</w:t>
      </w:r>
      <w:r w:rsidRPr="003B5D33">
        <w:rPr>
          <w:rFonts w:eastAsia="Calibri" w:hint="cs"/>
          <w:rtl/>
        </w:rPr>
        <w:t xml:space="preserve">) </w:t>
      </w:r>
      <w:r w:rsidRPr="003B5D33">
        <w:rPr>
          <w:rFonts w:eastAsia="Calibri"/>
          <w:rtl/>
        </w:rPr>
        <w:t>ובפוטנציאל הנזק למשרד במקרה של דלף, פגיעה</w:t>
      </w:r>
      <w:r w:rsidRPr="003B5D33">
        <w:rPr>
          <w:rFonts w:eastAsia="Calibri" w:hint="cs"/>
          <w:rtl/>
        </w:rPr>
        <w:t xml:space="preserve"> </w:t>
      </w:r>
      <w:r w:rsidRPr="003B5D33">
        <w:rPr>
          <w:rFonts w:eastAsia="Calibri"/>
          <w:rtl/>
        </w:rPr>
        <w:t xml:space="preserve">או שיבוש המידע. </w:t>
      </w:r>
      <w:r w:rsidRPr="003B5D33">
        <w:rPr>
          <w:rFonts w:eastAsia="Calibri" w:hint="cs"/>
          <w:rtl/>
        </w:rPr>
        <w:t xml:space="preserve">במסמך הוגדרו מספר </w:t>
      </w:r>
      <w:r w:rsidRPr="003B5D33">
        <w:rPr>
          <w:rFonts w:eastAsia="Calibri"/>
          <w:rtl/>
        </w:rPr>
        <w:t xml:space="preserve">רמות </w:t>
      </w:r>
      <w:r w:rsidRPr="003B5D33">
        <w:rPr>
          <w:rFonts w:eastAsia="Calibri" w:hint="cs"/>
          <w:rtl/>
        </w:rPr>
        <w:t>ל</w:t>
      </w:r>
      <w:r w:rsidRPr="003B5D33">
        <w:rPr>
          <w:rFonts w:eastAsia="Calibri"/>
          <w:rtl/>
        </w:rPr>
        <w:t xml:space="preserve">סיווג </w:t>
      </w:r>
      <w:r w:rsidRPr="003B5D33">
        <w:rPr>
          <w:rFonts w:eastAsia="Calibri" w:hint="cs"/>
          <w:rtl/>
        </w:rPr>
        <w:t>ה</w:t>
      </w:r>
      <w:r w:rsidRPr="003B5D33">
        <w:rPr>
          <w:rFonts w:eastAsia="Calibri"/>
          <w:rtl/>
        </w:rPr>
        <w:t>מידע במשרד</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בשנת 2022 הוצגה ואושרה בוועדת ההיגוי העליונה להגנת הסייבר במשרד החוץ הגדרה חדשה לרמת הסיווג "בלמ"ס רגיש" - </w:t>
      </w:r>
      <w:r w:rsidRPr="003B5D33">
        <w:rPr>
          <w:rFonts w:eastAsia="Calibri"/>
          <w:rtl/>
        </w:rPr>
        <w:t>מידע אשר חשיפתו לגורם בלתי מורשה, שינויו ללא סמכות,</w:t>
      </w:r>
      <w:r w:rsidRPr="003B5D33">
        <w:rPr>
          <w:rFonts w:eastAsia="Calibri" w:hint="cs"/>
          <w:rtl/>
        </w:rPr>
        <w:t xml:space="preserve"> </w:t>
      </w:r>
      <w:r w:rsidRPr="003B5D33">
        <w:rPr>
          <w:rFonts w:eastAsia="Calibri"/>
          <w:rtl/>
        </w:rPr>
        <w:t>מחיקתו או מניעת גישה אליו יסייעו לגרום נזק כלכלי או תפעולי</w:t>
      </w:r>
      <w:r w:rsidRPr="003B5D33">
        <w:rPr>
          <w:rFonts w:eastAsia="Calibri" w:hint="cs"/>
          <w:rtl/>
        </w:rPr>
        <w:t>,</w:t>
      </w:r>
      <w:r w:rsidRPr="003B5D33">
        <w:rPr>
          <w:rFonts w:eastAsia="Calibri"/>
          <w:rtl/>
        </w:rPr>
        <w:t xml:space="preserve"> או יפגע</w:t>
      </w:r>
      <w:r w:rsidRPr="003B5D33">
        <w:rPr>
          <w:rFonts w:eastAsia="Calibri" w:hint="cs"/>
          <w:rtl/>
        </w:rPr>
        <w:t xml:space="preserve">ו </w:t>
      </w:r>
      <w:r w:rsidRPr="003B5D33">
        <w:rPr>
          <w:rFonts w:eastAsia="Calibri"/>
          <w:rtl/>
        </w:rPr>
        <w:t>בצנעת הפרט או ביכולת המשרד לקיים דרישות כל דין</w:t>
      </w:r>
      <w:r w:rsidRPr="003B5D33">
        <w:rPr>
          <w:rFonts w:eastAsia="Calibri" w:hint="cs"/>
          <w:rtl/>
        </w:rPr>
        <w:t>.</w:t>
      </w:r>
      <w:r w:rsidRPr="003B5D33">
        <w:rPr>
          <w:rFonts w:eastAsia="Calibri"/>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במסמך מדיניות הגנת הסייבר של משרד החוץ נקבעו כאמור רמות סיווג שונות למידע, בהתאם לרגישותו ולפוטנציאל הנזק שלו</w:t>
      </w:r>
      <w:r w:rsidRPr="003B5D33">
        <w:rPr>
          <w:rFonts w:eastAsia="Calibri"/>
          <w:b/>
          <w:bCs/>
          <w:rtl/>
        </w:rPr>
        <w:t>.</w:t>
      </w:r>
      <w:r w:rsidRPr="003B5D33">
        <w:rPr>
          <w:rFonts w:eastAsia="Calibri" w:hint="cs"/>
          <w:b/>
          <w:bCs/>
          <w:rtl/>
        </w:rPr>
        <w:t xml:space="preserve"> עם זאת הועלה כי במשרד החוץ לא קיים נוהל לסיווג מידע הכולל הנחיות מפורטות המגדירות את הקריטריונים והתבחינים שלפיהם תיקבע מידת רגישות המידע וסיווגו וכן את רמת ההגנה הנדרשת בכל אחת מהרמות. במצב דברים זה, בידי עובדי המשרד אין כללים ברורים לקביעת סיווגו ורגישותו של כל נכס מידע, ומכאן שקיים קושי לקבוע את רמת ההגנה המחייבת לגבי כל אחד מנכסי המידע לרבות זהות המורשים לגשת אליו והיקף הרשאותיהם. ללא סיווג נכון של נכסי המידע, נכסי מידע רגישים עלולים להיות חשופים לסיכונים כמו גישה לא מורשית, דליפת מידע והפרה של הוראות הדין הנוגעות להגנה על מידע, כגון הוראות הנוגעות להגנה על הפרטיות.</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במהלך השנים גורמים שונים הצביעו לפני משרד החוץ על היעדרו של נוהל הנוגע לסיווג המידע ועל השלכות היעדרו של נוהל כזה. </w:t>
      </w:r>
    </w:p>
    <w:p w:rsidR="003B5D33" w:rsidRPr="003B5D33" w:rsidP="003B5D33">
      <w:pPr>
        <w:spacing w:line="269" w:lineRule="auto"/>
        <w:ind w:left="312"/>
        <w:contextualSpacing/>
        <w:rPr>
          <w:rFonts w:eastAsia="Calibri"/>
        </w:rPr>
      </w:pPr>
    </w:p>
    <w:p w:rsidR="003B5D33" w:rsidRPr="003B5D33" w:rsidP="003B5D33">
      <w:pPr>
        <w:numPr>
          <w:ilvl w:val="0"/>
          <w:numId w:val="18"/>
        </w:numPr>
        <w:spacing w:line="269" w:lineRule="auto"/>
        <w:ind w:left="312"/>
        <w:contextualSpacing/>
        <w:rPr>
          <w:rFonts w:eastAsia="Calibri"/>
        </w:rPr>
      </w:pPr>
      <w:r w:rsidRPr="003B5D33">
        <w:rPr>
          <w:rFonts w:eastAsia="Calibri" w:hint="cs"/>
          <w:rtl/>
        </w:rPr>
        <w:t>סקר סיכוני סייבר שבוצע במשרד החוץ בשנת 2019 הצביע על סיכוני-העל במשרד ובהם סיכון הנוגע לסיווג המידע. בעניין זה צוין כי במשרד קיימת רשת מסוימת שמכילה מידע רגיש, אולם אין נהלים והנחיות המגדירים את אופן ההגנה על המידע הקיים בהתאם לסיווגו. עוד צוין כי המערכות התומכות בשמירה על המידע אינן עונות על הצרכים הנדרשים בהתאם לסוג המידע.</w:t>
      </w:r>
    </w:p>
    <w:p w:rsidR="003B5D33" w:rsidRPr="003B5D33" w:rsidP="003B5D33">
      <w:pPr>
        <w:spacing w:line="269" w:lineRule="auto"/>
        <w:ind w:left="312"/>
        <w:contextualSpacing/>
        <w:rPr>
          <w:rFonts w:eastAsia="Calibri"/>
        </w:rPr>
      </w:pPr>
    </w:p>
    <w:p w:rsidR="003B5D33" w:rsidRPr="003B5D33" w:rsidP="003B5D33">
      <w:pPr>
        <w:numPr>
          <w:ilvl w:val="0"/>
          <w:numId w:val="18"/>
        </w:numPr>
        <w:spacing w:line="269" w:lineRule="auto"/>
        <w:ind w:left="312"/>
        <w:contextualSpacing/>
        <w:rPr>
          <w:rFonts w:eastAsia="Calibri"/>
        </w:rPr>
      </w:pPr>
      <w:r w:rsidRPr="003B5D33">
        <w:rPr>
          <w:rFonts w:ascii="David" w:eastAsia="Calibri" w:hAnsi="David" w:hint="cs"/>
          <w:b/>
          <w:sz w:val="24"/>
          <w:rtl/>
        </w:rPr>
        <w:t>בנובמבר 2022 בוצעה על ידי השב"כ בדיקה ייעודית לצמצום ומניעה של דלף מידע במשרד החוץ שבה עלו ממצאים הדורשים התייחסות.</w:t>
      </w:r>
    </w:p>
    <w:p w:rsidR="003B5D33" w:rsidRPr="003B5D33" w:rsidP="003B5D33">
      <w:pPr>
        <w:spacing w:line="269" w:lineRule="auto"/>
        <w:contextualSpacing/>
        <w:rPr>
          <w:rFonts w:eastAsia="Calibri"/>
        </w:rPr>
      </w:pPr>
    </w:p>
    <w:p w:rsidR="003B5D33" w:rsidRPr="003B5D33" w:rsidP="003B5D33">
      <w:pPr>
        <w:numPr>
          <w:ilvl w:val="0"/>
          <w:numId w:val="18"/>
        </w:numPr>
        <w:spacing w:line="269" w:lineRule="auto"/>
        <w:ind w:left="312"/>
        <w:contextualSpacing/>
        <w:rPr>
          <w:rFonts w:eastAsia="Calibri"/>
          <w:rtl/>
        </w:rPr>
      </w:pPr>
      <w:r w:rsidRPr="003B5D33">
        <w:rPr>
          <w:rFonts w:eastAsia="Calibri" w:hint="cs"/>
          <w:rtl/>
        </w:rPr>
        <w:t xml:space="preserve">ביולי 2023 הוגש למשרד החוץ סקר סיכונים שהוזמן על ידו בנושא דלף מידע. אחד מהסיכונים שהוצפו בסקר נגע להיעדר נוהל סיווג מידע </w:t>
      </w:r>
      <w:r w:rsidRPr="003B5D33">
        <w:rPr>
          <w:rFonts w:eastAsia="Calibri"/>
          <w:rtl/>
        </w:rPr>
        <w:t>המגדיר מהם</w:t>
      </w:r>
      <w:r w:rsidRPr="003B5D33">
        <w:rPr>
          <w:rFonts w:eastAsia="Calibri" w:hint="cs"/>
          <w:rtl/>
        </w:rPr>
        <w:t xml:space="preserve"> </w:t>
      </w:r>
      <w:r w:rsidRPr="003B5D33">
        <w:rPr>
          <w:rFonts w:eastAsia="Calibri"/>
          <w:rtl/>
        </w:rPr>
        <w:t>הפרמטרים של מידע מסווג וכיצד</w:t>
      </w:r>
      <w:r w:rsidRPr="003B5D33">
        <w:rPr>
          <w:rFonts w:eastAsia="Calibri" w:hint="cs"/>
          <w:rtl/>
        </w:rPr>
        <w:t xml:space="preserve"> </w:t>
      </w:r>
      <w:r w:rsidRPr="003B5D33">
        <w:rPr>
          <w:rFonts w:eastAsia="Calibri"/>
          <w:rtl/>
        </w:rPr>
        <w:t>פרמטרים אלו מיושמים בפועל</w:t>
      </w:r>
      <w:r w:rsidRPr="003B5D33">
        <w:rPr>
          <w:rFonts w:eastAsia="Calibri" w:hint="cs"/>
          <w:rtl/>
        </w:rPr>
        <w:t xml:space="preserve"> </w:t>
      </w:r>
      <w:r w:rsidRPr="003B5D33">
        <w:rPr>
          <w:rFonts w:eastAsia="Calibri"/>
          <w:rtl/>
        </w:rPr>
        <w:t>בתהליך העברת המידע</w:t>
      </w:r>
      <w:r w:rsidRPr="003B5D33">
        <w:rPr>
          <w:rFonts w:eastAsia="Calibri" w:hint="cs"/>
          <w:rtl/>
        </w:rPr>
        <w:t>.</w:t>
      </w:r>
      <w:r w:rsidRPr="003B5D33">
        <w:rPr>
          <w:rFonts w:eastAsia="Calibri"/>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במאי 2023 הכין אגף התקשוב במשרד טיוטה </w:t>
      </w:r>
      <w:r w:rsidRPr="003B5D33">
        <w:rPr>
          <w:rFonts w:eastAsia="Calibri"/>
          <w:rtl/>
        </w:rPr>
        <w:t>של הנחיה בנושא אסדרת התבחינים והתהליכים למניעת דלף מידע מסביבות רשת של מ</w:t>
      </w:r>
      <w:r w:rsidRPr="003B5D33">
        <w:rPr>
          <w:rFonts w:eastAsia="Calibri" w:hint="cs"/>
          <w:rtl/>
        </w:rPr>
        <w:t>שרד החוץ</w:t>
      </w:r>
      <w:r w:rsidRPr="003B5D33">
        <w:rPr>
          <w:rFonts w:eastAsia="Calibri"/>
          <w:rtl/>
        </w:rPr>
        <w:t>,</w:t>
      </w:r>
      <w:r w:rsidRPr="003B5D33">
        <w:rPr>
          <w:rFonts w:eastAsia="Calibri" w:hint="cs"/>
          <w:rtl/>
        </w:rPr>
        <w:t xml:space="preserve"> שכללה הגדרות עדכניות לסוגי המידע במשרד, רשימת סיכונים ותבחיני נזק וכן קביעת הנחיות להגנה על המידע בהתאם לסיווגו. נכון לינואר 2025 טרם אושרה </w:t>
      </w:r>
      <w:r w:rsidRPr="003B5D33">
        <w:rPr>
          <w:rFonts w:eastAsia="Calibri"/>
          <w:rtl/>
        </w:rPr>
        <w:t xml:space="preserve">טיוטה זו על ידי </w:t>
      </w:r>
      <w:r w:rsidR="00031CA3">
        <w:rPr>
          <w:rFonts w:eastAsia="Calibri" w:hint="cs"/>
          <w:rtl/>
        </w:rPr>
        <w:t>ראש חטיבת</w:t>
      </w:r>
      <w:r w:rsidRPr="003B5D33">
        <w:rPr>
          <w:rFonts w:eastAsia="Calibri"/>
          <w:rtl/>
        </w:rPr>
        <w:t xml:space="preserve"> בטמ"ח ועל ידי מנהל אגף התקשוב במשרד</w:t>
      </w:r>
      <w:r w:rsidRPr="003B5D33">
        <w:rPr>
          <w:rFonts w:eastAsia="Calibri" w:hint="cs"/>
          <w:rtl/>
        </w:rPr>
        <w:t>.</w:t>
      </w:r>
    </w:p>
    <w:p w:rsidR="003B5D33" w:rsidRPr="003B5D33" w:rsidP="003B5D33">
      <w:pPr>
        <w:spacing w:line="269" w:lineRule="auto"/>
        <w:rPr>
          <w:rFonts w:eastAsia="Calibri"/>
          <w:b/>
          <w:bCs/>
          <w:rtl/>
        </w:rPr>
      </w:pPr>
      <w:bookmarkStart w:id="74" w:name="_Hlk203655885"/>
    </w:p>
    <w:p w:rsidR="003B5D33" w:rsidRPr="003B5D33" w:rsidP="003B5D33">
      <w:pPr>
        <w:spacing w:line="269" w:lineRule="auto"/>
        <w:rPr>
          <w:rFonts w:eastAsia="Calibri"/>
          <w:b/>
          <w:bCs/>
          <w:rtl/>
        </w:rPr>
      </w:pPr>
      <w:r w:rsidRPr="003B5D33">
        <w:rPr>
          <w:rFonts w:eastAsia="Calibri" w:hint="cs"/>
          <w:b/>
          <w:bCs/>
          <w:rtl/>
        </w:rPr>
        <w:t xml:space="preserve">עולה אפוא כי אף שגורמים שונים הצביעו כבר משנת 2019 על הסיכון הקיים של דלף מידע, בהיעדרו של נוהל המסדיר את סיווג נכסי המידע ואת מעטפת ההגנה הנדרשת בהתאם לסיווגם - עד ינואר 2025 טרם הוסדר נושא זה בהנחיות משרד החוץ ולא הופץ לעובדים.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לנוכח הסיכונים הטמונים באי-סיווג המידע או בסיווג לא נכון שלו, על משרד החוץ להשלים את גיבוש ההנחיה בנושא סיווג מידע והגנה עליו, להטמיע אותה במשרד באמצעות הדרכות ולוודא שהעובדים אכן יודעים כיצד לנהוג בנכסי המידע השונים בהתאם לרמת רגישותם.</w:t>
      </w:r>
    </w:p>
    <w:bookmarkEnd w:id="74"/>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75" w:name="_Toc218592809"/>
      <w:bookmarkStart w:id="76" w:name="_Hlk203655896"/>
      <w:r w:rsidRPr="003B5D33">
        <w:rPr>
          <w:rFonts w:eastAsia="Times New Roman" w:hint="cs"/>
          <w:bCs/>
          <w:szCs w:val="28"/>
          <w:u w:val="single"/>
          <w:rtl/>
        </w:rPr>
        <w:t>ניהול הרשאות הגישה ברשתות המשרד</w:t>
      </w:r>
      <w:bookmarkEnd w:id="75"/>
    </w:p>
    <w:bookmarkEnd w:id="76"/>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עובדים בארגון הם אחד מהסיכונים המהותיים ביותר לאבטחת המידע בארגון. בין היתר מדובר בעובדים או משתמשים המשוטים על ידי אחרים ללא מודעות לכך; סקרנים; עובדים ממורמרים או בעלי כוונת זדון; ועובדים בעלי מודעות נמוכה להגנת הסייבר והמידע עצמו.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עקרון יסוד בהגנה על מידע הוא מתן הרשאות על בסיס תפקידו של העובד. לפי עיקרון זה, רמת החשיפה של העובד למידע ארגוני תיקבע לפי הצורך לדעת</w:t>
      </w:r>
      <w:r w:rsidRPr="003B5D33">
        <w:rPr>
          <w:rFonts w:eastAsia="Calibri"/>
          <w:rtl/>
        </w:rPr>
        <w:t xml:space="preserve"> </w:t>
      </w:r>
      <w:r w:rsidRPr="003B5D33">
        <w:rPr>
          <w:rFonts w:eastAsia="Calibri" w:hint="cs"/>
          <w:rtl/>
        </w:rPr>
        <w:t>(</w:t>
      </w:r>
      <w:r w:rsidRPr="003B5D33">
        <w:rPr>
          <w:rFonts w:eastAsia="Calibri"/>
        </w:rPr>
        <w:t>need to know</w:t>
      </w:r>
      <w:r w:rsidRPr="003B5D33">
        <w:rPr>
          <w:rFonts w:eastAsia="Calibri" w:hint="cs"/>
          <w:rtl/>
        </w:rPr>
        <w:t xml:space="preserve">), והיקף וסוג ההרשאות ייקבעו לפי מינימום הפעולות שנדרשות לו </w:t>
      </w:r>
      <w:r w:rsidRPr="003B5D33">
        <w:rPr>
          <w:rFonts w:eastAsia="Calibri"/>
          <w:rtl/>
        </w:rPr>
        <w:t>לצורך ביצוע עבודתו</w:t>
      </w:r>
      <w:r w:rsidRPr="003B5D33">
        <w:rPr>
          <w:rFonts w:eastAsia="Calibri" w:hint="cs"/>
          <w:rtl/>
        </w:rPr>
        <w:t xml:space="preserve"> (</w:t>
      </w:r>
      <w:r w:rsidRPr="003B5D33">
        <w:rPr>
          <w:rFonts w:eastAsia="Calibri"/>
        </w:rPr>
        <w:t>least privileges</w:t>
      </w:r>
      <w:r w:rsidRPr="003B5D33">
        <w:rPr>
          <w:rFonts w:eastAsia="Calibri" w:hint="cs"/>
          <w:rtl/>
        </w:rPr>
        <w:t xml:space="preserve">). </w:t>
      </w:r>
      <w:r w:rsidRPr="003B5D33">
        <w:rPr>
          <w:rFonts w:eastAsia="Calibri"/>
          <w:rtl/>
        </w:rPr>
        <w:t>הגבלת הגישה של עובדים למידע האגור במערכות המשרד</w:t>
      </w:r>
      <w:r w:rsidRPr="003B5D33">
        <w:rPr>
          <w:rFonts w:eastAsia="Calibri" w:hint="cs"/>
          <w:rtl/>
        </w:rPr>
        <w:t xml:space="preserve"> נועדה </w:t>
      </w:r>
      <w:r w:rsidRPr="003B5D33">
        <w:rPr>
          <w:rFonts w:eastAsia="Calibri"/>
          <w:rtl/>
        </w:rPr>
        <w:t>לצמצם</w:t>
      </w:r>
      <w:r w:rsidRPr="003B5D33">
        <w:rPr>
          <w:rFonts w:eastAsia="Calibri" w:hint="cs"/>
          <w:rtl/>
        </w:rPr>
        <w:t xml:space="preserve"> את</w:t>
      </w:r>
      <w:r w:rsidRPr="003B5D33">
        <w:rPr>
          <w:rFonts w:eastAsia="Calibri"/>
          <w:rtl/>
        </w:rPr>
        <w:t xml:space="preserve"> </w:t>
      </w:r>
      <w:r w:rsidRPr="003B5D33">
        <w:rPr>
          <w:rFonts w:eastAsia="Calibri" w:hint="cs"/>
          <w:rtl/>
        </w:rPr>
        <w:t xml:space="preserve">החשיפה של המידע לגורמים שאינם מורשים ואת </w:t>
      </w:r>
      <w:r w:rsidRPr="003B5D33">
        <w:rPr>
          <w:rFonts w:eastAsia="Calibri"/>
          <w:rtl/>
        </w:rPr>
        <w:t>אפשרויות הפגיעה במידע על ידי העובדים עצמם או על ידי גורמים חיצוניים, שישיגו גישה בלתי מורשית למערכות.</w:t>
      </w:r>
      <w:r w:rsidRPr="003B5D33">
        <w:rPr>
          <w:rFonts w:eastAsia="Calibri" w:hint="cs"/>
          <w:rtl/>
        </w:rPr>
        <w:t xml:space="preserve"> לשם כך, נקבע בהנחיות הגורמים המנחים כי יש לבצע</w:t>
      </w:r>
      <w:r w:rsidRPr="003B5D33">
        <w:rPr>
          <w:rFonts w:eastAsia="Calibri"/>
          <w:rtl/>
        </w:rPr>
        <w:t xml:space="preserve"> מידור של המידע ושל המשתמשים בו</w:t>
      </w:r>
      <w:r w:rsidRPr="003B5D33">
        <w:rPr>
          <w:rFonts w:eastAsia="Calibri" w:hint="cs"/>
          <w:rtl/>
        </w:rPr>
        <w:t xml:space="preserve">, וכי </w:t>
      </w:r>
      <w:r w:rsidRPr="003B5D33">
        <w:rPr>
          <w:rFonts w:eastAsia="Calibri"/>
          <w:rtl/>
        </w:rPr>
        <w:t>ההרשאות יינתנו על בסיס פרופיל הרשאות</w:t>
      </w:r>
      <w:r w:rsidRPr="003B5D33">
        <w:rPr>
          <w:rFonts w:eastAsia="Calibri" w:hint="cs"/>
          <w:rtl/>
        </w:rPr>
        <w:t>, כך ש</w:t>
      </w:r>
      <w:r w:rsidRPr="003B5D33">
        <w:rPr>
          <w:rFonts w:eastAsia="Calibri"/>
          <w:rtl/>
        </w:rPr>
        <w:t xml:space="preserve">לכל תפקיד במשרד יוגדר פרופיל הרשאות מתאים, </w:t>
      </w:r>
      <w:r w:rsidRPr="003B5D33">
        <w:rPr>
          <w:rFonts w:eastAsia="Calibri" w:hint="cs"/>
          <w:rtl/>
        </w:rPr>
        <w:t>ו</w:t>
      </w:r>
      <w:r w:rsidRPr="003B5D33">
        <w:rPr>
          <w:rFonts w:eastAsia="Calibri"/>
          <w:rtl/>
        </w:rPr>
        <w:t xml:space="preserve">יוענקו </w:t>
      </w:r>
      <w:r w:rsidRPr="003B5D33">
        <w:rPr>
          <w:rFonts w:eastAsia="Calibri" w:hint="cs"/>
          <w:rtl/>
        </w:rPr>
        <w:t xml:space="preserve">לו </w:t>
      </w:r>
      <w:r w:rsidRPr="003B5D33">
        <w:rPr>
          <w:rFonts w:eastAsia="Calibri"/>
          <w:rtl/>
        </w:rPr>
        <w:t xml:space="preserve">הרשאות גישה לפרטי מידע הדרושים לו לביצוע עבודתו בלבד, כפי שיוגדר על ידי בעלי המידע </w:t>
      </w:r>
      <w:r w:rsidRPr="003B5D33">
        <w:rPr>
          <w:rFonts w:eastAsia="Calibri" w:hint="cs"/>
          <w:rtl/>
        </w:rPr>
        <w:t>ו</w:t>
      </w:r>
      <w:r w:rsidRPr="003B5D33">
        <w:rPr>
          <w:rFonts w:eastAsia="Calibri"/>
          <w:rtl/>
        </w:rPr>
        <w:t xml:space="preserve">בשיתוף </w:t>
      </w:r>
      <w:r w:rsidRPr="003B5D33">
        <w:rPr>
          <w:rFonts w:eastAsia="Calibri" w:hint="cs"/>
          <w:rtl/>
        </w:rPr>
        <w:t>ממונה</w:t>
      </w:r>
      <w:r w:rsidRPr="003B5D33">
        <w:rPr>
          <w:rFonts w:eastAsia="Calibri"/>
          <w:rtl/>
        </w:rPr>
        <w:t xml:space="preserve"> הגנת הסייבר</w:t>
      </w:r>
      <w:r w:rsidRPr="003B5D33">
        <w:rPr>
          <w:rFonts w:eastAsia="Calibri" w:hint="cs"/>
          <w:rtl/>
        </w:rPr>
        <w:t xml:space="preserve"> במשרד</w:t>
      </w:r>
      <w:r>
        <w:rPr>
          <w:rFonts w:eastAsia="Calibri"/>
          <w:vertAlign w:val="superscript"/>
          <w:rtl/>
        </w:rPr>
        <w:footnoteReference w:id="107"/>
      </w:r>
      <w:r w:rsidRPr="003B5D33">
        <w:rPr>
          <w:rFonts w:eastAsia="Calibri"/>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מנהל את המידע ברשתות המשרד בין היתר באמצעות ספריות, שלהן ניתנת הרשאה לעובד מסוים או קבוצה מוגדרת של עובדים. באפשרות מנהלי הרשתות לקבוע על פי בקשת בעלי המידע בספריות את זהות המשתמשים או קבוצת המשתמשים שלהם תינתן הרשאה לכל ספרייה (לכל משתמשי הרשת, רק למשתמשים המוגדרים כמשתמשי-על</w:t>
      </w:r>
      <w:r w:rsidRPr="003B5D33">
        <w:rPr>
          <w:rFonts w:eastAsia="Calibri" w:hint="cs"/>
          <w:szCs w:val="20"/>
          <w:rtl/>
        </w:rPr>
        <w:t xml:space="preserve"> </w:t>
      </w:r>
      <w:r w:rsidRPr="003B5D33">
        <w:rPr>
          <w:rFonts w:eastAsia="Calibri" w:hint="cs"/>
          <w:rtl/>
        </w:rPr>
        <w:t>וכיו"ב</w:t>
      </w:r>
      <w:r w:rsidRPr="003B5D33">
        <w:rPr>
          <w:rFonts w:eastAsia="Calibri" w:hint="cs"/>
          <w:szCs w:val="20"/>
          <w:rtl/>
        </w:rPr>
        <w:t xml:space="preserve">) </w:t>
      </w:r>
      <w:r w:rsidRPr="003B5D33">
        <w:rPr>
          <w:rFonts w:eastAsia="Calibri" w:hint="cs"/>
          <w:rtl/>
        </w:rPr>
        <w:t>וכן את הפעולות שעבורן תינתן הרשאה (הרשאה כוללת לרבות הרשאת כתיבה, הרשאה לקרוא ולהפעיל את הקובץ, הרשאת קריאה בלבד וכיו"ב</w:t>
      </w:r>
      <w:r w:rsidRPr="003B5D33">
        <w:rPr>
          <w:rFonts w:eastAsia="Calibri"/>
        </w:rPr>
        <w:t>(</w:t>
      </w:r>
      <w:r w:rsidRPr="003B5D33">
        <w:rPr>
          <w:rFonts w:eastAsia="Calibri" w:hint="cs"/>
          <w:rtl/>
        </w:rPr>
        <w:t>. באפשרות מנהל הרשת, על פי בקשת בעלי המידע בספריות, גם להחליט אילו ספריות יהיו גלויות לכל המשתמשים ואילו יהיו גלויות רק למשתמשים מסוימים או לקבוצת משתמשים מסוימת.</w:t>
      </w:r>
    </w:p>
    <w:p w:rsidR="003B5D33" w:rsidRPr="003B5D33" w:rsidP="003B5D33">
      <w:pPr>
        <w:spacing w:line="269" w:lineRule="auto"/>
        <w:rPr>
          <w:rFonts w:eastAsia="Calibri"/>
          <w:rtl/>
        </w:rPr>
      </w:pPr>
    </w:p>
    <w:p w:rsidR="003B5D33" w:rsidRPr="003B5D33" w:rsidP="003B5D33">
      <w:pPr>
        <w:spacing w:line="269" w:lineRule="auto"/>
        <w:rPr>
          <w:rFonts w:eastAsia="Calibri"/>
          <w:b/>
          <w:bCs/>
          <w:rtl/>
        </w:rPr>
      </w:pPr>
      <w:r w:rsidRPr="003B5D33">
        <w:rPr>
          <w:rFonts w:eastAsia="Calibri" w:hint="cs"/>
          <w:b/>
          <w:bCs/>
          <w:rtl/>
        </w:rPr>
        <w:t xml:space="preserve">משרד מבקר המדינה ניתח את ההרשאות שניתנו לספריות רשת משותפות ברשתות משרד החוץ נכון לספטמבר 2024. </w:t>
      </w:r>
      <w:r w:rsidRPr="003B5D33">
        <w:rPr>
          <w:rFonts w:eastAsia="Calibri" w:hint="eastAsia"/>
          <w:b/>
          <w:bCs/>
          <w:rtl/>
        </w:rPr>
        <w:t>בניתוח</w:t>
      </w:r>
      <w:r w:rsidRPr="003B5D33">
        <w:rPr>
          <w:rFonts w:eastAsia="Calibri"/>
          <w:b/>
          <w:bCs/>
          <w:rtl/>
        </w:rPr>
        <w:t xml:space="preserve"> נמצאו ספריות בחלק מרשתות המשרד שהיו פתוחות לכלל משתמשי הרשת. </w:t>
      </w:r>
    </w:p>
    <w:p w:rsidR="003B5D33" w:rsidRPr="003B5D33" w:rsidP="003B5D33">
      <w:pPr>
        <w:spacing w:line="269" w:lineRule="auto"/>
        <w:ind w:left="-567" w:firstLine="567"/>
        <w:rPr>
          <w:rFonts w:eastAsia="Calibri"/>
          <w:b/>
          <w:bCs/>
          <w:rtl/>
        </w:rPr>
      </w:pPr>
    </w:p>
    <w:p w:rsidR="003B5D33" w:rsidRPr="003B5D33" w:rsidP="003B5D33">
      <w:pPr>
        <w:spacing w:line="269" w:lineRule="auto"/>
        <w:rPr>
          <w:rFonts w:eastAsia="Calibri"/>
          <w:b/>
          <w:bCs/>
          <w:rtl/>
        </w:rPr>
      </w:pPr>
      <w:bookmarkStart w:id="77" w:name="_Hlk203655920"/>
      <w:r w:rsidRPr="003B5D33">
        <w:rPr>
          <w:rFonts w:eastAsia="Calibri" w:hint="cs"/>
          <w:b/>
          <w:bCs/>
          <w:rtl/>
        </w:rPr>
        <w:t>עולה אפוא כי בניגוד להנחיות שלפיהן יש להגביל את הרשאות הגישה של העובדים ל</w:t>
      </w:r>
      <w:r w:rsidRPr="003B5D33">
        <w:rPr>
          <w:rFonts w:eastAsia="Calibri"/>
          <w:b/>
          <w:bCs/>
          <w:rtl/>
        </w:rPr>
        <w:t xml:space="preserve">מינימום ההרשאות </w:t>
      </w:r>
      <w:r w:rsidRPr="003B5D33">
        <w:rPr>
          <w:rFonts w:eastAsia="Calibri" w:hint="cs"/>
          <w:b/>
          <w:bCs/>
          <w:rtl/>
        </w:rPr>
        <w:t>ה</w:t>
      </w:r>
      <w:r w:rsidRPr="003B5D33">
        <w:rPr>
          <w:rFonts w:eastAsia="Calibri"/>
          <w:b/>
          <w:bCs/>
          <w:rtl/>
        </w:rPr>
        <w:t>נדרשות לצורך ביצוע עבודת</w:t>
      </w:r>
      <w:r w:rsidRPr="003B5D33">
        <w:rPr>
          <w:rFonts w:eastAsia="Calibri" w:hint="cs"/>
          <w:b/>
          <w:bCs/>
          <w:rtl/>
        </w:rPr>
        <w:t>ם</w:t>
      </w:r>
      <w:r w:rsidRPr="003B5D33">
        <w:rPr>
          <w:rFonts w:eastAsia="Calibri"/>
          <w:rtl/>
        </w:rPr>
        <w:t xml:space="preserve"> </w:t>
      </w:r>
      <w:r w:rsidRPr="003B5D33">
        <w:rPr>
          <w:rFonts w:eastAsia="Calibri"/>
          <w:b/>
          <w:bCs/>
          <w:rtl/>
        </w:rPr>
        <w:t>ושלא על פי העיקרון היסודי של</w:t>
      </w:r>
      <w:r w:rsidRPr="003B5D33">
        <w:rPr>
          <w:rFonts w:eastAsia="Calibri" w:hint="cs"/>
          <w:b/>
          <w:bCs/>
          <w:rtl/>
        </w:rPr>
        <w:t xml:space="preserve"> הצורך לדעת, הרי שבמשרד החוץ ניתנה גישה </w:t>
      </w:r>
      <w:r w:rsidRPr="003B5D33">
        <w:rPr>
          <w:rFonts w:eastAsia="Calibri" w:hint="eastAsia"/>
          <w:b/>
          <w:bCs/>
          <w:rtl/>
        </w:rPr>
        <w:t>לחלק</w:t>
      </w:r>
      <w:r w:rsidRPr="003B5D33">
        <w:rPr>
          <w:rFonts w:eastAsia="Calibri"/>
          <w:b/>
          <w:bCs/>
          <w:rtl/>
        </w:rPr>
        <w:t xml:space="preserve"> </w:t>
      </w:r>
      <w:r w:rsidRPr="003B5D33">
        <w:rPr>
          <w:rFonts w:eastAsia="Calibri" w:hint="eastAsia"/>
          <w:b/>
          <w:bCs/>
          <w:rtl/>
        </w:rPr>
        <w:t>מספריות</w:t>
      </w:r>
      <w:r w:rsidRPr="003B5D33">
        <w:rPr>
          <w:rFonts w:eastAsia="Calibri"/>
          <w:b/>
          <w:bCs/>
          <w:rtl/>
        </w:rPr>
        <w:t xml:space="preserve"> </w:t>
      </w:r>
      <w:r w:rsidRPr="003B5D33">
        <w:rPr>
          <w:rFonts w:eastAsia="Calibri" w:hint="eastAsia"/>
          <w:b/>
          <w:bCs/>
          <w:rtl/>
        </w:rPr>
        <w:t>המשרד</w:t>
      </w:r>
      <w:r w:rsidRPr="003B5D33">
        <w:rPr>
          <w:rFonts w:eastAsia="Calibri"/>
          <w:b/>
          <w:bCs/>
          <w:rtl/>
        </w:rPr>
        <w:t xml:space="preserve"> </w:t>
      </w:r>
      <w:r w:rsidRPr="003B5D33">
        <w:rPr>
          <w:rFonts w:eastAsia="Calibri" w:hint="eastAsia"/>
          <w:b/>
          <w:bCs/>
          <w:rtl/>
        </w:rPr>
        <w:t>לכלל</w:t>
      </w:r>
      <w:r w:rsidRPr="003B5D33">
        <w:rPr>
          <w:rFonts w:eastAsia="Calibri"/>
          <w:b/>
          <w:bCs/>
          <w:rtl/>
        </w:rPr>
        <w:t xml:space="preserve"> </w:t>
      </w:r>
      <w:r w:rsidRPr="003B5D33">
        <w:rPr>
          <w:rFonts w:eastAsia="Calibri" w:hint="eastAsia"/>
          <w:b/>
          <w:bCs/>
          <w:rtl/>
        </w:rPr>
        <w:t>משתמשי</w:t>
      </w:r>
      <w:r w:rsidRPr="003B5D33">
        <w:rPr>
          <w:rFonts w:eastAsia="Calibri"/>
          <w:b/>
          <w:bCs/>
          <w:rtl/>
        </w:rPr>
        <w:t xml:space="preserve"> </w:t>
      </w:r>
      <w:r w:rsidRPr="003B5D33">
        <w:rPr>
          <w:rFonts w:eastAsia="Calibri" w:hint="eastAsia"/>
          <w:b/>
          <w:bCs/>
          <w:rtl/>
        </w:rPr>
        <w:t>הרשת</w:t>
      </w:r>
      <w:r w:rsidRPr="003B5D33">
        <w:rPr>
          <w:rFonts w:eastAsia="Calibri" w:hint="cs"/>
          <w:b/>
          <w:bCs/>
          <w:rtl/>
        </w:rPr>
        <w:t>.</w:t>
      </w:r>
      <w:r w:rsidRPr="003B5D33">
        <w:rPr>
          <w:rFonts w:eastAsia="Calibri"/>
          <w:b/>
          <w:bCs/>
          <w:rtl/>
        </w:rPr>
        <w:t xml:space="preserve"> </w:t>
      </w:r>
      <w:r w:rsidRPr="003B5D33">
        <w:rPr>
          <w:rFonts w:eastAsia="Calibri" w:hint="cs"/>
          <w:b/>
          <w:bCs/>
          <w:rtl/>
        </w:rPr>
        <w:t>דבר זה מעלה את החשש לדלף מידע, לפגיעה במידע או לשימוש לא ראוי בו.</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באוקטובר 2025 ציין </w:t>
      </w:r>
      <w:r w:rsidRPr="003B5D33">
        <w:rPr>
          <w:rFonts w:eastAsia="Calibri" w:hint="eastAsia"/>
          <w:rtl/>
        </w:rPr>
        <w:t>משרד</w:t>
      </w:r>
      <w:r w:rsidRPr="003B5D33">
        <w:rPr>
          <w:rFonts w:eastAsia="Calibri"/>
          <w:rtl/>
        </w:rPr>
        <w:t xml:space="preserve"> החוץ בתשובתו</w:t>
      </w:r>
      <w:r w:rsidRPr="003B5D33">
        <w:rPr>
          <w:rFonts w:eastAsia="Calibri" w:hint="cs"/>
          <w:rtl/>
        </w:rPr>
        <w:t xml:space="preserve"> למשרד מבקר המדינה כי </w:t>
      </w:r>
      <w:r w:rsidRPr="003B5D33">
        <w:rPr>
          <w:rFonts w:eastAsia="Calibri"/>
          <w:rtl/>
        </w:rPr>
        <w:t xml:space="preserve">עם קבלת המידע ממבקר </w:t>
      </w:r>
      <w:r w:rsidRPr="003B5D33">
        <w:rPr>
          <w:rFonts w:eastAsia="Calibri" w:hint="cs"/>
          <w:rtl/>
        </w:rPr>
        <w:t xml:space="preserve">המדינה </w:t>
      </w:r>
      <w:r w:rsidRPr="003B5D33">
        <w:rPr>
          <w:rFonts w:eastAsia="Calibri"/>
          <w:rtl/>
        </w:rPr>
        <w:t>צומצמו מיידית הרשאות למשתמשים בספריות הציבוריות בצורה מבוקרת</w:t>
      </w:r>
      <w:r w:rsidRPr="003B5D33">
        <w:rPr>
          <w:rFonts w:eastAsia="Calibri" w:hint="cs"/>
          <w:rtl/>
        </w:rPr>
        <w:t>,</w:t>
      </w:r>
      <w:r w:rsidRPr="003B5D33">
        <w:rPr>
          <w:rFonts w:eastAsia="Calibri"/>
          <w:rtl/>
        </w:rPr>
        <w:t xml:space="preserve"> </w:t>
      </w:r>
      <w:r w:rsidRPr="003B5D33">
        <w:rPr>
          <w:rFonts w:eastAsia="Calibri" w:hint="cs"/>
          <w:rtl/>
        </w:rPr>
        <w:t xml:space="preserve">וכי </w:t>
      </w:r>
      <w:r w:rsidRPr="003B5D33">
        <w:rPr>
          <w:rFonts w:eastAsia="Calibri"/>
          <w:rtl/>
        </w:rPr>
        <w:t>במקביל לתהליך הידני התבצעה התקשרות עם חבר</w:t>
      </w:r>
      <w:r w:rsidRPr="003B5D33">
        <w:rPr>
          <w:rFonts w:eastAsia="Calibri" w:hint="cs"/>
          <w:rtl/>
        </w:rPr>
        <w:t>ה</w:t>
      </w:r>
      <w:r w:rsidRPr="003B5D33">
        <w:rPr>
          <w:rFonts w:eastAsia="Calibri"/>
          <w:rtl/>
        </w:rPr>
        <w:t xml:space="preserve"> </w:t>
      </w:r>
      <w:r w:rsidRPr="003B5D33">
        <w:rPr>
          <w:rFonts w:eastAsia="Calibri" w:hint="cs"/>
          <w:rtl/>
        </w:rPr>
        <w:t>ה</w:t>
      </w:r>
      <w:r w:rsidRPr="003B5D33">
        <w:rPr>
          <w:rFonts w:eastAsia="Calibri"/>
          <w:rtl/>
        </w:rPr>
        <w:t>מתמחה בתהליך ניתוח הרשאות וצמצומ</w:t>
      </w:r>
      <w:r w:rsidRPr="003B5D33">
        <w:rPr>
          <w:rFonts w:eastAsia="Calibri" w:hint="cs"/>
          <w:rtl/>
        </w:rPr>
        <w:t>ן</w:t>
      </w:r>
      <w:r w:rsidRPr="003B5D33">
        <w:rPr>
          <w:rFonts w:eastAsia="Calibri"/>
          <w:rtl/>
        </w:rPr>
        <w:t>.</w:t>
      </w:r>
      <w:r w:rsidRPr="003B5D33">
        <w:rPr>
          <w:rFonts w:eastAsia="Calibri" w:hint="cs"/>
          <w:rtl/>
        </w:rPr>
        <w:t xml:space="preserve"> עוד ציין המשרד כי ההרשאות המיותרות נבחנו וצומצמו, וכי </w:t>
      </w:r>
      <w:r w:rsidRPr="003B5D33">
        <w:rPr>
          <w:rFonts w:eastAsia="Calibri"/>
          <w:rtl/>
        </w:rPr>
        <w:t>המשך התהליך</w:t>
      </w:r>
      <w:r w:rsidRPr="003B5D33">
        <w:rPr>
          <w:rFonts w:eastAsia="Calibri" w:hint="cs"/>
          <w:rtl/>
        </w:rPr>
        <w:t xml:space="preserve"> ברשתות מסוימות</w:t>
      </w:r>
      <w:r w:rsidRPr="003B5D33">
        <w:rPr>
          <w:rFonts w:eastAsia="Calibri"/>
          <w:rtl/>
        </w:rPr>
        <w:t xml:space="preserve"> מתבצע בשיתוף צוותי פיתוח וכלי </w:t>
      </w:r>
      <w:r w:rsidRPr="003B5D33">
        <w:rPr>
          <w:rFonts w:eastAsia="Calibri"/>
        </w:rPr>
        <w:t>AI</w:t>
      </w:r>
      <w:r w:rsidRPr="003B5D33">
        <w:rPr>
          <w:rFonts w:eastAsia="Calibri" w:hint="cs"/>
          <w:rtl/>
        </w:rPr>
        <w:t xml:space="preserve">, שכן </w:t>
      </w:r>
      <w:r w:rsidRPr="003B5D33">
        <w:rPr>
          <w:rFonts w:eastAsia="Calibri"/>
          <w:rtl/>
        </w:rPr>
        <w:t xml:space="preserve">צמצום בצורה דרסטית עלול לפגוע בסביבת הייצור. </w:t>
      </w:r>
    </w:p>
    <w:bookmarkEnd w:id="77"/>
    <w:p w:rsidR="003B5D33" w:rsidRPr="003B5D33" w:rsidP="003B5D33">
      <w:pPr>
        <w:spacing w:line="269" w:lineRule="auto"/>
        <w:rPr>
          <w:rFonts w:eastAsia="Calibri"/>
          <w:b/>
          <w:bCs/>
          <w:rtl/>
        </w:rPr>
      </w:pPr>
      <w:r w:rsidRPr="003B5D33">
        <w:rPr>
          <w:rFonts w:eastAsia="Calibri" w:hint="cs"/>
          <w:b/>
          <w:bCs/>
          <w:rtl/>
        </w:rPr>
        <w:t xml:space="preserve">על משרד החוץ להשלים את הבקרה על ההרשאות שניתנו בכל הספריות ברשתות של המשרד ולהגביל את הגישה בהתאם לעקרון הצורך לדעת והצורך לבצע את מינימום הפעולות לפי תפקידו של כל עובד. </w:t>
      </w:r>
    </w:p>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78" w:name="_Toc218592810"/>
      <w:bookmarkStart w:id="79" w:name="_Hlk203655932"/>
      <w:r w:rsidRPr="003B5D33">
        <w:rPr>
          <w:rFonts w:eastAsia="Times New Roman" w:hint="cs"/>
          <w:bCs/>
          <w:szCs w:val="28"/>
          <w:u w:val="single"/>
          <w:rtl/>
        </w:rPr>
        <w:t xml:space="preserve">הגנה על מידע רגיש ברשת </w:t>
      </w:r>
      <w:bookmarkEnd w:id="78"/>
      <w:r w:rsidRPr="003B5D33">
        <w:rPr>
          <w:rFonts w:eastAsia="Times New Roman" w:hint="cs"/>
          <w:bCs/>
          <w:szCs w:val="28"/>
          <w:u w:val="single"/>
          <w:rtl/>
        </w:rPr>
        <w:t xml:space="preserve">מסוימת </w:t>
      </w:r>
    </w:p>
    <w:bookmarkEnd w:id="79"/>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בהתאם לחוק הגנת הפרטיות ותקנותיו ועל פי הנחיות הגורמים המנחים</w:t>
      </w:r>
      <w:r>
        <w:rPr>
          <w:rFonts w:eastAsia="Calibri"/>
          <w:vertAlign w:val="superscript"/>
          <w:rtl/>
        </w:rPr>
        <w:footnoteReference w:id="108"/>
      </w:r>
      <w:r w:rsidRPr="003B5D33">
        <w:rPr>
          <w:rFonts w:eastAsia="Calibri" w:hint="cs"/>
          <w:rtl/>
        </w:rPr>
        <w:t>, כל בעל נכס מידע נדרש לקבוע את סיווג המידע שבנכס, וכן עליו לקבוע למי יינתנו הרשאות אליו בהתאם לעקרון הצורך לדעת. הדבר נכון גם לגבי כונני הרשת, ועל בעל הכונן לקבוע אילו קבצים יהיה אפשר לאחסן בכונן זה. אם בעל הכונן החליט כי הכונן יהיה כונן ציבורי, עליו לקבוע כללים לניהול המידע בכונן זה, למשל בנוגע לסוג המידע שיהיה ניתן לשמור בכונן, הזמן המרבי שהמידע יישמר בכונן לפני שיימחק, ואם יש מקום לאפשר גישה אליו לכלל המשתמשים.</w:t>
      </w:r>
    </w:p>
    <w:p w:rsidR="003B5D33" w:rsidRPr="003B5D33" w:rsidP="003B5D33">
      <w:pPr>
        <w:spacing w:line="269" w:lineRule="auto"/>
        <w:rPr>
          <w:rFonts w:eastAsia="Calibri"/>
          <w:b/>
          <w:bCs/>
          <w:rtl/>
        </w:rPr>
      </w:pPr>
    </w:p>
    <w:p w:rsidR="003B5D33" w:rsidP="003B5D33">
      <w:pPr>
        <w:spacing w:line="269" w:lineRule="auto"/>
        <w:rPr>
          <w:rFonts w:eastAsia="Calibri"/>
          <w:b/>
          <w:bCs/>
          <w:rtl/>
        </w:rPr>
      </w:pPr>
      <w:r w:rsidRPr="003B5D33">
        <w:rPr>
          <w:rFonts w:eastAsia="Calibri" w:hint="cs"/>
          <w:b/>
          <w:bCs/>
          <w:rtl/>
        </w:rPr>
        <w:t xml:space="preserve">משרד מבקר המדינה בדק את המידע המצוי ברשת מסוימת. הבדיקה העלתה כי נכון לספטמבר 2024 פעל ברשת זו כונן (להלן - כונן </w:t>
      </w:r>
      <w:r w:rsidRPr="003B5D33">
        <w:rPr>
          <w:rFonts w:eastAsia="Calibri"/>
          <w:b/>
          <w:bCs/>
        </w:rPr>
        <w:t>(X</w:t>
      </w:r>
      <w:r w:rsidRPr="003B5D33">
        <w:rPr>
          <w:rFonts w:eastAsia="Calibri" w:hint="cs"/>
          <w:b/>
          <w:bCs/>
          <w:rtl/>
        </w:rPr>
        <w:t xml:space="preserve"> שהכיל עשרות אלפי מסמכים</w:t>
      </w:r>
      <w:r>
        <w:rPr>
          <w:rFonts w:eastAsia="Calibri"/>
          <w:b/>
          <w:bCs/>
          <w:vertAlign w:val="superscript"/>
          <w:rtl/>
        </w:rPr>
        <w:footnoteReference w:id="109"/>
      </w:r>
      <w:r w:rsidRPr="003B5D33">
        <w:rPr>
          <w:rFonts w:eastAsia="Calibri" w:hint="cs"/>
          <w:b/>
          <w:bCs/>
          <w:rtl/>
        </w:rPr>
        <w:t>, חלקם כוללים מידע רגיש, כגון מידע אישי-פרטי והוא היה פתוח לכלל משתמשי הרשת</w:t>
      </w:r>
      <w:r w:rsidRPr="003B5D33">
        <w:rPr>
          <w:rFonts w:eastAsia="Calibri"/>
          <w:b/>
          <w:bCs/>
          <w:rtl/>
        </w:rPr>
        <w:t>.</w:t>
      </w:r>
      <w:r w:rsidRPr="003B5D33">
        <w:rPr>
          <w:rFonts w:eastAsia="Calibri" w:hint="cs"/>
          <w:b/>
          <w:bCs/>
          <w:rtl/>
        </w:rPr>
        <w:t xml:space="preserve"> יצוין כי מאות קבצים בנושאים שונים נשמרו ישירות בכונן זה ולא אוחסנו בספרייה ייעודית. להלן דוגמאות לקבצים שנמצאו שלהם הייתה נגישות לכלל משתמשי הרשת:</w:t>
      </w:r>
    </w:p>
    <w:p w:rsidR="00E57B02" w:rsidRPr="003B5D33" w:rsidP="003B5D33">
      <w:pPr>
        <w:spacing w:line="269" w:lineRule="auto"/>
        <w:rPr>
          <w:rFonts w:eastAsia="Calibri"/>
          <w:b/>
          <w:bCs/>
          <w:rtl/>
        </w:rPr>
      </w:pPr>
    </w:p>
    <w:p w:rsidR="003B5D33" w:rsidRPr="003B5D33" w:rsidP="003B5D33">
      <w:pPr>
        <w:keepNext/>
        <w:keepLines/>
        <w:spacing w:line="269" w:lineRule="auto"/>
        <w:outlineLvl w:val="3"/>
        <w:rPr>
          <w:rFonts w:eastAsia="Times New Roman"/>
          <w:bCs/>
          <w:szCs w:val="26"/>
          <w:rtl/>
        </w:rPr>
      </w:pPr>
      <w:r w:rsidRPr="003B5D33">
        <w:rPr>
          <w:rFonts w:eastAsia="Times New Roman" w:hint="cs"/>
          <w:bCs/>
          <w:szCs w:val="26"/>
          <w:rtl/>
        </w:rPr>
        <w:t xml:space="preserve">הנגישות למסמכים הכוללים </w:t>
      </w:r>
      <w:r w:rsidRPr="003B5D33">
        <w:rPr>
          <w:rFonts w:eastAsia="Times New Roman"/>
          <w:bCs/>
          <w:szCs w:val="26"/>
          <w:rtl/>
        </w:rPr>
        <w:t>מידע פרטי של עובדי המשרד ושל אזרחים ישראלים וזרים</w:t>
      </w:r>
      <w:r w:rsidRPr="003B5D33">
        <w:rPr>
          <w:rFonts w:eastAsia="Times New Roman" w:hint="cs"/>
          <w:bCs/>
          <w:szCs w:val="26"/>
          <w:rtl/>
        </w:rPr>
        <w:t xml:space="preserve">: </w:t>
      </w:r>
    </w:p>
    <w:p w:rsidR="003B5D33" w:rsidRPr="003B5D33" w:rsidP="003B5D33">
      <w:pPr>
        <w:spacing w:line="269" w:lineRule="auto"/>
        <w:ind w:left="312"/>
        <w:rPr>
          <w:rFonts w:eastAsia="Calibri"/>
          <w:rtl/>
        </w:rPr>
      </w:pPr>
    </w:p>
    <w:p w:rsidR="003B5D33" w:rsidRPr="003B5D33" w:rsidP="003B5D33">
      <w:pPr>
        <w:spacing w:line="269" w:lineRule="auto"/>
        <w:rPr>
          <w:rFonts w:eastAsia="Calibri"/>
          <w:rtl/>
        </w:rPr>
      </w:pPr>
      <w:r w:rsidRPr="003B5D33">
        <w:rPr>
          <w:rFonts w:eastAsia="Calibri" w:hint="cs"/>
          <w:rtl/>
        </w:rPr>
        <w:t>הזכות לפרטיות מעוגנת בחוק-יסוד: כבוד האדם וחירותו, ובמסגרתו נקבע כי "כל אדם זכאי לפרטיות ולצנעת חייו"</w:t>
      </w:r>
      <w:r>
        <w:rPr>
          <w:rFonts w:eastAsia="Calibri"/>
          <w:vertAlign w:val="superscript"/>
          <w:rtl/>
        </w:rPr>
        <w:footnoteReference w:id="110"/>
      </w:r>
      <w:r w:rsidRPr="003B5D33">
        <w:rPr>
          <w:rFonts w:eastAsia="Calibri" w:hint="cs"/>
          <w:rtl/>
        </w:rPr>
        <w:t>. חוק הגנת הפרטיות, התשמ"א-1981, קובע כי פגיעה בפרטיות היא בין היתר הפרה של חובת סודיות שנקבעה בדין לגבי ענייניו הפרטיים של אדם, או הפרה של חובת סודיות לגבי ענייניו הפרטיים של אדם, שנקבעה בהסכם מפורש או משתמע. החוק גם קובע כי בעל מאגר מידע אחראי לאבטחת המידע שבמאגר המידע</w:t>
      </w:r>
      <w:r>
        <w:rPr>
          <w:rFonts w:eastAsia="Calibri"/>
          <w:vertAlign w:val="superscript"/>
          <w:rtl/>
        </w:rPr>
        <w:footnoteReference w:id="111"/>
      </w:r>
      <w:r w:rsidRPr="003B5D33">
        <w:rPr>
          <w:rFonts w:eastAsia="Calibri" w:hint="cs"/>
          <w:rtl/>
        </w:rPr>
        <w:t>.</w:t>
      </w:r>
      <w:r w:rsidRPr="003B5D33">
        <w:rPr>
          <w:rFonts w:eastAsia="Calibri"/>
          <w:rtl/>
        </w:rPr>
        <w:t xml:space="preserve"> תקנות הגנת הפרטיות (אבטחת מידע), </w:t>
      </w:r>
      <w:r w:rsidRPr="003B5D33">
        <w:rPr>
          <w:rFonts w:eastAsia="Calibri" w:hint="cs"/>
          <w:rtl/>
        </w:rPr>
        <w:t>ה</w:t>
      </w:r>
      <w:r w:rsidRPr="003B5D33">
        <w:rPr>
          <w:rFonts w:eastAsia="Calibri"/>
          <w:rtl/>
        </w:rPr>
        <w:t>תשע"ז-2017</w:t>
      </w:r>
      <w:r w:rsidRPr="003B5D33">
        <w:rPr>
          <w:rFonts w:eastAsia="Calibri" w:hint="cs"/>
          <w:rtl/>
        </w:rPr>
        <w:t xml:space="preserve"> (להלן - תקנות הגנת הפרטיות), קובעות כי </w:t>
      </w:r>
      <w:r w:rsidRPr="003B5D33">
        <w:rPr>
          <w:rFonts w:eastAsia="Calibri"/>
          <w:rtl/>
        </w:rPr>
        <w:t>בעל מאגר מידע יקבע הרשאות גישה של בעלי הרשאות למאגר המידע ולמערכות המאגר בהתאם להגדרות תפקיד; הרשאת הגישה לכל תפקיד תהיה במידה הנדרשת לביצוע התפקיד בלבד</w:t>
      </w:r>
      <w:r>
        <w:rPr>
          <w:rFonts w:eastAsia="Calibri"/>
          <w:vertAlign w:val="superscript"/>
          <w:rtl/>
        </w:rPr>
        <w:footnoteReference w:id="112"/>
      </w:r>
      <w:r w:rsidRPr="003B5D33">
        <w:rPr>
          <w:rFonts w:eastAsia="Calibri"/>
          <w:rtl/>
        </w:rPr>
        <w:t>.</w:t>
      </w:r>
      <w:r w:rsidRPr="003B5D33">
        <w:rPr>
          <w:rFonts w:eastAsia="Calibri" w:hint="cs"/>
          <w:rtl/>
        </w:rPr>
        <w:t xml:space="preserve"> עוד נקבע בתקנות כי </w:t>
      </w:r>
      <w:r w:rsidRPr="003B5D33">
        <w:rPr>
          <w:rFonts w:eastAsia="Calibri"/>
          <w:rtl/>
        </w:rPr>
        <w:t xml:space="preserve">בעל מאגר מידע ינקוט </w:t>
      </w:r>
      <w:r w:rsidRPr="003B5D33">
        <w:rPr>
          <w:rFonts w:eastAsia="Calibri"/>
          <w:rtl/>
        </w:rPr>
        <w:t>אמצעים מקובלים בנסיבות העניין</w:t>
      </w:r>
      <w:r w:rsidRPr="003B5D33">
        <w:rPr>
          <w:rFonts w:eastAsia="Calibri" w:hint="cs"/>
          <w:rtl/>
        </w:rPr>
        <w:t>,</w:t>
      </w:r>
      <w:r w:rsidRPr="003B5D33">
        <w:rPr>
          <w:rFonts w:eastAsia="Calibri"/>
          <w:rtl/>
        </w:rPr>
        <w:t xml:space="preserve"> ובהתאם לאופי המאגר וטיבו, כדי לוודא כי הגישה למאגר ולמערכות המאגר נעשית בידי בעל הרשאה המורשה לכך בלבד</w:t>
      </w:r>
      <w:r w:rsidRPr="003B5D33">
        <w:rPr>
          <w:rFonts w:eastAsia="Calibri" w:hint="cs"/>
          <w:rtl/>
        </w:rPr>
        <w:t>,</w:t>
      </w:r>
      <w:r w:rsidRPr="003B5D33">
        <w:rPr>
          <w:rFonts w:eastAsia="Calibri"/>
          <w:rtl/>
        </w:rPr>
        <w:t xml:space="preserve"> לפי רשימת ההרשאות התקפות</w:t>
      </w:r>
      <w:r>
        <w:rPr>
          <w:rFonts w:eastAsia="Calibri"/>
          <w:vertAlign w:val="superscript"/>
          <w:rtl/>
        </w:rPr>
        <w:footnoteReference w:id="113"/>
      </w:r>
      <w:r w:rsidRPr="003B5D33">
        <w:rPr>
          <w:rFonts w:eastAsia="Calibri"/>
          <w:rtl/>
        </w:rPr>
        <w:t>.</w:t>
      </w:r>
      <w:r w:rsidRPr="003B5D33">
        <w:rPr>
          <w:rFonts w:eastAsia="Calibri" w:hint="cs"/>
          <w:rtl/>
        </w:rPr>
        <w:t xml:space="preserve"> התקנות קובעות שלוש רמות של מאגרי מידע, שעליהן חלות רמות אבטחה שונות בהתאם לסיכוני האבטחה שמייצרים מאגרי המידע.</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במסמך מדיניות </w:t>
      </w:r>
      <w:r w:rsidRPr="003B5D33">
        <w:rPr>
          <w:rFonts w:eastAsia="Calibri"/>
          <w:rtl/>
        </w:rPr>
        <w:t xml:space="preserve">הגנת הסייבר </w:t>
      </w:r>
      <w:r w:rsidRPr="003B5D33">
        <w:rPr>
          <w:rFonts w:eastAsia="Calibri" w:hint="cs"/>
          <w:rtl/>
        </w:rPr>
        <w:t xml:space="preserve">של </w:t>
      </w:r>
      <w:r w:rsidRPr="003B5D33">
        <w:rPr>
          <w:rFonts w:eastAsia="Calibri"/>
          <w:rtl/>
        </w:rPr>
        <w:t>משרד</w:t>
      </w:r>
      <w:r w:rsidRPr="003B5D33">
        <w:rPr>
          <w:rFonts w:eastAsia="Calibri" w:hint="cs"/>
          <w:rtl/>
        </w:rPr>
        <w:t xml:space="preserve"> החוץ צוין כי</w:t>
      </w:r>
      <w:r w:rsidRPr="003B5D33">
        <w:rPr>
          <w:rFonts w:eastAsia="Calibri"/>
          <w:rtl/>
        </w:rPr>
        <w:t xml:space="preserve"> מערכות המידע במשרד מכילות בין היתר מידע על עובדים שה</w:t>
      </w:r>
      <w:r w:rsidRPr="003B5D33">
        <w:rPr>
          <w:rFonts w:eastAsia="Calibri" w:hint="cs"/>
          <w:rtl/>
        </w:rPr>
        <w:t xml:space="preserve">וא </w:t>
      </w:r>
      <w:r w:rsidRPr="003B5D33">
        <w:rPr>
          <w:rFonts w:eastAsia="Calibri"/>
          <w:rtl/>
        </w:rPr>
        <w:t>בגדר צנעת הפרט, הנדרש במסגרת תהליכי העבודה התקינים</w:t>
      </w:r>
      <w:r w:rsidRPr="003B5D33">
        <w:rPr>
          <w:rFonts w:eastAsia="Calibri" w:hint="cs"/>
          <w:rtl/>
        </w:rPr>
        <w:t>,</w:t>
      </w:r>
      <w:r w:rsidRPr="003B5D33">
        <w:rPr>
          <w:rFonts w:eastAsia="Calibri"/>
          <w:rtl/>
        </w:rPr>
        <w:t xml:space="preserve"> ו</w:t>
      </w:r>
      <w:r w:rsidRPr="003B5D33">
        <w:rPr>
          <w:rFonts w:eastAsia="Calibri" w:hint="cs"/>
          <w:rtl/>
        </w:rPr>
        <w:t xml:space="preserve">כי </w:t>
      </w:r>
      <w:bookmarkStart w:id="80" w:name="_Hlk202170353"/>
      <w:r w:rsidRPr="003B5D33">
        <w:rPr>
          <w:rFonts w:eastAsia="Calibri"/>
          <w:rtl/>
        </w:rPr>
        <w:t>הנהלת המשרד מחויבת להגן על</w:t>
      </w:r>
      <w:r w:rsidRPr="003B5D33">
        <w:rPr>
          <w:rFonts w:eastAsia="Calibri" w:hint="cs"/>
          <w:rtl/>
        </w:rPr>
        <w:t xml:space="preserve"> מידע זה</w:t>
      </w:r>
      <w:r w:rsidRPr="003B5D33">
        <w:rPr>
          <w:rFonts w:eastAsia="Calibri"/>
          <w:rtl/>
        </w:rPr>
        <w:t xml:space="preserve"> בהתאם להוראות הדין, לרבות תקנות הגנת הפרטיות, </w:t>
      </w:r>
      <w:bookmarkEnd w:id="80"/>
      <w:r w:rsidRPr="003B5D33">
        <w:rPr>
          <w:rFonts w:eastAsia="Calibri" w:hint="cs"/>
          <w:rtl/>
        </w:rPr>
        <w:t>כדי</w:t>
      </w:r>
      <w:r w:rsidRPr="003B5D33">
        <w:rPr>
          <w:rFonts w:eastAsia="Calibri"/>
          <w:rtl/>
        </w:rPr>
        <w:t xml:space="preserve"> למזער את הסיכון לפגיעה בזכות העובדים לפרטיות.</w:t>
      </w:r>
      <w:r w:rsidRPr="003B5D33">
        <w:rPr>
          <w:rFonts w:eastAsia="Calibri" w:hint="cs"/>
          <w:rtl/>
        </w:rPr>
        <w:t xml:space="preserve"> בהקשר זה יצוין כי </w:t>
      </w:r>
      <w:r w:rsidRPr="003B5D33">
        <w:rPr>
          <w:rFonts w:eastAsia="Calibri"/>
          <w:rtl/>
        </w:rPr>
        <w:t>ב</w:t>
      </w:r>
      <w:r w:rsidRPr="003B5D33">
        <w:rPr>
          <w:rFonts w:eastAsia="Calibri" w:hint="cs"/>
          <w:rtl/>
        </w:rPr>
        <w:t xml:space="preserve">דצמבר 2019 מונה </w:t>
      </w:r>
      <w:r w:rsidRPr="003B5D33">
        <w:rPr>
          <w:rFonts w:eastAsia="Calibri"/>
          <w:rtl/>
        </w:rPr>
        <w:t>קב"ט המשרד גם כ"ממונה על אבטחת מידע", כהגדרתו בתקנות הגנת הפרטיות</w:t>
      </w:r>
      <w:r w:rsidRPr="003B5D33">
        <w:rPr>
          <w:rFonts w:eastAsia="Calibri" w:hint="cs"/>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hint="cs"/>
          <w:b/>
          <w:bCs/>
          <w:rtl/>
        </w:rPr>
        <w:t xml:space="preserve">בבדיקה שעשה משרד מבקר המדינה בכונן </w:t>
      </w:r>
      <w:r w:rsidRPr="003B5D33">
        <w:rPr>
          <w:rFonts w:eastAsia="Calibri" w:hint="cs"/>
          <w:b/>
          <w:bCs/>
        </w:rPr>
        <w:t>X</w:t>
      </w:r>
      <w:r w:rsidRPr="003B5D33">
        <w:rPr>
          <w:rFonts w:eastAsia="Calibri" w:hint="cs"/>
          <w:b/>
          <w:bCs/>
          <w:rtl/>
        </w:rPr>
        <w:t xml:space="preserve"> ברשת מסוימת </w:t>
      </w:r>
      <w:r w:rsidRPr="003B5D33">
        <w:rPr>
          <w:rFonts w:eastAsia="Calibri" w:hint="eastAsia"/>
          <w:b/>
          <w:bCs/>
          <w:rtl/>
        </w:rPr>
        <w:t>שלכלל</w:t>
      </w:r>
      <w:r w:rsidRPr="003B5D33">
        <w:rPr>
          <w:rFonts w:eastAsia="Calibri"/>
          <w:b/>
          <w:bCs/>
          <w:rtl/>
        </w:rPr>
        <w:t xml:space="preserve"> </w:t>
      </w:r>
      <w:r w:rsidRPr="003B5D33">
        <w:rPr>
          <w:rFonts w:eastAsia="Calibri" w:hint="eastAsia"/>
          <w:b/>
          <w:bCs/>
          <w:rtl/>
        </w:rPr>
        <w:t>משתמשי</w:t>
      </w:r>
      <w:r w:rsidRPr="003B5D33">
        <w:rPr>
          <w:rFonts w:eastAsia="Calibri"/>
          <w:b/>
          <w:bCs/>
          <w:rtl/>
        </w:rPr>
        <w:t xml:space="preserve"> </w:t>
      </w:r>
      <w:r w:rsidRPr="003B5D33">
        <w:rPr>
          <w:rFonts w:eastAsia="Calibri" w:hint="eastAsia"/>
          <w:b/>
          <w:bCs/>
          <w:rtl/>
        </w:rPr>
        <w:t>הרשת</w:t>
      </w:r>
      <w:r w:rsidRPr="003B5D33">
        <w:rPr>
          <w:rFonts w:eastAsia="Calibri" w:hint="cs"/>
          <w:b/>
          <w:bCs/>
          <w:rtl/>
        </w:rPr>
        <w:t xml:space="preserve"> הייתה הרשאת גישה אליו נמצאו עשרות מסמכים המכילים מידע פרטי-אישי ובהם ספרייה שלמה, שכוללת מסמכי הערכות של עובדים; חוות דעת תעסוקתיות של מכוני מיון והשמה על עובדים; </w:t>
      </w:r>
      <w:r w:rsidRPr="003B5D33">
        <w:rPr>
          <w:rFonts w:eastAsia="Calibri"/>
          <w:b/>
          <w:bCs/>
          <w:rtl/>
        </w:rPr>
        <w:t>קובץ שהכיל מידע בנוגע לדרגות השכר של 728 עובדים במשרד</w:t>
      </w:r>
      <w:r w:rsidRPr="003B5D33">
        <w:rPr>
          <w:rFonts w:eastAsia="Calibri" w:hint="cs"/>
          <w:b/>
          <w:bCs/>
          <w:rtl/>
        </w:rPr>
        <w:t>;</w:t>
      </w:r>
      <w:r w:rsidRPr="003B5D33">
        <w:rPr>
          <w:rFonts w:eastAsia="Calibri"/>
          <w:b/>
          <w:bCs/>
          <w:rtl/>
        </w:rPr>
        <w:t xml:space="preserve"> מידע על מימון לימודים לעובדים</w:t>
      </w:r>
      <w:r w:rsidRPr="003B5D33">
        <w:rPr>
          <w:rFonts w:eastAsia="Calibri" w:hint="cs"/>
          <w:b/>
          <w:bCs/>
          <w:rtl/>
        </w:rPr>
        <w:t xml:space="preserve">; </w:t>
      </w:r>
      <w:r w:rsidRPr="003B5D33">
        <w:rPr>
          <w:rFonts w:eastAsia="Calibri"/>
          <w:b/>
          <w:bCs/>
          <w:rtl/>
        </w:rPr>
        <w:t>בקשה להסגרה של ישראלי השוהה בחו"ל</w:t>
      </w:r>
      <w:r w:rsidRPr="003B5D33">
        <w:rPr>
          <w:rFonts w:eastAsia="Calibri" w:hint="cs"/>
          <w:b/>
          <w:bCs/>
          <w:rtl/>
        </w:rPr>
        <w:t>, שבה פורטו</w:t>
      </w:r>
      <w:r w:rsidRPr="003B5D33">
        <w:rPr>
          <w:rFonts w:eastAsia="Calibri"/>
          <w:b/>
          <w:bCs/>
          <w:rtl/>
        </w:rPr>
        <w:t xml:space="preserve"> העבירות </w:t>
      </w:r>
      <w:r w:rsidRPr="003B5D33">
        <w:rPr>
          <w:rFonts w:eastAsia="Calibri" w:hint="cs"/>
          <w:b/>
          <w:bCs/>
          <w:rtl/>
        </w:rPr>
        <w:t>ש</w:t>
      </w:r>
      <w:r w:rsidRPr="003B5D33">
        <w:rPr>
          <w:rFonts w:eastAsia="Calibri"/>
          <w:b/>
          <w:bCs/>
          <w:rtl/>
        </w:rPr>
        <w:t>בהן הוא מואשם ונכלל צו המעצר שהוצא לו בישראל</w:t>
      </w:r>
      <w:r w:rsidRPr="003B5D33">
        <w:rPr>
          <w:rFonts w:eastAsia="Calibri" w:hint="cs"/>
          <w:b/>
          <w:bCs/>
          <w:rtl/>
        </w:rPr>
        <w:t>;</w:t>
      </w:r>
      <w:r w:rsidRPr="003B5D33">
        <w:rPr>
          <w:rFonts w:eastAsia="Calibri" w:hint="cs"/>
          <w:b/>
          <w:bCs/>
        </w:rPr>
        <w:t xml:space="preserve"> </w:t>
      </w:r>
      <w:r w:rsidRPr="003B5D33">
        <w:rPr>
          <w:rFonts w:eastAsia="Calibri" w:hint="cs"/>
          <w:b/>
          <w:bCs/>
          <w:rtl/>
        </w:rPr>
        <w:t xml:space="preserve">מסמך המתכלל </w:t>
      </w:r>
      <w:r w:rsidRPr="003B5D33">
        <w:rPr>
          <w:rFonts w:eastAsia="Calibri"/>
          <w:b/>
          <w:bCs/>
          <w:rtl/>
        </w:rPr>
        <w:t xml:space="preserve">מידע על 2% מהעובדים שהוערכו כחזקים ביותר ו-2% מהעובדים שהוערכו כחלשים ביותר </w:t>
      </w:r>
      <w:r w:rsidRPr="003B5D33">
        <w:rPr>
          <w:rFonts w:eastAsia="Calibri" w:hint="cs"/>
          <w:b/>
          <w:bCs/>
          <w:rtl/>
        </w:rPr>
        <w:t>באחת היחידות</w:t>
      </w:r>
      <w:r w:rsidRPr="003B5D33">
        <w:rPr>
          <w:rFonts w:eastAsia="Calibri"/>
          <w:b/>
          <w:bCs/>
          <w:rtl/>
        </w:rPr>
        <w:t xml:space="preserve"> במשרד לשנת 2015. </w:t>
      </w:r>
    </w:p>
    <w:p w:rsidR="003B5D33" w:rsidRPr="003B5D33" w:rsidP="003B5D33">
      <w:pPr>
        <w:spacing w:line="269" w:lineRule="auto"/>
        <w:ind w:left="312"/>
        <w:jc w:val="center"/>
        <w:rPr>
          <w:rFonts w:eastAsia="Calibri"/>
          <w:rtl/>
        </w:rPr>
      </w:pPr>
    </w:p>
    <w:p w:rsidR="003B5D33" w:rsidRPr="003B5D33" w:rsidP="003B5D33">
      <w:pPr>
        <w:spacing w:line="269" w:lineRule="auto"/>
        <w:ind w:left="312"/>
        <w:jc w:val="center"/>
        <w:rPr>
          <w:rFonts w:eastAsia="Calibri"/>
          <w:b/>
          <w:bCs/>
          <w:rtl/>
        </w:rPr>
      </w:pPr>
      <w:r w:rsidRPr="003B5D33">
        <w:rPr>
          <w:rFonts w:eastAsia="Calibri"/>
          <w:noProof/>
        </w:rPr>
        <w:drawing>
          <wp:anchor distT="0" distB="0" distL="114300" distR="114300" simplePos="0" relativeHeight="251658240" behindDoc="1" locked="0" layoutInCell="1" allowOverlap="1">
            <wp:simplePos x="0" y="0"/>
            <wp:positionH relativeFrom="column">
              <wp:posOffset>-60227</wp:posOffset>
            </wp:positionH>
            <wp:positionV relativeFrom="paragraph">
              <wp:posOffset>187960</wp:posOffset>
            </wp:positionV>
            <wp:extent cx="5168265" cy="1291590"/>
            <wp:effectExtent l="0" t="0" r="0" b="3810"/>
            <wp:wrapTight wrapText="bothSides">
              <wp:wrapPolygon>
                <wp:start x="0" y="0"/>
                <wp:lineTo x="0" y="21345"/>
                <wp:lineTo x="21496" y="21345"/>
                <wp:lineTo x="21496" y="0"/>
                <wp:lineTo x="0" y="0"/>
              </wp:wrapPolygon>
            </wp:wrapTight>
            <wp:docPr id="15" name="תמונה 15" descr="צילום חלק מטבלת נתונים אישיים של עובדים וציוניהם שעברה השח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t="8559" b="8701"/>
                    <a:stretch>
                      <a:fillRect/>
                    </a:stretch>
                  </pic:blipFill>
                  <pic:spPr bwMode="auto">
                    <a:xfrm>
                      <a:off x="0" y="0"/>
                      <a:ext cx="5168265" cy="129159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r w:rsidRPr="003B5D33">
        <w:rPr>
          <w:rFonts w:eastAsia="Calibri" w:hint="eastAsia"/>
          <w:rtl/>
        </w:rPr>
        <w:t>תמונה</w:t>
      </w:r>
      <w:r w:rsidRPr="003B5D33">
        <w:rPr>
          <w:rFonts w:eastAsia="Calibri"/>
        </w:rPr>
        <w:t xml:space="preserve"> </w:t>
      </w:r>
      <w:r w:rsidRPr="003B5D33">
        <w:rPr>
          <w:rFonts w:eastAsia="Calibri" w:hint="cs"/>
          <w:rtl/>
        </w:rPr>
        <w:t>1</w:t>
      </w:r>
      <w:r w:rsidRPr="003B5D33">
        <w:rPr>
          <w:rFonts w:eastAsia="Calibri"/>
          <w:rtl/>
        </w:rPr>
        <w:t>:</w:t>
      </w:r>
      <w:r w:rsidRPr="003B5D33">
        <w:rPr>
          <w:rFonts w:eastAsia="Calibri" w:hint="cs"/>
          <w:b/>
          <w:bCs/>
          <w:rtl/>
        </w:rPr>
        <w:t xml:space="preserve"> </w:t>
      </w:r>
      <w:r w:rsidRPr="003B5D33">
        <w:rPr>
          <w:rFonts w:eastAsia="Calibri"/>
          <w:b/>
          <w:bCs/>
          <w:rtl/>
        </w:rPr>
        <w:t>2% מהעובדים שהוערכו כחלשים ביותר לשנת 2015</w:t>
      </w:r>
      <w:r w:rsidRPr="003B5D33">
        <w:rPr>
          <w:rFonts w:eastAsia="Calibri" w:hint="cs"/>
          <w:b/>
          <w:bCs/>
          <w:rtl/>
        </w:rPr>
        <w:t xml:space="preserve"> באחת היחידות במשרד</w:t>
      </w:r>
    </w:p>
    <w:p w:rsidR="003B5D33" w:rsidRPr="003B5D33" w:rsidP="003B5D33">
      <w:pPr>
        <w:spacing w:line="269" w:lineRule="auto"/>
        <w:rPr>
          <w:rFonts w:eastAsia="Calibri"/>
          <w:szCs w:val="20"/>
          <w:rtl/>
        </w:rPr>
      </w:pPr>
      <w:r w:rsidRPr="003B5D33">
        <w:rPr>
          <w:rFonts w:eastAsia="Calibri" w:hint="eastAsia"/>
          <w:szCs w:val="20"/>
          <w:rtl/>
        </w:rPr>
        <w:t>ה</w:t>
      </w:r>
      <w:r w:rsidRPr="003B5D33">
        <w:rPr>
          <w:rFonts w:eastAsia="Calibri"/>
          <w:szCs w:val="20"/>
          <w:rtl/>
        </w:rPr>
        <w:t>מקור: משרד החוץ.</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כמו כן נמצא </w:t>
      </w:r>
      <w:r w:rsidRPr="003B5D33">
        <w:rPr>
          <w:rFonts w:eastAsia="Calibri"/>
          <w:b/>
          <w:bCs/>
          <w:rtl/>
        </w:rPr>
        <w:t>מסמ</w:t>
      </w:r>
      <w:r w:rsidRPr="003B5D33">
        <w:rPr>
          <w:rFonts w:eastAsia="Calibri" w:hint="cs"/>
          <w:b/>
          <w:bCs/>
          <w:rtl/>
        </w:rPr>
        <w:t>ך (בהיקף של</w:t>
      </w:r>
      <w:r w:rsidRPr="003B5D33">
        <w:rPr>
          <w:rFonts w:eastAsia="Calibri"/>
          <w:b/>
          <w:bCs/>
          <w:rtl/>
        </w:rPr>
        <w:t xml:space="preserve"> </w:t>
      </w:r>
      <w:r w:rsidRPr="003B5D33">
        <w:rPr>
          <w:rFonts w:eastAsia="Calibri" w:hint="cs"/>
          <w:b/>
          <w:bCs/>
          <w:rtl/>
        </w:rPr>
        <w:t xml:space="preserve">977 עמודים) של </w:t>
      </w:r>
      <w:r w:rsidRPr="003B5D33">
        <w:rPr>
          <w:rFonts w:eastAsia="Calibri"/>
          <w:b/>
          <w:bCs/>
          <w:rtl/>
        </w:rPr>
        <w:t>ועדת דרגים של אגף משאבי אנוש והדרכה</w:t>
      </w:r>
      <w:r w:rsidRPr="003B5D33">
        <w:rPr>
          <w:rFonts w:eastAsia="Calibri" w:hint="cs"/>
          <w:b/>
          <w:bCs/>
          <w:rtl/>
        </w:rPr>
        <w:t xml:space="preserve"> מאפריל 2022</w:t>
      </w:r>
      <w:r w:rsidRPr="003B5D33">
        <w:rPr>
          <w:rFonts w:eastAsia="Calibri"/>
          <w:b/>
          <w:bCs/>
          <w:rtl/>
        </w:rPr>
        <w:t xml:space="preserve"> </w:t>
      </w:r>
      <w:r w:rsidRPr="003B5D33">
        <w:rPr>
          <w:rFonts w:eastAsia="Calibri" w:hint="cs"/>
          <w:b/>
          <w:bCs/>
          <w:rtl/>
        </w:rPr>
        <w:t>ש</w:t>
      </w:r>
      <w:r w:rsidRPr="003B5D33">
        <w:rPr>
          <w:rFonts w:eastAsia="Calibri"/>
          <w:b/>
          <w:bCs/>
          <w:rtl/>
        </w:rPr>
        <w:t>נשא סיווג "שמור</w:t>
      </w:r>
      <w:r w:rsidRPr="003B5D33">
        <w:rPr>
          <w:rFonts w:eastAsia="Calibri" w:hint="cs"/>
          <w:b/>
          <w:bCs/>
          <w:rtl/>
        </w:rPr>
        <w:t>-</w:t>
      </w:r>
      <w:r w:rsidRPr="003B5D33">
        <w:rPr>
          <w:rFonts w:eastAsia="Calibri"/>
          <w:b/>
          <w:bCs/>
          <w:rtl/>
        </w:rPr>
        <w:t>אישי" וכלל שמות ופרטי</w:t>
      </w:r>
      <w:r w:rsidRPr="003B5D33">
        <w:rPr>
          <w:rFonts w:eastAsia="Calibri" w:hint="cs"/>
          <w:b/>
          <w:bCs/>
          <w:rtl/>
        </w:rPr>
        <w:t>ם של</w:t>
      </w:r>
      <w:r w:rsidRPr="003B5D33">
        <w:rPr>
          <w:rFonts w:eastAsia="Calibri"/>
          <w:b/>
          <w:bCs/>
          <w:rtl/>
        </w:rPr>
        <w:t xml:space="preserve"> עשרות מועמדים לכמה משרות שהיו אמורות ל</w:t>
      </w:r>
      <w:r w:rsidRPr="003B5D33">
        <w:rPr>
          <w:rFonts w:eastAsia="Calibri" w:hint="cs"/>
          <w:b/>
          <w:bCs/>
          <w:rtl/>
        </w:rPr>
        <w:t>ה</w:t>
      </w:r>
      <w:r w:rsidRPr="003B5D33">
        <w:rPr>
          <w:rFonts w:eastAsia="Calibri"/>
          <w:b/>
          <w:bCs/>
          <w:rtl/>
        </w:rPr>
        <w:t>ידון בוועדת הדרגים</w:t>
      </w:r>
      <w:r w:rsidRPr="003B5D33">
        <w:rPr>
          <w:rFonts w:eastAsia="Calibri" w:hint="cs"/>
          <w:b/>
          <w:bCs/>
          <w:rtl/>
        </w:rPr>
        <w:t xml:space="preserve">, כולל סימונים </w:t>
      </w:r>
      <w:r w:rsidRPr="003B5D33">
        <w:rPr>
          <w:rFonts w:eastAsia="Calibri"/>
          <w:b/>
          <w:bCs/>
          <w:rtl/>
        </w:rPr>
        <w:t xml:space="preserve">ליד </w:t>
      </w:r>
      <w:r w:rsidRPr="003B5D33">
        <w:rPr>
          <w:rFonts w:eastAsia="Calibri" w:hint="cs"/>
          <w:b/>
          <w:bCs/>
          <w:rtl/>
        </w:rPr>
        <w:t>שמותיהם</w:t>
      </w:r>
      <w:r w:rsidRPr="003B5D33">
        <w:rPr>
          <w:rFonts w:eastAsia="Calibri"/>
          <w:b/>
          <w:bCs/>
          <w:rtl/>
        </w:rPr>
        <w:t xml:space="preserve"> של עובד</w:t>
      </w:r>
      <w:r w:rsidRPr="003B5D33">
        <w:rPr>
          <w:rFonts w:eastAsia="Calibri" w:hint="cs"/>
          <w:b/>
          <w:bCs/>
          <w:rtl/>
        </w:rPr>
        <w:t>ים</w:t>
      </w:r>
      <w:r w:rsidRPr="003B5D33">
        <w:rPr>
          <w:rFonts w:eastAsia="Calibri"/>
          <w:b/>
          <w:bCs/>
          <w:rtl/>
        </w:rPr>
        <w:t xml:space="preserve"> שהצטיי</w:t>
      </w:r>
      <w:r w:rsidRPr="003B5D33">
        <w:rPr>
          <w:rFonts w:eastAsia="Calibri" w:hint="cs"/>
          <w:b/>
          <w:bCs/>
          <w:rtl/>
        </w:rPr>
        <w:t xml:space="preserve">נו וליד שמותיהם של עובדים </w:t>
      </w:r>
      <w:r w:rsidRPr="003B5D33">
        <w:rPr>
          <w:rFonts w:eastAsia="Calibri"/>
          <w:b/>
          <w:bCs/>
          <w:rtl/>
        </w:rPr>
        <w:t xml:space="preserve">שקיימת </w:t>
      </w:r>
      <w:r w:rsidRPr="003B5D33">
        <w:rPr>
          <w:rFonts w:eastAsia="Calibri" w:hint="cs"/>
          <w:b/>
          <w:bCs/>
          <w:rtl/>
        </w:rPr>
        <w:t xml:space="preserve">לגביהם </w:t>
      </w:r>
      <w:r w:rsidRPr="003B5D33">
        <w:rPr>
          <w:rFonts w:eastAsia="Calibri"/>
          <w:b/>
          <w:bCs/>
          <w:rtl/>
        </w:rPr>
        <w:t>לפחות הערת משמעת אחת בתוקף.</w:t>
      </w:r>
      <w:r w:rsidRPr="003B5D33">
        <w:rPr>
          <w:rFonts w:eastAsia="Calibri" w:hint="cs"/>
          <w:b/>
          <w:bCs/>
          <w:rtl/>
        </w:rPr>
        <w:t xml:space="preserve"> כמו כן,</w:t>
      </w:r>
      <w:r w:rsidRPr="003B5D33">
        <w:rPr>
          <w:rFonts w:eastAsia="Calibri"/>
          <w:b/>
          <w:bCs/>
          <w:rtl/>
        </w:rPr>
        <w:t xml:space="preserve"> </w:t>
      </w:r>
      <w:r w:rsidRPr="003B5D33">
        <w:rPr>
          <w:rFonts w:eastAsia="Calibri" w:hint="cs"/>
          <w:b/>
          <w:bCs/>
          <w:rtl/>
        </w:rPr>
        <w:t>לגבי כל</w:t>
      </w:r>
      <w:r w:rsidRPr="003B5D33">
        <w:rPr>
          <w:rFonts w:eastAsia="Calibri"/>
          <w:b/>
          <w:bCs/>
          <w:rtl/>
        </w:rPr>
        <w:t xml:space="preserve"> מועמד פורטו עיקרי ההערכות המילוליות של המעריך הישיר והעקיף וכן תוצאות ההערכה של המוערך בכמה ממדי הערכה. </w:t>
      </w:r>
      <w:r w:rsidR="00031CA3">
        <w:rPr>
          <w:rFonts w:eastAsia="Calibri" w:hint="cs"/>
          <w:b/>
          <w:bCs/>
          <w:rtl/>
        </w:rPr>
        <w:t>ליותר</w:t>
      </w:r>
      <w:r w:rsidRPr="003B5D33">
        <w:rPr>
          <w:rFonts w:eastAsia="Calibri" w:hint="cs"/>
          <w:b/>
          <w:bCs/>
          <w:rtl/>
        </w:rPr>
        <w:t xml:space="preserve"> מ</w:t>
      </w:r>
      <w:r w:rsidR="00031CA3">
        <w:rPr>
          <w:rFonts w:eastAsia="Calibri" w:hint="cs"/>
          <w:b/>
          <w:bCs/>
          <w:rtl/>
        </w:rPr>
        <w:t>-1,000</w:t>
      </w:r>
      <w:r w:rsidRPr="003B5D33">
        <w:rPr>
          <w:rFonts w:eastAsia="Calibri" w:hint="cs"/>
          <w:b/>
          <w:bCs/>
          <w:rtl/>
        </w:rPr>
        <w:t xml:space="preserve"> עובדים של המשרד הייתה הרשאת גישה למסמך זה.</w:t>
      </w:r>
    </w:p>
    <w:p w:rsidR="003B5D33" w:rsidRPr="003B5D33" w:rsidP="003B5D33">
      <w:pPr>
        <w:spacing w:line="269" w:lineRule="auto"/>
        <w:ind w:left="312"/>
        <w:jc w:val="center"/>
        <w:rPr>
          <w:rFonts w:eastAsia="Calibri"/>
          <w:rtl/>
        </w:rPr>
      </w:pPr>
    </w:p>
    <w:p w:rsidR="003B5D33" w:rsidRPr="003B5D33" w:rsidP="003B5D33">
      <w:pPr>
        <w:keepNext/>
        <w:keepLines/>
        <w:spacing w:line="269" w:lineRule="auto"/>
        <w:ind w:left="312"/>
        <w:jc w:val="center"/>
        <w:rPr>
          <w:rFonts w:eastAsia="Calibri"/>
          <w:b/>
          <w:bCs/>
          <w:rtl/>
        </w:rPr>
      </w:pPr>
      <w:r w:rsidRPr="003B5D33">
        <w:rPr>
          <w:rFonts w:eastAsia="Calibri"/>
          <w:rtl/>
        </w:rPr>
        <w:t>תמונ</w:t>
      </w:r>
      <w:r w:rsidRPr="003B5D33">
        <w:rPr>
          <w:rFonts w:eastAsia="Calibri" w:hint="eastAsia"/>
          <w:rtl/>
        </w:rPr>
        <w:t>ה</w:t>
      </w:r>
      <w:r w:rsidRPr="003B5D33">
        <w:rPr>
          <w:rFonts w:eastAsia="Calibri"/>
          <w:rtl/>
        </w:rPr>
        <w:t xml:space="preserve"> </w:t>
      </w:r>
      <w:r w:rsidRPr="003B5D33">
        <w:rPr>
          <w:rFonts w:eastAsia="Calibri" w:hint="cs"/>
          <w:rtl/>
        </w:rPr>
        <w:t>2</w:t>
      </w:r>
      <w:r w:rsidRPr="003B5D33">
        <w:rPr>
          <w:rFonts w:eastAsia="Calibri"/>
          <w:rtl/>
        </w:rPr>
        <w:t>:</w:t>
      </w:r>
      <w:r w:rsidRPr="003B5D33">
        <w:rPr>
          <w:rFonts w:eastAsia="Calibri"/>
          <w:b/>
          <w:bCs/>
          <w:rtl/>
        </w:rPr>
        <w:t xml:space="preserve"> </w:t>
      </w:r>
      <w:r w:rsidRPr="003B5D33">
        <w:rPr>
          <w:rFonts w:eastAsia="Calibri" w:hint="cs"/>
          <w:b/>
          <w:bCs/>
          <w:rtl/>
        </w:rPr>
        <w:t>דוגמה ל</w:t>
      </w:r>
      <w:r w:rsidRPr="003B5D33">
        <w:rPr>
          <w:rFonts w:eastAsia="Calibri"/>
          <w:b/>
          <w:bCs/>
          <w:rtl/>
        </w:rPr>
        <w:t>דף ריכוז מועמדים שנדונו בוועדת הדרגים</w:t>
      </w:r>
      <w:r w:rsidRPr="003B5D33">
        <w:rPr>
          <w:rFonts w:eastAsia="Calibri" w:hint="cs"/>
          <w:b/>
          <w:bCs/>
          <w:rtl/>
        </w:rPr>
        <w:t>,</w:t>
      </w:r>
      <w:r w:rsidRPr="003B5D33">
        <w:rPr>
          <w:rFonts w:eastAsia="Calibri"/>
          <w:b/>
          <w:bCs/>
          <w:rtl/>
        </w:rPr>
        <w:t xml:space="preserve"> </w:t>
      </w:r>
      <w:r w:rsidRPr="003B5D33">
        <w:rPr>
          <w:rFonts w:eastAsia="Calibri" w:hint="cs"/>
          <w:b/>
          <w:bCs/>
          <w:rtl/>
        </w:rPr>
        <w:t>כולל הערכת ה</w:t>
      </w:r>
      <w:r w:rsidRPr="003B5D33">
        <w:rPr>
          <w:rFonts w:eastAsia="Calibri"/>
          <w:b/>
          <w:bCs/>
          <w:rtl/>
        </w:rPr>
        <w:t xml:space="preserve">מנהל </w:t>
      </w:r>
      <w:r w:rsidRPr="003B5D33">
        <w:rPr>
          <w:rFonts w:eastAsia="Calibri" w:hint="cs"/>
          <w:b/>
          <w:bCs/>
          <w:rtl/>
        </w:rPr>
        <w:t>ה</w:t>
      </w:r>
      <w:r w:rsidRPr="003B5D33">
        <w:rPr>
          <w:rFonts w:eastAsia="Calibri"/>
          <w:b/>
          <w:bCs/>
          <w:rtl/>
        </w:rPr>
        <w:t>עקיף של העובד המוערך</w:t>
      </w:r>
    </w:p>
    <w:p w:rsidR="003B5D33" w:rsidRPr="003B5D33" w:rsidP="003B5D33">
      <w:pPr>
        <w:spacing w:line="269" w:lineRule="auto"/>
        <w:jc w:val="center"/>
        <w:rPr>
          <w:rFonts w:eastAsia="Calibri"/>
          <w:szCs w:val="20"/>
          <w:rtl/>
        </w:rPr>
      </w:pPr>
      <w:r w:rsidRPr="003B5D33">
        <w:rPr>
          <w:rFonts w:eastAsia="Calibri"/>
          <w:noProof/>
          <w:szCs w:val="20"/>
          <w:rtl/>
        </w:rPr>
        <w:drawing>
          <wp:inline distT="0" distB="0" distL="0" distR="0">
            <wp:extent cx="4161899" cy="3811219"/>
            <wp:effectExtent l="0" t="0" r="0" b="0"/>
            <wp:docPr id="5" name="תמונה 5" descr="כמתואר בכות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66966" cy="3815859"/>
                    </a:xfrm>
                    <a:prstGeom prst="rect">
                      <a:avLst/>
                    </a:prstGeom>
                    <a:noFill/>
                    <a:ln>
                      <a:noFill/>
                    </a:ln>
                  </pic:spPr>
                </pic:pic>
              </a:graphicData>
            </a:graphic>
          </wp:inline>
        </w:drawing>
      </w:r>
    </w:p>
    <w:p w:rsidR="003B5D33" w:rsidRPr="003B5D33" w:rsidP="003B5D33">
      <w:pPr>
        <w:spacing w:line="269" w:lineRule="auto"/>
        <w:rPr>
          <w:rFonts w:eastAsia="Calibri"/>
          <w:szCs w:val="20"/>
          <w:rtl/>
        </w:rPr>
      </w:pPr>
      <w:r w:rsidRPr="003B5D33">
        <w:rPr>
          <w:rFonts w:eastAsia="Calibri" w:hint="eastAsia"/>
          <w:szCs w:val="20"/>
          <w:rtl/>
        </w:rPr>
        <w:t>ה</w:t>
      </w:r>
      <w:r w:rsidRPr="003B5D33">
        <w:rPr>
          <w:rFonts w:eastAsia="Calibri"/>
          <w:szCs w:val="20"/>
          <w:rtl/>
        </w:rPr>
        <w:t>מקור: משרד החוץ.</w:t>
      </w:r>
    </w:p>
    <w:p w:rsidR="00DA2F85"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ממצאי הביקורת מלמדים כי משרד החוץ לא קיים את הוראות חוק הגנת הפרטיות ותקנותיו, וכי בניגוד למתחייב מהוראות הדין ניתנה לכלל משתמשי הרשת המסוימת גישה לכונן</w:t>
      </w:r>
      <w:r w:rsidRPr="003B5D33">
        <w:rPr>
          <w:rFonts w:eastAsia="Calibri"/>
          <w:b/>
          <w:bCs/>
        </w:rPr>
        <w:t xml:space="preserve">X </w:t>
      </w:r>
      <w:r w:rsidRPr="003B5D33">
        <w:rPr>
          <w:rFonts w:eastAsia="Calibri" w:hint="cs"/>
          <w:b/>
          <w:bCs/>
          <w:rtl/>
        </w:rPr>
        <w:t xml:space="preserve"> הכולל מסמכים רגישים רבים עם מידע אישי-פרטי, דבר המעלה חשש לפגיעה בפרטיותם של עובדי המשרד ואזרחים.</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בהקשר זה יצוין כי נציג משרד מבקר המדינה התריע בעת ביקור במשרד החוץ לפני נציג המשרד על הימצאותו של מידע פרטי בכונן האמור ללא שהוגבלה הגישה אליו, אולם בדיקה נוספת שנעשתה בחלוף חודש וחצי העלתה כי מידע זה נותר בכונן וטרם הוגבלה הגישה אליו.</w:t>
      </w:r>
    </w:p>
    <w:p w:rsidR="003B5D33" w:rsidRPr="003B5D33" w:rsidP="003B5D33">
      <w:pPr>
        <w:spacing w:line="269" w:lineRule="auto"/>
        <w:ind w:left="312"/>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נוכח רגישות המסמכים שאותרו בכונן האמור, ובמטרה לצמצם את חשיפתם לגורמים שאינם מורשים, משרד מבקר המדינה עדכן במהלך הביקורת את נציגי אגף התקשוב ונציגי בטמ"ח במשרד החוץ בדבר ממצאיו.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eastAsia"/>
          <w:b/>
          <w:bCs/>
          <w:rtl/>
        </w:rPr>
        <w:t>בינואר</w:t>
      </w:r>
      <w:r w:rsidRPr="003B5D33">
        <w:rPr>
          <w:rFonts w:eastAsia="Calibri"/>
          <w:b/>
          <w:bCs/>
          <w:rtl/>
        </w:rPr>
        <w:t xml:space="preserve"> 2025 </w:t>
      </w:r>
      <w:r w:rsidRPr="003B5D33">
        <w:rPr>
          <w:rFonts w:eastAsia="Calibri" w:hint="eastAsia"/>
          <w:b/>
          <w:bCs/>
          <w:rtl/>
        </w:rPr>
        <w:t>עדכן</w:t>
      </w:r>
      <w:r w:rsidRPr="003B5D33">
        <w:rPr>
          <w:rFonts w:eastAsia="Calibri"/>
          <w:b/>
          <w:bCs/>
          <w:rtl/>
        </w:rPr>
        <w:t xml:space="preserve"> </w:t>
      </w:r>
      <w:r w:rsidRPr="003B5D33">
        <w:rPr>
          <w:rFonts w:eastAsia="Calibri" w:hint="eastAsia"/>
          <w:b/>
          <w:bCs/>
          <w:rtl/>
        </w:rPr>
        <w:t>משרד</w:t>
      </w:r>
      <w:r w:rsidRPr="003B5D33">
        <w:rPr>
          <w:rFonts w:eastAsia="Calibri"/>
          <w:b/>
          <w:bCs/>
          <w:rtl/>
        </w:rPr>
        <w:t xml:space="preserve"> </w:t>
      </w:r>
      <w:r w:rsidRPr="003B5D33">
        <w:rPr>
          <w:rFonts w:eastAsia="Calibri" w:hint="eastAsia"/>
          <w:b/>
          <w:bCs/>
          <w:rtl/>
        </w:rPr>
        <w:t>החוץ</w:t>
      </w:r>
      <w:r w:rsidRPr="003B5D33">
        <w:rPr>
          <w:rFonts w:eastAsia="Calibri"/>
          <w:b/>
          <w:bCs/>
          <w:rtl/>
        </w:rPr>
        <w:t xml:space="preserve"> </w:t>
      </w:r>
      <w:r w:rsidRPr="003B5D33">
        <w:rPr>
          <w:rFonts w:eastAsia="Calibri" w:hint="eastAsia"/>
          <w:b/>
          <w:bCs/>
          <w:rtl/>
        </w:rPr>
        <w:t>את</w:t>
      </w:r>
      <w:r w:rsidRPr="003B5D33">
        <w:rPr>
          <w:rFonts w:eastAsia="Calibri"/>
          <w:b/>
          <w:bCs/>
          <w:rtl/>
        </w:rPr>
        <w:t xml:space="preserve"> </w:t>
      </w:r>
      <w:r w:rsidRPr="003B5D33">
        <w:rPr>
          <w:rFonts w:eastAsia="Calibri" w:hint="eastAsia"/>
          <w:b/>
          <w:bCs/>
          <w:rtl/>
        </w:rPr>
        <w:t>משרד</w:t>
      </w:r>
      <w:r w:rsidRPr="003B5D33">
        <w:rPr>
          <w:rFonts w:eastAsia="Calibri"/>
          <w:b/>
          <w:bCs/>
          <w:rtl/>
        </w:rPr>
        <w:t xml:space="preserve"> </w:t>
      </w:r>
      <w:r w:rsidRPr="003B5D33">
        <w:rPr>
          <w:rFonts w:eastAsia="Calibri" w:hint="eastAsia"/>
          <w:b/>
          <w:bCs/>
          <w:rtl/>
        </w:rPr>
        <w:t>מבקר</w:t>
      </w:r>
      <w:r w:rsidRPr="003B5D33">
        <w:rPr>
          <w:rFonts w:eastAsia="Calibri"/>
          <w:b/>
          <w:bCs/>
          <w:rtl/>
        </w:rPr>
        <w:t xml:space="preserve"> </w:t>
      </w:r>
      <w:r w:rsidRPr="003B5D33">
        <w:rPr>
          <w:rFonts w:eastAsia="Calibri" w:hint="eastAsia"/>
          <w:b/>
          <w:bCs/>
          <w:rtl/>
        </w:rPr>
        <w:t>המדינה</w:t>
      </w:r>
      <w:r w:rsidRPr="003B5D33">
        <w:rPr>
          <w:rFonts w:eastAsia="Calibri"/>
          <w:b/>
          <w:bCs/>
          <w:rtl/>
        </w:rPr>
        <w:t xml:space="preserve"> </w:t>
      </w:r>
      <w:r w:rsidRPr="003B5D33">
        <w:rPr>
          <w:rFonts w:eastAsia="Calibri" w:hint="eastAsia"/>
          <w:b/>
          <w:bCs/>
          <w:rtl/>
        </w:rPr>
        <w:t>כי</w:t>
      </w:r>
      <w:r w:rsidRPr="003B5D33">
        <w:rPr>
          <w:rFonts w:eastAsia="Calibri"/>
          <w:b/>
          <w:bCs/>
          <w:rtl/>
        </w:rPr>
        <w:t xml:space="preserve"> הגישה לכונן </w:t>
      </w:r>
      <w:r w:rsidRPr="003B5D33">
        <w:rPr>
          <w:rFonts w:eastAsia="Calibri" w:hint="eastAsia"/>
          <w:b/>
          <w:bCs/>
          <w:rtl/>
        </w:rPr>
        <w:t>זה</w:t>
      </w:r>
      <w:r w:rsidRPr="003B5D33">
        <w:rPr>
          <w:rFonts w:eastAsia="Calibri"/>
          <w:b/>
          <w:bCs/>
          <w:rtl/>
        </w:rPr>
        <w:t xml:space="preserve"> נחסמה לכלל המשתמשים ברשת ו</w:t>
      </w:r>
      <w:r w:rsidRPr="003B5D33">
        <w:rPr>
          <w:rFonts w:eastAsia="Calibri" w:hint="eastAsia"/>
          <w:b/>
          <w:bCs/>
          <w:rtl/>
        </w:rPr>
        <w:t>כן</w:t>
      </w:r>
      <w:r w:rsidRPr="003B5D33">
        <w:rPr>
          <w:rFonts w:eastAsia="Calibri"/>
          <w:b/>
          <w:bCs/>
          <w:rtl/>
        </w:rPr>
        <w:t xml:space="preserve"> מונה עובד לסידור המידע בספריות שהיו בכונן זה.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על משרד החוץ להידרש לנושא בצורה רוחבית ולנקוט צעדים שיבטיחו שהמידע השמור במערכות המשרד יהיה זמין רק לעובדים שנדרשים לו לצורך עבודתם.</w:t>
      </w:r>
    </w:p>
    <w:p w:rsidR="003B5D33" w:rsidRPr="003B5D33" w:rsidP="003B5D33">
      <w:pPr>
        <w:spacing w:line="269" w:lineRule="auto"/>
        <w:rPr>
          <w:rFonts w:eastAsia="Calibri"/>
          <w:b/>
          <w:bCs/>
          <w:rtl/>
        </w:rPr>
      </w:pPr>
    </w:p>
    <w:p w:rsidR="00DA2F85">
      <w:pPr>
        <w:bidi w:val="0"/>
        <w:spacing w:after="200" w:line="276" w:lineRule="auto"/>
        <w:rPr>
          <w:rFonts w:eastAsia="Times New Roman"/>
          <w:bCs/>
          <w:szCs w:val="26"/>
          <w:rtl/>
        </w:rPr>
      </w:pPr>
      <w:r>
        <w:rPr>
          <w:rFonts w:eastAsia="Times New Roman"/>
          <w:bCs/>
          <w:szCs w:val="26"/>
          <w:rtl/>
        </w:rPr>
        <w:br w:type="page"/>
      </w:r>
    </w:p>
    <w:p w:rsidR="003B5D33" w:rsidRPr="003B5D33" w:rsidP="003B5D33">
      <w:pPr>
        <w:keepNext/>
        <w:keepLines/>
        <w:spacing w:line="269" w:lineRule="auto"/>
        <w:outlineLvl w:val="3"/>
        <w:rPr>
          <w:rFonts w:eastAsia="Times New Roman"/>
          <w:bCs/>
          <w:szCs w:val="26"/>
          <w:rtl/>
        </w:rPr>
      </w:pPr>
      <w:r w:rsidRPr="003B5D33">
        <w:rPr>
          <w:rFonts w:eastAsia="Times New Roman" w:hint="cs"/>
          <w:bCs/>
          <w:szCs w:val="26"/>
          <w:rtl/>
        </w:rPr>
        <w:t>ביצוע בקרות</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תקנות הגנת הפרטיות (אבטחת מידע), ה</w:t>
      </w:r>
      <w:r w:rsidRPr="003B5D33">
        <w:rPr>
          <w:rFonts w:eastAsia="Calibri"/>
          <w:rtl/>
        </w:rPr>
        <w:t>תשע"ז-2017</w:t>
      </w:r>
      <w:r w:rsidRPr="003B5D33">
        <w:rPr>
          <w:rFonts w:eastAsia="Calibri" w:hint="cs"/>
          <w:rtl/>
        </w:rPr>
        <w:t>, מחייבות לבצע בקרה על מנגנון הרשאות</w:t>
      </w:r>
      <w:r>
        <w:rPr>
          <w:rFonts w:eastAsia="Calibri"/>
          <w:vertAlign w:val="superscript"/>
          <w:rtl/>
        </w:rPr>
        <w:footnoteReference w:id="114"/>
      </w:r>
      <w:r w:rsidRPr="003B5D33">
        <w:rPr>
          <w:rFonts w:eastAsia="Calibri" w:hint="cs"/>
          <w:rtl/>
        </w:rPr>
        <w:t xml:space="preserve">. בנוהל של אגף התקשוב שאושר באפריל 2022 צוין כי </w:t>
      </w:r>
      <w:r w:rsidRPr="003B5D33">
        <w:rPr>
          <w:rFonts w:eastAsia="Calibri"/>
          <w:rtl/>
        </w:rPr>
        <w:t xml:space="preserve">באחריות הגורם המקצועי במשרד לבצע סקירת הרשאות במערכות </w:t>
      </w:r>
      <w:r w:rsidRPr="003B5D33">
        <w:rPr>
          <w:rFonts w:eastAsia="Calibri" w:hint="cs"/>
          <w:rtl/>
        </w:rPr>
        <w:t>שבהן</w:t>
      </w:r>
      <w:r w:rsidRPr="003B5D33">
        <w:rPr>
          <w:rFonts w:eastAsia="Calibri"/>
          <w:rtl/>
        </w:rPr>
        <w:t xml:space="preserve"> הוא המשתמש המוביל או </w:t>
      </w:r>
      <w:r w:rsidRPr="003B5D33">
        <w:rPr>
          <w:rFonts w:eastAsia="Calibri" w:hint="cs"/>
          <w:rtl/>
        </w:rPr>
        <w:t>ש</w:t>
      </w:r>
      <w:r w:rsidRPr="003B5D33">
        <w:rPr>
          <w:rFonts w:eastAsia="Calibri"/>
          <w:rtl/>
        </w:rPr>
        <w:t>בהן הוא מוגדר מנהל המאגר</w:t>
      </w:r>
      <w:r w:rsidRPr="003B5D33">
        <w:rPr>
          <w:rFonts w:eastAsia="Calibri" w:hint="cs"/>
          <w:rtl/>
        </w:rPr>
        <w:t>,</w:t>
      </w:r>
      <w:r w:rsidRPr="003B5D33">
        <w:rPr>
          <w:rFonts w:eastAsia="Calibri"/>
          <w:rtl/>
        </w:rPr>
        <w:t xml:space="preserve"> ולוודא כי הרשאות העובדים תואמות את הצרכים העסקיים.</w:t>
      </w:r>
      <w:r w:rsidRPr="003B5D33">
        <w:rPr>
          <w:rFonts w:eastAsia="Calibri" w:hint="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נמצא כי אגף התקשוב במשרד ובטמ"ח לא ערכו ביקורת סקירת הרשאות על הכוננים ברשת שנבדקה.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eastAsia"/>
          <w:rtl/>
        </w:rPr>
        <w:t>משרד</w:t>
      </w:r>
      <w:r w:rsidRPr="003B5D33">
        <w:rPr>
          <w:rFonts w:eastAsia="Calibri"/>
          <w:rtl/>
        </w:rPr>
        <w:t xml:space="preserve"> החוץ השיב כי </w:t>
      </w:r>
      <w:r w:rsidRPr="003B5D33">
        <w:rPr>
          <w:rFonts w:eastAsia="Calibri" w:hint="eastAsia"/>
          <w:rtl/>
        </w:rPr>
        <w:t>אי</w:t>
      </w:r>
      <w:r w:rsidRPr="003B5D33">
        <w:rPr>
          <w:rFonts w:eastAsia="Calibri" w:hint="cs"/>
          <w:rtl/>
        </w:rPr>
        <w:t>-</w:t>
      </w:r>
      <w:r w:rsidRPr="003B5D33">
        <w:rPr>
          <w:rFonts w:eastAsia="Calibri"/>
          <w:rtl/>
        </w:rPr>
        <w:t xml:space="preserve">ביצוע הבקרות נובע מהיעדר כוח אדם לתפעול </w:t>
      </w:r>
      <w:r w:rsidRPr="003B5D33">
        <w:rPr>
          <w:rFonts w:eastAsia="Calibri" w:hint="eastAsia"/>
          <w:rtl/>
        </w:rPr>
        <w:t>ובקרה</w:t>
      </w:r>
      <w:r w:rsidRPr="003B5D33">
        <w:rPr>
          <w:rFonts w:eastAsia="Calibri"/>
          <w:rtl/>
        </w:rPr>
        <w:t xml:space="preserve"> </w:t>
      </w:r>
      <w:r w:rsidRPr="003B5D33">
        <w:rPr>
          <w:rFonts w:eastAsia="Calibri" w:hint="eastAsia"/>
          <w:rtl/>
        </w:rPr>
        <w:t>על</w:t>
      </w:r>
      <w:r w:rsidRPr="003B5D33">
        <w:rPr>
          <w:rFonts w:eastAsia="Calibri"/>
          <w:rtl/>
        </w:rPr>
        <w:t xml:space="preserve"> </w:t>
      </w:r>
      <w:r w:rsidRPr="003B5D33">
        <w:rPr>
          <w:rFonts w:eastAsia="Calibri" w:hint="eastAsia"/>
          <w:rtl/>
        </w:rPr>
        <w:t>ההרשאות</w:t>
      </w:r>
      <w:r w:rsidRPr="003B5D33">
        <w:rPr>
          <w:rFonts w:eastAsia="Calibri"/>
          <w:rtl/>
        </w:rPr>
        <w:t>.</w:t>
      </w:r>
      <w:r w:rsidRPr="003B5D33">
        <w:rPr>
          <w:rFonts w:eastAsia="Calibri" w:hint="cs"/>
          <w:rtl/>
        </w:rPr>
        <w:t xml:space="preserve"> יצוין כי המשרד </w:t>
      </w:r>
      <w:r w:rsidRPr="003B5D33">
        <w:rPr>
          <w:rFonts w:eastAsia="Calibri"/>
          <w:rtl/>
        </w:rPr>
        <w:t>ק</w:t>
      </w:r>
      <w:r w:rsidRPr="003B5D33">
        <w:rPr>
          <w:rFonts w:eastAsia="Calibri" w:hint="cs"/>
          <w:rtl/>
        </w:rPr>
        <w:t>י</w:t>
      </w:r>
      <w:r w:rsidRPr="003B5D33">
        <w:rPr>
          <w:rFonts w:eastAsia="Calibri"/>
          <w:rtl/>
        </w:rPr>
        <w:t>דם אל מול נציבות שירות המדינה תקנון של משרות נוספות בתחום הגנת הסייבר ואושרו שלוש משרות נוספות חדשות</w:t>
      </w:r>
      <w:r w:rsidRPr="003B5D33">
        <w:rPr>
          <w:rFonts w:eastAsia="Calibri" w:hint="cs"/>
          <w:rtl/>
        </w:rPr>
        <w:t>.</w:t>
      </w:r>
    </w:p>
    <w:p w:rsidR="003B5D33" w:rsidRPr="003B5D33" w:rsidP="003B5D33">
      <w:pPr>
        <w:spacing w:line="269" w:lineRule="auto"/>
        <w:rPr>
          <w:rFonts w:eastAsia="Calibri"/>
          <w:b/>
          <w:bCs/>
          <w:rtl/>
        </w:rPr>
      </w:pPr>
      <w:r w:rsidRPr="003B5D33">
        <w:rPr>
          <w:rFonts w:eastAsia="Calibri"/>
          <w:rtl/>
        </w:rPr>
        <w:t xml:space="preserve"> </w:t>
      </w:r>
    </w:p>
    <w:p w:rsidR="003B5D33" w:rsidRPr="003B5D33" w:rsidP="003B5D33">
      <w:pPr>
        <w:keepNext/>
        <w:keepLines/>
        <w:spacing w:line="269" w:lineRule="auto"/>
        <w:outlineLvl w:val="2"/>
        <w:rPr>
          <w:rFonts w:eastAsia="Times New Roman"/>
          <w:bCs/>
          <w:szCs w:val="28"/>
          <w:u w:val="single"/>
          <w:rtl/>
        </w:rPr>
      </w:pPr>
      <w:bookmarkStart w:id="81" w:name="_Hlk196043891"/>
      <w:bookmarkStart w:id="82" w:name="_Toc218592811"/>
      <w:bookmarkEnd w:id="81"/>
      <w:r w:rsidRPr="003B5D33">
        <w:rPr>
          <w:rFonts w:eastAsia="Times New Roman" w:hint="cs"/>
          <w:bCs/>
          <w:szCs w:val="28"/>
          <w:u w:val="single"/>
          <w:rtl/>
        </w:rPr>
        <w:t xml:space="preserve">מניעת דלף מידע </w:t>
      </w:r>
      <w:bookmarkEnd w:id="82"/>
    </w:p>
    <w:p w:rsidR="003B5D33" w:rsidRPr="003B5D33" w:rsidP="003B5D33">
      <w:pPr>
        <w:spacing w:line="269" w:lineRule="auto"/>
        <w:rPr>
          <w:rFonts w:eastAsia="Times New Roman"/>
          <w:bCs/>
          <w:sz w:val="24"/>
          <w:rtl/>
        </w:rPr>
      </w:pPr>
    </w:p>
    <w:p w:rsidR="003B5D33" w:rsidRPr="003B5D33" w:rsidP="003B5D33">
      <w:pPr>
        <w:spacing w:line="269" w:lineRule="auto"/>
        <w:rPr>
          <w:rFonts w:eastAsia="Calibri"/>
          <w:bCs/>
          <w:sz w:val="24"/>
          <w:rtl/>
        </w:rPr>
      </w:pPr>
      <w:r w:rsidRPr="003B5D33">
        <w:rPr>
          <w:rFonts w:eastAsia="Times New Roman" w:hint="eastAsia"/>
          <w:bCs/>
          <w:sz w:val="24"/>
          <w:rtl/>
        </w:rPr>
        <w:t>נמצאו</w:t>
      </w:r>
      <w:r w:rsidRPr="003B5D33">
        <w:rPr>
          <w:rFonts w:eastAsia="Times New Roman"/>
          <w:bCs/>
          <w:sz w:val="24"/>
          <w:rtl/>
        </w:rPr>
        <w:t xml:space="preserve"> </w:t>
      </w:r>
      <w:r w:rsidRPr="003B5D33">
        <w:rPr>
          <w:rFonts w:eastAsia="Times New Roman" w:hint="eastAsia"/>
          <w:bCs/>
          <w:sz w:val="24"/>
          <w:rtl/>
        </w:rPr>
        <w:t>ליקויים</w:t>
      </w:r>
      <w:r w:rsidRPr="003B5D33">
        <w:rPr>
          <w:rFonts w:eastAsia="Times New Roman"/>
          <w:bCs/>
          <w:sz w:val="24"/>
          <w:rtl/>
        </w:rPr>
        <w:t xml:space="preserve"> </w:t>
      </w:r>
      <w:r w:rsidRPr="003B5D33">
        <w:rPr>
          <w:rFonts w:eastAsia="Times New Roman" w:hint="eastAsia"/>
          <w:bCs/>
          <w:sz w:val="24"/>
          <w:rtl/>
        </w:rPr>
        <w:t>בכל</w:t>
      </w:r>
      <w:r w:rsidRPr="003B5D33">
        <w:rPr>
          <w:rFonts w:eastAsia="Times New Roman"/>
          <w:bCs/>
          <w:sz w:val="24"/>
          <w:rtl/>
        </w:rPr>
        <w:t xml:space="preserve"> </w:t>
      </w:r>
      <w:r w:rsidRPr="003B5D33">
        <w:rPr>
          <w:rFonts w:eastAsia="Times New Roman" w:hint="eastAsia"/>
          <w:bCs/>
          <w:sz w:val="24"/>
          <w:rtl/>
        </w:rPr>
        <w:t>הנוגע</w:t>
      </w:r>
      <w:r w:rsidRPr="003B5D33">
        <w:rPr>
          <w:rFonts w:eastAsia="Times New Roman"/>
          <w:bCs/>
          <w:sz w:val="24"/>
          <w:rtl/>
        </w:rPr>
        <w:t xml:space="preserve"> </w:t>
      </w:r>
      <w:r w:rsidRPr="003B5D33">
        <w:rPr>
          <w:rFonts w:eastAsia="Times New Roman" w:hint="eastAsia"/>
          <w:bCs/>
          <w:sz w:val="24"/>
          <w:rtl/>
        </w:rPr>
        <w:t>למניעת</w:t>
      </w:r>
      <w:r w:rsidRPr="003B5D33">
        <w:rPr>
          <w:rFonts w:eastAsia="Times New Roman"/>
          <w:bCs/>
          <w:sz w:val="24"/>
          <w:rtl/>
        </w:rPr>
        <w:t xml:space="preserve"> </w:t>
      </w:r>
      <w:r w:rsidRPr="003B5D33">
        <w:rPr>
          <w:rFonts w:eastAsia="Times New Roman" w:hint="eastAsia"/>
          <w:bCs/>
          <w:sz w:val="24"/>
          <w:rtl/>
        </w:rPr>
        <w:t>דלף</w:t>
      </w:r>
      <w:r w:rsidRPr="003B5D33">
        <w:rPr>
          <w:rFonts w:eastAsia="Times New Roman"/>
          <w:bCs/>
          <w:sz w:val="24"/>
          <w:rtl/>
        </w:rPr>
        <w:t xml:space="preserve"> </w:t>
      </w:r>
      <w:r w:rsidRPr="003B5D33">
        <w:rPr>
          <w:rFonts w:eastAsia="Times New Roman" w:hint="eastAsia"/>
          <w:bCs/>
          <w:sz w:val="24"/>
          <w:rtl/>
        </w:rPr>
        <w:t>מידע</w:t>
      </w:r>
      <w:r w:rsidRPr="003B5D33">
        <w:rPr>
          <w:rFonts w:eastAsia="Times New Roman"/>
          <w:bCs/>
          <w:sz w:val="24"/>
          <w:rtl/>
        </w:rPr>
        <w:t xml:space="preserve"> </w:t>
      </w:r>
      <w:r w:rsidRPr="003B5D33">
        <w:rPr>
          <w:rFonts w:eastAsia="Times New Roman" w:hint="eastAsia"/>
          <w:bCs/>
          <w:sz w:val="24"/>
          <w:rtl/>
        </w:rPr>
        <w:t>מרשתות</w:t>
      </w:r>
      <w:r w:rsidRPr="003B5D33">
        <w:rPr>
          <w:rFonts w:eastAsia="Times New Roman"/>
          <w:bCs/>
          <w:sz w:val="24"/>
          <w:rtl/>
        </w:rPr>
        <w:t xml:space="preserve"> </w:t>
      </w:r>
      <w:r w:rsidRPr="003B5D33">
        <w:rPr>
          <w:rFonts w:eastAsia="Times New Roman" w:hint="eastAsia"/>
          <w:bCs/>
          <w:sz w:val="24"/>
          <w:rtl/>
        </w:rPr>
        <w:t>המחשוב</w:t>
      </w:r>
      <w:r w:rsidRPr="003B5D33">
        <w:rPr>
          <w:rFonts w:eastAsia="Times New Roman"/>
          <w:bCs/>
          <w:sz w:val="24"/>
          <w:rtl/>
        </w:rPr>
        <w:t xml:space="preserve"> </w:t>
      </w:r>
      <w:r w:rsidRPr="003B5D33">
        <w:rPr>
          <w:rFonts w:eastAsia="Times New Roman" w:hint="eastAsia"/>
          <w:bCs/>
          <w:sz w:val="24"/>
          <w:rtl/>
        </w:rPr>
        <w:t>במשרד</w:t>
      </w:r>
      <w:r w:rsidRPr="003B5D33">
        <w:rPr>
          <w:rFonts w:eastAsia="Times New Roman"/>
          <w:bCs/>
          <w:sz w:val="24"/>
          <w:rtl/>
        </w:rPr>
        <w:t xml:space="preserve"> </w:t>
      </w:r>
      <w:r w:rsidRPr="003B5D33">
        <w:rPr>
          <w:rFonts w:eastAsia="Times New Roman" w:hint="eastAsia"/>
          <w:bCs/>
          <w:sz w:val="24"/>
          <w:rtl/>
        </w:rPr>
        <w:t>החוץ</w:t>
      </w:r>
      <w:r w:rsidRPr="003B5D33">
        <w:rPr>
          <w:rFonts w:eastAsia="Times New Roman"/>
          <w:bCs/>
          <w:sz w:val="24"/>
          <w:rtl/>
        </w:rPr>
        <w:t>.</w:t>
      </w:r>
    </w:p>
    <w:p w:rsidR="003B5D33" w:rsidRPr="003B5D33" w:rsidP="003B5D33">
      <w:pPr>
        <w:spacing w:line="269" w:lineRule="auto"/>
        <w:jc w:val="center"/>
        <w:rPr>
          <w:rFonts w:ascii="Segoe UI Symbol" w:eastAsia="Calibri" w:hAnsi="Segoe UI Symbol" w:cs="Segoe UI Symbol"/>
          <w:sz w:val="36"/>
          <w:rtl/>
        </w:rPr>
      </w:pPr>
    </w:p>
    <w:p w:rsidR="003B5D33" w:rsidRPr="003B5D33" w:rsidP="003B5D33">
      <w:pPr>
        <w:spacing w:line="269" w:lineRule="auto"/>
        <w:jc w:val="center"/>
        <w:rPr>
          <w:rFonts w:ascii="Arial" w:eastAsia="Calibri" w:hAnsi="Arial" w:cs="Arial"/>
          <w:sz w:val="36"/>
          <w:rtl/>
        </w:rPr>
      </w:pPr>
      <w:r w:rsidRPr="003B5D33">
        <w:rPr>
          <w:rFonts w:ascii="Segoe UI Symbol" w:eastAsia="Calibri" w:hAnsi="Segoe UI Symbol" w:cs="Segoe UI Symbol" w:hint="cs"/>
          <w:sz w:val="36"/>
          <w:rtl/>
        </w:rPr>
        <w:t>✰</w:t>
      </w:r>
    </w:p>
    <w:p w:rsidR="003B5D33" w:rsidRPr="003B5D33" w:rsidP="003B5D33">
      <w:pPr>
        <w:spacing w:line="269" w:lineRule="auto"/>
        <w:rPr>
          <w:rFonts w:eastAsia="Calibri"/>
          <w:b/>
          <w:bCs/>
          <w:rtl/>
        </w:rPr>
      </w:pPr>
      <w:bookmarkStart w:id="83" w:name="_Hlk203656042"/>
    </w:p>
    <w:p w:rsidR="003B5D33" w:rsidRPr="003B5D33" w:rsidP="003B5D33">
      <w:pPr>
        <w:spacing w:line="269" w:lineRule="auto"/>
        <w:rPr>
          <w:rFonts w:eastAsia="Calibri"/>
          <w:b/>
          <w:bCs/>
          <w:rtl/>
        </w:rPr>
      </w:pPr>
      <w:r w:rsidRPr="003B5D33">
        <w:rPr>
          <w:rFonts w:eastAsia="Calibri" w:hint="cs"/>
          <w:b/>
          <w:bCs/>
          <w:rtl/>
        </w:rPr>
        <w:t xml:space="preserve">ממצאי פרק זה שמסכמים את הבדיקה בנושא הגנה על המידע ברשתות המחשוב במשרד החוץ - חמורים. ממצאים אלו חושפים ליקויים מהותיים בכל הנוגע להגנה על המידע. ליקויים אלו </w:t>
      </w:r>
      <w:r w:rsidRPr="003B5D33">
        <w:rPr>
          <w:rFonts w:eastAsia="Calibri"/>
          <w:b/>
          <w:bCs/>
          <w:rtl/>
        </w:rPr>
        <w:t>אינם עולים בקנה אחד עם הוראות הדין ועם הנחיות הגורמים המנחים.</w:t>
      </w:r>
      <w:r w:rsidRPr="003B5D33">
        <w:rPr>
          <w:rFonts w:eastAsia="Calibri" w:hint="cs"/>
          <w:b/>
          <w:bCs/>
          <w:rtl/>
        </w:rPr>
        <w:t xml:space="preserve"> </w:t>
      </w:r>
    </w:p>
    <w:p w:rsidR="003B5D33" w:rsidRPr="003B5D33" w:rsidP="003B5D33">
      <w:pPr>
        <w:spacing w:line="269" w:lineRule="auto"/>
        <w:rPr>
          <w:rFonts w:eastAsia="Calibri"/>
          <w:b/>
          <w:bCs/>
          <w:rtl/>
        </w:rPr>
      </w:pPr>
      <w:bookmarkStart w:id="84" w:name="_Hlk203656075"/>
      <w:bookmarkEnd w:id="83"/>
    </w:p>
    <w:p w:rsidR="003B5D33" w:rsidRPr="003B5D33" w:rsidP="003B5D33">
      <w:pPr>
        <w:spacing w:line="269" w:lineRule="auto"/>
        <w:rPr>
          <w:rFonts w:eastAsia="Calibri"/>
          <w:b/>
          <w:bCs/>
          <w:rtl/>
        </w:rPr>
      </w:pPr>
      <w:r w:rsidRPr="003B5D33">
        <w:rPr>
          <w:rFonts w:eastAsia="Calibri" w:hint="cs"/>
          <w:b/>
          <w:bCs/>
          <w:rtl/>
        </w:rPr>
        <w:t xml:space="preserve">אחד מהליקויים החמורים שנמצאו נגע לגישה לכונן שהיה </w:t>
      </w:r>
      <w:r w:rsidRPr="003B5D33">
        <w:rPr>
          <w:rFonts w:eastAsia="Calibri"/>
          <w:b/>
          <w:bCs/>
          <w:rtl/>
        </w:rPr>
        <w:t>פתוח</w:t>
      </w:r>
      <w:r w:rsidRPr="003B5D33">
        <w:rPr>
          <w:rFonts w:eastAsia="Calibri" w:hint="cs"/>
          <w:b/>
          <w:bCs/>
          <w:rtl/>
        </w:rPr>
        <w:t xml:space="preserve"> </w:t>
      </w:r>
      <w:r w:rsidRPr="003B5D33">
        <w:rPr>
          <w:rFonts w:eastAsia="Calibri"/>
          <w:b/>
          <w:bCs/>
          <w:rtl/>
        </w:rPr>
        <w:t xml:space="preserve">לכלל משתמשי רשת </w:t>
      </w:r>
      <w:r w:rsidRPr="003B5D33">
        <w:rPr>
          <w:rFonts w:eastAsia="Calibri" w:hint="cs"/>
          <w:b/>
          <w:bCs/>
          <w:rtl/>
        </w:rPr>
        <w:t>מסוימת במשרד</w:t>
      </w:r>
      <w:r w:rsidRPr="003B5D33">
        <w:rPr>
          <w:rFonts w:eastAsia="Calibri"/>
          <w:b/>
          <w:bCs/>
          <w:rtl/>
        </w:rPr>
        <w:t xml:space="preserve"> </w:t>
      </w:r>
      <w:r w:rsidRPr="003B5D33">
        <w:rPr>
          <w:rFonts w:eastAsia="Calibri" w:hint="cs"/>
          <w:b/>
          <w:bCs/>
          <w:rtl/>
        </w:rPr>
        <w:t>ו</w:t>
      </w:r>
      <w:r w:rsidRPr="003B5D33">
        <w:rPr>
          <w:rFonts w:eastAsia="Calibri"/>
          <w:b/>
          <w:bCs/>
          <w:rtl/>
        </w:rPr>
        <w:t xml:space="preserve">שהכיל עשרות אלפי מסמכים, חלקם כוללים </w:t>
      </w:r>
      <w:r w:rsidRPr="003B5D33">
        <w:rPr>
          <w:rFonts w:eastAsia="Calibri" w:hint="cs"/>
          <w:b/>
          <w:bCs/>
          <w:rtl/>
        </w:rPr>
        <w:t xml:space="preserve">מידע </w:t>
      </w:r>
      <w:r w:rsidRPr="003B5D33">
        <w:rPr>
          <w:rFonts w:eastAsia="Calibri"/>
          <w:b/>
          <w:bCs/>
          <w:rtl/>
        </w:rPr>
        <w:t>רגיש כגון מידע אישי-פרטי</w:t>
      </w:r>
      <w:r w:rsidRPr="003B5D33">
        <w:rPr>
          <w:rFonts w:eastAsia="Calibri" w:hint="cs"/>
          <w:b/>
          <w:bCs/>
          <w:rtl/>
        </w:rPr>
        <w:t>.</w:t>
      </w:r>
    </w:p>
    <w:p w:rsidR="003B5D33" w:rsidRPr="003B5D33" w:rsidP="003B5D33">
      <w:pPr>
        <w:spacing w:line="269" w:lineRule="auto"/>
        <w:jc w:val="center"/>
        <w:rPr>
          <w:rFonts w:eastAsia="Calibri"/>
          <w:rtl/>
        </w:rPr>
      </w:pPr>
    </w:p>
    <w:p w:rsidR="003B5D33" w:rsidRPr="003B5D33" w:rsidP="00BF168E">
      <w:pPr>
        <w:keepNext/>
        <w:keepLines/>
        <w:spacing w:line="269" w:lineRule="auto"/>
        <w:jc w:val="center"/>
        <w:rPr>
          <w:rFonts w:eastAsia="Calibri"/>
          <w:b/>
          <w:bCs/>
          <w:rtl/>
        </w:rPr>
      </w:pPr>
      <w:r w:rsidRPr="003B5D33">
        <w:rPr>
          <w:rFonts w:eastAsia="Calibri" w:hint="eastAsia"/>
          <w:rtl/>
        </w:rPr>
        <w:t>תרשים</w:t>
      </w:r>
      <w:r w:rsidRPr="003B5D33">
        <w:rPr>
          <w:rFonts w:eastAsia="Calibri"/>
          <w:rtl/>
        </w:rPr>
        <w:t xml:space="preserve"> </w:t>
      </w:r>
      <w:r w:rsidRPr="003B5D33">
        <w:rPr>
          <w:rFonts w:eastAsia="Calibri" w:hint="cs"/>
          <w:rtl/>
        </w:rPr>
        <w:t>9</w:t>
      </w:r>
      <w:r w:rsidRPr="003B5D33">
        <w:rPr>
          <w:rFonts w:eastAsia="Calibri"/>
          <w:rtl/>
        </w:rPr>
        <w:t>:</w:t>
      </w:r>
      <w:r w:rsidRPr="003B5D33">
        <w:rPr>
          <w:rFonts w:eastAsia="Calibri" w:hint="cs"/>
          <w:b/>
          <w:bCs/>
          <w:rtl/>
        </w:rPr>
        <w:t xml:space="preserve"> </w:t>
      </w:r>
      <w:bookmarkStart w:id="85" w:name="_Hlk205221763"/>
      <w:r w:rsidRPr="003B5D33">
        <w:rPr>
          <w:rFonts w:eastAsia="Calibri" w:hint="cs"/>
          <w:b/>
          <w:bCs/>
          <w:rtl/>
        </w:rPr>
        <w:t xml:space="preserve">מסמכים הכוללים מידע אישי, שהיו נגישים לכלל משתמשי רשת מסוימת במשרד </w:t>
      </w:r>
    </w:p>
    <w:bookmarkEnd w:id="84"/>
    <w:bookmarkEnd w:id="85"/>
    <w:p w:rsidR="003B5D33" w:rsidRPr="003B5D33" w:rsidP="003B5D33">
      <w:pPr>
        <w:spacing w:line="269" w:lineRule="auto"/>
        <w:jc w:val="center"/>
        <w:rPr>
          <w:rFonts w:eastAsia="Calibri"/>
          <w:szCs w:val="20"/>
          <w:rtl/>
        </w:rPr>
      </w:pPr>
      <w:r w:rsidRPr="003B5D33">
        <w:rPr>
          <w:rFonts w:eastAsia="Calibri"/>
          <w:noProof/>
          <w:szCs w:val="20"/>
        </w:rPr>
        <w:drawing>
          <wp:inline distT="0" distB="0" distL="0" distR="0">
            <wp:extent cx="3359215" cy="3425588"/>
            <wp:effectExtent l="0" t="0" r="0" b="3810"/>
            <wp:docPr id="18" name="תמונה 18" descr="מוצגים סוגי המידע והמסמכים שנחשפו:&#10;חוות דעת תעסוקתית.&#10;קובץ דרגות שכר של 728 עובדים.&#10;בקשת הסגרה.&#10;מסמך ועדת דרגים לרבות הערכת עובדים.&#10;מידע רגיש נוסף.&#10;הערכות עובד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6"/>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67130" cy="3433659"/>
                    </a:xfrm>
                    <a:prstGeom prst="rect">
                      <a:avLst/>
                    </a:prstGeom>
                    <a:noFill/>
                    <a:ln>
                      <a:noFill/>
                    </a:ln>
                  </pic:spPr>
                </pic:pic>
              </a:graphicData>
            </a:graphic>
          </wp:inline>
        </w:drawing>
      </w:r>
    </w:p>
    <w:p w:rsidR="003B5D33" w:rsidRPr="003B5D33" w:rsidP="003B5D33">
      <w:pPr>
        <w:spacing w:line="269" w:lineRule="auto"/>
        <w:rPr>
          <w:rFonts w:eastAsia="Calibri"/>
          <w:szCs w:val="20"/>
          <w:rtl/>
        </w:rPr>
      </w:pPr>
      <w:r w:rsidRPr="003B5D33">
        <w:rPr>
          <w:rFonts w:eastAsia="Calibri" w:hint="cs"/>
          <w:szCs w:val="20"/>
          <w:rtl/>
        </w:rPr>
        <w:t xml:space="preserve">על פי נתוני משרד החוץ, בעיבוד משרד מבקר המדינה. </w:t>
      </w:r>
    </w:p>
    <w:p w:rsidR="003B5D33" w:rsidRPr="003B5D33" w:rsidP="003B5D33">
      <w:pPr>
        <w:spacing w:line="269" w:lineRule="auto"/>
        <w:rPr>
          <w:rFonts w:eastAsia="Calibri"/>
          <w:b/>
          <w:bCs/>
          <w:rtl/>
        </w:rPr>
      </w:pPr>
      <w:bookmarkStart w:id="86" w:name="_Hlk203656096"/>
    </w:p>
    <w:p w:rsidR="003B5D33" w:rsidRPr="003B5D33" w:rsidP="003B5D33">
      <w:pPr>
        <w:spacing w:line="269" w:lineRule="auto"/>
        <w:rPr>
          <w:rFonts w:eastAsia="Calibri"/>
          <w:b/>
          <w:bCs/>
          <w:rtl/>
        </w:rPr>
      </w:pPr>
      <w:r w:rsidRPr="003B5D33">
        <w:rPr>
          <w:rFonts w:eastAsia="Calibri" w:hint="cs"/>
          <w:b/>
          <w:bCs/>
          <w:rtl/>
        </w:rPr>
        <w:t xml:space="preserve">ממצאי הביקורת משקפים תרבות ארגונית לקויה במשרד החוץ בכל הנוגע לשמירה על </w:t>
      </w:r>
      <w:r w:rsidRPr="003B5D33">
        <w:rPr>
          <w:rFonts w:eastAsia="Calibri"/>
          <w:b/>
          <w:bCs/>
          <w:rtl/>
        </w:rPr>
        <w:t xml:space="preserve">מידע </w:t>
      </w:r>
      <w:r w:rsidRPr="003B5D33">
        <w:rPr>
          <w:rFonts w:eastAsia="Calibri" w:hint="cs"/>
          <w:b/>
          <w:bCs/>
          <w:rtl/>
        </w:rPr>
        <w:t>ולהגנה על מידע רגיש ופרטי. לנוכח הליקויים האמורים והחשש שייגרם דלף מידע שעשוי לפגוע בפרטיותם של אנשים, על מנכ"ל משרד החוץ לנקוט ללא דיחוי צעדים שיבטיחו את תיקונם. בכלל זה, המשרד נדרש להשלים את גיבוש הנוהל הנוגע לסיווג נכסי המידע; להשלים את בחינתן של הרשאות הגישה שניתנו לספריות שונות, וזאת במטרה להבטיח כי הגישה לכל אחת מהספריות תינתן רק לעובדים שהמידע נדרש להם לצורך עבודתם; לבצע בדיקה מעמיקה בנוגע לכלל המסמכים הנמצאים ברשת שנבדקה, באופן שיאפשר למחוק מסמכים הכוללים מידע רגיש ושאינם נדרשים עוד ולהגביל את הגישה למסמכים אחרים רק לעובדים שהמידע דרוש להם לצורך עבודתם. זאת ועוד, הנהלת המשרד נדרשת לוודא כי בדיקה דומה תיערך גם בנוגע לתיקיות ברשתות נוספות ובכל מקום אחסון אחר של קבצים ומידע ברשתות המשרד.</w:t>
      </w:r>
    </w:p>
    <w:p w:rsidR="003B5D33" w:rsidRPr="003B5D33" w:rsidP="003B5D33">
      <w:pPr>
        <w:spacing w:line="269" w:lineRule="auto"/>
        <w:rPr>
          <w:rFonts w:eastAsia="Calibri"/>
          <w:b/>
          <w:bCs/>
          <w:rtl/>
        </w:rPr>
      </w:pPr>
    </w:p>
    <w:p w:rsidR="003B5D33" w:rsidP="003B5D33">
      <w:pPr>
        <w:spacing w:line="269" w:lineRule="auto"/>
        <w:rPr>
          <w:rFonts w:eastAsia="Calibri"/>
          <w:b/>
          <w:bCs/>
          <w:rtl/>
        </w:rPr>
      </w:pPr>
      <w:r w:rsidRPr="003B5D33">
        <w:rPr>
          <w:rFonts w:eastAsia="Calibri" w:hint="cs"/>
          <w:b/>
          <w:bCs/>
          <w:rtl/>
        </w:rPr>
        <w:t>הליקויים שהועלו עשויים אף ללמד כי לעובדים אין מודעות רבה בכל הקשור לנושא אבטחת מידע והגנת הפרטיות. לפיכך על משרד החוץ לנקוט צעדים להעלאת מודעות העובדים לסיכונים הטמונים בנושא זה, ו</w:t>
      </w:r>
      <w:r w:rsidRPr="003B5D33">
        <w:rPr>
          <w:rFonts w:eastAsia="Calibri"/>
          <w:b/>
          <w:bCs/>
          <w:rtl/>
        </w:rPr>
        <w:t>להטמיע</w:t>
      </w:r>
      <w:r w:rsidRPr="003B5D33">
        <w:rPr>
          <w:rFonts w:eastAsia="Calibri" w:hint="cs"/>
          <w:b/>
          <w:bCs/>
          <w:rtl/>
        </w:rPr>
        <w:t xml:space="preserve"> את הפעולות הנדרשות מהם בנושא זה, בין היתר באמצעות ביצוע</w:t>
      </w:r>
      <w:r w:rsidRPr="003B5D33">
        <w:rPr>
          <w:rFonts w:eastAsia="Calibri"/>
          <w:b/>
          <w:bCs/>
          <w:rtl/>
        </w:rPr>
        <w:t xml:space="preserve"> הדרכות </w:t>
      </w:r>
      <w:r w:rsidRPr="003B5D33">
        <w:rPr>
          <w:rFonts w:eastAsia="Calibri" w:hint="cs"/>
          <w:b/>
          <w:bCs/>
          <w:rtl/>
        </w:rPr>
        <w:t>ובקרות עיתיות.</w:t>
      </w:r>
    </w:p>
    <w:p w:rsidR="00DA2F85" w:rsidRPr="003B5D33" w:rsidP="003B5D33">
      <w:pPr>
        <w:spacing w:line="269" w:lineRule="auto"/>
        <w:rPr>
          <w:rFonts w:eastAsia="Calibri"/>
          <w:b/>
          <w:bCs/>
          <w:rtl/>
        </w:rPr>
      </w:pPr>
    </w:p>
    <w:p w:rsidR="003B5D33" w:rsidRPr="003B5D33" w:rsidP="003B5D33">
      <w:pPr>
        <w:spacing w:line="269" w:lineRule="auto"/>
        <w:rPr>
          <w:rFonts w:eastAsia="Calibri"/>
          <w:b/>
          <w:bCs/>
          <w:rtl/>
        </w:rPr>
      </w:pPr>
    </w:p>
    <w:p w:rsidR="003B5D33" w:rsidRPr="003B5D33" w:rsidP="003B5D33">
      <w:pPr>
        <w:keepNext/>
        <w:keepLines/>
        <w:spacing w:line="269" w:lineRule="auto"/>
        <w:jc w:val="center"/>
        <w:outlineLvl w:val="1"/>
        <w:rPr>
          <w:rFonts w:eastAsia="Times New Roman"/>
          <w:bCs/>
          <w:szCs w:val="32"/>
          <w:rtl/>
        </w:rPr>
      </w:pPr>
      <w:bookmarkStart w:id="87" w:name="_Toc218592812"/>
      <w:bookmarkStart w:id="88" w:name="_Hlk152853187"/>
      <w:bookmarkEnd w:id="86"/>
      <w:r w:rsidRPr="003B5D33">
        <w:rPr>
          <w:rFonts w:eastAsia="Times New Roman"/>
          <w:bCs/>
          <w:szCs w:val="32"/>
          <w:rtl/>
        </w:rPr>
        <w:t xml:space="preserve">עדכניות </w:t>
      </w:r>
      <w:r w:rsidRPr="003B5D33">
        <w:rPr>
          <w:rFonts w:eastAsia="Times New Roman" w:hint="cs"/>
          <w:bCs/>
          <w:szCs w:val="32"/>
          <w:rtl/>
        </w:rPr>
        <w:t>תשתיות מערכות המידע במשרד החוץ</w:t>
      </w:r>
      <w:bookmarkEnd w:id="87"/>
    </w:p>
    <w:bookmarkEnd w:id="88"/>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רכיבי מערכות המידע (קושחה ותוכנה) כגון שרתים ומתגים עלולים להיות חשופים לפגיעויות (להלן גם חולשות - </w:t>
      </w:r>
      <w:r w:rsidRPr="003B5D33">
        <w:rPr>
          <w:rFonts w:eastAsia="Calibri" w:hint="cs"/>
        </w:rPr>
        <w:t>V</w:t>
      </w:r>
      <w:r w:rsidRPr="003B5D33">
        <w:rPr>
          <w:rFonts w:eastAsia="Calibri"/>
        </w:rPr>
        <w:t>ulnerabilities</w:t>
      </w:r>
      <w:r w:rsidRPr="003B5D33">
        <w:rPr>
          <w:rFonts w:eastAsia="Calibri" w:hint="cs"/>
          <w:rtl/>
        </w:rPr>
        <w:t>) מסיבות שונות: פיתוח שגוי או לא עקבי של מוצר, דרישות אבטחה לא מספקות בשלב הפיתוח, גילוי חולשות חדשות במערכות מידע ופרוטוקולי תקשורת וכיוצא באלה</w:t>
      </w:r>
      <w:r>
        <w:rPr>
          <w:rFonts w:eastAsia="Calibri"/>
          <w:vertAlign w:val="superscript"/>
          <w:rtl/>
        </w:rPr>
        <w:footnoteReference w:id="115"/>
      </w:r>
      <w:r w:rsidRPr="003B5D33">
        <w:rPr>
          <w:rFonts w:eastAsia="Calibri" w:hint="cs"/>
          <w:rtl/>
        </w:rPr>
        <w:t xml:space="preserve">. חולשות אלה עלולות לחשוף את מערכות המידע בארגון לפעילות עוינת מצד תוקף (פנימי או חיצוני). </w:t>
      </w:r>
    </w:p>
    <w:p w:rsidR="003B5D33" w:rsidRPr="003B5D33" w:rsidP="003B5D33">
      <w:pPr>
        <w:spacing w:line="269" w:lineRule="auto"/>
        <w:rPr>
          <w:rFonts w:eastAsia="Calibri"/>
          <w:rtl/>
        </w:rPr>
      </w:pPr>
      <w:r w:rsidRPr="003B5D33">
        <w:rPr>
          <w:rFonts w:eastAsia="Calibri" w:hint="eastAsia"/>
          <w:rtl/>
        </w:rPr>
        <w:t>ככלל</w:t>
      </w:r>
      <w:r w:rsidRPr="003B5D33">
        <w:rPr>
          <w:rFonts w:eastAsia="Calibri"/>
          <w:rtl/>
        </w:rPr>
        <w:t xml:space="preserve">, עם </w:t>
      </w:r>
      <w:r w:rsidRPr="003B5D33">
        <w:rPr>
          <w:rFonts w:eastAsia="Calibri" w:hint="eastAsia"/>
          <w:rtl/>
        </w:rPr>
        <w:t>התגלותה</w:t>
      </w:r>
      <w:r w:rsidRPr="003B5D33">
        <w:rPr>
          <w:rFonts w:eastAsia="Calibri"/>
          <w:rtl/>
        </w:rPr>
        <w:t xml:space="preserve"> של חולשה חדשה, היצרן </w:t>
      </w:r>
      <w:r w:rsidRPr="003B5D33">
        <w:rPr>
          <w:rFonts w:eastAsia="Calibri" w:hint="cs"/>
          <w:rtl/>
        </w:rPr>
        <w:t xml:space="preserve">פועל </w:t>
      </w:r>
      <w:r w:rsidRPr="003B5D33">
        <w:rPr>
          <w:rFonts w:eastAsia="Calibri"/>
          <w:rtl/>
        </w:rPr>
        <w:t>לפתח עדכון לתוכנה ("טלאי")</w:t>
      </w:r>
      <w:r w:rsidRPr="003B5D33">
        <w:rPr>
          <w:rFonts w:eastAsia="Calibri" w:hint="cs"/>
          <w:rtl/>
        </w:rPr>
        <w:t>,</w:t>
      </w:r>
      <w:r w:rsidRPr="003B5D33">
        <w:rPr>
          <w:rFonts w:eastAsia="Calibri"/>
          <w:rtl/>
        </w:rPr>
        <w:t xml:space="preserve"> שהתקנתו במערכת אמורה להתמודד עם </w:t>
      </w:r>
      <w:r w:rsidRPr="003B5D33">
        <w:rPr>
          <w:rFonts w:eastAsia="Calibri" w:hint="eastAsia"/>
          <w:rtl/>
        </w:rPr>
        <w:t>החולשה</w:t>
      </w:r>
      <w:r w:rsidRPr="003B5D33">
        <w:rPr>
          <w:rFonts w:eastAsia="Calibri"/>
          <w:rtl/>
        </w:rPr>
        <w:t xml:space="preserve"> </w:t>
      </w:r>
      <w:r w:rsidRPr="003B5D33">
        <w:rPr>
          <w:rFonts w:eastAsia="Calibri" w:hint="eastAsia"/>
          <w:rtl/>
        </w:rPr>
        <w:t>שהתגלתה</w:t>
      </w:r>
      <w:r w:rsidRPr="003B5D33">
        <w:rPr>
          <w:rFonts w:eastAsia="Calibri"/>
          <w:rtl/>
        </w:rPr>
        <w:t xml:space="preserve"> </w:t>
      </w:r>
      <w:r w:rsidRPr="003B5D33">
        <w:rPr>
          <w:rFonts w:eastAsia="Calibri" w:hint="eastAsia"/>
          <w:rtl/>
        </w:rPr>
        <w:t>ולא</w:t>
      </w:r>
      <w:r w:rsidRPr="003B5D33">
        <w:rPr>
          <w:rFonts w:eastAsia="Calibri" w:hint="cs"/>
          <w:rtl/>
        </w:rPr>
        <w:t>י</w:t>
      </w:r>
      <w:r w:rsidRPr="003B5D33">
        <w:rPr>
          <w:rFonts w:eastAsia="Calibri" w:hint="eastAsia"/>
          <w:rtl/>
        </w:rPr>
        <w:t>ינה</w:t>
      </w:r>
      <w:r w:rsidRPr="003B5D33">
        <w:rPr>
          <w:rFonts w:eastAsia="Calibri"/>
          <w:rtl/>
        </w:rPr>
        <w:t xml:space="preserve">. </w:t>
      </w:r>
      <w:r w:rsidRPr="003B5D33">
        <w:rPr>
          <w:rFonts w:eastAsia="Calibri" w:hint="cs"/>
          <w:rtl/>
        </w:rPr>
        <w:t>בד בבד, לאחר פרסום בדבר קיומה של החולשה, נוצר פער שבו תוקפים מנצלים את פרסום החולשה לתקיפת המערכות עד לעדכונן על ידי טלאים שפורסמו או על ידי בקרות מפצות. פרק זמן זה מוגדר קריטי, ועל גורמי אבטחת המידע לפעול במהירות וביעילות לעדכון המערכות או לביצוע בקרות מפצות כדי לוודא שהארגון אינו פגיע עוד לחולשה הרלוונטית.</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מרשם הפגיעויות הלאומי האמריקאי </w:t>
      </w:r>
      <w:r w:rsidRPr="003B5D33">
        <w:rPr>
          <w:rFonts w:eastAsia="Calibri" w:hint="cs"/>
        </w:rPr>
        <w:t>NVD</w:t>
      </w:r>
      <w:r w:rsidRPr="003B5D33">
        <w:rPr>
          <w:rFonts w:eastAsia="Calibri" w:hint="cs"/>
          <w:rtl/>
        </w:rPr>
        <w:t xml:space="preserve"> (</w:t>
      </w:r>
      <w:r w:rsidRPr="003B5D33">
        <w:rPr>
          <w:rFonts w:eastAsia="Calibri"/>
        </w:rPr>
        <w:t>National Vulnerability Database</w:t>
      </w:r>
      <w:r w:rsidRPr="003B5D33">
        <w:rPr>
          <w:rFonts w:eastAsia="Calibri" w:hint="cs"/>
          <w:rtl/>
        </w:rPr>
        <w:t>) של המוסד הלאומי לתקינה וטכנולוגיה בארה"ב (</w:t>
      </w:r>
      <w:r w:rsidRPr="003B5D33">
        <w:rPr>
          <w:rFonts w:eastAsia="Calibri" w:hint="cs"/>
        </w:rPr>
        <w:t>NIST</w:t>
      </w:r>
      <w:r w:rsidRPr="003B5D33">
        <w:rPr>
          <w:rFonts w:eastAsia="Calibri" w:hint="cs"/>
          <w:rtl/>
        </w:rPr>
        <w:t xml:space="preserve"> </w:t>
      </w:r>
      <w:r w:rsidRPr="003B5D33">
        <w:rPr>
          <w:rFonts w:eastAsia="Calibri"/>
        </w:rPr>
        <w:t>-</w:t>
      </w:r>
      <w:r w:rsidRPr="003B5D33">
        <w:rPr>
          <w:rFonts w:eastAsia="Calibri" w:hint="cs"/>
          <w:rtl/>
        </w:rPr>
        <w:t xml:space="preserve"> </w:t>
      </w:r>
      <w:r w:rsidRPr="003B5D33">
        <w:rPr>
          <w:rFonts w:eastAsia="Calibri"/>
        </w:rPr>
        <w:t>National Institute of Standards and Technology</w:t>
      </w:r>
      <w:r w:rsidRPr="003B5D33">
        <w:rPr>
          <w:rFonts w:eastAsia="Calibri" w:hint="cs"/>
          <w:rtl/>
        </w:rPr>
        <w:t>) מרכז מידע על פגיעויות המתגלות ברכיבי מערכות מידע. הפגיעויות המתגלות</w:t>
      </w:r>
      <w:r>
        <w:rPr>
          <w:rFonts w:eastAsia="Calibri"/>
          <w:vertAlign w:val="superscript"/>
          <w:rtl/>
        </w:rPr>
        <w:footnoteReference w:id="116"/>
      </w:r>
      <w:r w:rsidRPr="003B5D33">
        <w:rPr>
          <w:rFonts w:eastAsia="Calibri" w:hint="cs"/>
          <w:rtl/>
        </w:rPr>
        <w:t xml:space="preserve"> מתועדות ונרשמות. היות שהשפעתן של הפגיעויות על רכיבי מערכות המידע אינה זהה, ה-</w:t>
      </w:r>
      <w:r w:rsidRPr="003B5D33">
        <w:rPr>
          <w:rFonts w:eastAsia="Calibri" w:hint="cs"/>
        </w:rPr>
        <w:t>NVD</w:t>
      </w:r>
      <w:r w:rsidRPr="003B5D33">
        <w:rPr>
          <w:rFonts w:eastAsia="Calibri" w:hint="cs"/>
          <w:rtl/>
        </w:rPr>
        <w:t xml:space="preserve"> מגדיר לכל פגיעות דירוג המתאר את דרגת החומרה האיכותנית של הפגיעות בסולם של 1 - 10 </w:t>
      </w:r>
      <w:r w:rsidRPr="003B5D33">
        <w:rPr>
          <w:rFonts w:eastAsia="Calibri"/>
        </w:rPr>
        <w:t>CVSS - Common) (Vulnerability Scoring System</w:t>
      </w:r>
      <w:r w:rsidRPr="003B5D33">
        <w:rPr>
          <w:rFonts w:eastAsia="Calibri" w:hint="cs"/>
          <w:rtl/>
        </w:rPr>
        <w:t>; דירוג של 7.0 - 8.9 משקף דרגת חומרה גבוהה ודירוג של 9.0 - 10.0 משקף דרגת חומרה קריטית</w:t>
      </w:r>
      <w:r>
        <w:rPr>
          <w:rFonts w:eastAsia="Calibri"/>
          <w:vertAlign w:val="superscript"/>
          <w:rtl/>
        </w:rPr>
        <w:footnoteReference w:id="117"/>
      </w:r>
      <w:r w:rsidRPr="003B5D33">
        <w:rPr>
          <w:rFonts w:eastAsia="Calibri" w:hint="cs"/>
          <w:rtl/>
        </w:rPr>
        <w:t>. הימנעות מהתקנת עדכוני האבטחה חושפת את רכיבי מערכות המידע שלא עודכנו לפגיעויות קריטיות, לרבות כאלו שנעשה בהן שימוש מוכח על ידי תוקפי סייבר ברחבי העולם</w:t>
      </w:r>
      <w:r>
        <w:rPr>
          <w:rFonts w:eastAsia="Calibri"/>
          <w:vertAlign w:val="superscript"/>
          <w:rtl/>
        </w:rPr>
        <w:footnoteReference w:id="118"/>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לפיכך בתקנות הגנת הפרטיות</w:t>
      </w:r>
      <w:r>
        <w:rPr>
          <w:rFonts w:eastAsia="Calibri"/>
          <w:vertAlign w:val="superscript"/>
          <w:rtl/>
        </w:rPr>
        <w:footnoteReference w:id="119"/>
      </w:r>
      <w:r w:rsidRPr="003B5D33">
        <w:rPr>
          <w:rFonts w:eastAsia="Calibri" w:hint="cs"/>
          <w:rtl/>
        </w:rPr>
        <w:t>, בהנחיות יה"ב</w:t>
      </w:r>
      <w:r>
        <w:rPr>
          <w:rFonts w:eastAsia="Calibri"/>
          <w:vertAlign w:val="superscript"/>
          <w:rtl/>
        </w:rPr>
        <w:footnoteReference w:id="120"/>
      </w:r>
      <w:r w:rsidRPr="003B5D33">
        <w:rPr>
          <w:rFonts w:eastAsia="Calibri" w:hint="cs"/>
          <w:rtl/>
        </w:rPr>
        <w:t xml:space="preserve"> ובהנחיות שב"כ נקבעו הוראות בדבר הצורך לשמור על עדכניות מערכות הארגון וכאלה האוסרות שימוש בגרסאות מערכת שהגיעו לסוף תקופת התמיכה שלהם. אשר להתקנת טלאי אבטחה, בהנחיות יה"ב נקבע כי יש ליישם בקרות מפצות ולערוך ניהול סיכונים עד להתקנת הטלאי, ובכל מקרה יש להתקין את הטלאי לפי לוחות הזמנים שנקבעו בהנחיה בהתאם לרמת חומרתו.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סביבות מחשוב כוללות מערכות מסוגים שונים, כגון שרתים, תחנות עבודה, מתגים, חומות אש (</w:t>
      </w:r>
      <w:r w:rsidRPr="003B5D33">
        <w:rPr>
          <w:rFonts w:eastAsia="Calibri" w:hint="cs"/>
        </w:rPr>
        <w:t>FW</w:t>
      </w:r>
      <w:r w:rsidRPr="003B5D33">
        <w:rPr>
          <w:rFonts w:eastAsia="Calibri" w:hint="cs"/>
          <w:rtl/>
        </w:rPr>
        <w:t>) ומדפסות.</w:t>
      </w:r>
    </w:p>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89" w:name="_Toc218592813"/>
      <w:r w:rsidRPr="003B5D33">
        <w:rPr>
          <w:rFonts w:eastAsia="Times New Roman" w:hint="cs"/>
          <w:bCs/>
          <w:szCs w:val="28"/>
          <w:u w:val="single"/>
          <w:rtl/>
        </w:rPr>
        <w:t>תשתית מחשוב מסוימת</w:t>
      </w:r>
      <w:bookmarkEnd w:id="89"/>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מחזור החיים של </w:t>
      </w:r>
      <w:r w:rsidRPr="003B5D33">
        <w:rPr>
          <w:rFonts w:eastAsia="Calibri"/>
          <w:rtl/>
        </w:rPr>
        <w:t>תשתית מחשוב מסוימת</w:t>
      </w:r>
      <w:r w:rsidRPr="003B5D33">
        <w:rPr>
          <w:rFonts w:eastAsia="Calibri" w:hint="cs"/>
          <w:rtl/>
        </w:rPr>
        <w:t>,</w:t>
      </w:r>
      <w:r w:rsidRPr="003B5D33">
        <w:rPr>
          <w:rFonts w:eastAsia="Calibri" w:hint="eastAsia"/>
          <w:rtl/>
        </w:rPr>
        <w:t xml:space="preserve"> כולל</w:t>
      </w:r>
      <w:r w:rsidRPr="003B5D33">
        <w:rPr>
          <w:rFonts w:eastAsia="Calibri" w:hint="cs"/>
          <w:rtl/>
        </w:rPr>
        <w:t xml:space="preserve"> </w:t>
      </w:r>
      <w:r w:rsidRPr="003B5D33">
        <w:rPr>
          <w:rFonts w:eastAsia="Calibri" w:hint="eastAsia"/>
          <w:b/>
          <w:bCs/>
          <w:rtl/>
        </w:rPr>
        <w:t>תקופת</w:t>
      </w:r>
      <w:r w:rsidRPr="003B5D33">
        <w:rPr>
          <w:rFonts w:eastAsia="Calibri"/>
          <w:b/>
          <w:bCs/>
          <w:rtl/>
        </w:rPr>
        <w:t xml:space="preserve"> </w:t>
      </w:r>
      <w:r w:rsidRPr="003B5D33">
        <w:rPr>
          <w:rFonts w:eastAsia="Calibri" w:hint="eastAsia"/>
          <w:b/>
          <w:bCs/>
          <w:rtl/>
        </w:rPr>
        <w:t>תמיכה</w:t>
      </w:r>
      <w:r w:rsidRPr="003B5D33">
        <w:rPr>
          <w:rFonts w:eastAsia="Calibri"/>
          <w:b/>
          <w:bCs/>
          <w:rtl/>
        </w:rPr>
        <w:t xml:space="preserve"> </w:t>
      </w:r>
      <w:r w:rsidRPr="003B5D33">
        <w:rPr>
          <w:rFonts w:eastAsia="Calibri" w:hint="eastAsia"/>
          <w:b/>
          <w:bCs/>
          <w:rtl/>
        </w:rPr>
        <w:t>עיקרית</w:t>
      </w:r>
      <w:r w:rsidRPr="003B5D33">
        <w:rPr>
          <w:rFonts w:eastAsia="Calibri" w:hint="cs"/>
          <w:rtl/>
        </w:rPr>
        <w:t xml:space="preserve"> - תקופה ש</w:t>
      </w:r>
      <w:r w:rsidRPr="003B5D33">
        <w:rPr>
          <w:rFonts w:eastAsia="Calibri" w:hint="eastAsia"/>
          <w:rtl/>
        </w:rPr>
        <w:t>בה</w:t>
      </w:r>
      <w:r w:rsidRPr="003B5D33">
        <w:rPr>
          <w:rFonts w:eastAsia="Calibri"/>
          <w:rtl/>
        </w:rPr>
        <w:t xml:space="preserve"> </w:t>
      </w:r>
      <w:r w:rsidRPr="003B5D33">
        <w:rPr>
          <w:rFonts w:eastAsia="Calibri" w:hint="cs"/>
          <w:rtl/>
        </w:rPr>
        <w:t xml:space="preserve">ככלל היצרן מפרסם </w:t>
      </w:r>
      <w:r w:rsidRPr="003B5D33">
        <w:rPr>
          <w:rFonts w:eastAsia="Calibri"/>
          <w:rtl/>
        </w:rPr>
        <w:t>עדכונים</w:t>
      </w:r>
      <w:r w:rsidRPr="003B5D33">
        <w:rPr>
          <w:rFonts w:eastAsia="Calibri" w:hint="cs"/>
          <w:rtl/>
        </w:rPr>
        <w:t xml:space="preserve"> בנוגע למערכת,</w:t>
      </w:r>
      <w:r w:rsidRPr="003B5D33">
        <w:rPr>
          <w:rFonts w:eastAsia="Calibri"/>
          <w:rtl/>
        </w:rPr>
        <w:t xml:space="preserve"> </w:t>
      </w:r>
      <w:r w:rsidRPr="003B5D33">
        <w:rPr>
          <w:rFonts w:eastAsia="Calibri" w:hint="cs"/>
          <w:rtl/>
        </w:rPr>
        <w:t xml:space="preserve">לרבות </w:t>
      </w:r>
      <w:r w:rsidRPr="003B5D33">
        <w:rPr>
          <w:rFonts w:eastAsia="Calibri" w:hint="eastAsia"/>
          <w:rtl/>
        </w:rPr>
        <w:t>עדכוני</w:t>
      </w:r>
      <w:r w:rsidRPr="003B5D33">
        <w:rPr>
          <w:rFonts w:eastAsia="Calibri"/>
          <w:rtl/>
        </w:rPr>
        <w:t xml:space="preserve"> </w:t>
      </w:r>
      <w:r w:rsidRPr="003B5D33">
        <w:rPr>
          <w:rFonts w:eastAsia="Calibri" w:hint="eastAsia"/>
          <w:rtl/>
        </w:rPr>
        <w:t>אבטחה</w:t>
      </w:r>
      <w:r w:rsidRPr="003B5D33">
        <w:rPr>
          <w:rFonts w:eastAsia="Calibri" w:hint="cs"/>
          <w:rtl/>
        </w:rPr>
        <w:t xml:space="preserve"> בדרגות חומרה שונות</w:t>
      </w:r>
      <w:r w:rsidRPr="003B5D33">
        <w:rPr>
          <w:rFonts w:eastAsia="Calibri"/>
          <w:rtl/>
        </w:rPr>
        <w:t xml:space="preserve">, </w:t>
      </w:r>
      <w:r w:rsidRPr="003B5D33">
        <w:rPr>
          <w:rFonts w:eastAsia="Calibri" w:hint="eastAsia"/>
          <w:rtl/>
        </w:rPr>
        <w:t>ו</w:t>
      </w:r>
      <w:r w:rsidRPr="003B5D33">
        <w:rPr>
          <w:rFonts w:eastAsia="Calibri" w:hint="cs"/>
          <w:rtl/>
        </w:rPr>
        <w:t xml:space="preserve">מאפשר </w:t>
      </w:r>
      <w:r w:rsidRPr="003B5D33">
        <w:rPr>
          <w:rFonts w:eastAsia="Calibri" w:hint="eastAsia"/>
          <w:rtl/>
        </w:rPr>
        <w:t>שינויים</w:t>
      </w:r>
      <w:r w:rsidRPr="003B5D33">
        <w:rPr>
          <w:rFonts w:eastAsia="Calibri"/>
          <w:rtl/>
        </w:rPr>
        <w:t xml:space="preserve"> </w:t>
      </w:r>
      <w:r w:rsidRPr="003B5D33">
        <w:rPr>
          <w:rFonts w:eastAsia="Calibri" w:hint="eastAsia"/>
          <w:rtl/>
        </w:rPr>
        <w:t>והתאמות</w:t>
      </w:r>
      <w:r w:rsidRPr="003B5D33">
        <w:rPr>
          <w:rFonts w:eastAsia="Calibri"/>
          <w:rtl/>
        </w:rPr>
        <w:t xml:space="preserve"> </w:t>
      </w:r>
      <w:r w:rsidRPr="003B5D33">
        <w:rPr>
          <w:rFonts w:eastAsia="Calibri" w:hint="eastAsia"/>
          <w:rtl/>
        </w:rPr>
        <w:t>במוצר</w:t>
      </w:r>
      <w:r w:rsidRPr="003B5D33">
        <w:rPr>
          <w:rFonts w:eastAsia="Calibri"/>
          <w:rtl/>
        </w:rPr>
        <w:t xml:space="preserve"> </w:t>
      </w:r>
      <w:r w:rsidRPr="003B5D33">
        <w:rPr>
          <w:rFonts w:eastAsia="Calibri" w:hint="eastAsia"/>
          <w:rtl/>
        </w:rPr>
        <w:t>על</w:t>
      </w:r>
      <w:r w:rsidRPr="003B5D33">
        <w:rPr>
          <w:rFonts w:eastAsia="Calibri"/>
          <w:rtl/>
        </w:rPr>
        <w:t xml:space="preserve"> </w:t>
      </w:r>
      <w:r w:rsidRPr="003B5D33">
        <w:rPr>
          <w:rFonts w:eastAsia="Calibri" w:hint="eastAsia"/>
          <w:rtl/>
        </w:rPr>
        <w:t>פי</w:t>
      </w:r>
      <w:r w:rsidRPr="003B5D33">
        <w:rPr>
          <w:rFonts w:eastAsia="Calibri"/>
          <w:rtl/>
        </w:rPr>
        <w:t xml:space="preserve"> </w:t>
      </w:r>
      <w:r w:rsidRPr="003B5D33">
        <w:rPr>
          <w:rFonts w:eastAsia="Calibri" w:hint="eastAsia"/>
          <w:rtl/>
        </w:rPr>
        <w:t>הדרוש</w:t>
      </w:r>
      <w:r w:rsidRPr="003B5D33">
        <w:rPr>
          <w:rFonts w:eastAsia="Calibri"/>
          <w:rtl/>
        </w:rPr>
        <w:t xml:space="preserve"> </w:t>
      </w:r>
      <w:r w:rsidRPr="003B5D33">
        <w:rPr>
          <w:rFonts w:eastAsia="Calibri" w:hint="eastAsia"/>
          <w:rtl/>
        </w:rPr>
        <w:t>לארגון</w:t>
      </w:r>
      <w:r w:rsidRPr="003B5D33">
        <w:rPr>
          <w:rFonts w:eastAsia="Calibri"/>
          <w:rtl/>
        </w:rPr>
        <w:t xml:space="preserve">; </w:t>
      </w:r>
      <w:r w:rsidRPr="003B5D33">
        <w:rPr>
          <w:rFonts w:eastAsia="Calibri" w:hint="eastAsia"/>
          <w:b/>
          <w:bCs/>
          <w:rtl/>
        </w:rPr>
        <w:t>תקופת</w:t>
      </w:r>
      <w:r w:rsidRPr="003B5D33">
        <w:rPr>
          <w:rFonts w:eastAsia="Calibri"/>
          <w:b/>
          <w:bCs/>
          <w:rtl/>
        </w:rPr>
        <w:t xml:space="preserve"> </w:t>
      </w:r>
      <w:r w:rsidRPr="003B5D33">
        <w:rPr>
          <w:rFonts w:eastAsia="Calibri" w:hint="eastAsia"/>
          <w:b/>
          <w:bCs/>
          <w:rtl/>
        </w:rPr>
        <w:t>תמיכה</w:t>
      </w:r>
      <w:r w:rsidRPr="003B5D33">
        <w:rPr>
          <w:rFonts w:eastAsia="Calibri"/>
          <w:b/>
          <w:bCs/>
          <w:rtl/>
        </w:rPr>
        <w:t xml:space="preserve"> </w:t>
      </w:r>
      <w:r w:rsidRPr="003B5D33">
        <w:rPr>
          <w:rFonts w:eastAsia="Calibri" w:hint="eastAsia"/>
          <w:b/>
          <w:bCs/>
          <w:rtl/>
        </w:rPr>
        <w:t>מוארכת</w:t>
      </w:r>
      <w:r w:rsidRPr="003B5D33">
        <w:rPr>
          <w:rFonts w:eastAsia="Calibri"/>
          <w:rtl/>
        </w:rPr>
        <w:t xml:space="preserve"> </w:t>
      </w:r>
      <w:r w:rsidRPr="003B5D33">
        <w:rPr>
          <w:rFonts w:eastAsia="Calibri" w:hint="cs"/>
          <w:rtl/>
        </w:rPr>
        <w:t>- תקופה ש</w:t>
      </w:r>
      <w:r w:rsidRPr="003B5D33">
        <w:rPr>
          <w:rFonts w:eastAsia="Calibri" w:hint="eastAsia"/>
          <w:rtl/>
        </w:rPr>
        <w:t>בה</w:t>
      </w:r>
      <w:r w:rsidRPr="003B5D33">
        <w:rPr>
          <w:rFonts w:eastAsia="Calibri"/>
          <w:rtl/>
        </w:rPr>
        <w:t xml:space="preserve"> </w:t>
      </w:r>
      <w:r w:rsidRPr="003B5D33">
        <w:rPr>
          <w:rFonts w:eastAsia="Calibri" w:hint="eastAsia"/>
          <w:rtl/>
        </w:rPr>
        <w:t>הארגון</w:t>
      </w:r>
      <w:r w:rsidRPr="003B5D33">
        <w:rPr>
          <w:rFonts w:eastAsia="Calibri"/>
          <w:rtl/>
        </w:rPr>
        <w:t xml:space="preserve"> </w:t>
      </w:r>
      <w:r w:rsidRPr="003B5D33">
        <w:rPr>
          <w:rFonts w:eastAsia="Calibri" w:hint="eastAsia"/>
          <w:rtl/>
        </w:rPr>
        <w:t>מקבל</w:t>
      </w:r>
      <w:r w:rsidRPr="003B5D33">
        <w:rPr>
          <w:rFonts w:eastAsia="Calibri" w:hint="cs"/>
          <w:rtl/>
        </w:rPr>
        <w:t xml:space="preserve"> מהיצרן </w:t>
      </w:r>
      <w:r w:rsidRPr="003B5D33">
        <w:rPr>
          <w:rFonts w:eastAsia="Calibri" w:hint="eastAsia"/>
          <w:rtl/>
        </w:rPr>
        <w:t>עדכוני</w:t>
      </w:r>
      <w:r w:rsidRPr="003B5D33">
        <w:rPr>
          <w:rFonts w:eastAsia="Calibri"/>
          <w:rtl/>
        </w:rPr>
        <w:t xml:space="preserve"> </w:t>
      </w:r>
      <w:r w:rsidRPr="003B5D33">
        <w:rPr>
          <w:rFonts w:eastAsia="Calibri" w:hint="eastAsia"/>
          <w:rtl/>
        </w:rPr>
        <w:t>אבטחת</w:t>
      </w:r>
      <w:r w:rsidRPr="003B5D33">
        <w:rPr>
          <w:rFonts w:eastAsia="Calibri"/>
          <w:rtl/>
        </w:rPr>
        <w:t xml:space="preserve"> </w:t>
      </w:r>
      <w:r w:rsidRPr="003B5D33">
        <w:rPr>
          <w:rFonts w:eastAsia="Calibri" w:hint="eastAsia"/>
          <w:rtl/>
        </w:rPr>
        <w:t>מידע</w:t>
      </w:r>
      <w:r w:rsidRPr="003B5D33">
        <w:rPr>
          <w:rFonts w:eastAsia="Calibri"/>
          <w:rtl/>
        </w:rPr>
        <w:t xml:space="preserve"> ואפשרות לתמיכה בתשלום; </w:t>
      </w:r>
      <w:r w:rsidRPr="003B5D33">
        <w:rPr>
          <w:rFonts w:eastAsia="Calibri"/>
          <w:b/>
          <w:bCs/>
          <w:rtl/>
        </w:rPr>
        <w:t>ו</w:t>
      </w:r>
      <w:r w:rsidRPr="003B5D33">
        <w:rPr>
          <w:rFonts w:eastAsia="Calibri" w:hint="cs"/>
          <w:b/>
          <w:bCs/>
          <w:rtl/>
        </w:rPr>
        <w:t>ה</w:t>
      </w:r>
      <w:r w:rsidRPr="003B5D33">
        <w:rPr>
          <w:rFonts w:eastAsia="Calibri"/>
          <w:b/>
          <w:bCs/>
          <w:rtl/>
        </w:rPr>
        <w:t xml:space="preserve">תקופה שלאחר סוף </w:t>
      </w:r>
      <w:r w:rsidRPr="003B5D33">
        <w:rPr>
          <w:rFonts w:eastAsia="Calibri" w:hint="cs"/>
          <w:b/>
          <w:bCs/>
          <w:rtl/>
        </w:rPr>
        <w:t>התמיכה</w:t>
      </w:r>
      <w:r w:rsidRPr="003B5D33">
        <w:rPr>
          <w:rFonts w:eastAsia="Calibri"/>
          <w:b/>
          <w:bCs/>
          <w:rtl/>
        </w:rPr>
        <w:t xml:space="preserve"> </w:t>
      </w:r>
      <w:r w:rsidRPr="003B5D33">
        <w:rPr>
          <w:rFonts w:eastAsia="Calibri" w:hint="cs"/>
          <w:b/>
          <w:bCs/>
          <w:rtl/>
        </w:rPr>
        <w:t>ב</w:t>
      </w:r>
      <w:r w:rsidRPr="003B5D33">
        <w:rPr>
          <w:rFonts w:eastAsia="Calibri" w:hint="eastAsia"/>
          <w:b/>
          <w:bCs/>
          <w:rtl/>
        </w:rPr>
        <w:t>מוצר</w:t>
      </w:r>
      <w:r w:rsidRPr="003B5D33">
        <w:rPr>
          <w:rFonts w:eastAsia="Calibri" w:hint="cs"/>
          <w:rtl/>
        </w:rPr>
        <w:t xml:space="preserve"> (</w:t>
      </w:r>
      <w:r w:rsidRPr="003B5D33">
        <w:rPr>
          <w:rFonts w:eastAsia="Calibri" w:hint="cs"/>
        </w:rPr>
        <w:t>EOL</w:t>
      </w:r>
      <w:r w:rsidRPr="003B5D33">
        <w:rPr>
          <w:rFonts w:eastAsia="Calibri" w:hint="cs"/>
          <w:rtl/>
        </w:rPr>
        <w:t xml:space="preserve"> - </w:t>
      </w:r>
      <w:r w:rsidRPr="003B5D33">
        <w:rPr>
          <w:rFonts w:eastAsia="Calibri" w:hint="cs"/>
        </w:rPr>
        <w:t>E</w:t>
      </w:r>
      <w:r w:rsidRPr="003B5D33">
        <w:rPr>
          <w:rFonts w:eastAsia="Calibri"/>
        </w:rPr>
        <w:t>nd Of Life</w:t>
      </w:r>
      <w:r w:rsidRPr="003B5D33">
        <w:rPr>
          <w:rFonts w:eastAsia="Calibri" w:hint="cs"/>
          <w:rtl/>
        </w:rPr>
        <w:t>) (להלן - סוף התמיכה או סוף מחזור החיים) - תקופה</w:t>
      </w:r>
      <w:r w:rsidRPr="003B5D33">
        <w:rPr>
          <w:rFonts w:eastAsia="Calibri"/>
          <w:rtl/>
        </w:rPr>
        <w:t xml:space="preserve"> </w:t>
      </w:r>
      <w:r w:rsidRPr="003B5D33">
        <w:rPr>
          <w:rFonts w:eastAsia="Calibri" w:hint="cs"/>
          <w:rtl/>
        </w:rPr>
        <w:t>ש</w:t>
      </w:r>
      <w:r w:rsidRPr="003B5D33">
        <w:rPr>
          <w:rFonts w:eastAsia="Calibri"/>
          <w:rtl/>
        </w:rPr>
        <w:t xml:space="preserve">בה </w:t>
      </w:r>
      <w:r w:rsidRPr="003B5D33">
        <w:rPr>
          <w:rFonts w:eastAsia="Calibri" w:hint="cs"/>
          <w:rtl/>
        </w:rPr>
        <w:t xml:space="preserve">חדל היצרן מלפתח עדכוני אבטחה למוצר, אינו מספק לו עוד תמיכה וממליץ על מעבר למוצר חלופי (או גרסה עדכנית של אותו מוצר). לפיכך, שימוש </w:t>
      </w:r>
      <w:r w:rsidRPr="003B5D33">
        <w:rPr>
          <w:rFonts w:eastAsia="Calibri" w:hint="eastAsia"/>
          <w:rtl/>
        </w:rPr>
        <w:t>בגרסה</w:t>
      </w:r>
      <w:r w:rsidRPr="003B5D33">
        <w:rPr>
          <w:rFonts w:eastAsia="Calibri"/>
          <w:rtl/>
        </w:rPr>
        <w:t xml:space="preserve"> </w:t>
      </w:r>
      <w:r w:rsidRPr="003B5D33">
        <w:rPr>
          <w:rFonts w:eastAsia="Calibri" w:hint="cs"/>
          <w:rtl/>
        </w:rPr>
        <w:t>לאחר מועד "סוף התמיכה" הרלוונטי לגביה עלול לחשוף את המערכת לחולשות שיפורסמו ממועד זה ואילך, וכן למצב שבו תתרחש תקלה קריטית במערכת שלא תיתמך עוד על ידי היצרן.</w:t>
      </w:r>
      <w:r w:rsidRPr="003B5D33">
        <w:rPr>
          <w:rFonts w:eastAsia="Calibri"/>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szCs w:val="20"/>
          <w:rtl/>
        </w:rPr>
      </w:pPr>
      <w:r w:rsidRPr="003B5D33">
        <w:rPr>
          <w:rFonts w:eastAsia="Calibri"/>
          <w:b/>
          <w:bCs/>
          <w:rtl/>
        </w:rPr>
        <w:t>נמצאו פערים בעדכניות תשתיות ומערכות המידע</w:t>
      </w:r>
      <w:r w:rsidRPr="003B5D33">
        <w:rPr>
          <w:rFonts w:eastAsia="Calibri"/>
          <w:rtl/>
        </w:rPr>
        <w:t>.</w:t>
      </w:r>
    </w:p>
    <w:p w:rsidR="003B5D33" w:rsidRPr="003B5D33" w:rsidP="003B5D33">
      <w:pPr>
        <w:spacing w:line="269" w:lineRule="auto"/>
        <w:rPr>
          <w:rFonts w:eastAsia="Calibri"/>
          <w:b/>
          <w:bCs/>
          <w:rtl/>
        </w:rPr>
      </w:pPr>
      <w:bookmarkStart w:id="90" w:name="_Hlk203656141"/>
    </w:p>
    <w:p w:rsidR="003B5D33" w:rsidRPr="003B5D33" w:rsidP="003B5D33">
      <w:pPr>
        <w:spacing w:line="269" w:lineRule="auto"/>
        <w:rPr>
          <w:rFonts w:eastAsia="Calibri"/>
          <w:b/>
          <w:bCs/>
          <w:rtl/>
        </w:rPr>
      </w:pPr>
      <w:r w:rsidRPr="003B5D33">
        <w:rPr>
          <w:rFonts w:eastAsia="Calibri" w:hint="cs"/>
          <w:b/>
          <w:bCs/>
          <w:rtl/>
        </w:rPr>
        <w:t>על משרד החוץ להיערך מבעוד מועד לקראת סוף התמיכה של תשתיות מחשוב במשרד</w:t>
      </w:r>
      <w:r w:rsidRPr="003B5D33">
        <w:rPr>
          <w:rFonts w:eastAsia="Calibri"/>
          <w:b/>
          <w:bCs/>
          <w:rtl/>
        </w:rPr>
        <w:t xml:space="preserve">, </w:t>
      </w:r>
      <w:r w:rsidRPr="003B5D33">
        <w:rPr>
          <w:rFonts w:eastAsia="Calibri" w:hint="cs"/>
          <w:b/>
          <w:bCs/>
          <w:rtl/>
        </w:rPr>
        <w:t xml:space="preserve">ובכלל זה להכין תוכנית עבודה סדורה ולוחות זמנים </w:t>
      </w:r>
      <w:r w:rsidRPr="003B5D33">
        <w:rPr>
          <w:rFonts w:eastAsia="Calibri" w:hint="eastAsia"/>
          <w:b/>
          <w:bCs/>
          <w:rtl/>
        </w:rPr>
        <w:t>להחלפתן</w:t>
      </w:r>
      <w:r w:rsidRPr="003B5D33">
        <w:rPr>
          <w:rFonts w:eastAsia="Calibri"/>
          <w:b/>
          <w:bCs/>
          <w:rtl/>
        </w:rPr>
        <w:t xml:space="preserve"> </w:t>
      </w:r>
      <w:r w:rsidRPr="003B5D33">
        <w:rPr>
          <w:rFonts w:eastAsia="Calibri" w:hint="cs"/>
          <w:b/>
          <w:bCs/>
          <w:rtl/>
        </w:rPr>
        <w:t xml:space="preserve">ולעקוב בהמשך אחר הנושא ולבצע החלפות מבעוד מועד. </w:t>
      </w:r>
    </w:p>
    <w:bookmarkEnd w:id="90"/>
    <w:p w:rsidR="003B5D33" w:rsidRPr="003B5D33" w:rsidP="003B5D33">
      <w:pPr>
        <w:spacing w:line="269" w:lineRule="auto"/>
        <w:rPr>
          <w:rFonts w:eastAsia="Calibri"/>
          <w:b/>
          <w:bCs/>
          <w:rtl/>
        </w:rPr>
      </w:pPr>
    </w:p>
    <w:p w:rsidR="003B5D33" w:rsidRPr="003B5D33" w:rsidP="003B5D33">
      <w:pPr>
        <w:keepNext/>
        <w:keepLines/>
        <w:spacing w:line="269" w:lineRule="auto"/>
        <w:outlineLvl w:val="2"/>
        <w:rPr>
          <w:rFonts w:eastAsia="Times New Roman"/>
          <w:bCs/>
          <w:szCs w:val="28"/>
          <w:u w:val="single"/>
          <w:rtl/>
        </w:rPr>
      </w:pPr>
      <w:bookmarkStart w:id="91" w:name="_Toc218592814"/>
      <w:r w:rsidRPr="003B5D33">
        <w:rPr>
          <w:rFonts w:eastAsia="Times New Roman" w:hint="cs"/>
          <w:bCs/>
          <w:szCs w:val="28"/>
          <w:u w:val="single"/>
          <w:rtl/>
        </w:rPr>
        <w:t>רכיבי מחשוב נוספים ברשתות משרד החוץ</w:t>
      </w:r>
      <w:bookmarkEnd w:id="91"/>
    </w:p>
    <w:p w:rsidR="003B5D33" w:rsidRPr="003B5D33" w:rsidP="003B5D33">
      <w:pPr>
        <w:spacing w:line="269" w:lineRule="auto"/>
        <w:ind w:firstLine="3"/>
        <w:rPr>
          <w:rFonts w:eastAsia="Calibri"/>
          <w:b/>
          <w:bCs/>
          <w:sz w:val="24"/>
          <w:rtl/>
        </w:rPr>
      </w:pPr>
    </w:p>
    <w:p w:rsidR="003B5D33" w:rsidRPr="003B5D33" w:rsidP="003B5D33">
      <w:pPr>
        <w:spacing w:line="269" w:lineRule="auto"/>
        <w:ind w:firstLine="3"/>
        <w:rPr>
          <w:rFonts w:eastAsia="Calibri"/>
          <w:b/>
          <w:bCs/>
          <w:sz w:val="24"/>
          <w:rtl/>
        </w:rPr>
      </w:pPr>
      <w:r w:rsidRPr="003B5D33">
        <w:rPr>
          <w:rFonts w:eastAsia="Calibri" w:hint="eastAsia"/>
          <w:b/>
          <w:bCs/>
          <w:sz w:val="24"/>
          <w:rtl/>
        </w:rPr>
        <w:t>נמצאו</w:t>
      </w:r>
      <w:r w:rsidRPr="003B5D33">
        <w:rPr>
          <w:rFonts w:eastAsia="Calibri"/>
          <w:b/>
          <w:bCs/>
          <w:sz w:val="24"/>
          <w:rtl/>
        </w:rPr>
        <w:t xml:space="preserve"> </w:t>
      </w:r>
      <w:r w:rsidRPr="003B5D33">
        <w:rPr>
          <w:rFonts w:eastAsia="Calibri" w:hint="cs"/>
          <w:b/>
          <w:bCs/>
          <w:sz w:val="24"/>
          <w:rtl/>
        </w:rPr>
        <w:t>רכיבי</w:t>
      </w:r>
      <w:r w:rsidRPr="003B5D33">
        <w:rPr>
          <w:rFonts w:eastAsia="Calibri"/>
          <w:b/>
          <w:bCs/>
          <w:sz w:val="24"/>
          <w:rtl/>
        </w:rPr>
        <w:t xml:space="preserve"> </w:t>
      </w:r>
      <w:r w:rsidRPr="003B5D33">
        <w:rPr>
          <w:rFonts w:eastAsia="Calibri" w:hint="eastAsia"/>
          <w:b/>
          <w:bCs/>
          <w:sz w:val="24"/>
          <w:rtl/>
        </w:rPr>
        <w:t>מחשוב</w:t>
      </w:r>
      <w:r w:rsidRPr="003B5D33">
        <w:rPr>
          <w:rFonts w:eastAsia="Calibri"/>
          <w:b/>
          <w:bCs/>
          <w:sz w:val="24"/>
          <w:rtl/>
        </w:rPr>
        <w:t xml:space="preserve"> </w:t>
      </w:r>
      <w:r w:rsidRPr="003B5D33">
        <w:rPr>
          <w:rFonts w:eastAsia="Calibri" w:hint="eastAsia"/>
          <w:b/>
          <w:bCs/>
          <w:sz w:val="24"/>
          <w:rtl/>
        </w:rPr>
        <w:t>נוספ</w:t>
      </w:r>
      <w:r w:rsidRPr="003B5D33">
        <w:rPr>
          <w:rFonts w:eastAsia="Calibri" w:hint="cs"/>
          <w:b/>
          <w:bCs/>
          <w:sz w:val="24"/>
          <w:rtl/>
        </w:rPr>
        <w:t>ים</w:t>
      </w:r>
      <w:r w:rsidRPr="003B5D33">
        <w:rPr>
          <w:rFonts w:eastAsia="Calibri"/>
          <w:b/>
          <w:bCs/>
          <w:sz w:val="24"/>
          <w:rtl/>
        </w:rPr>
        <w:t xml:space="preserve"> שאינם נתמכ</w:t>
      </w:r>
      <w:r w:rsidRPr="003B5D33">
        <w:rPr>
          <w:rFonts w:eastAsia="Calibri" w:hint="eastAsia"/>
          <w:b/>
          <w:bCs/>
          <w:sz w:val="24"/>
          <w:rtl/>
        </w:rPr>
        <w:t>ים</w:t>
      </w:r>
      <w:r w:rsidRPr="003B5D33">
        <w:rPr>
          <w:rFonts w:eastAsia="Calibri"/>
          <w:b/>
          <w:bCs/>
          <w:sz w:val="24"/>
          <w:rtl/>
        </w:rPr>
        <w:t xml:space="preserve"> על ידי היצרן</w:t>
      </w:r>
      <w:r w:rsidRPr="003B5D33">
        <w:rPr>
          <w:rFonts w:eastAsia="Calibri" w:hint="cs"/>
          <w:b/>
          <w:bCs/>
          <w:sz w:val="24"/>
          <w:rtl/>
        </w:rPr>
        <w:t>.</w:t>
      </w:r>
    </w:p>
    <w:p w:rsidR="003B5D33" w:rsidRPr="003B5D33" w:rsidP="003B5D33">
      <w:pPr>
        <w:spacing w:line="269" w:lineRule="auto"/>
        <w:rPr>
          <w:rFonts w:eastAsia="Calibri"/>
          <w:b/>
          <w:bCs/>
          <w:rtl/>
        </w:rPr>
      </w:pPr>
    </w:p>
    <w:p w:rsidR="003B5D33" w:rsidRPr="003B5D33" w:rsidP="003B5D33">
      <w:pPr>
        <w:spacing w:line="269" w:lineRule="auto"/>
        <w:jc w:val="center"/>
        <w:rPr>
          <w:rFonts w:ascii="Arial" w:eastAsia="Calibri" w:hAnsi="Arial" w:cs="Arial"/>
          <w:b/>
          <w:bCs/>
          <w:sz w:val="36"/>
          <w:rtl/>
        </w:rPr>
      </w:pPr>
      <w:bookmarkStart w:id="92" w:name="_Hlk203656213"/>
      <w:r w:rsidRPr="003B5D33">
        <w:rPr>
          <w:rFonts w:ascii="Segoe UI Symbol" w:eastAsia="Calibri" w:hAnsi="Segoe UI Symbol" w:cs="Segoe UI Symbol" w:hint="cs"/>
          <w:b/>
          <w:bCs/>
          <w:sz w:val="36"/>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eastAsia"/>
          <w:b/>
          <w:bCs/>
          <w:rtl/>
        </w:rPr>
        <w:t>ממצאי</w:t>
      </w:r>
      <w:r w:rsidRPr="003B5D33">
        <w:rPr>
          <w:rFonts w:eastAsia="Calibri"/>
          <w:b/>
          <w:bCs/>
          <w:rtl/>
        </w:rPr>
        <w:t xml:space="preserve"> </w:t>
      </w:r>
      <w:r w:rsidRPr="003B5D33">
        <w:rPr>
          <w:rFonts w:eastAsia="Calibri" w:hint="eastAsia"/>
          <w:b/>
          <w:bCs/>
          <w:rtl/>
        </w:rPr>
        <w:t>פרק</w:t>
      </w:r>
      <w:r w:rsidRPr="003B5D33">
        <w:rPr>
          <w:rFonts w:eastAsia="Calibri"/>
          <w:b/>
          <w:bCs/>
          <w:rtl/>
        </w:rPr>
        <w:t xml:space="preserve"> </w:t>
      </w:r>
      <w:r w:rsidRPr="003B5D33">
        <w:rPr>
          <w:rFonts w:eastAsia="Calibri" w:hint="eastAsia"/>
          <w:b/>
          <w:bCs/>
          <w:rtl/>
        </w:rPr>
        <w:t>זה</w:t>
      </w:r>
      <w:r w:rsidRPr="003B5D33">
        <w:rPr>
          <w:rFonts w:eastAsia="Calibri"/>
          <w:b/>
          <w:bCs/>
          <w:rtl/>
        </w:rPr>
        <w:t xml:space="preserve"> </w:t>
      </w:r>
      <w:r w:rsidRPr="003B5D33">
        <w:rPr>
          <w:rFonts w:eastAsia="Calibri" w:hint="eastAsia"/>
          <w:b/>
          <w:bCs/>
          <w:rtl/>
        </w:rPr>
        <w:t>מלמדים</w:t>
      </w:r>
      <w:r w:rsidRPr="003B5D33">
        <w:rPr>
          <w:rFonts w:eastAsia="Calibri"/>
          <w:b/>
          <w:bCs/>
          <w:rtl/>
        </w:rPr>
        <w:t xml:space="preserve"> </w:t>
      </w:r>
      <w:r w:rsidRPr="003B5D33">
        <w:rPr>
          <w:rFonts w:eastAsia="Calibri" w:hint="eastAsia"/>
          <w:b/>
          <w:bCs/>
          <w:rtl/>
        </w:rPr>
        <w:t>כי</w:t>
      </w:r>
      <w:r w:rsidRPr="003B5D33">
        <w:rPr>
          <w:rFonts w:eastAsia="Calibri"/>
          <w:b/>
          <w:bCs/>
          <w:rtl/>
        </w:rPr>
        <w:t xml:space="preserve"> </w:t>
      </w:r>
      <w:r w:rsidRPr="003B5D33">
        <w:rPr>
          <w:rFonts w:eastAsia="Calibri" w:hint="cs"/>
          <w:b/>
          <w:bCs/>
          <w:rtl/>
        </w:rPr>
        <w:t>קיימים פערים בכל הנוגע ל</w:t>
      </w:r>
      <w:r w:rsidRPr="003B5D33">
        <w:rPr>
          <w:rFonts w:eastAsia="Calibri" w:hint="eastAsia"/>
          <w:b/>
          <w:bCs/>
          <w:rtl/>
        </w:rPr>
        <w:t>תשתית</w:t>
      </w:r>
      <w:r w:rsidRPr="003B5D33">
        <w:rPr>
          <w:rFonts w:eastAsia="Calibri"/>
          <w:b/>
          <w:bCs/>
          <w:rtl/>
        </w:rPr>
        <w:t xml:space="preserve"> </w:t>
      </w:r>
      <w:r w:rsidRPr="003B5D33">
        <w:rPr>
          <w:rFonts w:eastAsia="Calibri" w:hint="eastAsia"/>
          <w:b/>
          <w:bCs/>
          <w:rtl/>
        </w:rPr>
        <w:t>המחשוב</w:t>
      </w:r>
      <w:r w:rsidRPr="003B5D33">
        <w:rPr>
          <w:rFonts w:eastAsia="Calibri"/>
          <w:b/>
          <w:bCs/>
          <w:rtl/>
        </w:rPr>
        <w:t xml:space="preserve"> </w:t>
      </w:r>
      <w:r w:rsidRPr="003B5D33">
        <w:rPr>
          <w:rFonts w:eastAsia="Calibri" w:hint="eastAsia"/>
          <w:b/>
          <w:bCs/>
          <w:rtl/>
        </w:rPr>
        <w:t>של</w:t>
      </w:r>
      <w:r w:rsidRPr="003B5D33">
        <w:rPr>
          <w:rFonts w:eastAsia="Calibri"/>
          <w:b/>
          <w:bCs/>
          <w:rtl/>
        </w:rPr>
        <w:t xml:space="preserve"> </w:t>
      </w:r>
      <w:r w:rsidRPr="003B5D33">
        <w:rPr>
          <w:rFonts w:eastAsia="Calibri" w:hint="eastAsia"/>
          <w:b/>
          <w:bCs/>
          <w:rtl/>
        </w:rPr>
        <w:t>משרד</w:t>
      </w:r>
      <w:r w:rsidRPr="003B5D33">
        <w:rPr>
          <w:rFonts w:eastAsia="Calibri"/>
          <w:b/>
          <w:bCs/>
          <w:rtl/>
        </w:rPr>
        <w:t xml:space="preserve"> </w:t>
      </w:r>
      <w:r w:rsidRPr="003B5D33">
        <w:rPr>
          <w:rFonts w:eastAsia="Calibri" w:hint="eastAsia"/>
          <w:b/>
          <w:bCs/>
          <w:rtl/>
        </w:rPr>
        <w:t>החוץ</w:t>
      </w:r>
      <w:r w:rsidRPr="003B5D33">
        <w:rPr>
          <w:rFonts w:eastAsia="Calibri"/>
          <w:b/>
          <w:bCs/>
          <w:rtl/>
        </w:rPr>
        <w:t xml:space="preserve">. למצב זה של תשתית המחשוב </w:t>
      </w:r>
      <w:r w:rsidRPr="003B5D33">
        <w:rPr>
          <w:rFonts w:eastAsia="Calibri" w:hint="cs"/>
          <w:b/>
          <w:bCs/>
          <w:rtl/>
        </w:rPr>
        <w:t>עלולות להיות כמה</w:t>
      </w:r>
      <w:r w:rsidRPr="003B5D33">
        <w:rPr>
          <w:rFonts w:eastAsia="Calibri"/>
          <w:b/>
          <w:bCs/>
          <w:rtl/>
        </w:rPr>
        <w:t xml:space="preserve"> השלכות</w:t>
      </w:r>
      <w:r w:rsidRPr="003B5D33">
        <w:rPr>
          <w:rFonts w:eastAsia="Calibri" w:hint="cs"/>
          <w:b/>
          <w:bCs/>
          <w:rtl/>
        </w:rPr>
        <w:t xml:space="preserve"> ובהן כאלה העשויות </w:t>
      </w:r>
      <w:r w:rsidRPr="003B5D33">
        <w:rPr>
          <w:rFonts w:eastAsia="Calibri" w:hint="eastAsia"/>
          <w:b/>
          <w:bCs/>
          <w:rtl/>
        </w:rPr>
        <w:t>לפגוע</w:t>
      </w:r>
      <w:r w:rsidRPr="003B5D33">
        <w:rPr>
          <w:rFonts w:eastAsia="Calibri"/>
          <w:b/>
          <w:bCs/>
          <w:rtl/>
        </w:rPr>
        <w:t xml:space="preserve"> </w:t>
      </w:r>
      <w:r w:rsidRPr="003B5D33">
        <w:rPr>
          <w:rFonts w:eastAsia="Calibri" w:hint="eastAsia"/>
          <w:b/>
          <w:bCs/>
          <w:rtl/>
        </w:rPr>
        <w:t>ברציפות</w:t>
      </w:r>
      <w:r w:rsidRPr="003B5D33">
        <w:rPr>
          <w:rFonts w:eastAsia="Calibri"/>
          <w:b/>
          <w:bCs/>
          <w:rtl/>
        </w:rPr>
        <w:t xml:space="preserve"> </w:t>
      </w:r>
      <w:r w:rsidRPr="003B5D33">
        <w:rPr>
          <w:rFonts w:eastAsia="Calibri" w:hint="eastAsia"/>
          <w:b/>
          <w:bCs/>
          <w:rtl/>
        </w:rPr>
        <w:t>התפקודית</w:t>
      </w:r>
      <w:r w:rsidRPr="003B5D33">
        <w:rPr>
          <w:rFonts w:eastAsia="Calibri"/>
          <w:b/>
          <w:bCs/>
          <w:rtl/>
        </w:rPr>
        <w:t xml:space="preserve"> </w:t>
      </w:r>
      <w:r w:rsidRPr="003B5D33">
        <w:rPr>
          <w:rFonts w:eastAsia="Calibri" w:hint="eastAsia"/>
          <w:b/>
          <w:bCs/>
          <w:rtl/>
        </w:rPr>
        <w:t>של</w:t>
      </w:r>
      <w:r w:rsidRPr="003B5D33">
        <w:rPr>
          <w:rFonts w:eastAsia="Calibri"/>
          <w:b/>
          <w:bCs/>
          <w:rtl/>
        </w:rPr>
        <w:t xml:space="preserve"> המשרד וביכולתו לספק שירותים חיוניים. </w:t>
      </w:r>
    </w:p>
    <w:p w:rsidR="003B5D33" w:rsidRPr="003B5D33" w:rsidP="003B5D33">
      <w:pPr>
        <w:spacing w:line="269" w:lineRule="auto"/>
        <w:rPr>
          <w:rFonts w:eastAsia="Calibri"/>
          <w:b/>
          <w:bCs/>
          <w:rtl/>
        </w:rPr>
      </w:pPr>
    </w:p>
    <w:p w:rsidR="003B5D33" w:rsidP="003B5D33">
      <w:pPr>
        <w:spacing w:line="269" w:lineRule="auto"/>
        <w:rPr>
          <w:rFonts w:eastAsia="Calibri"/>
          <w:b/>
          <w:bCs/>
          <w:rtl/>
        </w:rPr>
      </w:pPr>
      <w:r w:rsidRPr="003B5D33">
        <w:rPr>
          <w:rFonts w:eastAsia="Calibri" w:hint="eastAsia"/>
          <w:b/>
          <w:bCs/>
          <w:rtl/>
        </w:rPr>
        <w:t>על</w:t>
      </w:r>
      <w:r w:rsidRPr="003B5D33">
        <w:rPr>
          <w:rFonts w:eastAsia="Calibri"/>
          <w:b/>
          <w:bCs/>
          <w:rtl/>
        </w:rPr>
        <w:t xml:space="preserve"> </w:t>
      </w:r>
      <w:r w:rsidRPr="003B5D33">
        <w:rPr>
          <w:rFonts w:eastAsia="Calibri" w:hint="eastAsia"/>
          <w:b/>
          <w:bCs/>
          <w:rtl/>
        </w:rPr>
        <w:t>מנהל</w:t>
      </w:r>
      <w:r w:rsidRPr="003B5D33">
        <w:rPr>
          <w:rFonts w:eastAsia="Calibri"/>
          <w:b/>
          <w:bCs/>
          <w:rtl/>
        </w:rPr>
        <w:t xml:space="preserve"> </w:t>
      </w:r>
      <w:r w:rsidRPr="003B5D33">
        <w:rPr>
          <w:rFonts w:eastAsia="Calibri" w:hint="eastAsia"/>
          <w:b/>
          <w:bCs/>
          <w:rtl/>
        </w:rPr>
        <w:t>אגף</w:t>
      </w:r>
      <w:r w:rsidRPr="003B5D33">
        <w:rPr>
          <w:rFonts w:eastAsia="Calibri"/>
          <w:b/>
          <w:bCs/>
          <w:rtl/>
        </w:rPr>
        <w:t xml:space="preserve"> </w:t>
      </w:r>
      <w:r w:rsidRPr="003B5D33">
        <w:rPr>
          <w:rFonts w:eastAsia="Calibri" w:hint="eastAsia"/>
          <w:b/>
          <w:bCs/>
          <w:rtl/>
        </w:rPr>
        <w:t>התקשוב</w:t>
      </w:r>
      <w:r w:rsidRPr="003B5D33">
        <w:rPr>
          <w:rFonts w:eastAsia="Calibri"/>
          <w:b/>
          <w:bCs/>
          <w:rtl/>
        </w:rPr>
        <w:t xml:space="preserve"> </w:t>
      </w:r>
      <w:r w:rsidRPr="003B5D33">
        <w:rPr>
          <w:rFonts w:eastAsia="Calibri" w:hint="eastAsia"/>
          <w:b/>
          <w:bCs/>
          <w:rtl/>
        </w:rPr>
        <w:t>לשקף</w:t>
      </w:r>
      <w:r w:rsidRPr="003B5D33">
        <w:rPr>
          <w:rFonts w:eastAsia="Calibri"/>
          <w:b/>
          <w:bCs/>
          <w:rtl/>
        </w:rPr>
        <w:t xml:space="preserve"> </w:t>
      </w:r>
      <w:r w:rsidRPr="003B5D33">
        <w:rPr>
          <w:rFonts w:eastAsia="Calibri" w:hint="eastAsia"/>
          <w:b/>
          <w:bCs/>
          <w:rtl/>
        </w:rPr>
        <w:t>להנהלת</w:t>
      </w:r>
      <w:r w:rsidRPr="003B5D33">
        <w:rPr>
          <w:rFonts w:eastAsia="Calibri"/>
          <w:b/>
          <w:bCs/>
          <w:rtl/>
        </w:rPr>
        <w:t xml:space="preserve"> </w:t>
      </w:r>
      <w:r w:rsidRPr="003B5D33">
        <w:rPr>
          <w:rFonts w:eastAsia="Calibri" w:hint="eastAsia"/>
          <w:b/>
          <w:bCs/>
          <w:rtl/>
        </w:rPr>
        <w:t>המשרד</w:t>
      </w:r>
      <w:r w:rsidRPr="003B5D33">
        <w:rPr>
          <w:rFonts w:eastAsia="Calibri"/>
          <w:b/>
          <w:bCs/>
          <w:rtl/>
        </w:rPr>
        <w:t xml:space="preserve"> </w:t>
      </w:r>
      <w:r w:rsidRPr="003B5D33">
        <w:rPr>
          <w:rFonts w:eastAsia="Calibri" w:hint="eastAsia"/>
          <w:b/>
          <w:bCs/>
          <w:rtl/>
        </w:rPr>
        <w:t>ו</w:t>
      </w:r>
      <w:r w:rsidRPr="003B5D33">
        <w:rPr>
          <w:rFonts w:eastAsia="Calibri" w:hint="cs"/>
          <w:b/>
          <w:bCs/>
          <w:rtl/>
        </w:rPr>
        <w:t>ל</w:t>
      </w:r>
      <w:r w:rsidRPr="003B5D33">
        <w:rPr>
          <w:rFonts w:eastAsia="Calibri" w:hint="eastAsia"/>
          <w:b/>
          <w:bCs/>
          <w:rtl/>
        </w:rPr>
        <w:t>וועדת</w:t>
      </w:r>
      <w:r w:rsidRPr="003B5D33">
        <w:rPr>
          <w:rFonts w:eastAsia="Calibri"/>
          <w:b/>
          <w:bCs/>
          <w:rtl/>
        </w:rPr>
        <w:t xml:space="preserve"> </w:t>
      </w:r>
      <w:r w:rsidRPr="003B5D33">
        <w:rPr>
          <w:rFonts w:eastAsia="Calibri" w:hint="eastAsia"/>
          <w:b/>
          <w:bCs/>
          <w:rtl/>
        </w:rPr>
        <w:t>ההיגוי</w:t>
      </w:r>
      <w:r w:rsidRPr="003B5D33">
        <w:rPr>
          <w:rFonts w:eastAsia="Calibri"/>
          <w:b/>
          <w:bCs/>
          <w:rtl/>
        </w:rPr>
        <w:t xml:space="preserve"> </w:t>
      </w:r>
      <w:r w:rsidRPr="003B5D33">
        <w:rPr>
          <w:rFonts w:eastAsia="Calibri" w:hint="eastAsia"/>
          <w:b/>
          <w:bCs/>
          <w:rtl/>
        </w:rPr>
        <w:t>להגנת</w:t>
      </w:r>
      <w:r w:rsidRPr="003B5D33">
        <w:rPr>
          <w:rFonts w:eastAsia="Calibri"/>
          <w:b/>
          <w:bCs/>
          <w:rtl/>
        </w:rPr>
        <w:t xml:space="preserve"> </w:t>
      </w:r>
      <w:r w:rsidRPr="003B5D33">
        <w:rPr>
          <w:rFonts w:eastAsia="Calibri" w:hint="eastAsia"/>
          <w:b/>
          <w:bCs/>
          <w:rtl/>
        </w:rPr>
        <w:t>הסייבר</w:t>
      </w:r>
      <w:r w:rsidRPr="003B5D33">
        <w:rPr>
          <w:rFonts w:eastAsia="Calibri"/>
          <w:b/>
          <w:bCs/>
          <w:rtl/>
        </w:rPr>
        <w:t xml:space="preserve"> </w:t>
      </w:r>
      <w:r w:rsidRPr="003B5D33">
        <w:rPr>
          <w:rFonts w:eastAsia="Calibri" w:hint="eastAsia"/>
          <w:b/>
          <w:bCs/>
          <w:rtl/>
        </w:rPr>
        <w:t>את</w:t>
      </w:r>
      <w:r w:rsidRPr="003B5D33">
        <w:rPr>
          <w:rFonts w:eastAsia="Calibri"/>
          <w:b/>
          <w:bCs/>
          <w:rtl/>
        </w:rPr>
        <w:t xml:space="preserve"> </w:t>
      </w:r>
      <w:r w:rsidRPr="003B5D33">
        <w:rPr>
          <w:rFonts w:eastAsia="Calibri" w:hint="eastAsia"/>
          <w:b/>
          <w:bCs/>
          <w:rtl/>
        </w:rPr>
        <w:t>הפער</w:t>
      </w:r>
      <w:r w:rsidRPr="003B5D33">
        <w:rPr>
          <w:rFonts w:eastAsia="Calibri"/>
          <w:b/>
          <w:bCs/>
          <w:rtl/>
        </w:rPr>
        <w:t xml:space="preserve"> </w:t>
      </w:r>
      <w:r w:rsidRPr="003B5D33">
        <w:rPr>
          <w:rFonts w:eastAsia="Calibri" w:hint="eastAsia"/>
          <w:b/>
          <w:bCs/>
          <w:rtl/>
        </w:rPr>
        <w:t>הקיים</w:t>
      </w:r>
      <w:r w:rsidRPr="003B5D33">
        <w:rPr>
          <w:rFonts w:eastAsia="Calibri"/>
          <w:b/>
          <w:bCs/>
          <w:rtl/>
        </w:rPr>
        <w:t xml:space="preserve"> </w:t>
      </w:r>
      <w:r w:rsidRPr="003B5D33">
        <w:rPr>
          <w:rFonts w:eastAsia="Calibri" w:hint="eastAsia"/>
          <w:b/>
          <w:bCs/>
          <w:rtl/>
        </w:rPr>
        <w:t>ב</w:t>
      </w:r>
      <w:r w:rsidRPr="003B5D33">
        <w:rPr>
          <w:rFonts w:eastAsia="Calibri" w:hint="cs"/>
          <w:b/>
          <w:bCs/>
          <w:rtl/>
        </w:rPr>
        <w:t xml:space="preserve">ין </w:t>
      </w:r>
      <w:r w:rsidRPr="003B5D33">
        <w:rPr>
          <w:rFonts w:eastAsia="Calibri" w:hint="eastAsia"/>
          <w:b/>
          <w:bCs/>
          <w:rtl/>
        </w:rPr>
        <w:t>תשתית</w:t>
      </w:r>
      <w:r w:rsidRPr="003B5D33">
        <w:rPr>
          <w:rFonts w:eastAsia="Calibri"/>
          <w:b/>
          <w:bCs/>
          <w:rtl/>
        </w:rPr>
        <w:t xml:space="preserve"> </w:t>
      </w:r>
      <w:r w:rsidRPr="003B5D33">
        <w:rPr>
          <w:rFonts w:eastAsia="Calibri" w:hint="eastAsia"/>
          <w:b/>
          <w:bCs/>
          <w:rtl/>
        </w:rPr>
        <w:t>המח</w:t>
      </w:r>
      <w:r w:rsidRPr="003B5D33">
        <w:rPr>
          <w:rFonts w:eastAsia="Calibri" w:hint="cs"/>
          <w:b/>
          <w:bCs/>
          <w:rtl/>
        </w:rPr>
        <w:t>שו</w:t>
      </w:r>
      <w:r w:rsidRPr="003B5D33">
        <w:rPr>
          <w:rFonts w:eastAsia="Calibri" w:hint="eastAsia"/>
          <w:b/>
          <w:bCs/>
          <w:rtl/>
        </w:rPr>
        <w:t>ב</w:t>
      </w:r>
      <w:r w:rsidRPr="003B5D33">
        <w:rPr>
          <w:rFonts w:eastAsia="Calibri" w:hint="cs"/>
          <w:b/>
          <w:bCs/>
          <w:rtl/>
        </w:rPr>
        <w:t xml:space="preserve"> הקיימת לזו הנדרשת על פי הנחיות הגורמים המנחים, את הסיכונים הכרוכים בפער זה ולגבש תוכנית סדורה להשלמת הפער תוך גיבוש משאבים תקציביים. על מנכ"ל משרד החוץ לפעול להשלמת פער זה שחושף את המשרד למתקפות אפשריות של גורמים עוינים ועל יה"ב והשב"כ לבצע בקרה כדי לוודא כי הפער הקיים בתשתיות המחשוב מטופל כנדרש.</w:t>
      </w:r>
      <w:bookmarkEnd w:id="92"/>
    </w:p>
    <w:p w:rsidR="00E57B02" w:rsidRPr="003B5D33" w:rsidP="003B5D33">
      <w:pPr>
        <w:spacing w:line="269" w:lineRule="auto"/>
        <w:rPr>
          <w:rFonts w:eastAsia="Calibri"/>
          <w:b/>
          <w:bCs/>
          <w:rtl/>
        </w:rPr>
      </w:pPr>
    </w:p>
    <w:p w:rsidR="003B5D33" w:rsidRPr="003B5D33" w:rsidP="003B5D33">
      <w:pPr>
        <w:keepNext/>
        <w:keepLines/>
        <w:spacing w:line="269" w:lineRule="auto"/>
        <w:ind w:firstLine="720"/>
        <w:jc w:val="center"/>
        <w:outlineLvl w:val="1"/>
        <w:rPr>
          <w:rFonts w:eastAsia="Times New Roman"/>
          <w:bCs/>
          <w:szCs w:val="32"/>
          <w:rtl/>
        </w:rPr>
      </w:pPr>
      <w:bookmarkStart w:id="93" w:name="_Toc218592817"/>
      <w:bookmarkStart w:id="94" w:name="_Hlk203656228"/>
      <w:r w:rsidRPr="003B5D33">
        <w:rPr>
          <w:rFonts w:eastAsia="Times New Roman" w:hint="cs"/>
          <w:bCs/>
          <w:szCs w:val="32"/>
          <w:rtl/>
        </w:rPr>
        <w:t>הגנה על רשת מסוימת במשרד החוץ</w:t>
      </w:r>
      <w:bookmarkEnd w:id="93"/>
    </w:p>
    <w:bookmarkEnd w:id="94"/>
    <w:p w:rsidR="003B5D33" w:rsidRPr="003B5D33" w:rsidP="003B5D33">
      <w:pPr>
        <w:spacing w:line="269" w:lineRule="auto"/>
        <w:rPr>
          <w:rFonts w:ascii="David" w:eastAsia="Calibri" w:hAnsi="David"/>
          <w:b/>
          <w:bCs/>
          <w:sz w:val="24"/>
          <w:rtl/>
        </w:rPr>
      </w:pPr>
    </w:p>
    <w:p w:rsidR="003B5D33" w:rsidP="003B5D33">
      <w:pPr>
        <w:spacing w:line="269" w:lineRule="auto"/>
        <w:rPr>
          <w:rFonts w:ascii="David" w:eastAsia="Calibri" w:hAnsi="David"/>
          <w:b/>
          <w:bCs/>
          <w:sz w:val="24"/>
          <w:rtl/>
        </w:rPr>
      </w:pPr>
      <w:r w:rsidRPr="003B5D33">
        <w:rPr>
          <w:rFonts w:ascii="David" w:eastAsia="Calibri" w:hAnsi="David" w:hint="cs"/>
          <w:b/>
          <w:bCs/>
          <w:sz w:val="24"/>
          <w:rtl/>
        </w:rPr>
        <w:t>נמצאו פערים בהגנה על רשת מסוימת במשרד החוץ.</w:t>
      </w:r>
    </w:p>
    <w:p w:rsidR="00E57B02" w:rsidRPr="003B5D33" w:rsidP="003B5D33">
      <w:pPr>
        <w:spacing w:line="269" w:lineRule="auto"/>
        <w:rPr>
          <w:rFonts w:ascii="David" w:eastAsia="Calibri" w:hAnsi="David"/>
          <w:b/>
          <w:bCs/>
          <w:sz w:val="24"/>
          <w:rtl/>
        </w:rPr>
      </w:pPr>
    </w:p>
    <w:p w:rsidR="003B5D33" w:rsidRPr="003B5D33" w:rsidP="003B5D33">
      <w:pPr>
        <w:spacing w:line="269" w:lineRule="auto"/>
        <w:jc w:val="center"/>
        <w:rPr>
          <w:rFonts w:eastAsia="Calibri"/>
          <w:b/>
          <w:bCs/>
          <w:u w:val="single"/>
          <w:rtl/>
        </w:rPr>
      </w:pPr>
    </w:p>
    <w:p w:rsidR="003B5D33" w:rsidRPr="003B5D33" w:rsidP="003B5D33">
      <w:pPr>
        <w:keepNext/>
        <w:keepLines/>
        <w:spacing w:line="269" w:lineRule="auto"/>
        <w:jc w:val="center"/>
        <w:outlineLvl w:val="1"/>
        <w:rPr>
          <w:rFonts w:eastAsia="Times New Roman"/>
          <w:sz w:val="24"/>
          <w:szCs w:val="32"/>
          <w:rtl/>
        </w:rPr>
      </w:pPr>
      <w:bookmarkStart w:id="95" w:name="_Toc218592819"/>
      <w:bookmarkStart w:id="96" w:name="_Hlk203656283"/>
      <w:bookmarkStart w:id="97" w:name="_Hlk193206821"/>
      <w:r w:rsidRPr="003B5D33">
        <w:rPr>
          <w:rFonts w:eastAsia="Times New Roman" w:hint="cs"/>
          <w:bCs/>
          <w:sz w:val="24"/>
          <w:szCs w:val="32"/>
          <w:rtl/>
        </w:rPr>
        <w:t xml:space="preserve">הזדהות </w:t>
      </w:r>
      <w:r w:rsidRPr="003B5D33">
        <w:rPr>
          <w:rFonts w:eastAsia="Times New Roman" w:hint="eastAsia"/>
          <w:bCs/>
          <w:sz w:val="24"/>
          <w:szCs w:val="32"/>
          <w:rtl/>
        </w:rPr>
        <w:t>משתמשים</w:t>
      </w:r>
      <w:r w:rsidRPr="003B5D33">
        <w:rPr>
          <w:rFonts w:eastAsia="Times New Roman"/>
          <w:bCs/>
          <w:sz w:val="24"/>
          <w:szCs w:val="32"/>
          <w:rtl/>
        </w:rPr>
        <w:t xml:space="preserve"> </w:t>
      </w:r>
      <w:r w:rsidRPr="003B5D33">
        <w:rPr>
          <w:rFonts w:eastAsia="Times New Roman" w:hint="eastAsia"/>
          <w:bCs/>
          <w:sz w:val="24"/>
          <w:szCs w:val="32"/>
          <w:rtl/>
        </w:rPr>
        <w:t>ו</w:t>
      </w:r>
      <w:r w:rsidRPr="003B5D33">
        <w:rPr>
          <w:rFonts w:eastAsia="Times New Roman" w:hint="cs"/>
          <w:bCs/>
          <w:sz w:val="24"/>
          <w:szCs w:val="32"/>
          <w:rtl/>
        </w:rPr>
        <w:t>ניהול הרשאות</w:t>
      </w:r>
      <w:bookmarkEnd w:id="95"/>
    </w:p>
    <w:bookmarkEnd w:id="96"/>
    <w:p w:rsidR="003B5D33" w:rsidRPr="003B5D33" w:rsidP="003B5D33">
      <w:pPr>
        <w:spacing w:line="269" w:lineRule="auto"/>
        <w:rPr>
          <w:rFonts w:eastAsia="Calibri"/>
          <w:sz w:val="24"/>
          <w:rtl/>
        </w:rPr>
      </w:pPr>
    </w:p>
    <w:p w:rsidR="003B5D33" w:rsidRPr="003B5D33" w:rsidP="003B5D33">
      <w:pPr>
        <w:spacing w:line="269" w:lineRule="auto"/>
        <w:rPr>
          <w:rFonts w:eastAsia="Calibri"/>
          <w:sz w:val="24"/>
          <w:rtl/>
        </w:rPr>
      </w:pPr>
      <w:r w:rsidRPr="003B5D33">
        <w:rPr>
          <w:rFonts w:eastAsia="Calibri" w:hint="cs"/>
          <w:sz w:val="24"/>
          <w:rtl/>
        </w:rPr>
        <w:t>ההגנה הלוגית</w:t>
      </w:r>
      <w:r>
        <w:rPr>
          <w:rFonts w:eastAsia="Calibri"/>
          <w:sz w:val="24"/>
          <w:vertAlign w:val="superscript"/>
          <w:rtl/>
        </w:rPr>
        <w:footnoteReference w:id="121"/>
      </w:r>
      <w:r w:rsidRPr="003B5D33">
        <w:rPr>
          <w:rFonts w:eastAsia="Calibri" w:hint="cs"/>
          <w:sz w:val="24"/>
          <w:rtl/>
        </w:rPr>
        <w:t xml:space="preserve"> על המידע האגור במערכות המידע והתקשורת של הארגון נועדה בין היתר לקבוע את המגבלות הארגוניות על הנגישות למידע הארגוני ולהגדיר את השימוש המותר לכל אחד מהמשתמשים במערכות של הארגון</w:t>
      </w:r>
      <w:r w:rsidRPr="003B5D33">
        <w:rPr>
          <w:rFonts w:eastAsia="Calibri"/>
          <w:rtl/>
        </w:rPr>
        <w:t xml:space="preserve"> </w:t>
      </w:r>
      <w:r w:rsidRPr="003B5D33">
        <w:rPr>
          <w:rFonts w:eastAsia="Calibri"/>
          <w:sz w:val="24"/>
          <w:rtl/>
        </w:rPr>
        <w:t>על בסיס עקרונות "הצורך לדעת" ו"מינימום הרשאות</w:t>
      </w:r>
      <w:r w:rsidRPr="003B5D33">
        <w:rPr>
          <w:rFonts w:eastAsia="Calibri" w:hint="cs"/>
          <w:sz w:val="24"/>
          <w:rtl/>
        </w:rPr>
        <w:t xml:space="preserve"> לביצוע התפקיד</w:t>
      </w:r>
      <w:r w:rsidRPr="003B5D33">
        <w:rPr>
          <w:rFonts w:eastAsia="Calibri"/>
          <w:sz w:val="24"/>
          <w:rtl/>
        </w:rPr>
        <w:t>"</w:t>
      </w:r>
      <w:r w:rsidRPr="003B5D33">
        <w:rPr>
          <w:rFonts w:eastAsia="Calibri" w:hint="cs"/>
          <w:sz w:val="24"/>
          <w:rtl/>
        </w:rPr>
        <w:t>. כאשר ההגנה הלוגית אינה מוגדרת כהלכה או שאינה מיושמת באופן מלא, תשתיות המחשוב של הארגון והמידע והתהליכים הנסמכים עליהן חשופים לסיכונים, כגון דליפת מידע רגיש או מסווג של הארגון לגורמים שאינם מורשים לקבלו, שיבוש המידע או פגיעה בזמינותו.</w:t>
      </w:r>
    </w:p>
    <w:p w:rsidR="003B5D33" w:rsidRPr="003B5D33" w:rsidP="003B5D33">
      <w:pPr>
        <w:spacing w:line="269" w:lineRule="auto"/>
        <w:rPr>
          <w:rFonts w:eastAsia="Calibri"/>
          <w:sz w:val="24"/>
          <w:rtl/>
        </w:rPr>
      </w:pPr>
      <w:bookmarkStart w:id="98" w:name="_Hlk154909855"/>
    </w:p>
    <w:p w:rsidR="003B5D33" w:rsidRPr="003B5D33" w:rsidP="003B5D33">
      <w:pPr>
        <w:spacing w:line="269" w:lineRule="auto"/>
        <w:rPr>
          <w:rFonts w:eastAsia="Calibri"/>
          <w:sz w:val="24"/>
          <w:rtl/>
        </w:rPr>
      </w:pPr>
      <w:r w:rsidRPr="003B5D33">
        <w:rPr>
          <w:rFonts w:eastAsia="Calibri" w:hint="cs"/>
          <w:sz w:val="24"/>
          <w:rtl/>
        </w:rPr>
        <w:t>קביעת מדיניות לגבי מערך הזדהות</w:t>
      </w:r>
      <w:r>
        <w:rPr>
          <w:rFonts w:eastAsia="Calibri"/>
          <w:sz w:val="24"/>
          <w:vertAlign w:val="superscript"/>
          <w:rtl/>
        </w:rPr>
        <w:footnoteReference w:id="122"/>
      </w:r>
      <w:r w:rsidRPr="003B5D33">
        <w:rPr>
          <w:rFonts w:eastAsia="Calibri" w:hint="cs"/>
          <w:sz w:val="24"/>
          <w:rtl/>
        </w:rPr>
        <w:t xml:space="preserve"> אפקטיבי של המשתמשים בעת הכניסה לרשת הארגונית ומימושה בפועל, וכן קביעת מדיניות מערך ההרשאות של הארגון וניהול המערך באופן סדור, הם נדבכים מרכזיים בהגנה הלוגית. </w:t>
      </w:r>
      <w:bookmarkEnd w:id="98"/>
    </w:p>
    <w:p w:rsidR="003B5D33" w:rsidRPr="003B5D33" w:rsidP="003B5D33">
      <w:pPr>
        <w:spacing w:line="269" w:lineRule="auto"/>
        <w:rPr>
          <w:rFonts w:eastAsia="Calibri"/>
          <w:sz w:val="24"/>
          <w:rtl/>
        </w:rPr>
      </w:pPr>
    </w:p>
    <w:p w:rsidR="003B5D33" w:rsidRPr="003B5D33" w:rsidP="003B5D33">
      <w:pPr>
        <w:spacing w:line="269" w:lineRule="auto"/>
        <w:rPr>
          <w:rFonts w:eastAsia="Calibri"/>
          <w:sz w:val="24"/>
          <w:rtl/>
        </w:rPr>
      </w:pPr>
      <w:r w:rsidRPr="003B5D33">
        <w:rPr>
          <w:rFonts w:eastAsia="Calibri"/>
          <w:sz w:val="24"/>
          <w:rtl/>
        </w:rPr>
        <w:t xml:space="preserve">גורמים עוינים עלולים </w:t>
      </w:r>
      <w:r w:rsidRPr="003B5D33">
        <w:rPr>
          <w:rFonts w:eastAsia="Calibri" w:hint="cs"/>
          <w:sz w:val="24"/>
          <w:rtl/>
        </w:rPr>
        <w:t>להשתמש</w:t>
      </w:r>
      <w:r w:rsidRPr="003B5D33">
        <w:rPr>
          <w:rFonts w:eastAsia="Calibri"/>
          <w:sz w:val="24"/>
          <w:rtl/>
        </w:rPr>
        <w:t xml:space="preserve"> במגוון שיטות כדי להשיג גישה לא מורשית לרשתות הארגון</w:t>
      </w:r>
      <w:r w:rsidRPr="003B5D33">
        <w:rPr>
          <w:rFonts w:eastAsia="Calibri" w:hint="cs"/>
          <w:sz w:val="24"/>
          <w:rtl/>
        </w:rPr>
        <w:t xml:space="preserve">. </w:t>
      </w:r>
      <w:r w:rsidRPr="003B5D33">
        <w:rPr>
          <w:rFonts w:eastAsia="Calibri"/>
          <w:sz w:val="24"/>
          <w:rtl/>
        </w:rPr>
        <w:t>כאשר מדובר במערכות רגישות</w:t>
      </w:r>
      <w:r w:rsidRPr="003B5D33">
        <w:rPr>
          <w:rFonts w:eastAsia="Calibri" w:hint="cs"/>
          <w:sz w:val="24"/>
          <w:rtl/>
        </w:rPr>
        <w:t>,</w:t>
      </w:r>
      <w:r w:rsidRPr="003B5D33">
        <w:rPr>
          <w:rFonts w:eastAsia="Calibri"/>
          <w:sz w:val="24"/>
          <w:rtl/>
        </w:rPr>
        <w:t xml:space="preserve"> דוגמת מערכות המידע במשרד </w:t>
      </w:r>
      <w:r w:rsidRPr="003B5D33">
        <w:rPr>
          <w:rFonts w:eastAsia="Calibri" w:hint="cs"/>
          <w:sz w:val="24"/>
          <w:rtl/>
        </w:rPr>
        <w:t>החוץ,</w:t>
      </w:r>
      <w:r w:rsidRPr="003B5D33">
        <w:rPr>
          <w:rFonts w:eastAsia="Calibri"/>
          <w:sz w:val="24"/>
          <w:rtl/>
        </w:rPr>
        <w:t xml:space="preserve"> עלולה השתלטות גורמים עוינים </w:t>
      </w:r>
      <w:r w:rsidRPr="003B5D33">
        <w:rPr>
          <w:rFonts w:eastAsia="Calibri" w:hint="cs"/>
          <w:sz w:val="24"/>
          <w:rtl/>
        </w:rPr>
        <w:t xml:space="preserve">עליהן </w:t>
      </w:r>
      <w:r w:rsidRPr="003B5D33">
        <w:rPr>
          <w:rFonts w:eastAsia="Calibri"/>
          <w:sz w:val="24"/>
          <w:rtl/>
        </w:rPr>
        <w:t>לגרום נזק במישור הביטחוני, הכלכלי והתדמיתי של מדינת ישראל.</w:t>
      </w:r>
    </w:p>
    <w:p w:rsidR="003B5D33" w:rsidRPr="003B5D33" w:rsidP="003B5D33">
      <w:pPr>
        <w:spacing w:line="269" w:lineRule="auto"/>
        <w:rPr>
          <w:rFonts w:eastAsia="Calibri"/>
          <w:b/>
          <w:bCs/>
          <w:u w:val="single"/>
          <w:rtl/>
        </w:rPr>
      </w:pPr>
    </w:p>
    <w:p w:rsidR="00DA2F85" w:rsidRPr="00DA2F85">
      <w:pPr>
        <w:bidi w:val="0"/>
        <w:spacing w:after="200" w:line="276" w:lineRule="auto"/>
        <w:rPr>
          <w:rFonts w:eastAsia="Times New Roman"/>
          <w:b/>
          <w:sz w:val="24"/>
          <w:szCs w:val="28"/>
          <w:rtl/>
        </w:rPr>
      </w:pPr>
      <w:bookmarkStart w:id="99" w:name="_Toc218592820"/>
      <w:bookmarkStart w:id="100" w:name="_Hlk203656292"/>
      <w:r w:rsidRPr="00DA2F85">
        <w:rPr>
          <w:rFonts w:eastAsia="Times New Roman"/>
          <w:b/>
          <w:sz w:val="24"/>
          <w:szCs w:val="28"/>
          <w:rtl/>
        </w:rPr>
        <w:br w:type="page"/>
      </w:r>
    </w:p>
    <w:p w:rsidR="003B5D33" w:rsidRPr="003B5D33" w:rsidP="003B5D33">
      <w:pPr>
        <w:keepNext/>
        <w:keepLines/>
        <w:spacing w:line="269" w:lineRule="auto"/>
        <w:outlineLvl w:val="2"/>
        <w:rPr>
          <w:rFonts w:eastAsia="Times New Roman"/>
          <w:bCs/>
          <w:sz w:val="24"/>
          <w:szCs w:val="28"/>
          <w:u w:val="single"/>
          <w:rtl/>
        </w:rPr>
      </w:pPr>
      <w:r w:rsidRPr="003B5D33">
        <w:rPr>
          <w:rFonts w:eastAsia="Times New Roman" w:hint="cs"/>
          <w:bCs/>
          <w:sz w:val="24"/>
          <w:szCs w:val="28"/>
          <w:u w:val="single"/>
          <w:rtl/>
        </w:rPr>
        <w:t>הזדהות משתמשים במערכות הממוחשבות</w:t>
      </w:r>
      <w:bookmarkEnd w:id="99"/>
    </w:p>
    <w:bookmarkEnd w:id="100"/>
    <w:p w:rsidR="003B5D33" w:rsidRPr="003B5D33" w:rsidP="003B5D33">
      <w:pPr>
        <w:spacing w:line="269" w:lineRule="auto"/>
        <w:rPr>
          <w:rFonts w:eastAsia="Calibri"/>
          <w:sz w:val="24"/>
          <w:rtl/>
        </w:rPr>
      </w:pPr>
    </w:p>
    <w:p w:rsidR="003B5D33" w:rsidRPr="003B5D33" w:rsidP="003B5D33">
      <w:pPr>
        <w:spacing w:line="269" w:lineRule="auto"/>
        <w:rPr>
          <w:rFonts w:eastAsia="Calibri"/>
          <w:sz w:val="24"/>
          <w:rtl/>
        </w:rPr>
      </w:pPr>
      <w:r w:rsidRPr="003B5D33">
        <w:rPr>
          <w:rFonts w:eastAsia="Calibri" w:hint="cs"/>
          <w:sz w:val="24"/>
          <w:rtl/>
        </w:rPr>
        <w:t xml:space="preserve">מערך ההזדהות בעת הגישה למערכות הארגון נועד לוודא כי הגישה למערכת מידע, לרכיב תקשורת או למידע מוגבלת למורשים בלבד. כמו כן נועד מערך ההזדהות למנוע מתוקף פוטנציאלי להתחזות למשתמש אחר או לנצל את מנגנוני הזיהוי של שירותים ויישומים ולהתחזות אליהם, בין היתר באמצעות כלים לניחוש סיסמאות, או כלים אחרים המשבשים את פעולתם של כלי אבטחת הכניסה. </w:t>
      </w:r>
    </w:p>
    <w:p w:rsidR="003B5D33" w:rsidRPr="003B5D33" w:rsidP="003B5D33">
      <w:pPr>
        <w:spacing w:line="269" w:lineRule="auto"/>
        <w:ind w:left="-567"/>
        <w:rPr>
          <w:rFonts w:eastAsia="Calibri"/>
          <w:szCs w:val="20"/>
          <w:rtl/>
        </w:rPr>
      </w:pPr>
      <w:bookmarkStart w:id="101" w:name="_Hlk190339699"/>
    </w:p>
    <w:p w:rsidR="003B5D33" w:rsidRPr="003B5D33" w:rsidP="003B5D33">
      <w:pPr>
        <w:keepNext/>
        <w:keepLines/>
        <w:spacing w:line="269" w:lineRule="auto"/>
        <w:outlineLvl w:val="3"/>
        <w:rPr>
          <w:rFonts w:eastAsia="Times New Roman"/>
          <w:bCs/>
          <w:sz w:val="24"/>
          <w:szCs w:val="26"/>
          <w:rtl/>
        </w:rPr>
      </w:pPr>
      <w:bookmarkStart w:id="102" w:name="_Hlk142207671"/>
      <w:bookmarkEnd w:id="101"/>
      <w:r w:rsidRPr="003B5D33">
        <w:rPr>
          <w:rFonts w:eastAsia="Times New Roman" w:hint="cs"/>
          <w:bCs/>
          <w:sz w:val="24"/>
          <w:szCs w:val="26"/>
          <w:rtl/>
        </w:rPr>
        <w:t xml:space="preserve">אמצעי הזדהות לצורך כניסה לרשתות המשרד </w:t>
      </w:r>
    </w:p>
    <w:p w:rsidR="003B5D33" w:rsidRPr="003B5D33" w:rsidP="003B5D33">
      <w:pPr>
        <w:spacing w:line="269" w:lineRule="auto"/>
        <w:rPr>
          <w:rFonts w:eastAsia="Times New Roman"/>
          <w:bCs/>
          <w:spacing w:val="40"/>
          <w:rtl/>
        </w:rPr>
      </w:pPr>
      <w:bookmarkStart w:id="103" w:name="_Hlk194241968"/>
      <w:bookmarkEnd w:id="102"/>
    </w:p>
    <w:p w:rsidR="003B5D33" w:rsidRPr="003B5D33" w:rsidP="003B5D33">
      <w:pPr>
        <w:spacing w:line="269" w:lineRule="auto"/>
        <w:rPr>
          <w:rFonts w:eastAsia="Calibri"/>
          <w:rtl/>
        </w:rPr>
      </w:pPr>
      <w:r w:rsidRPr="003B5D33">
        <w:rPr>
          <w:rFonts w:eastAsia="Times New Roman" w:hint="cs"/>
          <w:bCs/>
          <w:spacing w:val="40"/>
          <w:rtl/>
        </w:rPr>
        <w:t>הנחיות</w:t>
      </w:r>
      <w:r w:rsidRPr="003B5D33">
        <w:rPr>
          <w:rFonts w:eastAsia="Times New Roman"/>
          <w:bCs/>
          <w:spacing w:val="40"/>
          <w:rtl/>
        </w:rPr>
        <w:t xml:space="preserve"> לקביעת סיסמת משתמש</w:t>
      </w:r>
      <w:r w:rsidRPr="003B5D33">
        <w:rPr>
          <w:rFonts w:eastAsia="Calibri" w:hint="cs"/>
          <w:rtl/>
        </w:rPr>
        <w:t xml:space="preserve"> </w:t>
      </w:r>
      <w:bookmarkEnd w:id="103"/>
      <w:r w:rsidRPr="003B5D33">
        <w:rPr>
          <w:rFonts w:eastAsia="Calibri" w:hint="cs"/>
          <w:rtl/>
        </w:rPr>
        <w:t>- בהנחיות יה"ב נקבעו הוראות הנוגעות לאורכה המינימלי של הסיסמה ולמורכבותה, כגון צירוף של אותיות, ספרות ותווים מיוחדים, כדי להקשות על תקיפה באמצעות כלים לניחוש סיסמאות</w:t>
      </w:r>
      <w:r>
        <w:rPr>
          <w:rFonts w:eastAsia="Calibri"/>
          <w:vertAlign w:val="superscript"/>
          <w:rtl/>
        </w:rPr>
        <w:footnoteReference w:id="123"/>
      </w:r>
      <w:r w:rsidRPr="003B5D33">
        <w:rPr>
          <w:rFonts w:eastAsia="Calibri" w:hint="cs"/>
          <w:rtl/>
        </w:rPr>
        <w:t xml:space="preserve">; </w:t>
      </w:r>
      <w:r w:rsidRPr="003B5D33">
        <w:rPr>
          <w:rFonts w:eastAsia="Calibri"/>
          <w:rtl/>
        </w:rPr>
        <w:t>מספר הפעמים שלא ניתן לחזור על סיסמה קיימת</w:t>
      </w:r>
      <w:r w:rsidRPr="003B5D33">
        <w:rPr>
          <w:rFonts w:eastAsia="Calibri" w:hint="cs"/>
          <w:rtl/>
        </w:rPr>
        <w:t xml:space="preserve">; </w:t>
      </w:r>
      <w:r w:rsidRPr="003B5D33">
        <w:rPr>
          <w:rFonts w:eastAsia="Calibri"/>
          <w:rtl/>
        </w:rPr>
        <w:t>תדירות מינימלית להחלפת סיסמה</w:t>
      </w:r>
      <w:r w:rsidRPr="003B5D33">
        <w:rPr>
          <w:rFonts w:eastAsia="Calibri" w:hint="cs"/>
          <w:rtl/>
        </w:rPr>
        <w:t xml:space="preserve"> ו</w:t>
      </w:r>
      <w:r w:rsidRPr="003B5D33">
        <w:rPr>
          <w:rFonts w:eastAsia="Calibri"/>
          <w:rtl/>
        </w:rPr>
        <w:t>מספר ניסיונות כושלים של הקשת סיסמה שלאחריהם י</w:t>
      </w:r>
      <w:r w:rsidRPr="003B5D33">
        <w:rPr>
          <w:rFonts w:eastAsia="Calibri" w:hint="cs"/>
          <w:rtl/>
        </w:rPr>
        <w:t>י</w:t>
      </w:r>
      <w:r w:rsidRPr="003B5D33">
        <w:rPr>
          <w:rFonts w:eastAsia="Calibri"/>
          <w:rtl/>
        </w:rPr>
        <w:t>נעל החשבון</w:t>
      </w:r>
      <w:r w:rsidRPr="003B5D33">
        <w:rPr>
          <w:rFonts w:eastAsia="Calibri" w:hint="cs"/>
          <w:rtl/>
        </w:rPr>
        <w:t xml:space="preserve">. בהנחיית יה"ב נקבעו הוראות שונות למשתמשים רגילים ולמשתמשים חזקים או משתמשים אפליקטיביים, זאת בשל הסיכון המוגבר הקיים במצב של השתלטות גורם עוין על הרשאת גישה של </w:t>
      </w:r>
      <w:r w:rsidRPr="003B5D33">
        <w:rPr>
          <w:rFonts w:eastAsia="Calibri"/>
          <w:rtl/>
        </w:rPr>
        <w:t>משתמשים חזקים</w:t>
      </w:r>
      <w:r w:rsidRPr="003B5D33">
        <w:rPr>
          <w:rFonts w:eastAsia="Calibri" w:hint="cs"/>
          <w:rtl/>
        </w:rPr>
        <w:t>. הנחיות השב"כ כוללות אף הן התייחסות לנושא, ובכלל זה לצורך בסיסמאות ארוכות ומורכבות, ל</w:t>
      </w:r>
      <w:r w:rsidRPr="003B5D33">
        <w:rPr>
          <w:rFonts w:eastAsia="Calibri"/>
          <w:rtl/>
        </w:rPr>
        <w:t>מספר הפעמים שלא ניתן לחזור על סיסמה קיימת</w:t>
      </w:r>
      <w:r w:rsidRPr="003B5D33">
        <w:rPr>
          <w:rFonts w:eastAsia="Calibri" w:hint="cs"/>
          <w:rtl/>
        </w:rPr>
        <w:t xml:space="preserve"> ולתדירות החלפת הסיסמה.</w:t>
      </w:r>
    </w:p>
    <w:p w:rsidR="003B5D33" w:rsidRPr="003B5D33" w:rsidP="003B5D33">
      <w:pPr>
        <w:spacing w:line="269" w:lineRule="auto"/>
        <w:rPr>
          <w:rFonts w:eastAsia="Calibri"/>
          <w:b/>
          <w:bCs/>
          <w:rtl/>
        </w:rPr>
      </w:pPr>
    </w:p>
    <w:p w:rsidR="003B5D33" w:rsidRPr="003B5D33" w:rsidP="003B5D33">
      <w:pPr>
        <w:spacing w:line="269" w:lineRule="auto"/>
        <w:rPr>
          <w:rFonts w:eastAsia="Calibri"/>
          <w:rtl/>
        </w:rPr>
      </w:pPr>
      <w:r w:rsidRPr="003B5D33">
        <w:rPr>
          <w:rFonts w:eastAsia="Calibri" w:hint="cs"/>
          <w:b/>
          <w:bCs/>
          <w:rtl/>
        </w:rPr>
        <w:t>משרד מבקר המדינה בחן אם הנחיות משרד החוץ והמצב בפועל בעניין זה ברשתות המשרד תואמים את הנחיות הגופים המנחים. ממצאי הבחינה העלו פערים.</w:t>
      </w:r>
      <w:r w:rsidRPr="003B5D33">
        <w:rPr>
          <w:rFonts w:eastAsia="Calibri" w:hint="cs"/>
          <w:rtl/>
        </w:rPr>
        <w:t xml:space="preserve"> </w:t>
      </w:r>
    </w:p>
    <w:p w:rsidR="003B5D33" w:rsidRPr="003B5D33" w:rsidP="003B5D33">
      <w:pPr>
        <w:spacing w:line="269" w:lineRule="auto"/>
        <w:rPr>
          <w:rFonts w:eastAsia="Calibri"/>
          <w:b/>
          <w:bCs/>
          <w:rtl/>
        </w:rPr>
      </w:pPr>
      <w:bookmarkStart w:id="104" w:name="_Hlk203657899"/>
    </w:p>
    <w:p w:rsidR="003B5D33" w:rsidRPr="003B5D33" w:rsidP="003B5D33">
      <w:pPr>
        <w:spacing w:line="269" w:lineRule="auto"/>
        <w:rPr>
          <w:rFonts w:eastAsia="Calibri"/>
          <w:b/>
          <w:bCs/>
          <w:rtl/>
        </w:rPr>
      </w:pPr>
      <w:r w:rsidRPr="003B5D33">
        <w:rPr>
          <w:rFonts w:eastAsia="Calibri" w:hint="eastAsia"/>
          <w:b/>
          <w:bCs/>
          <w:rtl/>
        </w:rPr>
        <w:t>נמצאו</w:t>
      </w:r>
      <w:r w:rsidRPr="003B5D33">
        <w:rPr>
          <w:rFonts w:eastAsia="Calibri"/>
          <w:b/>
          <w:bCs/>
          <w:rtl/>
        </w:rPr>
        <w:t xml:space="preserve"> ליקויים בהזדהות משתמשים לרשתות המחשב במשרד החוץ</w:t>
      </w:r>
      <w:r w:rsidRPr="003B5D33">
        <w:rPr>
          <w:rFonts w:eastAsia="Calibri" w:hint="cs"/>
          <w:b/>
          <w:bCs/>
          <w:rtl/>
        </w:rPr>
        <w:t xml:space="preserve">. </w:t>
      </w:r>
    </w:p>
    <w:bookmarkEnd w:id="104"/>
    <w:p w:rsidR="003B5D33" w:rsidRPr="003B5D33" w:rsidP="003B5D33">
      <w:pPr>
        <w:spacing w:line="269" w:lineRule="auto"/>
        <w:rPr>
          <w:rFonts w:eastAsia="Calibri"/>
          <w:b/>
          <w:bCs/>
          <w:rtl/>
        </w:rPr>
      </w:pPr>
    </w:p>
    <w:p w:rsidR="003B5D33" w:rsidRPr="003B5D33" w:rsidP="003B5D33">
      <w:pPr>
        <w:spacing w:line="269" w:lineRule="auto"/>
        <w:jc w:val="center"/>
        <w:rPr>
          <w:rFonts w:ascii="Arial" w:eastAsia="Calibri" w:hAnsi="Arial" w:cs="Arial"/>
          <w:sz w:val="36"/>
          <w:rtl/>
        </w:rPr>
      </w:pPr>
      <w:bookmarkStart w:id="105" w:name="_Hlk203658015"/>
      <w:r w:rsidRPr="003B5D33">
        <w:rPr>
          <w:rFonts w:ascii="Segoe UI Symbol" w:eastAsia="Calibri" w:hAnsi="Segoe UI Symbol" w:cs="Segoe UI Symbol" w:hint="cs"/>
          <w:sz w:val="36"/>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מערך ההזדהות המיושם בעת הגישה למערכות הארגון נועד לוודא כי הגישה למערכת מידע, לרכיב תקשורת או למידע מוגבלת למורשים בלבד, וכן מטרתו למנוע מגורמים עוינים להשיג גישה לרשתות הארגון. </w:t>
      </w:r>
      <w:r w:rsidRPr="003B5D33">
        <w:rPr>
          <w:rFonts w:eastAsia="Calibri"/>
          <w:b/>
          <w:bCs/>
          <w:rtl/>
        </w:rPr>
        <w:t>כאשר מדובר במערכות רגישות</w:t>
      </w:r>
      <w:r w:rsidRPr="003B5D33">
        <w:rPr>
          <w:rFonts w:eastAsia="Calibri" w:hint="cs"/>
          <w:b/>
          <w:bCs/>
          <w:rtl/>
        </w:rPr>
        <w:t>,</w:t>
      </w:r>
      <w:r w:rsidRPr="003B5D33">
        <w:rPr>
          <w:rFonts w:eastAsia="Calibri"/>
          <w:b/>
          <w:bCs/>
          <w:rtl/>
        </w:rPr>
        <w:t xml:space="preserve"> כדוגמת מערכות המידע במשרד </w:t>
      </w:r>
      <w:r w:rsidRPr="003B5D33">
        <w:rPr>
          <w:rFonts w:eastAsia="Calibri" w:hint="cs"/>
          <w:b/>
          <w:bCs/>
          <w:rtl/>
        </w:rPr>
        <w:t>החוץ,</w:t>
      </w:r>
      <w:r w:rsidRPr="003B5D33">
        <w:rPr>
          <w:rFonts w:eastAsia="Calibri"/>
          <w:b/>
          <w:bCs/>
          <w:rtl/>
        </w:rPr>
        <w:t xml:space="preserve"> עלולה השתלטות </w:t>
      </w:r>
      <w:r w:rsidRPr="003B5D33">
        <w:rPr>
          <w:rFonts w:eastAsia="Calibri" w:hint="cs"/>
          <w:b/>
          <w:bCs/>
          <w:rtl/>
        </w:rPr>
        <w:t xml:space="preserve">עוינת או לא מורשית על הגישה לרשת </w:t>
      </w:r>
      <w:r w:rsidRPr="003B5D33">
        <w:rPr>
          <w:rFonts w:eastAsia="Calibri"/>
          <w:b/>
          <w:bCs/>
          <w:rtl/>
        </w:rPr>
        <w:t>לגרום לנזק במישור הביטחוני, הכלכלי והתדמיתי של מדינת ישראל.</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ממצאי הביקורת העלו ליקויים במערך ההזדהות </w:t>
      </w:r>
      <w:r w:rsidRPr="003B5D33">
        <w:rPr>
          <w:rFonts w:eastAsia="Calibri" w:hint="eastAsia"/>
          <w:b/>
          <w:bCs/>
          <w:rtl/>
        </w:rPr>
        <w:t>שקבע</w:t>
      </w:r>
      <w:r w:rsidRPr="003B5D33">
        <w:rPr>
          <w:rFonts w:eastAsia="Calibri"/>
          <w:b/>
          <w:bCs/>
          <w:rtl/>
        </w:rPr>
        <w:t xml:space="preserve"> </w:t>
      </w:r>
      <w:r w:rsidRPr="003B5D33">
        <w:rPr>
          <w:rFonts w:eastAsia="Calibri" w:hint="eastAsia"/>
          <w:b/>
          <w:bCs/>
          <w:rtl/>
        </w:rPr>
        <w:t>משרד</w:t>
      </w:r>
      <w:r w:rsidRPr="003B5D33">
        <w:rPr>
          <w:rFonts w:eastAsia="Calibri"/>
          <w:b/>
          <w:bCs/>
          <w:rtl/>
        </w:rPr>
        <w:t xml:space="preserve"> </w:t>
      </w:r>
      <w:r w:rsidRPr="003B5D33">
        <w:rPr>
          <w:rFonts w:eastAsia="Calibri" w:hint="eastAsia"/>
          <w:b/>
          <w:bCs/>
          <w:rtl/>
        </w:rPr>
        <w:t>החוץ</w:t>
      </w:r>
      <w:r w:rsidRPr="003B5D33">
        <w:rPr>
          <w:rFonts w:eastAsia="Calibri"/>
          <w:b/>
          <w:bCs/>
          <w:rtl/>
        </w:rPr>
        <w:t xml:space="preserve"> ויישם</w:t>
      </w:r>
      <w:r w:rsidRPr="003B5D33">
        <w:rPr>
          <w:rFonts w:eastAsia="Calibri" w:hint="cs"/>
          <w:b/>
          <w:bCs/>
          <w:rtl/>
        </w:rPr>
        <w:t xml:space="preserve"> בפועל. ליקויים מן הסוג הזה </w:t>
      </w:r>
      <w:r w:rsidRPr="003B5D33">
        <w:rPr>
          <w:rFonts w:eastAsia="Calibri"/>
          <w:b/>
          <w:bCs/>
          <w:rtl/>
        </w:rPr>
        <w:t>פוגעים ברמת ההגנה של המערכות</w:t>
      </w:r>
      <w:r w:rsidRPr="003B5D33">
        <w:rPr>
          <w:rFonts w:eastAsia="Calibri" w:hint="cs"/>
          <w:b/>
          <w:bCs/>
          <w:rtl/>
        </w:rPr>
        <w:t>,</w:t>
      </w:r>
      <w:r w:rsidRPr="003B5D33">
        <w:rPr>
          <w:rFonts w:eastAsia="Calibri"/>
          <w:b/>
          <w:bCs/>
          <w:rtl/>
        </w:rPr>
        <w:t xml:space="preserve"> </w:t>
      </w:r>
      <w:r w:rsidRPr="003B5D33">
        <w:rPr>
          <w:rFonts w:eastAsia="Calibri" w:hint="cs"/>
          <w:b/>
          <w:bCs/>
          <w:rtl/>
        </w:rPr>
        <w:t>מעמידים בסיכון את שלמות המידע האצור בהן,</w:t>
      </w:r>
      <w:r w:rsidRPr="003B5D33">
        <w:rPr>
          <w:rFonts w:eastAsia="Calibri"/>
          <w:b/>
          <w:bCs/>
          <w:rtl/>
        </w:rPr>
        <w:t xml:space="preserve"> </w:t>
      </w:r>
      <w:r w:rsidRPr="003B5D33">
        <w:rPr>
          <w:rFonts w:eastAsia="Calibri" w:hint="cs"/>
          <w:b/>
          <w:bCs/>
          <w:rtl/>
        </w:rPr>
        <w:t xml:space="preserve">סודיותו וזמינותו, ומחייבים </w:t>
      </w:r>
      <w:r w:rsidRPr="003B5D33">
        <w:rPr>
          <w:rFonts w:eastAsia="Calibri"/>
          <w:b/>
          <w:bCs/>
          <w:rtl/>
        </w:rPr>
        <w:t>תיקון.</w:t>
      </w:r>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על משרד החוץ לתקן את הליקויים בתחום זה בהתאם להנחיות הגופים המנחים. </w:t>
      </w:r>
    </w:p>
    <w:bookmarkEnd w:id="105"/>
    <w:p w:rsidR="003B5D33" w:rsidRPr="003B5D33" w:rsidP="003B5D33">
      <w:pPr>
        <w:spacing w:line="269" w:lineRule="auto"/>
        <w:rPr>
          <w:rFonts w:eastAsia="Calibri"/>
          <w:rtl/>
        </w:rPr>
      </w:pPr>
    </w:p>
    <w:p w:rsidR="003B5D33" w:rsidRPr="003B5D33" w:rsidP="003B5D33">
      <w:pPr>
        <w:keepNext/>
        <w:keepLines/>
        <w:spacing w:line="269" w:lineRule="auto"/>
        <w:outlineLvl w:val="2"/>
        <w:rPr>
          <w:rFonts w:eastAsia="Times New Roman"/>
          <w:bCs/>
          <w:szCs w:val="28"/>
          <w:u w:val="single"/>
          <w:rtl/>
        </w:rPr>
      </w:pPr>
      <w:bookmarkStart w:id="106" w:name="_Toc218592821"/>
      <w:bookmarkStart w:id="107" w:name="_Hlk203658034"/>
      <w:r w:rsidRPr="003B5D33">
        <w:rPr>
          <w:rFonts w:eastAsia="Times New Roman" w:hint="cs"/>
          <w:bCs/>
          <w:szCs w:val="28"/>
          <w:u w:val="single"/>
          <w:rtl/>
        </w:rPr>
        <w:t>ניהול הרשאות גישה למערכות הממוחשבות</w:t>
      </w:r>
      <w:bookmarkEnd w:id="106"/>
    </w:p>
    <w:p w:rsidR="003B5D33" w:rsidRPr="003B5D33" w:rsidP="003B5D33">
      <w:pPr>
        <w:spacing w:line="269" w:lineRule="auto"/>
        <w:rPr>
          <w:rFonts w:eastAsia="Calibri"/>
          <w:sz w:val="24"/>
          <w:rtl/>
        </w:rPr>
      </w:pPr>
      <w:bookmarkStart w:id="108" w:name="_Hlk154909879"/>
      <w:bookmarkEnd w:id="107"/>
    </w:p>
    <w:p w:rsidR="003B5D33" w:rsidRPr="003B5D33" w:rsidP="003B5D33">
      <w:pPr>
        <w:spacing w:line="269" w:lineRule="auto"/>
        <w:rPr>
          <w:rFonts w:eastAsia="Calibri"/>
          <w:sz w:val="24"/>
          <w:rtl/>
        </w:rPr>
      </w:pPr>
      <w:r w:rsidRPr="003B5D33">
        <w:rPr>
          <w:rFonts w:eastAsia="Calibri" w:hint="cs"/>
          <w:sz w:val="24"/>
          <w:rtl/>
        </w:rPr>
        <w:t>על פי הנחיית יה"ב, יש להגביל את גישתם של עובדי הארגון למידע האגור במערכות הארגון לצורך צמצום אפשרויות הפגיעה במידע על ידי העובדים עצמם, או על ידי גורמים חיצוניים שישיגו גישה בלתי מורשית למערכות הארגון. בבסיס הנחיה זו עומד עקרון האחריות האישית של העובד, אשר נדרש להגן על המידע שאליו הוא נחשף במהלך עבודתו, ולצורך זה מוגדר לו שם משתמש ייחודי. ב</w:t>
      </w:r>
      <w:r w:rsidRPr="003B5D33">
        <w:rPr>
          <w:rFonts w:eastAsia="Calibri"/>
          <w:sz w:val="24"/>
          <w:rtl/>
        </w:rPr>
        <w:t>הנחי</w:t>
      </w:r>
      <w:r w:rsidRPr="003B5D33">
        <w:rPr>
          <w:rFonts w:eastAsia="Calibri" w:hint="cs"/>
          <w:sz w:val="24"/>
          <w:rtl/>
        </w:rPr>
        <w:t>ה</w:t>
      </w:r>
      <w:r w:rsidRPr="003B5D33">
        <w:rPr>
          <w:rFonts w:eastAsia="Calibri"/>
          <w:sz w:val="24"/>
          <w:rtl/>
        </w:rPr>
        <w:t xml:space="preserve"> </w:t>
      </w:r>
      <w:r w:rsidRPr="003B5D33">
        <w:rPr>
          <w:rFonts w:eastAsia="Calibri" w:hint="cs"/>
          <w:sz w:val="24"/>
          <w:rtl/>
        </w:rPr>
        <w:t xml:space="preserve">אחרת של </w:t>
      </w:r>
      <w:r w:rsidRPr="003B5D33">
        <w:rPr>
          <w:rFonts w:eastAsia="Calibri"/>
          <w:sz w:val="24"/>
          <w:rtl/>
        </w:rPr>
        <w:t>יה</w:t>
      </w:r>
      <w:r w:rsidRPr="003B5D33">
        <w:rPr>
          <w:rFonts w:eastAsia="Calibri" w:hint="cs"/>
          <w:sz w:val="24"/>
          <w:rtl/>
        </w:rPr>
        <w:t>"</w:t>
      </w:r>
      <w:r w:rsidRPr="003B5D33">
        <w:rPr>
          <w:rFonts w:eastAsia="Calibri"/>
          <w:sz w:val="24"/>
          <w:rtl/>
        </w:rPr>
        <w:t xml:space="preserve">ב </w:t>
      </w:r>
      <w:r w:rsidRPr="003B5D33">
        <w:rPr>
          <w:rFonts w:eastAsia="Calibri" w:hint="cs"/>
          <w:sz w:val="24"/>
          <w:rtl/>
        </w:rPr>
        <w:t xml:space="preserve">נקבע כי הרשאת </w:t>
      </w:r>
      <w:r w:rsidRPr="003B5D33">
        <w:rPr>
          <w:rFonts w:eastAsia="Calibri"/>
          <w:sz w:val="24"/>
          <w:rtl/>
        </w:rPr>
        <w:t xml:space="preserve">גישה </w:t>
      </w:r>
      <w:r w:rsidRPr="003B5D33">
        <w:rPr>
          <w:rFonts w:eastAsia="Calibri" w:hint="cs"/>
          <w:sz w:val="24"/>
          <w:rtl/>
        </w:rPr>
        <w:t>של עובד ל</w:t>
      </w:r>
      <w:r w:rsidRPr="003B5D33">
        <w:rPr>
          <w:rFonts w:eastAsia="Calibri"/>
          <w:sz w:val="24"/>
          <w:rtl/>
        </w:rPr>
        <w:t xml:space="preserve">מערכות </w:t>
      </w:r>
      <w:r w:rsidRPr="003B5D33">
        <w:rPr>
          <w:rFonts w:eastAsia="Calibri" w:hint="cs"/>
          <w:sz w:val="24"/>
          <w:rtl/>
        </w:rPr>
        <w:t>ה</w:t>
      </w:r>
      <w:r w:rsidRPr="003B5D33">
        <w:rPr>
          <w:rFonts w:eastAsia="Calibri"/>
          <w:sz w:val="24"/>
          <w:rtl/>
        </w:rPr>
        <w:t>מידע</w:t>
      </w:r>
      <w:r w:rsidRPr="003B5D33">
        <w:rPr>
          <w:rFonts w:eastAsia="Calibri" w:hint="cs"/>
          <w:sz w:val="24"/>
          <w:rtl/>
        </w:rPr>
        <w:t xml:space="preserve"> תינתן על פי המידע הדרוש לו למילוי תפקידו, על פי ה</w:t>
      </w:r>
      <w:r w:rsidRPr="003B5D33">
        <w:rPr>
          <w:rFonts w:eastAsia="Calibri"/>
          <w:sz w:val="24"/>
          <w:rtl/>
        </w:rPr>
        <w:t xml:space="preserve">עיקרון </w:t>
      </w:r>
      <w:r w:rsidRPr="003B5D33">
        <w:rPr>
          <w:rFonts w:eastAsia="Calibri" w:hint="cs"/>
          <w:sz w:val="24"/>
          <w:rtl/>
        </w:rPr>
        <w:t xml:space="preserve">של </w:t>
      </w:r>
      <w:r w:rsidRPr="003B5D33">
        <w:rPr>
          <w:rFonts w:eastAsia="Calibri"/>
          <w:sz w:val="24"/>
          <w:rtl/>
        </w:rPr>
        <w:t xml:space="preserve">הצורך לדעת </w:t>
      </w:r>
      <w:r w:rsidRPr="003B5D33">
        <w:rPr>
          <w:rFonts w:eastAsia="Calibri" w:hint="cs"/>
          <w:sz w:val="24"/>
          <w:rtl/>
        </w:rPr>
        <w:t>(</w:t>
      </w:r>
      <w:r w:rsidRPr="003B5D33">
        <w:rPr>
          <w:rFonts w:eastAsia="Calibri"/>
          <w:sz w:val="24"/>
        </w:rPr>
        <w:t>need to know</w:t>
      </w:r>
      <w:r w:rsidRPr="003B5D33">
        <w:rPr>
          <w:rFonts w:eastAsia="Calibri" w:hint="cs"/>
          <w:sz w:val="24"/>
          <w:rtl/>
        </w:rPr>
        <w:t xml:space="preserve">) </w:t>
      </w:r>
      <w:r w:rsidRPr="003B5D33">
        <w:rPr>
          <w:rFonts w:eastAsia="Calibri"/>
          <w:sz w:val="24"/>
          <w:rtl/>
        </w:rPr>
        <w:t>וע</w:t>
      </w:r>
      <w:r w:rsidRPr="003B5D33">
        <w:rPr>
          <w:rFonts w:eastAsia="Calibri" w:hint="cs"/>
          <w:sz w:val="24"/>
          <w:rtl/>
        </w:rPr>
        <w:t>ל פי העיקרון</w:t>
      </w:r>
      <w:r w:rsidRPr="003B5D33">
        <w:rPr>
          <w:rFonts w:eastAsia="Calibri"/>
          <w:sz w:val="24"/>
          <w:rtl/>
        </w:rPr>
        <w:t xml:space="preserve"> </w:t>
      </w:r>
      <w:r w:rsidRPr="003B5D33">
        <w:rPr>
          <w:rFonts w:eastAsia="Calibri" w:hint="cs"/>
          <w:sz w:val="24"/>
          <w:rtl/>
        </w:rPr>
        <w:t xml:space="preserve">של </w:t>
      </w:r>
      <w:r w:rsidRPr="003B5D33">
        <w:rPr>
          <w:rFonts w:eastAsia="Calibri" w:hint="cs"/>
          <w:sz w:val="24"/>
          <w:rtl/>
        </w:rPr>
        <w:t>מתן מספר ה</w:t>
      </w:r>
      <w:r w:rsidRPr="003B5D33">
        <w:rPr>
          <w:rFonts w:eastAsia="Calibri"/>
          <w:sz w:val="24"/>
          <w:rtl/>
        </w:rPr>
        <w:t>הרשאות</w:t>
      </w:r>
      <w:r w:rsidRPr="003B5D33">
        <w:rPr>
          <w:rFonts w:eastAsia="Calibri" w:hint="cs"/>
          <w:sz w:val="24"/>
          <w:rtl/>
        </w:rPr>
        <w:t xml:space="preserve"> המזערי</w:t>
      </w:r>
      <w:r w:rsidRPr="003B5D33">
        <w:rPr>
          <w:rFonts w:eastAsia="Calibri"/>
          <w:sz w:val="24"/>
          <w:rtl/>
        </w:rPr>
        <w:t xml:space="preserve"> </w:t>
      </w:r>
      <w:r w:rsidRPr="003B5D33">
        <w:rPr>
          <w:rFonts w:eastAsia="Calibri" w:hint="cs"/>
          <w:sz w:val="24"/>
          <w:rtl/>
        </w:rPr>
        <w:t xml:space="preserve">הנדרש </w:t>
      </w:r>
      <w:r w:rsidRPr="003B5D33">
        <w:rPr>
          <w:rFonts w:eastAsia="Calibri"/>
          <w:sz w:val="24"/>
          <w:rtl/>
        </w:rPr>
        <w:t xml:space="preserve">לצורך ביצוע </w:t>
      </w:r>
      <w:r w:rsidRPr="003B5D33">
        <w:rPr>
          <w:rFonts w:eastAsia="Calibri" w:hint="cs"/>
          <w:sz w:val="24"/>
          <w:rtl/>
        </w:rPr>
        <w:t>ה</w:t>
      </w:r>
      <w:r w:rsidRPr="003B5D33">
        <w:rPr>
          <w:rFonts w:eastAsia="Calibri"/>
          <w:sz w:val="24"/>
          <w:rtl/>
        </w:rPr>
        <w:t>עבוד</w:t>
      </w:r>
      <w:r w:rsidRPr="003B5D33">
        <w:rPr>
          <w:rFonts w:eastAsia="Calibri" w:hint="cs"/>
          <w:sz w:val="24"/>
          <w:rtl/>
        </w:rPr>
        <w:t>ה (</w:t>
      </w:r>
      <w:r w:rsidRPr="003B5D33">
        <w:rPr>
          <w:rFonts w:eastAsia="Calibri"/>
          <w:sz w:val="24"/>
        </w:rPr>
        <w:t>least privilege</w:t>
      </w:r>
      <w:r w:rsidRPr="003B5D33">
        <w:rPr>
          <w:rFonts w:eastAsia="Calibri" w:hint="cs"/>
          <w:sz w:val="24"/>
          <w:rtl/>
        </w:rPr>
        <w:t>)</w:t>
      </w:r>
      <w:r w:rsidRPr="003B5D33">
        <w:rPr>
          <w:rFonts w:eastAsia="Calibri"/>
          <w:sz w:val="24"/>
          <w:rtl/>
        </w:rPr>
        <w:t>.</w:t>
      </w:r>
      <w:r w:rsidRPr="003B5D33">
        <w:rPr>
          <w:rFonts w:eastAsia="Calibri" w:hint="cs"/>
          <w:sz w:val="24"/>
          <w:rtl/>
        </w:rPr>
        <w:t xml:space="preserve"> עיקרון זה נקבע גם בנוהלי משרד החוץ</w:t>
      </w:r>
      <w:r w:rsidRPr="003B5D33">
        <w:rPr>
          <w:rFonts w:eastAsia="Calibri"/>
          <w:sz w:val="24"/>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נמצאו פערים בכל הנוגע לניהול הרשאות הגישה למערכות המידע במשרד החוץ.</w:t>
      </w:r>
      <w:r w:rsidRPr="003B5D33">
        <w:rPr>
          <w:rFonts w:eastAsia="Calibri" w:hint="cs"/>
          <w:rtl/>
        </w:rPr>
        <w:t xml:space="preserve"> </w:t>
      </w:r>
      <w:bookmarkEnd w:id="108"/>
    </w:p>
    <w:p w:rsidR="003B5D33" w:rsidRPr="003B5D33" w:rsidP="003B5D33">
      <w:pPr>
        <w:spacing w:line="269" w:lineRule="auto"/>
        <w:ind w:left="312"/>
        <w:rPr>
          <w:rFonts w:eastAsia="Calibri"/>
          <w:b/>
          <w:bCs/>
          <w:rtl/>
        </w:rPr>
      </w:pPr>
    </w:p>
    <w:p w:rsidR="003B5D33" w:rsidRPr="003B5D33" w:rsidP="003B5D33">
      <w:pPr>
        <w:spacing w:line="269" w:lineRule="auto"/>
        <w:ind w:left="312"/>
        <w:jc w:val="center"/>
        <w:rPr>
          <w:rFonts w:ascii="Arial" w:eastAsia="Calibri" w:hAnsi="Arial" w:cs="Arial"/>
          <w:b/>
          <w:bCs/>
          <w:sz w:val="36"/>
          <w:rtl/>
        </w:rPr>
      </w:pPr>
      <w:bookmarkStart w:id="109" w:name="_Hlk203658095"/>
      <w:r w:rsidRPr="003B5D33">
        <w:rPr>
          <w:rFonts w:ascii="Segoe UI Symbol" w:eastAsia="Calibri" w:hAnsi="Segoe UI Symbol" w:cs="Segoe UI Symbol" w:hint="cs"/>
          <w:b/>
          <w:bCs/>
          <w:sz w:val="36"/>
          <w:rtl/>
        </w:rPr>
        <w:t>✰</w:t>
      </w:r>
    </w:p>
    <w:p w:rsidR="003B5D33" w:rsidRPr="00FD1373" w:rsidP="003B5D33">
      <w:pPr>
        <w:spacing w:line="269" w:lineRule="auto"/>
        <w:rPr>
          <w:rFonts w:eastAsia="Calibri"/>
          <w:b/>
          <w:bCs/>
          <w:sz w:val="10"/>
          <w:szCs w:val="14"/>
          <w:rtl/>
        </w:rPr>
      </w:pPr>
    </w:p>
    <w:p w:rsidR="003B5D33" w:rsidRPr="003B5D33" w:rsidP="003B5D33">
      <w:pPr>
        <w:spacing w:line="269" w:lineRule="auto"/>
        <w:rPr>
          <w:rFonts w:eastAsia="Calibri"/>
          <w:b/>
          <w:bCs/>
          <w:rtl/>
        </w:rPr>
      </w:pPr>
      <w:r w:rsidRPr="003B5D33">
        <w:rPr>
          <w:rFonts w:eastAsia="Calibri" w:hint="cs"/>
          <w:b/>
          <w:bCs/>
          <w:rtl/>
        </w:rPr>
        <w:t>הגבלת</w:t>
      </w:r>
      <w:r w:rsidRPr="003B5D33">
        <w:rPr>
          <w:rFonts w:eastAsia="Calibri"/>
          <w:b/>
          <w:bCs/>
          <w:rtl/>
        </w:rPr>
        <w:t xml:space="preserve"> גישתם של עובדי הארגון למידע האגור במערכות הארגון </w:t>
      </w:r>
      <w:r w:rsidRPr="003B5D33">
        <w:rPr>
          <w:rFonts w:eastAsia="Calibri" w:hint="cs"/>
          <w:b/>
          <w:bCs/>
          <w:rtl/>
        </w:rPr>
        <w:t xml:space="preserve">נועדה </w:t>
      </w:r>
      <w:bookmarkStart w:id="110" w:name="_Hlk153193149"/>
      <w:r w:rsidRPr="003B5D33">
        <w:rPr>
          <w:rFonts w:eastAsia="Calibri" w:hint="cs"/>
          <w:b/>
          <w:bCs/>
          <w:rtl/>
        </w:rPr>
        <w:t xml:space="preserve">לצמצם </w:t>
      </w:r>
      <w:r w:rsidRPr="003B5D33">
        <w:rPr>
          <w:rFonts w:eastAsia="Calibri"/>
          <w:b/>
          <w:bCs/>
          <w:rtl/>
        </w:rPr>
        <w:t xml:space="preserve">אפשרויות </w:t>
      </w:r>
      <w:r w:rsidRPr="003B5D33">
        <w:rPr>
          <w:rFonts w:eastAsia="Calibri" w:hint="cs"/>
          <w:b/>
          <w:bCs/>
          <w:rtl/>
        </w:rPr>
        <w:t>ל</w:t>
      </w:r>
      <w:r w:rsidRPr="003B5D33">
        <w:rPr>
          <w:rFonts w:eastAsia="Calibri"/>
          <w:b/>
          <w:bCs/>
          <w:rtl/>
        </w:rPr>
        <w:t>פגיעה במידע על ידי העובדים עצמם או על</w:t>
      </w:r>
      <w:r w:rsidRPr="003B5D33">
        <w:rPr>
          <w:rFonts w:eastAsia="Calibri" w:hint="cs"/>
          <w:b/>
          <w:bCs/>
          <w:rtl/>
        </w:rPr>
        <w:t xml:space="preserve"> </w:t>
      </w:r>
      <w:r w:rsidRPr="003B5D33">
        <w:rPr>
          <w:rFonts w:eastAsia="Calibri"/>
          <w:b/>
          <w:bCs/>
          <w:rtl/>
        </w:rPr>
        <w:t>ידי גורמים חיצוניים שישיגו גישה בלתי מורשית למערכות הארגון.</w:t>
      </w:r>
      <w:r w:rsidRPr="003B5D33">
        <w:rPr>
          <w:rFonts w:eastAsia="Calibri" w:hint="cs"/>
          <w:b/>
          <w:bCs/>
          <w:rtl/>
        </w:rPr>
        <w:t xml:space="preserve"> </w:t>
      </w:r>
      <w:bookmarkEnd w:id="110"/>
      <w:r w:rsidRPr="003B5D33">
        <w:rPr>
          <w:rFonts w:eastAsia="Calibri" w:hint="cs"/>
          <w:b/>
          <w:bCs/>
          <w:rtl/>
        </w:rPr>
        <w:t>ניתוח הנתונים שביצע משרד מבקר המדינה מלמד כי קיימים פערים בכל הנוגע לניהול הרשאות הגישה למערכות המידע במשרד החוץ.</w:t>
      </w:r>
      <w:r w:rsidRPr="003B5D33">
        <w:rPr>
          <w:rFonts w:eastAsia="Calibri"/>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מומלץ כי משרד החוץ ינקוט צעדים להבטחת ניהול תקין של הרשאות הגישה לרשתות המשרד.</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השיב למשרד מבקר המדינה באוקטובר 2025 כי </w:t>
      </w:r>
      <w:r w:rsidRPr="003B5D33">
        <w:rPr>
          <w:rFonts w:eastAsia="Calibri"/>
          <w:rtl/>
        </w:rPr>
        <w:t xml:space="preserve">לאחרונה נערך דיון </w:t>
      </w:r>
      <w:r w:rsidRPr="003B5D33">
        <w:rPr>
          <w:rFonts w:eastAsia="Calibri" w:hint="cs"/>
          <w:rtl/>
        </w:rPr>
        <w:t>ו</w:t>
      </w:r>
      <w:r w:rsidRPr="003B5D33">
        <w:rPr>
          <w:rFonts w:eastAsia="Calibri"/>
          <w:rtl/>
        </w:rPr>
        <w:t>בו הוצגו הפערים בניהול משתמשים והרשאות במשרד.</w:t>
      </w:r>
      <w:r w:rsidRPr="003B5D33">
        <w:rPr>
          <w:rFonts w:eastAsia="Calibri" w:hint="cs"/>
          <w:rtl/>
        </w:rPr>
        <w:t xml:space="preserve"> בדיון זה</w:t>
      </w:r>
      <w:r w:rsidRPr="003B5D33">
        <w:rPr>
          <w:rFonts w:eastAsia="Calibri"/>
          <w:rtl/>
        </w:rPr>
        <w:t xml:space="preserve"> התקבלה החלטה עקרונית על הקמת יחידה ארגונית אשר תישא באחריות כוללת לניהול משתמשים והרשאות בארץ ובחו"ל. במסגרת ההיערכות להקמת היחידה החל תהליך למיפוי ו</w:t>
      </w:r>
      <w:r w:rsidRPr="003B5D33">
        <w:rPr>
          <w:rFonts w:eastAsia="Calibri" w:hint="cs"/>
          <w:rtl/>
        </w:rPr>
        <w:t>ל</w:t>
      </w:r>
      <w:r w:rsidRPr="003B5D33">
        <w:rPr>
          <w:rFonts w:eastAsia="Calibri"/>
          <w:rtl/>
        </w:rPr>
        <w:t>ניתוח התהליכים התפעוליים הקיימים בהיבטי משאבי אנוש</w:t>
      </w:r>
      <w:r w:rsidRPr="003B5D33">
        <w:rPr>
          <w:rFonts w:eastAsia="Calibri" w:hint="cs"/>
          <w:rtl/>
        </w:rPr>
        <w:t>,</w:t>
      </w:r>
      <w:r w:rsidRPr="003B5D33">
        <w:rPr>
          <w:rFonts w:eastAsia="Calibri"/>
          <w:rtl/>
        </w:rPr>
        <w:t xml:space="preserve"> ומתוכננות התאמות ככל שיידרש.</w:t>
      </w:r>
    </w:p>
    <w:bookmarkEnd w:id="109"/>
    <w:p w:rsidR="003B5D33" w:rsidRPr="003B5D33" w:rsidP="003B5D33">
      <w:pPr>
        <w:spacing w:line="269" w:lineRule="auto"/>
        <w:rPr>
          <w:rFonts w:eastAsia="Calibri"/>
          <w:rtl/>
        </w:rPr>
      </w:pPr>
    </w:p>
    <w:p w:rsidR="003B5D33" w:rsidRPr="003B5D33" w:rsidP="003B5D33">
      <w:pPr>
        <w:keepNext/>
        <w:keepLines/>
        <w:spacing w:line="269" w:lineRule="auto"/>
        <w:outlineLvl w:val="3"/>
        <w:rPr>
          <w:rFonts w:eastAsia="Times New Roman"/>
          <w:bCs/>
          <w:sz w:val="24"/>
          <w:szCs w:val="26"/>
          <w:rtl/>
        </w:rPr>
      </w:pPr>
      <w:bookmarkStart w:id="111" w:name="_Hlk152852670"/>
      <w:r w:rsidRPr="003B5D33">
        <w:rPr>
          <w:rFonts w:eastAsia="Times New Roman" w:hint="cs"/>
          <w:bCs/>
          <w:sz w:val="24"/>
          <w:szCs w:val="26"/>
          <w:rtl/>
        </w:rPr>
        <w:t>בקרה על מערך ניהול ההרשאות</w:t>
      </w:r>
    </w:p>
    <w:bookmarkEnd w:id="111"/>
    <w:p w:rsidR="003B5D33" w:rsidRPr="003B5D33" w:rsidP="003B5D33">
      <w:pPr>
        <w:spacing w:line="269" w:lineRule="auto"/>
        <w:rPr>
          <w:rFonts w:eastAsia="Calibri"/>
          <w:sz w:val="24"/>
          <w:rtl/>
        </w:rPr>
      </w:pPr>
    </w:p>
    <w:p w:rsidR="003B5D33" w:rsidRPr="003B5D33" w:rsidP="003B5D33">
      <w:pPr>
        <w:spacing w:line="269" w:lineRule="auto"/>
        <w:rPr>
          <w:rFonts w:eastAsia="Calibri"/>
          <w:sz w:val="24"/>
          <w:rtl/>
        </w:rPr>
      </w:pPr>
      <w:r w:rsidRPr="003B5D33">
        <w:rPr>
          <w:rFonts w:eastAsia="Calibri" w:hint="cs"/>
          <w:sz w:val="24"/>
          <w:rtl/>
        </w:rPr>
        <w:t xml:space="preserve">בהנחיית יה"ב נקבע כי מפעם לפעם תיערך בקרה על מערך ניהול ההרשאות כדי לוודא את יישום ההנחיות והעקרונות שנקבעו: אחת לחצי שנה ייבחנו ההרשאות של </w:t>
      </w:r>
      <w:r w:rsidRPr="003B5D33">
        <w:rPr>
          <w:rFonts w:eastAsia="Calibri"/>
          <w:sz w:val="24"/>
          <w:rtl/>
        </w:rPr>
        <w:t>משתמשים חזקים</w:t>
      </w:r>
      <w:r w:rsidRPr="003B5D33">
        <w:rPr>
          <w:rFonts w:eastAsia="Calibri" w:hint="cs"/>
          <w:sz w:val="24"/>
          <w:rtl/>
        </w:rPr>
        <w:t xml:space="preserve"> ויבוטלו הרשאות עודפות; אחת לשנה יוודא מנהל הגנת הסייבר עם מנהלי המחלקות במשרד הממשלתי כי ההרשאות שניתנו לעובדי המחלקה עודן נדרשות. הוראות דומות נקבעו בהנחיות השב"כ. גם בנוהלי משרד החוץ נקבע כי </w:t>
      </w:r>
      <w:r w:rsidRPr="003B5D33">
        <w:rPr>
          <w:rFonts w:eastAsia="Calibri"/>
          <w:sz w:val="24"/>
          <w:rtl/>
        </w:rPr>
        <w:t>כל בעל נכס מידע במשרד ייזום אחת לשנה לפחות סקר הרשאות גישה למאגר עבור כלל המשתמשים</w:t>
      </w:r>
      <w:r w:rsidRPr="003B5D33">
        <w:rPr>
          <w:rFonts w:eastAsia="Calibri" w:hint="cs"/>
          <w:sz w:val="24"/>
          <w:rtl/>
        </w:rPr>
        <w:t>;</w:t>
      </w:r>
      <w:r w:rsidRPr="003B5D33">
        <w:rPr>
          <w:rFonts w:eastAsia="Calibri"/>
          <w:sz w:val="24"/>
          <w:rtl/>
        </w:rPr>
        <w:t xml:space="preserve"> הרשאות</w:t>
      </w:r>
      <w:r w:rsidRPr="003B5D33">
        <w:rPr>
          <w:rFonts w:eastAsia="Calibri" w:hint="cs"/>
          <w:sz w:val="24"/>
          <w:rtl/>
        </w:rPr>
        <w:t xml:space="preserve"> </w:t>
      </w:r>
      <w:r w:rsidRPr="003B5D33">
        <w:rPr>
          <w:rFonts w:eastAsia="Calibri"/>
          <w:sz w:val="24"/>
          <w:rtl/>
        </w:rPr>
        <w:t>שאינן נדרשות יבוטלו</w:t>
      </w:r>
      <w:r w:rsidRPr="003B5D33">
        <w:rPr>
          <w:rFonts w:eastAsia="Calibri" w:hint="cs"/>
          <w:sz w:val="24"/>
          <w:rtl/>
        </w:rPr>
        <w:t>; ו</w:t>
      </w:r>
      <w:r w:rsidRPr="003B5D33">
        <w:rPr>
          <w:rFonts w:eastAsia="Calibri"/>
          <w:sz w:val="24"/>
          <w:rtl/>
        </w:rPr>
        <w:t>סקר הרשאות יבוצע גם במסגרת סקרי סיכוני סייבר ש</w:t>
      </w:r>
      <w:r w:rsidRPr="003B5D33">
        <w:rPr>
          <w:rFonts w:eastAsia="Calibri" w:hint="cs"/>
          <w:sz w:val="24"/>
          <w:rtl/>
        </w:rPr>
        <w:t>י</w:t>
      </w:r>
      <w:r w:rsidRPr="003B5D33">
        <w:rPr>
          <w:rFonts w:eastAsia="Calibri"/>
          <w:sz w:val="24"/>
          <w:rtl/>
        </w:rPr>
        <w:t>י</w:t>
      </w:r>
      <w:r w:rsidRPr="003B5D33">
        <w:rPr>
          <w:rFonts w:eastAsia="Calibri" w:hint="cs"/>
          <w:sz w:val="24"/>
          <w:rtl/>
        </w:rPr>
        <w:t>זו</w:t>
      </w:r>
      <w:r w:rsidRPr="003B5D33">
        <w:rPr>
          <w:rFonts w:eastAsia="Calibri"/>
          <w:sz w:val="24"/>
          <w:rtl/>
        </w:rPr>
        <w:t xml:space="preserve">ם ממונה הגנת הסייבר </w:t>
      </w:r>
      <w:r w:rsidRPr="003B5D33">
        <w:rPr>
          <w:rFonts w:eastAsia="Calibri" w:hint="cs"/>
          <w:sz w:val="24"/>
          <w:rtl/>
        </w:rPr>
        <w:t>מפעם לפעם.</w:t>
      </w:r>
    </w:p>
    <w:p w:rsidR="003B5D33" w:rsidRPr="003B5D33" w:rsidP="003B5D33">
      <w:pPr>
        <w:spacing w:line="269" w:lineRule="auto"/>
        <w:rPr>
          <w:rFonts w:eastAsia="Calibri"/>
          <w:sz w:val="24"/>
          <w:rtl/>
        </w:rPr>
      </w:pPr>
      <w:bookmarkStart w:id="112" w:name="_Hlk152852696"/>
    </w:p>
    <w:p w:rsidR="003B5D33" w:rsidRPr="003B5D33" w:rsidP="003B5D33">
      <w:pPr>
        <w:spacing w:line="269" w:lineRule="auto"/>
        <w:rPr>
          <w:rFonts w:eastAsia="Calibri"/>
          <w:sz w:val="24"/>
        </w:rPr>
      </w:pPr>
      <w:r w:rsidRPr="003B5D33">
        <w:rPr>
          <w:rFonts w:eastAsia="Calibri" w:hint="cs"/>
          <w:sz w:val="24"/>
          <w:rtl/>
        </w:rPr>
        <w:t xml:space="preserve">משרד מבקר המדינה בחן את יישום ההנחיות האמורות. בהתאם להנחיות, משרד החוץ נדרש לבצע בסך הכול שבע בקרות בשנים 2021 - 2024 (עד יולי 2024) לבחינת הרשאות של </w:t>
      </w:r>
      <w:r w:rsidRPr="003B5D33">
        <w:rPr>
          <w:rFonts w:eastAsia="Calibri"/>
          <w:sz w:val="24"/>
          <w:rtl/>
        </w:rPr>
        <w:t>משתמשים חזקים</w:t>
      </w:r>
      <w:r w:rsidRPr="003B5D33">
        <w:rPr>
          <w:rFonts w:eastAsia="Calibri" w:hint="cs"/>
          <w:sz w:val="24"/>
          <w:rtl/>
        </w:rPr>
        <w:t xml:space="preserve">, וארבע בקרות לבדיקת ההרשאות של משתמשים רגילים. </w:t>
      </w:r>
    </w:p>
    <w:p w:rsidR="003B5D33" w:rsidRPr="003B5D33" w:rsidP="003B5D33">
      <w:pPr>
        <w:spacing w:line="269" w:lineRule="auto"/>
        <w:rPr>
          <w:rFonts w:eastAsia="Calibri"/>
          <w:b/>
          <w:bCs/>
          <w:rtl/>
        </w:rPr>
      </w:pPr>
      <w:bookmarkStart w:id="113" w:name="_Hlk203658212"/>
      <w:bookmarkEnd w:id="112"/>
    </w:p>
    <w:p w:rsidR="003B5D33" w:rsidRPr="003B5D33" w:rsidP="003B5D33">
      <w:pPr>
        <w:spacing w:line="269" w:lineRule="auto"/>
        <w:rPr>
          <w:rFonts w:eastAsia="Calibri"/>
          <w:b/>
          <w:bCs/>
          <w:rtl/>
        </w:rPr>
      </w:pPr>
      <w:r w:rsidRPr="003B5D33">
        <w:rPr>
          <w:rFonts w:eastAsia="Calibri" w:hint="cs"/>
          <w:b/>
          <w:bCs/>
          <w:rtl/>
        </w:rPr>
        <w:t xml:space="preserve">הביקורת העלתה כי בשנים 2021 - 2024 </w:t>
      </w:r>
      <w:r w:rsidRPr="003B5D33">
        <w:rPr>
          <w:rFonts w:eastAsia="Calibri"/>
          <w:b/>
          <w:bCs/>
          <w:rtl/>
        </w:rPr>
        <w:t xml:space="preserve">(עד יולי 2024) </w:t>
      </w:r>
      <w:r w:rsidRPr="003B5D33">
        <w:rPr>
          <w:rFonts w:eastAsia="Calibri" w:hint="cs"/>
          <w:b/>
          <w:bCs/>
          <w:rtl/>
        </w:rPr>
        <w:t xml:space="preserve">בוצעה בדיקה אחת בלבד, בינואר 2023, מתוך שבע </w:t>
      </w:r>
      <w:r w:rsidRPr="003B5D33">
        <w:rPr>
          <w:rFonts w:eastAsia="Calibri" w:hint="eastAsia"/>
          <w:b/>
          <w:bCs/>
          <w:rtl/>
        </w:rPr>
        <w:t>בדיקות</w:t>
      </w:r>
      <w:r w:rsidRPr="003B5D33">
        <w:rPr>
          <w:rFonts w:eastAsia="Calibri" w:hint="cs"/>
          <w:b/>
          <w:bCs/>
          <w:rtl/>
        </w:rPr>
        <w:t xml:space="preserve"> נדרשות לבחינת הרשאות של </w:t>
      </w:r>
      <w:r w:rsidRPr="003B5D33">
        <w:rPr>
          <w:rFonts w:eastAsia="Calibri"/>
          <w:b/>
          <w:bCs/>
          <w:rtl/>
        </w:rPr>
        <w:t>משתמשים חזקים</w:t>
      </w:r>
      <w:r w:rsidRPr="003B5D33">
        <w:rPr>
          <w:rFonts w:eastAsia="Calibri" w:hint="cs"/>
          <w:b/>
          <w:bCs/>
          <w:rtl/>
        </w:rPr>
        <w:t xml:space="preserve">. הבדיקה בוצעה בקבוצה אחת של </w:t>
      </w:r>
      <w:r w:rsidRPr="003B5D33">
        <w:rPr>
          <w:rFonts w:eastAsia="Calibri"/>
          <w:b/>
          <w:bCs/>
          <w:rtl/>
        </w:rPr>
        <w:t>משתמשים חזקים</w:t>
      </w:r>
      <w:r w:rsidRPr="003B5D33">
        <w:rPr>
          <w:rFonts w:eastAsia="Calibri" w:hint="cs"/>
          <w:b/>
          <w:bCs/>
          <w:rtl/>
        </w:rPr>
        <w:t xml:space="preserve"> בחלק מרשתות המשרד. עוד נמצא כי אגף התקשוב במשרד ביצע בשנים 2021 - 2024 בקרות לזיהוי משתמשים שלא נכנסו לרשת זה 90 יום או 180 יום, ומשתמשים שלא החליפו סיסמה זמן רב. עם זאת, ההרשאות של כל המשתמשים לא נשלחו למנהלי המחלקות במשרד לצורך בחינה אם הן עדיין נדרשות ובאיזה היקף.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יצוין לחיוב כי בשנת 2024 אגף התקשוב השווה מדי חודש בין מידע שקיבל מאגף הון אנושי במשרד בנוגע לעובדים שסיימו את העסקתם לבין משתמשים פעילים בכל אחד מהדומיינים במשרד. כמו כן האגף ביצע את הבקרות בנוגע ל</w:t>
      </w:r>
      <w:r w:rsidRPr="003B5D33">
        <w:rPr>
          <w:rFonts w:eastAsia="Calibri"/>
          <w:b/>
          <w:bCs/>
          <w:rtl/>
        </w:rPr>
        <w:t>משתמשים שסיסמתם חלשה וניתנת לפיצוח בזמן קצר</w:t>
      </w:r>
      <w:r w:rsidRPr="003B5D33">
        <w:rPr>
          <w:rFonts w:eastAsia="Calibri" w:hint="cs"/>
          <w:b/>
          <w:b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החוץ השיב כי באוגוסט 2024 החל ב</w:t>
      </w:r>
      <w:r w:rsidRPr="003B5D33">
        <w:rPr>
          <w:rFonts w:eastAsia="Calibri"/>
          <w:rtl/>
        </w:rPr>
        <w:t xml:space="preserve">פרויקט סקירת הרשאות </w:t>
      </w:r>
      <w:r w:rsidRPr="003B5D33">
        <w:rPr>
          <w:rFonts w:eastAsia="Calibri" w:hint="cs"/>
          <w:rtl/>
        </w:rPr>
        <w:t>שה</w:t>
      </w:r>
      <w:r w:rsidRPr="003B5D33">
        <w:rPr>
          <w:rFonts w:eastAsia="Calibri"/>
          <w:rtl/>
        </w:rPr>
        <w:t>תמקד בצמצום סיכוני הסייבר על ידי הערכה שיטתית של רמות ההרשאה הקיימות, זיהוי הרשאות עודפות והבטחת הגישה המינימלית ההכרחית לכל תפקיד.</w:t>
      </w:r>
      <w:r w:rsidRPr="003B5D33">
        <w:rPr>
          <w:rFonts w:eastAsia="Calibri" w:hint="cs"/>
          <w:rtl/>
        </w:rPr>
        <w:t xml:space="preserve"> כמו כן נערכה סקירת הרשאות למשתמשים במספר מערכות מידע.</w:t>
      </w:r>
    </w:p>
    <w:p w:rsidR="003B5D33" w:rsidRPr="003B5D33" w:rsidP="003B5D33">
      <w:pPr>
        <w:spacing w:line="269" w:lineRule="auto"/>
        <w:rPr>
          <w:rFonts w:eastAsia="Calibri"/>
          <w:b/>
          <w:bCs/>
          <w:rtl/>
        </w:rPr>
      </w:pPr>
    </w:p>
    <w:p w:rsidR="003B5D33" w:rsidP="003B5D33">
      <w:pPr>
        <w:spacing w:line="269" w:lineRule="auto"/>
        <w:rPr>
          <w:rFonts w:eastAsia="Calibri"/>
          <w:b/>
          <w:bCs/>
          <w:rtl/>
        </w:rPr>
      </w:pPr>
      <w:r w:rsidRPr="003B5D33">
        <w:rPr>
          <w:rFonts w:eastAsia="Calibri" w:hint="cs"/>
          <w:b/>
          <w:bCs/>
          <w:rtl/>
        </w:rPr>
        <w:t>משרד מבקר המדינה מציין לחיוב את יישום פרויקט סקירת ההרשאות וממליץ כי הפרויקט יורחב גם לסקירת ההרשאות של המשתמשים בכל יחידה עסקית. על משרד החוץ לגבש גם תוכנית עבודה סדורה לביצוע כל הבקרות הנדרשות בהתאם להנחיות הגורמים המנחים, ליישמה באופן שיטתי ולטפל בפערים שיעלו בבקרות. זאת כדי להקטין את החשיפה לסיכון של גישה לא מורשית למערכות המידע של המשרד.</w:t>
      </w:r>
      <w:bookmarkEnd w:id="97"/>
      <w:bookmarkEnd w:id="113"/>
    </w:p>
    <w:p w:rsidR="00E57B02" w:rsidP="003B5D33">
      <w:pPr>
        <w:spacing w:line="269" w:lineRule="auto"/>
        <w:rPr>
          <w:rFonts w:eastAsia="Calibri"/>
          <w:b/>
          <w:bCs/>
          <w:rtl/>
        </w:rPr>
      </w:pPr>
    </w:p>
    <w:p w:rsidR="00E57B02" w:rsidRPr="00DA2F85" w:rsidP="003B5D33">
      <w:pPr>
        <w:spacing w:line="269" w:lineRule="auto"/>
        <w:rPr>
          <w:rFonts w:eastAsia="Calibri"/>
          <w:b/>
          <w:bCs/>
          <w:rtl/>
        </w:rPr>
      </w:pPr>
    </w:p>
    <w:p w:rsidR="003B5D33" w:rsidRPr="003B5D33" w:rsidP="003B5D33">
      <w:pPr>
        <w:keepNext/>
        <w:keepLines/>
        <w:spacing w:line="269" w:lineRule="auto"/>
        <w:jc w:val="center"/>
        <w:outlineLvl w:val="1"/>
        <w:rPr>
          <w:rFonts w:eastAsia="Times New Roman"/>
          <w:bCs/>
          <w:szCs w:val="32"/>
          <w:rtl/>
        </w:rPr>
      </w:pPr>
      <w:bookmarkStart w:id="114" w:name="_Toc218592824"/>
      <w:bookmarkStart w:id="115" w:name="_Hlk203658220"/>
      <w:r w:rsidRPr="003B5D33">
        <w:rPr>
          <w:rFonts w:eastAsia="Times New Roman" w:hint="cs"/>
          <w:bCs/>
          <w:szCs w:val="32"/>
          <w:rtl/>
        </w:rPr>
        <w:t>הגנה על מאגרי מידע לפי חוק הגנת הפרטיות</w:t>
      </w:r>
      <w:bookmarkEnd w:id="114"/>
      <w:r w:rsidRPr="003B5D33">
        <w:rPr>
          <w:rFonts w:eastAsia="Times New Roman" w:hint="cs"/>
          <w:bCs/>
          <w:szCs w:val="32"/>
          <w:rtl/>
        </w:rPr>
        <w:t xml:space="preserve"> </w:t>
      </w:r>
    </w:p>
    <w:bookmarkEnd w:id="115"/>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חוק הגנת הפרטיות, התשמ"א-1981</w:t>
      </w:r>
      <w:r>
        <w:rPr>
          <w:rFonts w:eastAsia="Calibri"/>
          <w:vertAlign w:val="superscript"/>
          <w:rtl/>
        </w:rPr>
        <w:footnoteReference w:id="124"/>
      </w:r>
      <w:r w:rsidRPr="003B5D33">
        <w:rPr>
          <w:rFonts w:eastAsia="Calibri" w:hint="cs"/>
          <w:rtl/>
        </w:rPr>
        <w:t>, מחייב בעלים של מאגר מידע, מחזיק במאגר מידע</w:t>
      </w:r>
      <w:r>
        <w:rPr>
          <w:rFonts w:eastAsia="Calibri"/>
          <w:vertAlign w:val="superscript"/>
          <w:rtl/>
        </w:rPr>
        <w:footnoteReference w:id="125"/>
      </w:r>
      <w:r w:rsidRPr="003B5D33">
        <w:rPr>
          <w:rFonts w:eastAsia="Calibri" w:hint="cs"/>
          <w:rtl/>
        </w:rPr>
        <w:t xml:space="preserve"> ומנהל מאגר מידע להגן על מאגרי מידע שברשותם כהגדרתם בחוק. מאגר מידע מוגדר בחוק כאוסף נתוני מידע, המוחזק באמצעי מגנטי או אופטי ומיועד לעיבוד ממוחשב</w:t>
      </w:r>
      <w:r>
        <w:rPr>
          <w:rFonts w:eastAsia="Calibri"/>
          <w:vertAlign w:val="superscript"/>
          <w:rtl/>
        </w:rPr>
        <w:footnoteReference w:id="126"/>
      </w:r>
      <w:r w:rsidRPr="003B5D33">
        <w:rPr>
          <w:rFonts w:eastAsia="Calibri" w:hint="cs"/>
          <w:rtl/>
        </w:rPr>
        <w:t>. החוק מגדיר "מידע" כנתונים על אישיותו של אדם, מעמדו האישי, צנעת אישיותו, מצב בריאותו, מצבו הכלכלי, הכשרתו המקצועית, דעותיו ואמונתו, ו"מידע רגיש" כנתונים על אישיותו של אדם, צנעת אישיותו, מצב בריאותו, מצבו הכלכלי, דעותיו ואמונתו</w:t>
      </w:r>
      <w:r>
        <w:rPr>
          <w:rFonts w:eastAsia="Calibri"/>
          <w:vertAlign w:val="superscript"/>
          <w:rtl/>
        </w:rPr>
        <w:footnoteReference w:id="127"/>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rtl/>
        </w:rPr>
        <w:t xml:space="preserve">תקנות הגנת הפרטיות (אבטחת מידע), </w:t>
      </w:r>
      <w:r w:rsidRPr="003B5D33">
        <w:rPr>
          <w:rFonts w:eastAsia="Calibri" w:hint="cs"/>
          <w:rtl/>
        </w:rPr>
        <w:t>ה</w:t>
      </w:r>
      <w:r w:rsidRPr="003B5D33">
        <w:rPr>
          <w:rFonts w:eastAsia="Calibri"/>
          <w:rtl/>
        </w:rPr>
        <w:t>תשע"ז-2017</w:t>
      </w:r>
      <w:r w:rsidRPr="003B5D33">
        <w:rPr>
          <w:rFonts w:eastAsia="Calibri" w:hint="cs"/>
          <w:rtl/>
        </w:rPr>
        <w:t xml:space="preserve"> (להלן - תקנות הגנת הפרטיות), מפרטות את החובות המוטלות על מי שאחראי לאבטחת המידע של מאגר המידע, כאשר רמת האבטחה הנדרשת נקבעת בהתאם לרגישות המידע שמנוהל או מוחזק במאגר</w:t>
      </w:r>
      <w:r>
        <w:rPr>
          <w:rFonts w:eastAsia="Calibri"/>
          <w:vertAlign w:val="superscript"/>
          <w:rtl/>
        </w:rPr>
        <w:footnoteReference w:id="128"/>
      </w:r>
      <w:r w:rsidRPr="003B5D33">
        <w:rPr>
          <w:rFonts w:eastAsia="Calibri" w:hint="cs"/>
          <w:rtl/>
        </w:rPr>
        <w:t>, ובהתאם למספר האנשים שיש מידע עליהם במאגר ומספר המורשים לגשת אליו</w:t>
      </w:r>
      <w:r>
        <w:rPr>
          <w:rFonts w:eastAsia="Calibri"/>
          <w:vertAlign w:val="superscript"/>
          <w:rtl/>
        </w:rPr>
        <w:footnoteReference w:id="129"/>
      </w:r>
      <w:r w:rsidRPr="003B5D33">
        <w:rPr>
          <w:rFonts w:eastAsia="Calibri" w:hint="cs"/>
          <w:rtl/>
        </w:rPr>
        <w:t xml:space="preserve">. בחוק נקבע כי גופים מסוימים - ובהם גוף ציבורי </w:t>
      </w:r>
      <w:r w:rsidRPr="003B5D33">
        <w:rPr>
          <w:rFonts w:eastAsia="Calibri" w:hint="eastAsia"/>
          <w:rtl/>
        </w:rPr>
        <w:t>כהגדרתו</w:t>
      </w:r>
      <w:r w:rsidRPr="003B5D33">
        <w:rPr>
          <w:rFonts w:eastAsia="Calibri"/>
          <w:rtl/>
        </w:rPr>
        <w:t xml:space="preserve"> </w:t>
      </w:r>
      <w:r w:rsidRPr="003B5D33">
        <w:rPr>
          <w:rFonts w:eastAsia="Calibri" w:hint="eastAsia"/>
          <w:rtl/>
        </w:rPr>
        <w:t>בחוק</w:t>
      </w:r>
      <w:r w:rsidRPr="003B5D33">
        <w:rPr>
          <w:rFonts w:eastAsia="Calibri" w:hint="cs"/>
          <w:rtl/>
        </w:rPr>
        <w:t xml:space="preserve">, </w:t>
      </w:r>
      <w:r w:rsidRPr="003B5D33">
        <w:rPr>
          <w:rFonts w:eastAsia="Calibri"/>
          <w:rtl/>
        </w:rPr>
        <w:t>הכולל משרדי ממשלה ומוסדות מדינה אחרים</w:t>
      </w:r>
      <w:r w:rsidRPr="003B5D33">
        <w:rPr>
          <w:rFonts w:eastAsia="Calibri" w:hint="cs"/>
          <w:rtl/>
        </w:rPr>
        <w:t xml:space="preserve"> - נדרשים למנות ממונה על אבטחת מידע </w:t>
      </w:r>
      <w:r w:rsidRPr="003B5D33">
        <w:rPr>
          <w:rFonts w:eastAsia="Calibri" w:hint="eastAsia"/>
          <w:rtl/>
        </w:rPr>
        <w:t>שיהיה</w:t>
      </w:r>
      <w:r w:rsidRPr="003B5D33">
        <w:rPr>
          <w:rFonts w:eastAsia="Calibri"/>
          <w:rtl/>
        </w:rPr>
        <w:t xml:space="preserve"> אחראי לאבטחת המידע במאגרים </w:t>
      </w:r>
      <w:r w:rsidRPr="003B5D33">
        <w:rPr>
          <w:rFonts w:eastAsia="Calibri" w:hint="eastAsia"/>
          <w:rtl/>
        </w:rPr>
        <w:t>ש</w:t>
      </w:r>
      <w:r w:rsidRPr="003B5D33">
        <w:rPr>
          <w:rFonts w:eastAsia="Calibri"/>
          <w:rtl/>
        </w:rPr>
        <w:t>ברשות הגו</w:t>
      </w:r>
      <w:r w:rsidRPr="003B5D33">
        <w:rPr>
          <w:rFonts w:eastAsia="Calibri" w:hint="eastAsia"/>
          <w:rtl/>
        </w:rPr>
        <w:t>ף</w:t>
      </w:r>
      <w:r w:rsidRPr="003B5D33">
        <w:rPr>
          <w:rFonts w:eastAsia="Calibri"/>
          <w:rtl/>
        </w:rPr>
        <w:t xml:space="preserve"> </w:t>
      </w:r>
      <w:r w:rsidRPr="003B5D33">
        <w:rPr>
          <w:rFonts w:eastAsia="Calibri" w:hint="cs"/>
          <w:rtl/>
        </w:rPr>
        <w:t>ש</w:t>
      </w:r>
      <w:r w:rsidRPr="003B5D33">
        <w:rPr>
          <w:rFonts w:eastAsia="Calibri" w:hint="eastAsia"/>
          <w:rtl/>
        </w:rPr>
        <w:t>בו</w:t>
      </w:r>
      <w:r w:rsidRPr="003B5D33">
        <w:rPr>
          <w:rFonts w:eastAsia="Calibri"/>
          <w:rtl/>
        </w:rPr>
        <w:t xml:space="preserve"> </w:t>
      </w:r>
      <w:r w:rsidRPr="003B5D33">
        <w:rPr>
          <w:rFonts w:eastAsia="Calibri" w:hint="eastAsia"/>
          <w:rtl/>
        </w:rPr>
        <w:t>הוא</w:t>
      </w:r>
      <w:r w:rsidRPr="003B5D33">
        <w:rPr>
          <w:rFonts w:eastAsia="Calibri"/>
          <w:rtl/>
        </w:rPr>
        <w:t xml:space="preserve"> </w:t>
      </w:r>
      <w:r w:rsidRPr="003B5D33">
        <w:rPr>
          <w:rFonts w:eastAsia="Calibri" w:hint="eastAsia"/>
          <w:rtl/>
        </w:rPr>
        <w:t>עובד</w:t>
      </w:r>
      <w:r w:rsidRPr="003B5D33">
        <w:rPr>
          <w:rFonts w:eastAsia="Calibri" w:hint="cs"/>
          <w:rtl/>
        </w:rPr>
        <w:t>. כמו כן, על פי התקנות, מאגרי מידע שהם בבעלות משרד ממשלתי נדרשים להיות ברמת אבטחה בינונית לפחות.</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במסמך מדיניות </w:t>
      </w:r>
      <w:r w:rsidRPr="003B5D33">
        <w:rPr>
          <w:rFonts w:eastAsia="Calibri"/>
          <w:rtl/>
        </w:rPr>
        <w:t>הגנת הסייבר ואבטחת המידע במשרד החוץ</w:t>
      </w:r>
      <w:r w:rsidRPr="003B5D33">
        <w:rPr>
          <w:rFonts w:eastAsia="Calibri" w:hint="cs"/>
          <w:rtl/>
        </w:rPr>
        <w:t xml:space="preserve"> שאושר באפריל 2018 קבע המשרד כי </w:t>
      </w:r>
      <w:r w:rsidRPr="003B5D33">
        <w:rPr>
          <w:rFonts w:eastAsia="Calibri"/>
          <w:rtl/>
        </w:rPr>
        <w:t>מידע על עובדים שה</w:t>
      </w:r>
      <w:r w:rsidRPr="003B5D33">
        <w:rPr>
          <w:rFonts w:eastAsia="Calibri" w:hint="cs"/>
          <w:rtl/>
        </w:rPr>
        <w:t>וא</w:t>
      </w:r>
      <w:r w:rsidRPr="003B5D33">
        <w:rPr>
          <w:rFonts w:eastAsia="Calibri"/>
          <w:rtl/>
        </w:rPr>
        <w:t xml:space="preserve"> בגדר צנעת</w:t>
      </w:r>
      <w:r w:rsidRPr="003B5D33">
        <w:rPr>
          <w:rFonts w:eastAsia="Calibri" w:hint="cs"/>
          <w:rtl/>
        </w:rPr>
        <w:t xml:space="preserve"> </w:t>
      </w:r>
      <w:r w:rsidRPr="003B5D33">
        <w:rPr>
          <w:rFonts w:eastAsia="Calibri"/>
          <w:rtl/>
        </w:rPr>
        <w:t>הפרט נשמר במאגרי</w:t>
      </w:r>
      <w:r w:rsidRPr="003B5D33">
        <w:rPr>
          <w:rFonts w:eastAsia="Calibri" w:hint="cs"/>
          <w:rtl/>
        </w:rPr>
        <w:t xml:space="preserve"> </w:t>
      </w:r>
      <w:r w:rsidRPr="003B5D33">
        <w:rPr>
          <w:rFonts w:eastAsia="Calibri"/>
          <w:rtl/>
        </w:rPr>
        <w:t>מידע ארגוניים</w:t>
      </w:r>
      <w:r w:rsidRPr="003B5D33">
        <w:rPr>
          <w:rFonts w:eastAsia="Calibri" w:hint="cs"/>
          <w:rtl/>
        </w:rPr>
        <w:t>,</w:t>
      </w:r>
      <w:r w:rsidRPr="003B5D33">
        <w:rPr>
          <w:rFonts w:eastAsia="Calibri"/>
          <w:rtl/>
        </w:rPr>
        <w:t xml:space="preserve"> והנהלת המשרד מחויבת להגן עליהם בהתאם להוראות הדין, לרבות תקנות הגנת הפרטיות, </w:t>
      </w:r>
      <w:r w:rsidRPr="003B5D33">
        <w:rPr>
          <w:rFonts w:eastAsia="Calibri" w:hint="cs"/>
          <w:rtl/>
        </w:rPr>
        <w:t>כדי</w:t>
      </w:r>
      <w:r w:rsidRPr="003B5D33">
        <w:rPr>
          <w:rFonts w:eastAsia="Calibri"/>
          <w:rtl/>
        </w:rPr>
        <w:t xml:space="preserve"> למזער את הסיכון לפגיעה בזכות</w:t>
      </w:r>
      <w:r w:rsidRPr="003B5D33">
        <w:rPr>
          <w:rFonts w:eastAsia="Calibri" w:hint="cs"/>
          <w:rtl/>
        </w:rPr>
        <w:t xml:space="preserve"> </w:t>
      </w:r>
      <w:r w:rsidRPr="003B5D33">
        <w:rPr>
          <w:rFonts w:eastAsia="Calibri"/>
          <w:rtl/>
        </w:rPr>
        <w:t>העובדים לפרטיות</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במשרד החוץ מנוהלים עשרות מאגרי מידע, חלקם כוללים מידע אישי-פרטי, מידע כלכלי, ומידע רפואי.</w:t>
      </w:r>
    </w:p>
    <w:p w:rsidR="00E57B02" w:rsidRPr="00866A07">
      <w:pPr>
        <w:bidi w:val="0"/>
        <w:spacing w:after="200" w:line="276" w:lineRule="auto"/>
        <w:rPr>
          <w:rFonts w:eastAsia="Times New Roman"/>
          <w:b/>
          <w:szCs w:val="28"/>
          <w:rtl/>
        </w:rPr>
      </w:pPr>
      <w:bookmarkStart w:id="116" w:name="_Toc218592825"/>
    </w:p>
    <w:p w:rsidR="003B5D33" w:rsidRPr="003B5D33" w:rsidP="003B5D33">
      <w:pPr>
        <w:keepNext/>
        <w:keepLines/>
        <w:spacing w:line="269" w:lineRule="auto"/>
        <w:outlineLvl w:val="2"/>
        <w:rPr>
          <w:rFonts w:eastAsia="Times New Roman"/>
          <w:bCs/>
          <w:szCs w:val="28"/>
          <w:u w:val="single"/>
          <w:rtl/>
        </w:rPr>
      </w:pPr>
      <w:r w:rsidRPr="003B5D33">
        <w:rPr>
          <w:rFonts w:eastAsia="Times New Roman" w:hint="cs"/>
          <w:bCs/>
          <w:szCs w:val="28"/>
          <w:u w:val="single"/>
          <w:rtl/>
        </w:rPr>
        <w:t>יישום חוק הגנת הפרטיות ותקנותיו במשרד החוץ</w:t>
      </w:r>
      <w:bookmarkEnd w:id="116"/>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מבקר המדינה בחן את יישום חוק הגנת הפרטיות ותקנותיו במשרד החוץ. להלן הממצאים. </w:t>
      </w:r>
    </w:p>
    <w:p w:rsidR="003B5D33" w:rsidRPr="003B5D33" w:rsidP="003B5D33">
      <w:pPr>
        <w:spacing w:line="269" w:lineRule="auto"/>
        <w:jc w:val="center"/>
        <w:rPr>
          <w:rFonts w:eastAsia="Calibri"/>
          <w:rtl/>
        </w:rPr>
      </w:pPr>
    </w:p>
    <w:p w:rsidR="00DA2F85" w:rsidP="003B5D33">
      <w:pPr>
        <w:spacing w:line="269" w:lineRule="auto"/>
        <w:jc w:val="center"/>
        <w:rPr>
          <w:rFonts w:eastAsia="Calibri"/>
          <w:rtl/>
        </w:rPr>
      </w:pPr>
    </w:p>
    <w:p w:rsidR="003B5D33" w:rsidRPr="003B5D33" w:rsidP="003B5D33">
      <w:pPr>
        <w:spacing w:line="269" w:lineRule="auto"/>
        <w:jc w:val="center"/>
        <w:rPr>
          <w:rFonts w:eastAsia="Calibri"/>
          <w:b/>
          <w:bCs/>
          <w:rtl/>
        </w:rPr>
      </w:pPr>
      <w:r w:rsidRPr="003B5D33">
        <w:rPr>
          <w:rFonts w:eastAsia="Calibri" w:hint="eastAsia"/>
          <w:rtl/>
        </w:rPr>
        <w:t>לוח</w:t>
      </w:r>
      <w:r w:rsidRPr="003B5D33">
        <w:rPr>
          <w:rFonts w:eastAsia="Calibri"/>
          <w:rtl/>
        </w:rPr>
        <w:t xml:space="preserve"> </w:t>
      </w:r>
      <w:r w:rsidRPr="003B5D33">
        <w:rPr>
          <w:rFonts w:eastAsia="Calibri" w:hint="cs"/>
          <w:rtl/>
        </w:rPr>
        <w:t>2</w:t>
      </w:r>
      <w:r w:rsidRPr="003B5D33">
        <w:rPr>
          <w:rFonts w:eastAsia="Calibri"/>
          <w:rtl/>
        </w:rPr>
        <w:t>:</w:t>
      </w:r>
      <w:r w:rsidRPr="003B5D33">
        <w:rPr>
          <w:rFonts w:eastAsia="Calibri" w:hint="cs"/>
          <w:b/>
          <w:bCs/>
          <w:rtl/>
        </w:rPr>
        <w:t xml:space="preserve"> יישום חוק הגנת הפרטיות ותקנותיו במשרד החוץ</w:t>
      </w:r>
    </w:p>
    <w:tbl>
      <w:tblPr>
        <w:bidiVisual/>
        <w:tblW w:w="0" w:type="auto"/>
        <w:jc w:val="center"/>
        <w:tblBorders>
          <w:bottom w:val="single" w:sz="12" w:space="0" w:color="4CC0EF"/>
          <w:insideH w:val="single" w:sz="12" w:space="0" w:color="4CC0EF"/>
          <w:insideV w:val="single" w:sz="24" w:space="0" w:color="FFFFFF"/>
        </w:tblBorders>
        <w:tblCellMar>
          <w:top w:w="113" w:type="dxa"/>
          <w:left w:w="170" w:type="dxa"/>
          <w:bottom w:w="113" w:type="dxa"/>
          <w:right w:w="170" w:type="dxa"/>
        </w:tblCellMar>
        <w:tblLook w:val="04A0"/>
      </w:tblPr>
      <w:tblGrid>
        <w:gridCol w:w="1656"/>
        <w:gridCol w:w="3082"/>
        <w:gridCol w:w="3482"/>
      </w:tblGrid>
      <w:tr w:rsidTr="003B5D33">
        <w:tblPrEx>
          <w:tblW w:w="0" w:type="auto"/>
          <w:jc w:val="center"/>
          <w:tblBorders>
            <w:bottom w:val="single" w:sz="12" w:space="0" w:color="4CC0EF"/>
            <w:insideH w:val="single" w:sz="12" w:space="0" w:color="4CC0EF"/>
            <w:insideV w:val="single" w:sz="24" w:space="0" w:color="FFFFFF"/>
          </w:tblBorders>
          <w:tblCellMar>
            <w:top w:w="113" w:type="dxa"/>
            <w:left w:w="170" w:type="dxa"/>
            <w:bottom w:w="113" w:type="dxa"/>
            <w:right w:w="170" w:type="dxa"/>
          </w:tblCellMar>
          <w:tblLook w:val="04A0"/>
        </w:tblPrEx>
        <w:trPr>
          <w:trHeight w:val="596"/>
          <w:tblHeader/>
          <w:jc w:val="center"/>
        </w:trPr>
        <w:tc>
          <w:tcPr>
            <w:tcW w:w="0" w:type="auto"/>
            <w:shd w:val="clear" w:color="auto" w:fill="4CC0EF"/>
            <w:vAlign w:val="center"/>
          </w:tcPr>
          <w:p w:rsidR="003B5D33" w:rsidRPr="003B5D33" w:rsidP="003B5D33">
            <w:pPr>
              <w:spacing w:line="269" w:lineRule="auto"/>
              <w:jc w:val="center"/>
              <w:rPr>
                <w:rFonts w:ascii="Almoni Tzar ML v5 AAA" w:eastAsia="Calibri" w:hAnsi="Almoni Tzar ML v5 AAA" w:cs="Almoni Tzar ML v5 AAA"/>
                <w:b/>
                <w:bCs/>
                <w:color w:val="FFFFFF"/>
                <w:sz w:val="32"/>
                <w:szCs w:val="32"/>
                <w:rtl/>
              </w:rPr>
            </w:pPr>
            <w:r w:rsidRPr="003B5D33">
              <w:rPr>
                <w:rFonts w:ascii="Almoni Tzar ML v5 AAA" w:eastAsia="Calibri" w:hAnsi="Almoni Tzar ML v5 AAA" w:cs="Almoni Tzar ML v5 AAA" w:hint="cs"/>
                <w:b/>
                <w:bCs/>
                <w:color w:val="FFFFFF"/>
                <w:sz w:val="32"/>
                <w:szCs w:val="32"/>
                <w:rtl/>
              </w:rPr>
              <w:t>ה</w:t>
            </w:r>
            <w:r w:rsidRPr="003B5D33">
              <w:rPr>
                <w:rFonts w:ascii="Almoni Tzar ML v5 AAA" w:eastAsia="Calibri" w:hAnsi="Almoni Tzar ML v5 AAA" w:cs="Almoni Tzar ML v5 AAA"/>
                <w:b/>
                <w:bCs/>
                <w:color w:val="FFFFFF"/>
                <w:sz w:val="32"/>
                <w:szCs w:val="32"/>
                <w:rtl/>
              </w:rPr>
              <w:t>נושא</w:t>
            </w:r>
          </w:p>
        </w:tc>
        <w:tc>
          <w:tcPr>
            <w:tcW w:w="0" w:type="auto"/>
            <w:shd w:val="clear" w:color="auto" w:fill="4CC0EF"/>
            <w:vAlign w:val="center"/>
          </w:tcPr>
          <w:p w:rsidR="003B5D33" w:rsidRPr="003B5D33" w:rsidP="003B5D33">
            <w:pPr>
              <w:spacing w:line="269" w:lineRule="auto"/>
              <w:jc w:val="center"/>
              <w:rPr>
                <w:rFonts w:ascii="Almoni Tzar ML v5 AAA" w:eastAsia="Calibri" w:hAnsi="Almoni Tzar ML v5 AAA" w:cs="Almoni Tzar ML v5 AAA"/>
                <w:b/>
                <w:bCs/>
                <w:color w:val="FFFFFF"/>
                <w:sz w:val="32"/>
                <w:szCs w:val="32"/>
                <w:rtl/>
              </w:rPr>
            </w:pPr>
            <w:r w:rsidRPr="003B5D33">
              <w:rPr>
                <w:rFonts w:ascii="Almoni Tzar ML v5 AAA" w:eastAsia="Calibri" w:hAnsi="Almoni Tzar ML v5 AAA" w:cs="Almoni Tzar ML v5 AAA"/>
                <w:b/>
                <w:bCs/>
                <w:color w:val="FFFFFF"/>
                <w:sz w:val="32"/>
                <w:szCs w:val="32"/>
                <w:rtl/>
              </w:rPr>
              <w:t>ההנחיות המחייבות</w:t>
            </w:r>
          </w:p>
        </w:tc>
        <w:tc>
          <w:tcPr>
            <w:tcW w:w="0" w:type="auto"/>
            <w:shd w:val="clear" w:color="auto" w:fill="4CC0EF"/>
            <w:vAlign w:val="center"/>
          </w:tcPr>
          <w:p w:rsidR="003B5D33" w:rsidRPr="003B5D33" w:rsidP="003B5D33">
            <w:pPr>
              <w:spacing w:line="269" w:lineRule="auto"/>
              <w:jc w:val="center"/>
              <w:rPr>
                <w:rFonts w:ascii="Almoni Tzar ML v5 AAA" w:eastAsia="Calibri" w:hAnsi="Almoni Tzar ML v5 AAA" w:cs="Almoni Tzar ML v5 AAA"/>
                <w:b/>
                <w:bCs/>
                <w:color w:val="FFFFFF"/>
                <w:sz w:val="32"/>
                <w:szCs w:val="32"/>
                <w:rtl/>
              </w:rPr>
            </w:pPr>
            <w:r w:rsidRPr="003B5D33">
              <w:rPr>
                <w:rFonts w:ascii="Almoni Tzar ML v5 AAA" w:eastAsia="Calibri" w:hAnsi="Almoni Tzar ML v5 AAA" w:cs="Almoni Tzar ML v5 AAA"/>
                <w:b/>
                <w:bCs/>
                <w:color w:val="FFFFFF"/>
                <w:sz w:val="32"/>
                <w:szCs w:val="32"/>
                <w:rtl/>
              </w:rPr>
              <w:t>הממצאים</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Tzar ML v5 AAA" w:eastAsia="Calibri" w:hAnsi="Almoni Tzar ML v5 AAA" w:cs="Almoni Tzar ML v5 AAA"/>
                <w:b/>
                <w:bCs/>
                <w:noProof/>
                <w:color w:val="FFFFFF"/>
                <w:sz w:val="22"/>
                <w:szCs w:val="22"/>
                <w:rtl/>
              </w:rPr>
              <w:drawing>
                <wp:inline distT="0" distB="0" distL="0" distR="0">
                  <wp:extent cx="500293" cy="371475"/>
                  <wp:effectExtent l="0" t="0" r="0" b="0"/>
                  <wp:docPr id="127" name="תמונה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
                          <pic:cNvPicPr/>
                        </pic:nvPicPr>
                        <pic:blipFill>
                          <a:blip xmlns:r="http://schemas.openxmlformats.org/officeDocument/2006/relationships" r:embed="rId32"/>
                          <a:stretch>
                            <a:fillRect/>
                          </a:stretch>
                        </pic:blipFill>
                        <pic:spPr>
                          <a:xfrm>
                            <a:off x="0" y="0"/>
                            <a:ext cx="521065" cy="386898"/>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מיפוי מאגרי </w:t>
            </w:r>
            <w:r w:rsidRPr="003B5D33">
              <w:rPr>
                <w:rFonts w:ascii="Almoni ML v5 AAA" w:eastAsia="Calibri" w:hAnsi="Almoni ML v5 AAA" w:cs="Almoni ML v5 AAA" w:hint="cs"/>
                <w:b/>
                <w:bCs/>
                <w:sz w:val="22"/>
                <w:szCs w:val="22"/>
                <w:rtl/>
              </w:rPr>
              <w:t>ה</w:t>
            </w:r>
            <w:r w:rsidRPr="003B5D33">
              <w:rPr>
                <w:rFonts w:ascii="Almoni ML v5 AAA" w:eastAsia="Calibri" w:hAnsi="Almoni ML v5 AAA" w:cs="Almoni ML v5 AAA"/>
                <w:b/>
                <w:bCs/>
                <w:sz w:val="22"/>
                <w:szCs w:val="22"/>
                <w:rtl/>
              </w:rPr>
              <w:t>מידע</w:t>
            </w:r>
          </w:p>
        </w:tc>
        <w:tc>
          <w:tcPr>
            <w:tcW w:w="0" w:type="auto"/>
            <w:shd w:val="clear" w:color="auto" w:fill="F4FBFE"/>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התקנות</w:t>
            </w:r>
            <w:r>
              <w:rPr>
                <w:rFonts w:ascii="Almoni ML v5 AAA" w:eastAsia="Calibri" w:hAnsi="Almoni ML v5 AAA" w:cs="Almoni ML v5 AAA"/>
                <w:sz w:val="22"/>
                <w:szCs w:val="22"/>
                <w:vertAlign w:val="superscript"/>
                <w:rtl/>
              </w:rPr>
              <w:footnoteReference w:id="130"/>
            </w:r>
            <w:r w:rsidRPr="003B5D33">
              <w:rPr>
                <w:rFonts w:ascii="Almoni ML v5 AAA" w:eastAsia="Calibri" w:hAnsi="Almoni ML v5 AAA" w:cs="Almoni ML v5 AAA"/>
                <w:sz w:val="22"/>
                <w:szCs w:val="22"/>
                <w:rtl/>
              </w:rPr>
              <w:t xml:space="preserve"> מחייבות לערוך מיפוי של כלל מאגרי המידע כדי לקבוע </w:t>
            </w:r>
            <w:r w:rsidRPr="003B5D33">
              <w:rPr>
                <w:rFonts w:ascii="Almoni ML v5 AAA" w:eastAsia="Calibri" w:hAnsi="Almoni ML v5 AAA" w:cs="Almoni ML v5 AAA" w:hint="cs"/>
                <w:sz w:val="22"/>
                <w:szCs w:val="22"/>
                <w:rtl/>
              </w:rPr>
              <w:t xml:space="preserve">תחילה </w:t>
            </w:r>
            <w:r w:rsidRPr="003B5D33">
              <w:rPr>
                <w:rFonts w:ascii="Almoni ML v5 AAA" w:eastAsia="Calibri" w:hAnsi="Almoni ML v5 AAA" w:cs="Almoni ML v5 AAA"/>
                <w:sz w:val="22"/>
                <w:szCs w:val="22"/>
                <w:rtl/>
              </w:rPr>
              <w:t xml:space="preserve">אם המאגרים עונים על הגדרת מאגר מידע לפי החוק; </w:t>
            </w:r>
            <w:r w:rsidRPr="003B5D33">
              <w:rPr>
                <w:rFonts w:ascii="Almoni ML v5 AAA" w:eastAsia="Calibri" w:hAnsi="Almoni ML v5 AAA" w:cs="Almoni ML v5 AAA" w:hint="cs"/>
                <w:sz w:val="22"/>
                <w:szCs w:val="22"/>
                <w:rtl/>
              </w:rPr>
              <w:t xml:space="preserve">אם </w:t>
            </w:r>
            <w:r w:rsidRPr="003B5D33">
              <w:rPr>
                <w:rFonts w:ascii="Almoni ML v5 AAA" w:eastAsia="Calibri" w:hAnsi="Almoni ML v5 AAA" w:cs="Almoni ML v5 AAA"/>
                <w:sz w:val="22"/>
                <w:szCs w:val="22"/>
                <w:rtl/>
              </w:rPr>
              <w:t>כן</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w:t>
            </w:r>
            <w:r w:rsidRPr="003B5D33">
              <w:rPr>
                <w:rFonts w:ascii="Almoni ML v5 AAA" w:eastAsia="Calibri" w:hAnsi="Almoni ML v5 AAA" w:cs="Almoni ML v5 AAA" w:hint="cs"/>
                <w:sz w:val="22"/>
                <w:szCs w:val="22"/>
                <w:rtl/>
              </w:rPr>
              <w:t xml:space="preserve">יש </w:t>
            </w:r>
            <w:r w:rsidRPr="003B5D33">
              <w:rPr>
                <w:rFonts w:ascii="Almoni ML v5 AAA" w:eastAsia="Calibri" w:hAnsi="Almoni ML v5 AAA" w:cs="Almoni ML v5 AAA"/>
                <w:sz w:val="22"/>
                <w:szCs w:val="22"/>
                <w:rtl/>
              </w:rPr>
              <w:t xml:space="preserve">לקבוע </w:t>
            </w:r>
            <w:r w:rsidRPr="003B5D33">
              <w:rPr>
                <w:rFonts w:ascii="Almoni ML v5 AAA" w:eastAsia="Calibri" w:hAnsi="Almoni ML v5 AAA" w:cs="Almoni ML v5 AAA" w:hint="cs"/>
                <w:sz w:val="22"/>
                <w:szCs w:val="22"/>
                <w:rtl/>
              </w:rPr>
              <w:t xml:space="preserve">- </w:t>
            </w:r>
            <w:r w:rsidRPr="003B5D33">
              <w:rPr>
                <w:rFonts w:ascii="Almoni ML v5 AAA" w:eastAsia="Calibri" w:hAnsi="Almoni ML v5 AAA" w:cs="Almoni ML v5 AAA"/>
                <w:sz w:val="22"/>
                <w:szCs w:val="22"/>
                <w:rtl/>
              </w:rPr>
              <w:t>בהתאם לסוגי המידע שמנוהלים או מוחזקים במאגר</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ובהתאם למספר האנשים שיש מידע עליהם במאגר ולמספר המורשים לגשת אליו</w:t>
            </w:r>
            <w:r w:rsidRPr="003B5D33">
              <w:rPr>
                <w:rFonts w:ascii="Almoni ML v5 AAA" w:eastAsia="Calibri" w:hAnsi="Almoni ML v5 AAA" w:cs="Almoni ML v5 AAA" w:hint="cs"/>
                <w:sz w:val="22"/>
                <w:szCs w:val="22"/>
                <w:rtl/>
              </w:rPr>
              <w:t xml:space="preserve"> - </w:t>
            </w:r>
            <w:r w:rsidRPr="003B5D33">
              <w:rPr>
                <w:rFonts w:ascii="Almoni ML v5 AAA" w:eastAsia="Calibri" w:hAnsi="Almoni ML v5 AAA" w:cs="Almoni ML v5 AAA"/>
                <w:sz w:val="22"/>
                <w:szCs w:val="22"/>
                <w:rtl/>
              </w:rPr>
              <w:t>את רמת האבטחה הנדרשת והחובות המוטלים על בעל המאגר.</w:t>
            </w:r>
          </w:p>
        </w:tc>
        <w:tc>
          <w:tcPr>
            <w:tcW w:w="0" w:type="auto"/>
            <w:shd w:val="clear" w:color="auto" w:fill="F4FB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ביוני 2023 ביצע משרד החוץ מיפוי של נכסי מערכות המידע ברשתות </w:t>
            </w:r>
            <w:r w:rsidRPr="003B5D33">
              <w:rPr>
                <w:rFonts w:ascii="Almoni ML v5 AAA" w:eastAsia="Calibri" w:hAnsi="Almoni ML v5 AAA" w:cs="Almoni ML v5 AAA" w:hint="cs"/>
                <w:sz w:val="22"/>
                <w:szCs w:val="22"/>
                <w:rtl/>
              </w:rPr>
              <w:t>מסוימות</w:t>
            </w:r>
            <w:r w:rsidRPr="003B5D33">
              <w:rPr>
                <w:rFonts w:ascii="Almoni ML v5 AAA" w:eastAsia="Calibri" w:hAnsi="Almoni ML v5 AAA" w:cs="Almoni ML v5 AAA"/>
                <w:sz w:val="22"/>
                <w:szCs w:val="22"/>
                <w:rtl/>
              </w:rPr>
              <w:t xml:space="preserve"> של המשרד. במסגרת זו הוכן קובץ שכלל מיפוי של מערכות </w:t>
            </w:r>
            <w:r w:rsidRPr="003B5D33">
              <w:rPr>
                <w:rFonts w:ascii="Almoni ML v5 AAA" w:eastAsia="Calibri" w:hAnsi="Almoni ML v5 AAA" w:cs="Almoni ML v5 AAA" w:hint="cs"/>
                <w:sz w:val="22"/>
                <w:szCs w:val="22"/>
                <w:rtl/>
              </w:rPr>
              <w:t>ה</w:t>
            </w:r>
            <w:r w:rsidRPr="003B5D33">
              <w:rPr>
                <w:rFonts w:ascii="Almoni ML v5 AAA" w:eastAsia="Calibri" w:hAnsi="Almoni ML v5 AAA" w:cs="Almoni ML v5 AAA"/>
                <w:sz w:val="22"/>
                <w:szCs w:val="22"/>
                <w:rtl/>
              </w:rPr>
              <w:t>מידע או מאגרי המידע בכל רשתות המשרד</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וכן מידע על ייעוד המערכת או המאגר, זהות המשתמשים בו, סוגי המידע שמנוהלים במאגר (רפואי, אישי, כלכלי</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מספר האנשים </w:t>
            </w:r>
            <w:r w:rsidRPr="003B5D33">
              <w:rPr>
                <w:rFonts w:ascii="Almoni ML v5 AAA" w:eastAsia="Calibri" w:hAnsi="Almoni ML v5 AAA" w:cs="Almoni ML v5 AAA" w:hint="cs"/>
                <w:sz w:val="22"/>
                <w:szCs w:val="22"/>
                <w:rtl/>
              </w:rPr>
              <w:t xml:space="preserve">שבעניינם </w:t>
            </w:r>
            <w:r w:rsidRPr="003B5D33">
              <w:rPr>
                <w:rFonts w:ascii="Almoni ML v5 AAA" w:eastAsia="Calibri" w:hAnsi="Almoni ML v5 AAA" w:cs="Almoni ML v5 AAA"/>
                <w:sz w:val="22"/>
                <w:szCs w:val="22"/>
                <w:rtl/>
              </w:rPr>
              <w:t xml:space="preserve">קיים מידע במאגר, מספר בעלי ההרשאות לגישה למאגר וסיכונים הצפויים בחשיפת המידע שבמאגר (להלן </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קובץ המיפוי). </w:t>
            </w:r>
          </w:p>
          <w:p w:rsidR="003B5D33" w:rsidRPr="003B5D33" w:rsidP="003B5D33">
            <w:pPr>
              <w:spacing w:line="269" w:lineRule="auto"/>
              <w:rPr>
                <w:rFonts w:ascii="Almoni ML v5 AAA" w:eastAsia="Calibri" w:hAnsi="Almoni ML v5 AAA" w:cs="Almoni ML v5 AAA"/>
                <w:sz w:val="22"/>
                <w:szCs w:val="22"/>
              </w:rPr>
            </w:pPr>
          </w:p>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b/>
                <w:bCs/>
                <w:sz w:val="22"/>
                <w:szCs w:val="22"/>
                <w:rtl/>
              </w:rPr>
              <w:t>עיון בקובץ המיפוי העלה כי המידע שנכלל בקובץ המיפוי אינו שלם ועדכני - הקובץ כלל התייחסות גם למערכות שכבר הוחלפו במערכות חדשות יותר; המידע בנוגע לחלק ממאגרי המידע היה חלקי</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ולא מולאו בו כלל הנתונים הנדרשים לצורך המיפוי. כך למשל </w:t>
            </w:r>
            <w:r w:rsidRPr="003B5D33">
              <w:rPr>
                <w:rFonts w:ascii="Almoni ML v5 AAA" w:eastAsia="Calibri" w:hAnsi="Almoni ML v5 AAA" w:cs="Almoni ML v5 AAA" w:hint="cs"/>
                <w:b/>
                <w:bCs/>
                <w:sz w:val="22"/>
                <w:szCs w:val="22"/>
                <w:rtl/>
              </w:rPr>
              <w:t xml:space="preserve">לעיתים </w:t>
            </w:r>
            <w:r w:rsidRPr="003B5D33">
              <w:rPr>
                <w:rFonts w:ascii="Almoni ML v5 AAA" w:eastAsia="Calibri" w:hAnsi="Almoni ML v5 AAA" w:cs="Almoni ML v5 AAA"/>
                <w:b/>
                <w:bCs/>
                <w:sz w:val="22"/>
                <w:szCs w:val="22"/>
                <w:rtl/>
              </w:rPr>
              <w:t>לא פורטו סוגי המידע שנכללים במאגר.</w:t>
            </w:r>
          </w:p>
          <w:p w:rsidR="003B5D33" w:rsidRPr="003B5D33" w:rsidP="003B5D33">
            <w:pPr>
              <w:spacing w:line="269" w:lineRule="auto"/>
              <w:rPr>
                <w:rFonts w:ascii="Almoni ML v5 AAA" w:eastAsia="Calibri" w:hAnsi="Almoni ML v5 AAA" w:cs="Almoni ML v5 AAA"/>
                <w:b/>
                <w:bCs/>
                <w:sz w:val="22"/>
                <w:szCs w:val="22"/>
                <w:rtl/>
              </w:rPr>
            </w:pPr>
          </w:p>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עד אוקטובר 2024 </w:t>
            </w:r>
            <w:r w:rsidRPr="003B5D33">
              <w:rPr>
                <w:rFonts w:ascii="Almoni ML v5 AAA" w:eastAsia="Calibri" w:hAnsi="Almoni ML v5 AAA" w:cs="Almoni ML v5 AAA" w:hint="cs"/>
                <w:b/>
                <w:bCs/>
                <w:sz w:val="22"/>
                <w:szCs w:val="22"/>
                <w:rtl/>
              </w:rPr>
              <w:t xml:space="preserve">טרם השלים </w:t>
            </w:r>
            <w:r w:rsidRPr="003B5D33">
              <w:rPr>
                <w:rFonts w:ascii="Almoni ML v5 AAA" w:eastAsia="Calibri" w:hAnsi="Almoni ML v5 AAA" w:cs="Almoni ML v5 AAA"/>
                <w:b/>
                <w:bCs/>
                <w:sz w:val="22"/>
                <w:szCs w:val="22"/>
                <w:rtl/>
              </w:rPr>
              <w:t>משרד החוץ מיפוי מלא ועדכני של כלל מאגרי המידע שנמצאים ברשותו</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ומ</w:t>
            </w:r>
            <w:r w:rsidRPr="003B5D33">
              <w:rPr>
                <w:rFonts w:ascii="Almoni ML v5 AAA" w:eastAsia="Calibri" w:hAnsi="Almoni ML v5 AAA" w:cs="Almoni ML v5 AAA" w:hint="cs"/>
                <w:b/>
                <w:bCs/>
                <w:sz w:val="22"/>
                <w:szCs w:val="22"/>
                <w:rtl/>
              </w:rPr>
              <w:t>כאן</w:t>
            </w:r>
            <w:r w:rsidRPr="003B5D33">
              <w:rPr>
                <w:rFonts w:ascii="Almoni ML v5 AAA" w:eastAsia="Calibri" w:hAnsi="Almoni ML v5 AAA" w:cs="Almoni ML v5 AAA"/>
                <w:b/>
                <w:bCs/>
                <w:sz w:val="22"/>
                <w:szCs w:val="22"/>
                <w:rtl/>
              </w:rPr>
              <w:t xml:space="preserve"> </w:t>
            </w:r>
            <w:r w:rsidRPr="003B5D33">
              <w:rPr>
                <w:rFonts w:ascii="Almoni ML v5 AAA" w:eastAsia="Calibri" w:hAnsi="Almoni ML v5 AAA" w:cs="Almoni ML v5 AAA" w:hint="cs"/>
                <w:b/>
                <w:bCs/>
                <w:sz w:val="22"/>
                <w:szCs w:val="22"/>
                <w:rtl/>
              </w:rPr>
              <w:t>ש</w:t>
            </w:r>
            <w:r w:rsidRPr="003B5D33">
              <w:rPr>
                <w:rFonts w:ascii="Almoni ML v5 AAA" w:eastAsia="Calibri" w:hAnsi="Almoni ML v5 AAA" w:cs="Almoni ML v5 AAA"/>
                <w:b/>
                <w:bCs/>
                <w:sz w:val="22"/>
                <w:szCs w:val="22"/>
                <w:rtl/>
              </w:rPr>
              <w:t xml:space="preserve">אין ביכולתו לדעת איזו רמת אבטחה נדרשת לכל מאגר לפי התקנות, ואם רמת ההגנה הקיימת </w:t>
            </w:r>
            <w:r w:rsidRPr="003B5D33">
              <w:rPr>
                <w:rFonts w:ascii="Almoni ML v5 AAA" w:eastAsia="Calibri" w:hAnsi="Almoni ML v5 AAA" w:cs="Almoni ML v5 AAA" w:hint="cs"/>
                <w:b/>
                <w:bCs/>
                <w:sz w:val="22"/>
                <w:szCs w:val="22"/>
                <w:rtl/>
              </w:rPr>
              <w:t xml:space="preserve">אכן </w:t>
            </w:r>
            <w:r w:rsidRPr="003B5D33">
              <w:rPr>
                <w:rFonts w:ascii="Almoni ML v5 AAA" w:eastAsia="Calibri" w:hAnsi="Almoni ML v5 AAA" w:cs="Almoni ML v5 AAA"/>
                <w:b/>
                <w:bCs/>
                <w:sz w:val="22"/>
                <w:szCs w:val="22"/>
                <w:rtl/>
              </w:rPr>
              <w:t xml:space="preserve">עונה על הנדרש בתקנות. </w:t>
            </w:r>
          </w:p>
        </w:tc>
      </w:tr>
      <w:tr w:rsidTr="00DA2F85">
        <w:tblPrEx>
          <w:tblW w:w="0" w:type="auto"/>
          <w:jc w:val="center"/>
          <w:tblCellMar>
            <w:top w:w="113" w:type="dxa"/>
            <w:left w:w="170" w:type="dxa"/>
            <w:bottom w:w="113" w:type="dxa"/>
            <w:right w:w="170" w:type="dxa"/>
          </w:tblCellMar>
          <w:tblLook w:val="04A0"/>
        </w:tblPrEx>
        <w:trPr>
          <w:trHeight w:val="739"/>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Tzar ML v5 AAA" w:eastAsia="Calibri" w:hAnsi="Almoni Tzar ML v5 AAA" w:cs="Almoni Tzar ML v5 AAA"/>
                <w:b/>
                <w:bCs/>
                <w:noProof/>
                <w:color w:val="FFFFFF"/>
                <w:sz w:val="22"/>
                <w:szCs w:val="22"/>
                <w:rtl/>
              </w:rPr>
              <w:drawing>
                <wp:inline distT="0" distB="0" distL="0" distR="0">
                  <wp:extent cx="500293" cy="371475"/>
                  <wp:effectExtent l="0" t="0" r="0" b="0"/>
                  <wp:docPr id="18432" name="תמונה 1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 name=""/>
                          <pic:cNvPicPr/>
                        </pic:nvPicPr>
                        <pic:blipFill>
                          <a:blip xmlns:r="http://schemas.openxmlformats.org/officeDocument/2006/relationships" r:embed="rId32"/>
                          <a:stretch>
                            <a:fillRect/>
                          </a:stretch>
                        </pic:blipFill>
                        <pic:spPr>
                          <a:xfrm>
                            <a:off x="0" y="0"/>
                            <a:ext cx="521065" cy="386898"/>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מיפוי מאגרי </w:t>
            </w:r>
            <w:r w:rsidRPr="003B5D33">
              <w:rPr>
                <w:rFonts w:ascii="Almoni ML v5 AAA" w:eastAsia="Calibri" w:hAnsi="Almoni ML v5 AAA" w:cs="Almoni ML v5 AAA" w:hint="cs"/>
                <w:b/>
                <w:bCs/>
                <w:sz w:val="22"/>
                <w:szCs w:val="22"/>
                <w:rtl/>
              </w:rPr>
              <w:t>ה</w:t>
            </w:r>
            <w:r w:rsidRPr="003B5D33">
              <w:rPr>
                <w:rFonts w:ascii="Almoni ML v5 AAA" w:eastAsia="Calibri" w:hAnsi="Almoni ML v5 AAA" w:cs="Almoni ML v5 AAA"/>
                <w:b/>
                <w:bCs/>
                <w:sz w:val="22"/>
                <w:szCs w:val="22"/>
                <w:rtl/>
              </w:rPr>
              <w:t>מידע</w:t>
            </w:r>
          </w:p>
        </w:tc>
        <w:tc>
          <w:tcPr>
            <w:tcW w:w="0" w:type="auto"/>
            <w:shd w:val="clear" w:color="auto" w:fill="F4FBFE"/>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התקנות עוסקות במאגר המידע כחלק ממערכת מידע או כמאגר בפני עצמו</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אך הן מחייבות להגן גם על מידע שנשמר בק</w:t>
            </w:r>
            <w:r w:rsidRPr="003B5D33">
              <w:rPr>
                <w:rFonts w:ascii="Almoni ML v5 AAA" w:eastAsia="Calibri" w:hAnsi="Almoni ML v5 AAA" w:cs="Almoni ML v5 AAA" w:hint="cs"/>
                <w:sz w:val="22"/>
                <w:szCs w:val="22"/>
                <w:rtl/>
              </w:rPr>
              <w:t>ו</w:t>
            </w:r>
            <w:r w:rsidRPr="003B5D33">
              <w:rPr>
                <w:rFonts w:ascii="Almoni ML v5 AAA" w:eastAsia="Calibri" w:hAnsi="Almoni ML v5 AAA" w:cs="Almoni ML v5 AAA"/>
                <w:sz w:val="22"/>
                <w:szCs w:val="22"/>
                <w:rtl/>
              </w:rPr>
              <w:t xml:space="preserve">בצי </w:t>
            </w:r>
            <w:r w:rsidRPr="003B5D33">
              <w:rPr>
                <w:rFonts w:ascii="Almoni ML v5 AAA" w:eastAsia="Calibri" w:hAnsi="Almoni ML v5 AAA" w:cs="Almoni ML v5 AAA"/>
                <w:sz w:val="22"/>
                <w:szCs w:val="22"/>
              </w:rPr>
              <w:t>Excel</w:t>
            </w:r>
            <w:r w:rsidRPr="003B5D33">
              <w:rPr>
                <w:rFonts w:ascii="Almoni ML v5 AAA" w:eastAsia="Calibri" w:hAnsi="Almoni ML v5 AAA" w:cs="Almoni ML v5 AAA"/>
                <w:sz w:val="22"/>
                <w:szCs w:val="22"/>
                <w:rtl/>
              </w:rPr>
              <w:t xml:space="preserve"> שמופקים מתוך מערכות ומאגרים אלו</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וכן על ק</w:t>
            </w:r>
            <w:r w:rsidRPr="003B5D33">
              <w:rPr>
                <w:rFonts w:ascii="Almoni ML v5 AAA" w:eastAsia="Calibri" w:hAnsi="Almoni ML v5 AAA" w:cs="Almoni ML v5 AAA" w:hint="cs"/>
                <w:sz w:val="22"/>
                <w:szCs w:val="22"/>
                <w:rtl/>
              </w:rPr>
              <w:t>ו</w:t>
            </w:r>
            <w:r w:rsidRPr="003B5D33">
              <w:rPr>
                <w:rFonts w:ascii="Almoni ML v5 AAA" w:eastAsia="Calibri" w:hAnsi="Almoni ML v5 AAA" w:cs="Almoni ML v5 AAA"/>
                <w:sz w:val="22"/>
                <w:szCs w:val="22"/>
                <w:rtl/>
              </w:rPr>
              <w:t xml:space="preserve">בצי </w:t>
            </w:r>
            <w:r w:rsidRPr="003B5D33">
              <w:rPr>
                <w:rFonts w:ascii="Almoni ML v5 AAA" w:eastAsia="Calibri" w:hAnsi="Almoni ML v5 AAA" w:cs="Almoni ML v5 AAA"/>
                <w:sz w:val="22"/>
                <w:szCs w:val="22"/>
              </w:rPr>
              <w:t>Excel</w:t>
            </w:r>
            <w:r w:rsidRPr="003B5D33">
              <w:rPr>
                <w:rFonts w:ascii="Almoni ML v5 AAA" w:eastAsia="Calibri" w:hAnsi="Almoni ML v5 AAA" w:cs="Almoni ML v5 AAA"/>
                <w:sz w:val="22"/>
                <w:szCs w:val="22"/>
                <w:rtl/>
              </w:rPr>
              <w:t xml:space="preserve"> שנוצרו לראשונה על ידי עובדים.</w:t>
            </w:r>
          </w:p>
        </w:tc>
        <w:tc>
          <w:tcPr>
            <w:tcW w:w="0" w:type="auto"/>
            <w:shd w:val="clear" w:color="auto" w:fill="F4FBFE"/>
            <w:vAlign w:val="center"/>
          </w:tcPr>
          <w:p w:rsidR="003B5D33" w:rsidRPr="00DA2F85" w:rsidP="00DA2F85">
            <w:pPr>
              <w:spacing w:line="269" w:lineRule="auto"/>
              <w:contextualSpacing/>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במסגרת הביקורת נמצאו ק</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 xml:space="preserve">בצי </w:t>
            </w:r>
            <w:r w:rsidRPr="003B5D33">
              <w:rPr>
                <w:rFonts w:ascii="Almoni ML v5 AAA" w:eastAsia="Calibri" w:hAnsi="Almoni ML v5 AAA" w:cs="Almoni ML v5 AAA"/>
                <w:b/>
                <w:bCs/>
                <w:sz w:val="22"/>
                <w:szCs w:val="22"/>
              </w:rPr>
              <w:t>Excel</w:t>
            </w:r>
            <w:r w:rsidRPr="003B5D33">
              <w:rPr>
                <w:rFonts w:ascii="Almoni ML v5 AAA" w:eastAsia="Calibri" w:hAnsi="Almoni ML v5 AAA" w:cs="Almoni ML v5 AAA"/>
                <w:b/>
                <w:bCs/>
                <w:sz w:val="22"/>
                <w:szCs w:val="22"/>
                <w:rtl/>
              </w:rPr>
              <w:t xml:space="preserve"> שענו על הגדרת מאגר מידע לפי החוק, חלקם כללו מידע אישי-פרטי, כגון מידע רפואי, מידע כלכלי ועוד. קבצים אלו לא נכללו ברשימה של מאגרי מידע שהוכנה במשרד</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ולא נקבעה רמת האבטחה הנדרשת לגביהם בהתאם לתקנות.</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532765" cy="342900"/>
                  <wp:effectExtent l="0" t="0" r="635" b="0"/>
                  <wp:docPr id="18433" name="תמונה 1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 name=""/>
                          <pic:cNvPicPr/>
                        </pic:nvPicPr>
                        <pic:blipFill>
                          <a:blip xmlns:r="http://schemas.openxmlformats.org/officeDocument/2006/relationships" r:embed="rId33"/>
                          <a:srcRect b="12894"/>
                          <a:stretch>
                            <a:fillRect/>
                          </a:stretch>
                        </pic:blipFill>
                        <pic:spPr bwMode="auto">
                          <a:xfrm flipH="1">
                            <a:off x="0" y="0"/>
                            <a:ext cx="554134" cy="35665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רישום מאגרי </w:t>
            </w:r>
            <w:r w:rsidRPr="003B5D33">
              <w:rPr>
                <w:rFonts w:ascii="Almoni ML v5 AAA" w:eastAsia="Calibri" w:hAnsi="Almoni ML v5 AAA" w:cs="Almoni ML v5 AAA" w:hint="cs"/>
                <w:b/>
                <w:bCs/>
                <w:sz w:val="22"/>
                <w:szCs w:val="22"/>
                <w:rtl/>
              </w:rPr>
              <w:t>ה</w:t>
            </w:r>
            <w:r w:rsidRPr="003B5D33">
              <w:rPr>
                <w:rFonts w:ascii="Almoni ML v5 AAA" w:eastAsia="Calibri" w:hAnsi="Almoni ML v5 AAA" w:cs="Almoni ML v5 AAA"/>
                <w:b/>
                <w:bCs/>
                <w:sz w:val="22"/>
                <w:szCs w:val="22"/>
                <w:rtl/>
              </w:rPr>
              <w:t>מידע</w:t>
            </w:r>
          </w:p>
        </w:tc>
        <w:tc>
          <w:tcPr>
            <w:tcW w:w="0" w:type="auto"/>
            <w:shd w:val="clear" w:color="auto" w:fill="F4FB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החוק קובע</w:t>
            </w:r>
            <w:r w:rsidRPr="003B5D33">
              <w:rPr>
                <w:rFonts w:ascii="Almoni ML v5 AAA" w:eastAsia="Calibri" w:hAnsi="Almoni ML v5 AAA" w:cs="Almoni ML v5 AAA" w:hint="cs"/>
                <w:sz w:val="22"/>
                <w:szCs w:val="22"/>
                <w:rtl/>
              </w:rPr>
              <w:t xml:space="preserve"> (סעיף 8)</w:t>
            </w:r>
            <w:r w:rsidRPr="003B5D33">
              <w:rPr>
                <w:rFonts w:ascii="Almoni ML v5 AAA" w:eastAsia="Calibri" w:hAnsi="Almoni ML v5 AAA" w:cs="Almoni ML v5 AAA"/>
                <w:sz w:val="22"/>
                <w:szCs w:val="22"/>
                <w:rtl/>
              </w:rPr>
              <w:t xml:space="preserve"> כי יש לרשום את מאגר המידע בפנקס מאגרי המידע ולכלול בבקשה לרישום המאגר</w:t>
            </w:r>
            <w:r w:rsidRPr="003B5D33">
              <w:rPr>
                <w:rFonts w:ascii="Almoni ML v5 AAA" w:eastAsia="Calibri" w:hAnsi="Almoni ML v5 AAA" w:cs="Almoni ML v5 AAA" w:hint="cs"/>
                <w:sz w:val="22"/>
                <w:szCs w:val="22"/>
                <w:rtl/>
              </w:rPr>
              <w:t xml:space="preserve"> גם</w:t>
            </w:r>
            <w:r w:rsidRPr="003B5D33">
              <w:rPr>
                <w:rFonts w:ascii="Almoni ML v5 AAA" w:eastAsia="Calibri" w:hAnsi="Almoni ML v5 AAA" w:cs="Almoni ML v5 AAA"/>
                <w:sz w:val="22"/>
                <w:szCs w:val="22"/>
                <w:rtl/>
              </w:rPr>
              <w:t xml:space="preserve"> פרטים </w:t>
            </w:r>
            <w:r w:rsidRPr="003B5D33">
              <w:rPr>
                <w:rFonts w:ascii="Almoni ML v5 AAA" w:eastAsia="Calibri" w:hAnsi="Almoni ML v5 AAA" w:cs="Almoni ML v5 AAA" w:hint="cs"/>
                <w:sz w:val="22"/>
                <w:szCs w:val="22"/>
                <w:rtl/>
              </w:rPr>
              <w:t xml:space="preserve">על </w:t>
            </w:r>
            <w:r w:rsidRPr="003B5D33">
              <w:rPr>
                <w:rFonts w:ascii="Almoni ML v5 AAA" w:eastAsia="Calibri" w:hAnsi="Almoni ML v5 AAA" w:cs="Almoni ML v5 AAA"/>
                <w:sz w:val="22"/>
                <w:szCs w:val="22"/>
                <w:rtl/>
              </w:rPr>
              <w:t xml:space="preserve">אודות זהות בעל מאגר המידע המחזיק במאגר ומנהל המאגר; מטרות הקמת מאגר המידע וסוגי המידע שייכללו במאגר. </w:t>
            </w:r>
          </w:p>
        </w:tc>
        <w:tc>
          <w:tcPr>
            <w:tcW w:w="0" w:type="auto"/>
            <w:shd w:val="clear" w:color="auto" w:fill="F4FBFE"/>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b/>
                <w:bCs/>
                <w:sz w:val="22"/>
                <w:szCs w:val="22"/>
                <w:rtl/>
              </w:rPr>
              <w:t>בפנקס מאגרי המידע במשרד המשפטים רשומים רק ש</w:t>
            </w:r>
            <w:r w:rsidRPr="003B5D33">
              <w:rPr>
                <w:rFonts w:ascii="Almoni ML v5 AAA" w:eastAsia="Calibri" w:hAnsi="Almoni ML v5 AAA" w:cs="Almoni ML v5 AAA" w:hint="cs"/>
                <w:b/>
                <w:bCs/>
                <w:sz w:val="22"/>
                <w:szCs w:val="22"/>
                <w:rtl/>
              </w:rPr>
              <w:t>לושה</w:t>
            </w:r>
            <w:r w:rsidRPr="003B5D33">
              <w:rPr>
                <w:rFonts w:ascii="Almoni ML v5 AAA" w:eastAsia="Calibri" w:hAnsi="Almoni ML v5 AAA" w:cs="Almoni ML v5 AAA"/>
                <w:b/>
                <w:bCs/>
                <w:sz w:val="22"/>
                <w:szCs w:val="22"/>
                <w:rtl/>
              </w:rPr>
              <w:t xml:space="preserve"> מאגרי מידע של משרד החוץ</w:t>
            </w:r>
            <w:r>
              <w:rPr>
                <w:rFonts w:ascii="Almoni ML v5 AAA" w:eastAsia="Calibri" w:hAnsi="Almoni ML v5 AAA" w:cs="Almoni ML v5 AAA"/>
                <w:b/>
                <w:bCs/>
                <w:sz w:val="22"/>
                <w:szCs w:val="22"/>
                <w:vertAlign w:val="superscript"/>
                <w:rtl/>
              </w:rPr>
              <w:footnoteReference w:id="131"/>
            </w:r>
            <w:r w:rsidRPr="003B5D33">
              <w:rPr>
                <w:rFonts w:ascii="Almoni ML v5 AAA" w:eastAsia="Calibri" w:hAnsi="Almoni ML v5 AAA" w:cs="Almoni ML v5 AAA" w:hint="cs"/>
                <w:b/>
                <w:bCs/>
                <w:sz w:val="22"/>
                <w:szCs w:val="22"/>
                <w:rtl/>
              </w:rPr>
              <w:t xml:space="preserve">, </w:t>
            </w:r>
            <w:r w:rsidRPr="003B5D33">
              <w:rPr>
                <w:rFonts w:ascii="Almoni ML v5 AAA" w:eastAsia="Calibri" w:hAnsi="Almoni ML v5 AAA" w:cs="Almoni ML v5 AAA"/>
                <w:b/>
                <w:bCs/>
                <w:sz w:val="22"/>
                <w:szCs w:val="22"/>
                <w:rtl/>
              </w:rPr>
              <w:t>אף שהמשרד מנהל עשרות מאגרים נוספים</w:t>
            </w:r>
            <w:r w:rsidRPr="003B5D33">
              <w:rPr>
                <w:rFonts w:ascii="Almoni ML v5 AAA" w:eastAsia="Calibri" w:hAnsi="Almoni ML v5 AAA" w:cs="Almoni ML v5 AAA"/>
                <w:sz w:val="22"/>
                <w:szCs w:val="22"/>
                <w:rtl/>
              </w:rPr>
              <w:t>.</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390525" cy="479155"/>
                  <wp:effectExtent l="0" t="0" r="0" b="0"/>
                  <wp:docPr id="18434" name="תמונה 1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
                          <pic:cNvPicPr/>
                        </pic:nvPicPr>
                        <pic:blipFill>
                          <a:blip xmlns:r="http://schemas.openxmlformats.org/officeDocument/2006/relationships" r:embed="rId34"/>
                          <a:stretch>
                            <a:fillRect/>
                          </a:stretch>
                        </pic:blipFill>
                        <pic:spPr>
                          <a:xfrm>
                            <a:off x="0" y="0"/>
                            <a:ext cx="399699" cy="490412"/>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מסמך הגדרות המאגר</w:t>
            </w:r>
          </w:p>
        </w:tc>
        <w:tc>
          <w:tcPr>
            <w:tcW w:w="0" w:type="auto"/>
            <w:shd w:val="clear" w:color="auto" w:fill="F4FB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לפי תקנה 2</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על בעל מאגר מידע להגדיר במסמך הגדרות מאגר עניינים שונים</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כגון תיאור פעולות האיסוף והשימוש במידע, מטרות השימוש במידע</w:t>
            </w:r>
            <w:r w:rsidRPr="003B5D33">
              <w:rPr>
                <w:rFonts w:ascii="Almoni ML v5 AAA" w:eastAsia="Calibri" w:hAnsi="Almoni ML v5 AAA" w:cs="Almoni ML v5 AAA" w:hint="cs"/>
                <w:sz w:val="22"/>
                <w:szCs w:val="22"/>
                <w:rtl/>
              </w:rPr>
              <w:t xml:space="preserve"> ו</w:t>
            </w:r>
            <w:r w:rsidRPr="003B5D33">
              <w:rPr>
                <w:rFonts w:ascii="Almoni ML v5 AAA" w:eastAsia="Calibri" w:hAnsi="Almoni ML v5 AAA" w:cs="Almoni ML v5 AAA"/>
                <w:sz w:val="22"/>
                <w:szCs w:val="22"/>
                <w:rtl/>
              </w:rPr>
              <w:t>סיכונים עיקריים של פגיעה באבטחת המידע.</w:t>
            </w:r>
          </w:p>
        </w:tc>
        <w:tc>
          <w:tcPr>
            <w:tcW w:w="0" w:type="auto"/>
            <w:shd w:val="clear" w:color="auto" w:fill="F4FBFE"/>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אין בידי משרד החוץ מסמך הגדרות מאגר לכל מאגרי המידע שברשותו</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שמפרט את כלל הנושאים הנדרשים לפי התקנות, למעט בנוגע למאגר הקונסולרי.</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552450" cy="511175"/>
                  <wp:effectExtent l="0" t="0" r="0" b="3175"/>
                  <wp:docPr id="18435" name="תמונה 1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
                          <pic:cNvPicPr/>
                        </pic:nvPicPr>
                        <pic:blipFill>
                          <a:blip xmlns:r="http://schemas.openxmlformats.org/officeDocument/2006/relationships" r:embed="rId35"/>
                          <a:stretch>
                            <a:fillRect/>
                          </a:stretch>
                        </pic:blipFill>
                        <pic:spPr>
                          <a:xfrm>
                            <a:off x="0" y="0"/>
                            <a:ext cx="578582" cy="535355"/>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נוהל אבטחת </w:t>
            </w:r>
            <w:r w:rsidRPr="003B5D33">
              <w:rPr>
                <w:rFonts w:ascii="Almoni ML v5 AAA" w:eastAsia="Calibri" w:hAnsi="Almoni ML v5 AAA" w:cs="Almoni ML v5 AAA" w:hint="cs"/>
                <w:b/>
                <w:bCs/>
                <w:sz w:val="22"/>
                <w:szCs w:val="22"/>
                <w:rtl/>
              </w:rPr>
              <w:t>ה</w:t>
            </w:r>
            <w:r w:rsidRPr="003B5D33">
              <w:rPr>
                <w:rFonts w:ascii="Almoni ML v5 AAA" w:eastAsia="Calibri" w:hAnsi="Almoni ML v5 AAA" w:cs="Almoni ML v5 AAA"/>
                <w:b/>
                <w:bCs/>
                <w:sz w:val="22"/>
                <w:szCs w:val="22"/>
                <w:rtl/>
              </w:rPr>
              <w:t>מידע</w:t>
            </w:r>
          </w:p>
        </w:tc>
        <w:tc>
          <w:tcPr>
            <w:tcW w:w="0" w:type="auto"/>
            <w:shd w:val="clear" w:color="auto" w:fill="F4FBFE"/>
            <w:vAlign w:val="center"/>
          </w:tcPr>
          <w:p w:rsidR="003B5D33" w:rsidRPr="003B5D33" w:rsidP="003B5D33">
            <w:pPr>
              <w:keepNext/>
              <w:keepLines/>
              <w:spacing w:line="269" w:lineRule="auto"/>
              <w:outlineLvl w:val="3"/>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תקנה 4 מחייבת לקבוע במסמך נוהל אבטחת מידע שיכלול התייחסות לכמה נושאים</w:t>
            </w:r>
            <w:r>
              <w:rPr>
                <w:rFonts w:ascii="Almoni ML v5 AAA" w:eastAsia="Calibri" w:hAnsi="Almoni ML v5 AAA" w:cs="Almoni ML v5 AAA"/>
                <w:sz w:val="22"/>
                <w:szCs w:val="22"/>
                <w:vertAlign w:val="superscript"/>
                <w:rtl/>
              </w:rPr>
              <w:footnoteReference w:id="132"/>
            </w:r>
            <w:r w:rsidRPr="003B5D33">
              <w:rPr>
                <w:rFonts w:ascii="Almoni ML v5 AAA" w:eastAsia="Calibri" w:hAnsi="Almoni ML v5 AAA" w:cs="Almoni ML v5 AAA"/>
                <w:sz w:val="22"/>
                <w:szCs w:val="22"/>
                <w:rtl/>
              </w:rPr>
              <w:t>.</w:t>
            </w:r>
            <w:r w:rsidRPr="003B5D33">
              <w:rPr>
                <w:rFonts w:ascii="Almoni ML v5 AAA" w:eastAsia="Times New Roman" w:hAnsi="Almoni ML v5 AAA" w:cs="Almoni ML v5 AAA"/>
                <w:bCs/>
                <w:sz w:val="22"/>
                <w:szCs w:val="22"/>
                <w:rtl/>
              </w:rPr>
              <w:t xml:space="preserve"> </w:t>
            </w:r>
            <w:r w:rsidRPr="003B5D33">
              <w:rPr>
                <w:rFonts w:ascii="Almoni ML v5 AAA" w:eastAsia="Calibri" w:hAnsi="Almoni ML v5 AAA" w:cs="Almoni ML v5 AAA"/>
                <w:sz w:val="22"/>
                <w:szCs w:val="22"/>
                <w:rtl/>
              </w:rPr>
              <w:t>עוד נקבע כי ארגון שהוא בעל כמה מאגרי מידע רשאי לקבוע נוהל אבטחה כאמור במסמך אחד לעניין כל מאגרי המידע שברשותו, המצויים באותה רמת אבטחה.</w:t>
            </w:r>
          </w:p>
        </w:tc>
        <w:tc>
          <w:tcPr>
            <w:tcW w:w="0" w:type="auto"/>
            <w:shd w:val="clear" w:color="auto" w:fill="F4FBFE"/>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אין בידי משרד החוץ נוהל אבטחה כללי או פרטני למאגרי המידע שברשותו</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למעט נוהל אבטחה שנכתב למאגר הקונסולרי.</w:t>
            </w:r>
          </w:p>
          <w:p w:rsidR="003B5D33" w:rsidRPr="003B5D33" w:rsidP="003B5D33">
            <w:pPr>
              <w:spacing w:line="269" w:lineRule="auto"/>
              <w:rPr>
                <w:rFonts w:ascii="Almoni ML v5 AAA" w:eastAsia="Calibri" w:hAnsi="Almoni ML v5 AAA" w:cs="Almoni ML v5 AAA"/>
                <w:sz w:val="22"/>
                <w:szCs w:val="22"/>
                <w:rtl/>
              </w:rPr>
            </w:pP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694899" cy="645263"/>
                  <wp:effectExtent l="0" t="0" r="0" b="2540"/>
                  <wp:docPr id="18436" name="תמונה 1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
                          <pic:cNvPicPr/>
                        </pic:nvPicPr>
                        <pic:blipFill>
                          <a:blip xmlns:r="http://schemas.openxmlformats.org/officeDocument/2006/relationships" r:embed="rId36"/>
                          <a:stretch>
                            <a:fillRect/>
                          </a:stretch>
                        </pic:blipFill>
                        <pic:spPr>
                          <a:xfrm>
                            <a:off x="0" y="0"/>
                            <a:ext cx="713006" cy="662077"/>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מסמך מבנה מאגר המידע ורשימת מערכותיו</w:t>
            </w:r>
          </w:p>
        </w:tc>
        <w:tc>
          <w:tcPr>
            <w:tcW w:w="0" w:type="auto"/>
            <w:shd w:val="clear" w:color="auto" w:fill="F4FB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לפי תקנה 5</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על בעל מאגר מידע להחזיק מסמך מעודכן של מבנה מאגר המידע וכן רשימת מצאי מעודכנת של מערכות המאגר</w:t>
            </w:r>
            <w:r>
              <w:rPr>
                <w:rFonts w:ascii="Almoni ML v5 AAA" w:eastAsia="Calibri" w:hAnsi="Almoni ML v5 AAA" w:cs="Almoni ML v5 AAA"/>
                <w:sz w:val="22"/>
                <w:szCs w:val="22"/>
                <w:vertAlign w:val="superscript"/>
                <w:rtl/>
              </w:rPr>
              <w:footnoteReference w:id="133"/>
            </w:r>
            <w:r w:rsidRPr="003B5D33">
              <w:rPr>
                <w:rFonts w:ascii="Almoni ML v5 AAA" w:eastAsia="Calibri" w:hAnsi="Almoni ML v5 AAA" w:cs="Almoni ML v5 AAA"/>
                <w:sz w:val="22"/>
                <w:szCs w:val="22"/>
                <w:rtl/>
              </w:rPr>
              <w:t>. בתקנות נקבע כי ארגון שהוא בעל כמה מאגרי מידע רשאי לקבוע את רשימת המצאי במסמך אחד לעניין כל מאגרי המידע שברשותו, המצויים באותה רמת אבטחה.</w:t>
            </w:r>
          </w:p>
        </w:tc>
        <w:tc>
          <w:tcPr>
            <w:tcW w:w="0" w:type="auto"/>
            <w:shd w:val="clear" w:color="auto" w:fill="F4FBFE"/>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אין בידי משרד החוץ מסמך מעודכן של מבנה מאגר המידע ורשימת מצאי למאגרי המידע שברשותו</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למעט מסמך שנכתב למאגר הקונסולרי.</w:t>
            </w:r>
          </w:p>
          <w:p w:rsidR="003B5D33" w:rsidRPr="003B5D33" w:rsidP="003B5D33">
            <w:pPr>
              <w:spacing w:line="269" w:lineRule="auto"/>
              <w:rPr>
                <w:rFonts w:ascii="Almoni ML v5 AAA" w:eastAsia="Calibri" w:hAnsi="Almoni ML v5 AAA" w:cs="Almoni ML v5 AAA"/>
                <w:sz w:val="22"/>
                <w:szCs w:val="22"/>
                <w:rtl/>
              </w:rPr>
            </w:pP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704616" cy="483560"/>
                  <wp:effectExtent l="0" t="0" r="635" b="0"/>
                  <wp:docPr id="18438" name="תמונה 1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 name=""/>
                          <pic:cNvPicPr/>
                        </pic:nvPicPr>
                        <pic:blipFill>
                          <a:blip xmlns:r="http://schemas.openxmlformats.org/officeDocument/2006/relationships" r:embed="rId37"/>
                          <a:stretch>
                            <a:fillRect/>
                          </a:stretch>
                        </pic:blipFill>
                        <pic:spPr>
                          <a:xfrm flipH="1">
                            <a:off x="0" y="0"/>
                            <a:ext cx="729311" cy="500507"/>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מנגנון תיעוד אוטומטי על הגישה למערכות המאגר</w:t>
            </w:r>
          </w:p>
        </w:tc>
        <w:tc>
          <w:tcPr>
            <w:tcW w:w="0" w:type="auto"/>
            <w:shd w:val="clear" w:color="auto" w:fill="F4FBFE"/>
            <w:vAlign w:val="center"/>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לפי תקנה 10 במערכות של מאגר מידע אשר חלה עליו רמת אבטחה בינונית או גבוהה, ינוהל מנגנון תיעוד אוטומטי שיאפשר ביקורת על הגישה למערכות המאגר (לוגים)</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ובכלל זה נתונים אלה: זהות המשתמש, התאריך והשעה של ניסיון הגישה, רכיב המערכת שאליו בוצע ניסיון הגישה, סוג הגישה, היקפה, ואם הגישה אושרה או נדחתה.</w:t>
            </w:r>
          </w:p>
        </w:tc>
        <w:tc>
          <w:tcPr>
            <w:tcW w:w="0" w:type="auto"/>
            <w:shd w:val="clear" w:color="auto" w:fill="F4FBFE"/>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נמצא כי בארבע מערכות מידע שנבדקו ברשת </w:t>
            </w:r>
            <w:r w:rsidRPr="003B5D33">
              <w:rPr>
                <w:rFonts w:ascii="Almoni ML v5 AAA" w:eastAsia="Calibri" w:hAnsi="Almoni ML v5 AAA" w:cs="Almoni ML v5 AAA" w:hint="cs"/>
                <w:b/>
                <w:bCs/>
                <w:sz w:val="22"/>
                <w:szCs w:val="22"/>
                <w:rtl/>
              </w:rPr>
              <w:t>מסוימת,</w:t>
            </w:r>
            <w:r w:rsidRPr="003B5D33">
              <w:rPr>
                <w:rFonts w:ascii="Almoni ML v5 AAA" w:eastAsia="Calibri" w:hAnsi="Almoni ML v5 AAA" w:cs="Almoni ML v5 AAA"/>
                <w:b/>
                <w:bCs/>
                <w:sz w:val="22"/>
                <w:szCs w:val="22"/>
                <w:rtl/>
              </w:rPr>
              <w:t xml:space="preserve"> שנשמר בהן מידע אישי ושעל פי התבחינים נדרשת לגביה</w:t>
            </w:r>
            <w:r w:rsidRPr="003B5D33">
              <w:rPr>
                <w:rFonts w:ascii="Almoni ML v5 AAA" w:eastAsia="Calibri" w:hAnsi="Almoni ML v5 AAA" w:cs="Almoni ML v5 AAA" w:hint="cs"/>
                <w:b/>
                <w:bCs/>
                <w:sz w:val="22"/>
                <w:szCs w:val="22"/>
                <w:rtl/>
              </w:rPr>
              <w:t>ן</w:t>
            </w:r>
            <w:r w:rsidRPr="003B5D33">
              <w:rPr>
                <w:rFonts w:ascii="Almoni ML v5 AAA" w:eastAsia="Calibri" w:hAnsi="Almoni ML v5 AAA" w:cs="Almoni ML v5 AAA"/>
                <w:b/>
                <w:bCs/>
                <w:sz w:val="22"/>
                <w:szCs w:val="22"/>
                <w:rtl/>
              </w:rPr>
              <w:t xml:space="preserve"> רמת אבטחה בינונית או גבוהה</w:t>
            </w:r>
            <w:r w:rsidRPr="003B5D33">
              <w:rPr>
                <w:rFonts w:ascii="Almoni ML v5 AAA" w:eastAsia="Calibri" w:hAnsi="Almoni ML v5 AAA" w:cs="Almoni ML v5 AAA" w:hint="cs"/>
                <w:b/>
                <w:bCs/>
                <w:sz w:val="22"/>
                <w:szCs w:val="22"/>
                <w:rtl/>
              </w:rPr>
              <w:t xml:space="preserve"> -</w:t>
            </w:r>
            <w:r w:rsidRPr="003B5D33">
              <w:rPr>
                <w:rFonts w:ascii="Almoni ML v5 AAA" w:eastAsia="Calibri" w:hAnsi="Almoni ML v5 AAA" w:cs="Almoni ML v5 AAA"/>
                <w:b/>
                <w:bCs/>
                <w:sz w:val="22"/>
                <w:szCs w:val="22"/>
                <w:rtl/>
              </w:rPr>
              <w:t xml:space="preserve"> לא קיימים לוגים כנדרש בתקנות.</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557644" cy="427959"/>
                  <wp:effectExtent l="0" t="0" r="0" b="0"/>
                  <wp:docPr id="18439" name="תמונה 1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 name=""/>
                          <pic:cNvPicPr/>
                        </pic:nvPicPr>
                        <pic:blipFill>
                          <a:blip xmlns:r="http://schemas.openxmlformats.org/officeDocument/2006/relationships" r:embed="rId38"/>
                          <a:stretch>
                            <a:fillRect/>
                          </a:stretch>
                        </pic:blipFill>
                        <pic:spPr>
                          <a:xfrm flipH="1">
                            <a:off x="0" y="0"/>
                            <a:ext cx="583328" cy="447670"/>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ביצוע סקר סיכונים ומבדק חדירה</w:t>
            </w:r>
          </w:p>
        </w:tc>
        <w:tc>
          <w:tcPr>
            <w:tcW w:w="0" w:type="auto"/>
            <w:shd w:val="clear" w:color="auto" w:fill="F4FBFE"/>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בתקנה 5 נקבע כי במאגר מידע בעל רמת אבטחה גבוהה יבוצעו סקר לאיתור סיכוני אבטחת מידע וכן מבדק חדירות למערכות המאגר. עוד נקבע כי סקר סיכונים ומבדק החדירה ייערכו אחת </w:t>
            </w:r>
            <w:r w:rsidRPr="003B5D33">
              <w:rPr>
                <w:rFonts w:ascii="Almoni ML v5 AAA" w:eastAsia="Calibri" w:hAnsi="Almoni ML v5 AAA" w:cs="Almoni ML v5 AAA" w:hint="cs"/>
                <w:sz w:val="22"/>
                <w:szCs w:val="22"/>
                <w:rtl/>
              </w:rPr>
              <w:t>ל-18</w:t>
            </w:r>
            <w:r w:rsidRPr="003B5D33">
              <w:rPr>
                <w:rFonts w:ascii="Almoni ML v5 AAA" w:eastAsia="Calibri" w:hAnsi="Almoni ML v5 AAA" w:cs="Almoni ML v5 AAA"/>
                <w:sz w:val="22"/>
                <w:szCs w:val="22"/>
                <w:rtl/>
              </w:rPr>
              <w:t xml:space="preserve"> חודשים לפחות.</w:t>
            </w:r>
          </w:p>
        </w:tc>
        <w:tc>
          <w:tcPr>
            <w:tcW w:w="0" w:type="auto"/>
            <w:shd w:val="clear" w:color="auto" w:fill="F4FBFE"/>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נבדקו </w:t>
            </w:r>
            <w:r w:rsidRPr="003B5D33">
              <w:rPr>
                <w:rFonts w:ascii="Almoni ML v5 AAA" w:eastAsia="Calibri" w:hAnsi="Almoni ML v5 AAA" w:cs="Almoni ML v5 AAA" w:hint="eastAsia"/>
                <w:b/>
                <w:bCs/>
                <w:sz w:val="22"/>
                <w:szCs w:val="22"/>
                <w:rtl/>
              </w:rPr>
              <w:t>כמה</w:t>
            </w:r>
            <w:r w:rsidRPr="003B5D33">
              <w:rPr>
                <w:rFonts w:ascii="Almoni ML v5 AAA" w:eastAsia="Calibri" w:hAnsi="Almoni ML v5 AAA" w:cs="Almoni ML v5 AAA"/>
                <w:b/>
                <w:bCs/>
                <w:sz w:val="22"/>
                <w:szCs w:val="22"/>
                <w:rtl/>
              </w:rPr>
              <w:t xml:space="preserve"> מערכות מידע ברשת </w:t>
            </w:r>
            <w:r w:rsidRPr="003B5D33">
              <w:rPr>
                <w:rFonts w:ascii="Almoni ML v5 AAA" w:eastAsia="Calibri" w:hAnsi="Almoni ML v5 AAA" w:cs="Almoni ML v5 AAA" w:hint="cs"/>
                <w:b/>
                <w:bCs/>
                <w:sz w:val="22"/>
                <w:szCs w:val="22"/>
                <w:rtl/>
              </w:rPr>
              <w:t>מסוימת</w:t>
            </w:r>
            <w:r w:rsidRPr="003B5D33">
              <w:rPr>
                <w:rFonts w:ascii="Almoni ML v5 AAA" w:eastAsia="Calibri" w:hAnsi="Almoni ML v5 AAA" w:cs="Almoni ML v5 AAA"/>
                <w:b/>
                <w:bCs/>
                <w:sz w:val="22"/>
                <w:szCs w:val="22"/>
                <w:rtl/>
              </w:rPr>
              <w:t xml:space="preserve"> במשרד החוץ</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שנדרשת בהן רמת אבטחה גבוהה לפי התקנות, ונמצא כי לא נעשה להן סקר סיכונים או מבדק חדירה. </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572867" cy="361507"/>
                  <wp:effectExtent l="0" t="0" r="0" b="635"/>
                  <wp:docPr id="18440" name="תמונה 1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 name=""/>
                          <pic:cNvPicPr/>
                        </pic:nvPicPr>
                        <pic:blipFill>
                          <a:blip xmlns:r="http://schemas.openxmlformats.org/officeDocument/2006/relationships" r:embed="rId39"/>
                          <a:stretch>
                            <a:fillRect/>
                          </a:stretch>
                        </pic:blipFill>
                        <pic:spPr>
                          <a:xfrm>
                            <a:off x="0" y="0"/>
                            <a:ext cx="611924" cy="386154"/>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ביצוע ביקורות תקופתיות</w:t>
            </w:r>
          </w:p>
        </w:tc>
        <w:tc>
          <w:tcPr>
            <w:tcW w:w="0" w:type="auto"/>
            <w:shd w:val="clear" w:color="auto" w:fill="F4FBFE"/>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בתקנה 3 נקבע כי הממונה על האבטחה יכין ת</w:t>
            </w:r>
            <w:r w:rsidRPr="003B5D33">
              <w:rPr>
                <w:rFonts w:ascii="Almoni ML v5 AAA" w:eastAsia="Calibri" w:hAnsi="Almoni ML v5 AAA" w:cs="Almoni ML v5 AAA" w:hint="cs"/>
                <w:sz w:val="22"/>
                <w:szCs w:val="22"/>
                <w:rtl/>
              </w:rPr>
              <w:t>ו</w:t>
            </w:r>
            <w:r w:rsidRPr="003B5D33">
              <w:rPr>
                <w:rFonts w:ascii="Almoni ML v5 AAA" w:eastAsia="Calibri" w:hAnsi="Almoni ML v5 AAA" w:cs="Almoni ML v5 AAA"/>
                <w:sz w:val="22"/>
                <w:szCs w:val="22"/>
                <w:rtl/>
              </w:rPr>
              <w:t>כנית לבקרה שוטפת על העמידה בדרישות תקנות אלה, יבצע אותה</w:t>
            </w:r>
            <w:r w:rsidRPr="003B5D33">
              <w:rPr>
                <w:rFonts w:ascii="Almoni ML v5 AAA" w:eastAsia="Calibri" w:hAnsi="Almoni ML v5 AAA" w:cs="Almoni ML v5 AAA" w:hint="cs"/>
                <w:sz w:val="22"/>
                <w:szCs w:val="22"/>
                <w:rtl/>
              </w:rPr>
              <w:t>,</w:t>
            </w:r>
            <w:r w:rsidRPr="003B5D33">
              <w:rPr>
                <w:rFonts w:ascii="Almoni ML v5 AAA" w:eastAsia="Calibri" w:hAnsi="Almoni ML v5 AAA" w:cs="Almoni ML v5 AAA"/>
                <w:sz w:val="22"/>
                <w:szCs w:val="22"/>
                <w:rtl/>
              </w:rPr>
              <w:t xml:space="preserve"> ויודיע לבעל מאגר המידע ולמנהל המאגר על ממצאיו. </w:t>
            </w:r>
          </w:p>
        </w:tc>
        <w:tc>
          <w:tcPr>
            <w:tcW w:w="0" w:type="auto"/>
            <w:shd w:val="clear" w:color="auto" w:fill="F4FBFE"/>
            <w:vAlign w:val="center"/>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נמצא כי קב"ט המשרד</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ש</w:t>
            </w:r>
            <w:r w:rsidRPr="003B5D33">
              <w:rPr>
                <w:rFonts w:ascii="Almoni ML v5 AAA" w:eastAsia="Calibri" w:hAnsi="Almoni ML v5 AAA" w:cs="Almoni ML v5 AAA" w:hint="cs"/>
                <w:b/>
                <w:bCs/>
                <w:sz w:val="22"/>
                <w:szCs w:val="22"/>
                <w:rtl/>
              </w:rPr>
              <w:t>לפי מסמכי המשרד נקבע כאחראי</w:t>
            </w:r>
            <w:r w:rsidRPr="003B5D33">
              <w:rPr>
                <w:rFonts w:ascii="Almoni ML v5 AAA" w:eastAsia="Calibri" w:hAnsi="Almoni ML v5 AAA" w:cs="Almoni ML v5 AAA"/>
                <w:b/>
                <w:bCs/>
                <w:sz w:val="22"/>
                <w:szCs w:val="22"/>
                <w:rtl/>
              </w:rPr>
              <w:t xml:space="preserve"> על האבטחה בכל הנוגע להגנה על הפרטיות</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לא הכין ת</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כנית לבקרה שוטפת על העמידה בדרישות התקנות</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ולא נערכה ביקורת על עמידת מאגרי המידע שברשות המשרד בהוראות התקנות, למעט המאגר הקונסולרי.</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641543" cy="432583"/>
                  <wp:effectExtent l="0" t="0" r="6350" b="5715"/>
                  <wp:docPr id="18441" name="תמונה 1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 name=""/>
                          <pic:cNvPicPr/>
                        </pic:nvPicPr>
                        <pic:blipFill>
                          <a:blip xmlns:r="http://schemas.openxmlformats.org/officeDocument/2006/relationships" r:embed="rId40"/>
                          <a:stretch>
                            <a:fillRect/>
                          </a:stretch>
                        </pic:blipFill>
                        <pic:spPr>
                          <a:xfrm>
                            <a:off x="0" y="0"/>
                            <a:ext cx="704087" cy="474755"/>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הקצאת משאבים לממונה על אבטחת המידע</w:t>
            </w:r>
          </w:p>
        </w:tc>
        <w:tc>
          <w:tcPr>
            <w:tcW w:w="0" w:type="auto"/>
            <w:shd w:val="clear" w:color="auto" w:fill="F4FBFE"/>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בתקנה 3 נקבע כי בעל מאגר המידע יקצה לממונה את המשאבים הדרושים לו לשם מילוי תפקידו.</w:t>
            </w:r>
          </w:p>
        </w:tc>
        <w:tc>
          <w:tcPr>
            <w:tcW w:w="0" w:type="auto"/>
            <w:shd w:val="clear" w:color="auto" w:fill="F4FBFE"/>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ממסמכי בטמ"ח עולה כי נושא ההגנה על הפרטיות שמצוי </w:t>
            </w:r>
            <w:r w:rsidRPr="003B5D33">
              <w:rPr>
                <w:rFonts w:ascii="Almoni ML v5 AAA" w:eastAsia="Calibri" w:hAnsi="Almoni ML v5 AAA" w:cs="Almoni ML v5 AAA" w:hint="cs"/>
                <w:b/>
                <w:bCs/>
                <w:sz w:val="22"/>
                <w:szCs w:val="22"/>
                <w:rtl/>
              </w:rPr>
              <w:t>ב</w:t>
            </w:r>
            <w:r w:rsidRPr="003B5D33">
              <w:rPr>
                <w:rFonts w:ascii="Almoni ML v5 AAA" w:eastAsia="Calibri" w:hAnsi="Almoni ML v5 AAA" w:cs="Almoni ML v5 AAA"/>
                <w:b/>
                <w:bCs/>
                <w:sz w:val="22"/>
                <w:szCs w:val="22"/>
                <w:rtl/>
              </w:rPr>
              <w:t>אחריותם נמנה עם הנושאים בת</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כנית העבודה לשנת 2024</w:t>
            </w:r>
            <w:r w:rsidRPr="003B5D33">
              <w:rPr>
                <w:rFonts w:ascii="Almoni ML v5 AAA" w:eastAsia="Calibri" w:hAnsi="Almoni ML v5 AAA" w:cs="Almoni ML v5 AAA" w:hint="cs"/>
                <w:b/>
                <w:bCs/>
                <w:sz w:val="22"/>
                <w:szCs w:val="22"/>
                <w:rtl/>
              </w:rPr>
              <w:t>,</w:t>
            </w:r>
            <w:r w:rsidRPr="003B5D33">
              <w:rPr>
                <w:rFonts w:ascii="Almoni ML v5 AAA" w:eastAsia="Calibri" w:hAnsi="Almoni ML v5 AAA" w:cs="Almoni ML v5 AAA"/>
                <w:b/>
                <w:bCs/>
                <w:sz w:val="22"/>
                <w:szCs w:val="22"/>
                <w:rtl/>
              </w:rPr>
              <w:t xml:space="preserve"> </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 xml:space="preserve">בו </w:t>
            </w:r>
            <w:r w:rsidRPr="003B5D33">
              <w:rPr>
                <w:rFonts w:ascii="Almoni ML v5 AAA" w:eastAsia="Calibri" w:hAnsi="Almoni ML v5 AAA" w:cs="Almoni ML v5 AAA" w:hint="cs"/>
                <w:b/>
                <w:bCs/>
                <w:sz w:val="22"/>
                <w:szCs w:val="22"/>
                <w:rtl/>
              </w:rPr>
              <w:t>עלו</w:t>
            </w:r>
            <w:r w:rsidRPr="003B5D33">
              <w:rPr>
                <w:rFonts w:ascii="Almoni ML v5 AAA" w:eastAsia="Calibri" w:hAnsi="Almoni ML v5 AAA" w:cs="Almoni ML v5 AAA"/>
                <w:b/>
                <w:bCs/>
                <w:sz w:val="22"/>
                <w:szCs w:val="22"/>
                <w:rtl/>
              </w:rPr>
              <w:t xml:space="preserve"> פערים מ</w:t>
            </w:r>
            <w:r w:rsidRPr="003B5D33">
              <w:rPr>
                <w:rFonts w:ascii="Almoni ML v5 AAA" w:eastAsia="Calibri" w:hAnsi="Almoni ML v5 AAA" w:cs="Almoni ML v5 AAA" w:hint="cs"/>
                <w:b/>
                <w:bCs/>
                <w:sz w:val="22"/>
                <w:szCs w:val="22"/>
                <w:rtl/>
              </w:rPr>
              <w:t>הות</w:t>
            </w:r>
            <w:r w:rsidRPr="003B5D33">
              <w:rPr>
                <w:rFonts w:ascii="Almoni ML v5 AAA" w:eastAsia="Calibri" w:hAnsi="Almoni ML v5 AAA" w:cs="Almoni ML v5 AAA"/>
                <w:b/>
                <w:bCs/>
                <w:sz w:val="22"/>
                <w:szCs w:val="22"/>
                <w:rtl/>
              </w:rPr>
              <w:t>יים בין הת</w:t>
            </w:r>
            <w:r w:rsidRPr="003B5D33">
              <w:rPr>
                <w:rFonts w:ascii="Almoni ML v5 AAA" w:eastAsia="Calibri" w:hAnsi="Almoni ML v5 AAA" w:cs="Almoni ML v5 AAA" w:hint="cs"/>
                <w:b/>
                <w:bCs/>
                <w:sz w:val="22"/>
                <w:szCs w:val="22"/>
                <w:rtl/>
              </w:rPr>
              <w:t>ו</w:t>
            </w:r>
            <w:r w:rsidRPr="003B5D33">
              <w:rPr>
                <w:rFonts w:ascii="Almoni ML v5 AAA" w:eastAsia="Calibri" w:hAnsi="Almoni ML v5 AAA" w:cs="Almoni ML v5 AAA"/>
                <w:b/>
                <w:bCs/>
                <w:sz w:val="22"/>
                <w:szCs w:val="22"/>
                <w:rtl/>
              </w:rPr>
              <w:t>כנית לביצוע</w:t>
            </w:r>
            <w:r w:rsidRPr="003B5D33">
              <w:rPr>
                <w:rFonts w:ascii="Almoni ML v5 AAA" w:eastAsia="Calibri" w:hAnsi="Almoni ML v5 AAA" w:cs="Almoni ML v5 AAA" w:hint="cs"/>
                <w:b/>
                <w:bCs/>
                <w:sz w:val="22"/>
                <w:szCs w:val="22"/>
                <w:rtl/>
              </w:rPr>
              <w:t>ה</w:t>
            </w:r>
            <w:r w:rsidRPr="003B5D33">
              <w:rPr>
                <w:rFonts w:ascii="Almoni ML v5 AAA" w:eastAsia="Calibri" w:hAnsi="Almoni ML v5 AAA" w:cs="Almoni ML v5 AAA"/>
                <w:b/>
                <w:bCs/>
                <w:sz w:val="22"/>
                <w:szCs w:val="22"/>
                <w:rtl/>
              </w:rPr>
              <w:t xml:space="preserve"> בפועל. בעבודת מטה שהוכנה בבטמ"ח במחצית הראשונה של 2024 </w:t>
            </w:r>
            <w:r w:rsidRPr="003B5D33">
              <w:rPr>
                <w:rFonts w:ascii="Almoni ML v5 AAA" w:eastAsia="Calibri" w:hAnsi="Almoni ML v5 AAA" w:cs="Almoni ML v5 AAA" w:hint="cs"/>
                <w:b/>
                <w:bCs/>
                <w:sz w:val="22"/>
                <w:szCs w:val="22"/>
                <w:rtl/>
              </w:rPr>
              <w:t xml:space="preserve">כלל </w:t>
            </w:r>
            <w:r w:rsidRPr="003B5D33">
              <w:rPr>
                <w:rFonts w:ascii="Almoni ML v5 AAA" w:eastAsia="Calibri" w:hAnsi="Almoni ML v5 AAA" w:cs="Almoni ML v5 AAA"/>
                <w:b/>
                <w:bCs/>
                <w:sz w:val="22"/>
                <w:szCs w:val="22"/>
                <w:rtl/>
              </w:rPr>
              <w:t xml:space="preserve">לא צוינו נתונים על שעות </w:t>
            </w:r>
            <w:r w:rsidRPr="003B5D33">
              <w:rPr>
                <w:rFonts w:ascii="Almoni ML v5 AAA" w:eastAsia="Calibri" w:hAnsi="Almoni ML v5 AAA" w:cs="Almoni ML v5 AAA" w:hint="cs"/>
                <w:b/>
                <w:bCs/>
                <w:sz w:val="22"/>
                <w:szCs w:val="22"/>
                <w:rtl/>
              </w:rPr>
              <w:t xml:space="preserve">העבודה </w:t>
            </w:r>
            <w:r w:rsidRPr="003B5D33">
              <w:rPr>
                <w:rFonts w:ascii="Almoni ML v5 AAA" w:eastAsia="Calibri" w:hAnsi="Almoni ML v5 AAA" w:cs="Almoni ML v5 AAA"/>
                <w:b/>
                <w:bCs/>
                <w:sz w:val="22"/>
                <w:szCs w:val="22"/>
                <w:rtl/>
              </w:rPr>
              <w:t xml:space="preserve">הנדרשות לביצוע המשימות של הגנה על הפרטיות ועל מאגרי המידע, ונרשם כי </w:t>
            </w:r>
            <w:r w:rsidRPr="003B5D33">
              <w:rPr>
                <w:rFonts w:ascii="Almoni ML v5 AAA" w:eastAsia="Calibri" w:hAnsi="Almoni ML v5 AAA" w:cs="Almoni ML v5 AAA" w:hint="cs"/>
                <w:b/>
                <w:bCs/>
                <w:sz w:val="22"/>
                <w:szCs w:val="22"/>
                <w:rtl/>
              </w:rPr>
              <w:t xml:space="preserve">כלל </w:t>
            </w:r>
            <w:r w:rsidRPr="003B5D33">
              <w:rPr>
                <w:rFonts w:ascii="Almoni ML v5 AAA" w:eastAsia="Calibri" w:hAnsi="Almoni ML v5 AAA" w:cs="Almoni ML v5 AAA"/>
                <w:b/>
                <w:bCs/>
                <w:sz w:val="22"/>
                <w:szCs w:val="22"/>
                <w:rtl/>
              </w:rPr>
              <w:t>לא בוצעו שעות עבודה במשימות אלו.</w:t>
            </w:r>
          </w:p>
        </w:tc>
      </w:tr>
      <w:tr w:rsidTr="003B5D33">
        <w:tblPrEx>
          <w:tblW w:w="0" w:type="auto"/>
          <w:jc w:val="center"/>
          <w:tblCellMar>
            <w:top w:w="113" w:type="dxa"/>
            <w:left w:w="170" w:type="dxa"/>
            <w:bottom w:w="113" w:type="dxa"/>
            <w:right w:w="170" w:type="dxa"/>
          </w:tblCellMar>
          <w:tblLook w:val="04A0"/>
        </w:tblPrEx>
        <w:trPr>
          <w:jc w:val="center"/>
        </w:trPr>
        <w:tc>
          <w:tcPr>
            <w:tcW w:w="0" w:type="auto"/>
            <w:vAlign w:val="center"/>
          </w:tcPr>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noProof/>
                <w:sz w:val="22"/>
                <w:szCs w:val="22"/>
                <w:rtl/>
              </w:rPr>
              <w:drawing>
                <wp:inline distT="0" distB="0" distL="0" distR="0">
                  <wp:extent cx="530985" cy="416574"/>
                  <wp:effectExtent l="0" t="0" r="2540" b="2540"/>
                  <wp:docPr id="18442" name="תמונה 1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 name=""/>
                          <pic:cNvPicPr/>
                        </pic:nvPicPr>
                        <pic:blipFill>
                          <a:blip xmlns:r="http://schemas.openxmlformats.org/officeDocument/2006/relationships" r:embed="rId41"/>
                          <a:stretch>
                            <a:fillRect/>
                          </a:stretch>
                        </pic:blipFill>
                        <pic:spPr>
                          <a:xfrm>
                            <a:off x="0" y="0"/>
                            <a:ext cx="564741" cy="443057"/>
                          </a:xfrm>
                          <a:prstGeom prst="rect">
                            <a:avLst/>
                          </a:prstGeom>
                        </pic:spPr>
                      </pic:pic>
                    </a:graphicData>
                  </a:graphic>
                </wp:inline>
              </w:drawing>
            </w:r>
          </w:p>
          <w:p w:rsidR="003B5D33" w:rsidRPr="003B5D33" w:rsidP="003B5D33">
            <w:pPr>
              <w:spacing w:line="269" w:lineRule="auto"/>
              <w:jc w:val="center"/>
              <w:rPr>
                <w:rFonts w:ascii="Almoni ML v5 AAA" w:eastAsia="Calibri" w:hAnsi="Almoni ML v5 AAA" w:cs="Almoni ML v5 AAA"/>
                <w:b/>
                <w:bCs/>
                <w:sz w:val="22"/>
                <w:szCs w:val="22"/>
                <w:rtl/>
              </w:rPr>
            </w:pPr>
          </w:p>
          <w:p w:rsidR="003B5D33" w:rsidRPr="003B5D33" w:rsidP="003B5D33">
            <w:pPr>
              <w:spacing w:line="269" w:lineRule="auto"/>
              <w:jc w:val="center"/>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קביעת נהלים בתחום הגנת הפרטיות</w:t>
            </w:r>
          </w:p>
        </w:tc>
        <w:tc>
          <w:tcPr>
            <w:tcW w:w="0" w:type="auto"/>
            <w:shd w:val="clear" w:color="auto" w:fill="F4FBFE"/>
          </w:tcPr>
          <w:p w:rsidR="003B5D33" w:rsidRPr="003B5D33" w:rsidP="003B5D33">
            <w:pPr>
              <w:spacing w:line="269" w:lineRule="auto"/>
              <w:rPr>
                <w:rFonts w:ascii="Almoni ML v5 AAA" w:eastAsia="Calibri" w:hAnsi="Almoni ML v5 AAA" w:cs="Almoni ML v5 AAA"/>
                <w:sz w:val="22"/>
                <w:szCs w:val="22"/>
                <w:rtl/>
              </w:rPr>
            </w:pPr>
            <w:r w:rsidRPr="003B5D33">
              <w:rPr>
                <w:rFonts w:ascii="Almoni ML v5 AAA" w:eastAsia="Calibri" w:hAnsi="Almoni ML v5 AAA" w:cs="Almoni ML v5 AAA"/>
                <w:sz w:val="22"/>
                <w:szCs w:val="22"/>
                <w:rtl/>
              </w:rPr>
              <w:t xml:space="preserve">במסמך מדיניות הגנת הסייבר נקבע כי </w:t>
            </w:r>
            <w:r w:rsidR="00031CA3">
              <w:rPr>
                <w:rFonts w:ascii="Almoni ML v5 AAA" w:eastAsia="Calibri" w:hAnsi="Almoni ML v5 AAA" w:cs="Almoni ML v5 AAA" w:hint="cs"/>
                <w:sz w:val="22"/>
                <w:szCs w:val="22"/>
                <w:rtl/>
              </w:rPr>
              <w:t>ראש חטיבת</w:t>
            </w:r>
            <w:r w:rsidRPr="003B5D33">
              <w:rPr>
                <w:rFonts w:ascii="Almoni ML v5 AAA" w:eastAsia="Calibri" w:hAnsi="Almoni ML v5 AAA" w:cs="Almoni ML v5 AAA"/>
                <w:sz w:val="22"/>
                <w:szCs w:val="22"/>
                <w:rtl/>
              </w:rPr>
              <w:t xml:space="preserve"> בטמ"ח, ראש אגף הון אנושי והדרכה וראש אגף תקשוב, כל אחד בתחום אחריותו ובתיאום עם האחרים, על פי </w:t>
            </w:r>
            <w:r w:rsidRPr="003B5D33">
              <w:rPr>
                <w:rFonts w:ascii="Almoni ML v5 AAA" w:eastAsia="Calibri" w:hAnsi="Almoni ML v5 AAA" w:cs="Almoni ML v5 AAA" w:hint="cs"/>
                <w:sz w:val="22"/>
                <w:szCs w:val="22"/>
                <w:rtl/>
              </w:rPr>
              <w:t>ה</w:t>
            </w:r>
            <w:r w:rsidRPr="003B5D33">
              <w:rPr>
                <w:rFonts w:ascii="Almoni ML v5 AAA" w:eastAsia="Calibri" w:hAnsi="Almoni ML v5 AAA" w:cs="Almoni ML v5 AAA"/>
                <w:sz w:val="22"/>
                <w:szCs w:val="22"/>
                <w:rtl/>
              </w:rPr>
              <w:t>צורך, יפרסמו נהלים מחייבים הנגזרים ממדיניות ההגנה בסייבר. הנהלים יתייחסו, בין היתר, לדרישות אסדרה ולדרישות על פי תקנות הגנת הפרטיות.</w:t>
            </w:r>
          </w:p>
        </w:tc>
        <w:tc>
          <w:tcPr>
            <w:tcW w:w="0" w:type="auto"/>
            <w:shd w:val="clear" w:color="auto" w:fill="F4FBFE"/>
          </w:tcPr>
          <w:p w:rsidR="003B5D33" w:rsidRPr="003B5D33" w:rsidP="003B5D33">
            <w:pPr>
              <w:spacing w:line="269" w:lineRule="auto"/>
              <w:rPr>
                <w:rFonts w:ascii="Almoni ML v5 AAA" w:eastAsia="Calibri" w:hAnsi="Almoni ML v5 AAA" w:cs="Almoni ML v5 AAA"/>
                <w:b/>
                <w:bCs/>
                <w:sz w:val="22"/>
                <w:szCs w:val="22"/>
                <w:rtl/>
              </w:rPr>
            </w:pPr>
            <w:r w:rsidRPr="003B5D33">
              <w:rPr>
                <w:rFonts w:ascii="Almoni ML v5 AAA" w:eastAsia="Calibri" w:hAnsi="Almoni ML v5 AAA" w:cs="Almoni ML v5 AAA"/>
                <w:b/>
                <w:bCs/>
                <w:sz w:val="22"/>
                <w:szCs w:val="22"/>
                <w:rtl/>
              </w:rPr>
              <w:t xml:space="preserve">נמצא כי עד דצמבר 2024 </w:t>
            </w:r>
            <w:r w:rsidRPr="003B5D33">
              <w:rPr>
                <w:rFonts w:ascii="Almoni ML v5 AAA" w:eastAsia="Calibri" w:hAnsi="Almoni ML v5 AAA" w:cs="Almoni ML v5 AAA" w:hint="cs"/>
                <w:b/>
                <w:bCs/>
                <w:sz w:val="22"/>
                <w:szCs w:val="22"/>
                <w:rtl/>
              </w:rPr>
              <w:t xml:space="preserve">לא פרסם </w:t>
            </w:r>
            <w:r w:rsidRPr="003B5D33">
              <w:rPr>
                <w:rFonts w:ascii="Almoni ML v5 AAA" w:eastAsia="Calibri" w:hAnsi="Almoni ML v5 AAA" w:cs="Almoni ML v5 AAA"/>
                <w:b/>
                <w:bCs/>
                <w:sz w:val="22"/>
                <w:szCs w:val="22"/>
                <w:rtl/>
              </w:rPr>
              <w:t xml:space="preserve">משרד החוץ נהלים בכל הנוגע להגנה על מאגרי המידע לפי תקנות הגנת הפרטיות. </w:t>
            </w:r>
          </w:p>
          <w:p w:rsidR="003B5D33" w:rsidRPr="003B5D33" w:rsidP="003B5D33">
            <w:pPr>
              <w:spacing w:line="269" w:lineRule="auto"/>
              <w:rPr>
                <w:rFonts w:ascii="Almoni ML v5 AAA" w:eastAsia="Calibri" w:hAnsi="Almoni ML v5 AAA" w:cs="Almoni ML v5 AAA"/>
                <w:b/>
                <w:bCs/>
                <w:sz w:val="22"/>
                <w:szCs w:val="22"/>
                <w:rtl/>
              </w:rPr>
            </w:pPr>
          </w:p>
        </w:tc>
      </w:tr>
    </w:tbl>
    <w:p w:rsidR="003B5D33" w:rsidRPr="003B5D33" w:rsidP="003B5D33">
      <w:pPr>
        <w:spacing w:line="269" w:lineRule="auto"/>
        <w:rPr>
          <w:rFonts w:eastAsia="Calibri"/>
          <w:sz w:val="22"/>
          <w:szCs w:val="22"/>
          <w:rtl/>
        </w:rPr>
      </w:pPr>
      <w:r w:rsidRPr="003B5D33">
        <w:rPr>
          <w:rFonts w:eastAsia="Calibri" w:hint="cs"/>
          <w:sz w:val="22"/>
          <w:szCs w:val="22"/>
          <w:rtl/>
        </w:rPr>
        <w:t>על פי נתוני משרד החוץ, בעיבוד משרד מבקר המדינה.</w:t>
      </w:r>
    </w:p>
    <w:p w:rsidR="003B5D33" w:rsidRPr="003B5D33" w:rsidP="003B5D33">
      <w:pPr>
        <w:spacing w:line="269" w:lineRule="auto"/>
        <w:rPr>
          <w:rFonts w:eastAsia="Calibri"/>
          <w:b/>
          <w:bCs/>
          <w:rtl/>
        </w:rPr>
      </w:pPr>
      <w:bookmarkStart w:id="117" w:name="_Hlk203658246"/>
    </w:p>
    <w:p w:rsidR="003B5D33" w:rsidRPr="003B5D33" w:rsidP="003B5D33">
      <w:pPr>
        <w:spacing w:line="269" w:lineRule="auto"/>
        <w:rPr>
          <w:rFonts w:eastAsia="Calibri"/>
          <w:b/>
          <w:bCs/>
          <w:rtl/>
        </w:rPr>
      </w:pPr>
      <w:r w:rsidRPr="003B5D33">
        <w:rPr>
          <w:rFonts w:eastAsia="Calibri" w:hint="cs"/>
          <w:b/>
          <w:bCs/>
          <w:rtl/>
        </w:rPr>
        <w:t xml:space="preserve">מהאמור עולה כי משרד החוץ אינו מיישם באופן מלא את דרישות </w:t>
      </w:r>
      <w:r w:rsidRPr="003B5D33">
        <w:rPr>
          <w:rFonts w:eastAsia="Calibri"/>
          <w:b/>
          <w:bCs/>
          <w:rtl/>
        </w:rPr>
        <w:t>חוק הגנת הפרטיות ותקנותיו</w:t>
      </w:r>
      <w:r w:rsidRPr="003B5D33">
        <w:rPr>
          <w:rFonts w:eastAsia="Calibri" w:hint="cs"/>
          <w:b/>
          <w:bCs/>
          <w:rtl/>
        </w:rPr>
        <w:t xml:space="preserve">, ובכלל זה לא ביצע מיפוי מלא של המאגרים שברשותו; לא רשם את כלל מאגרי המידע שברשותו שחלה חובה לרשמם; לא קבע את רמת האבטחה הנדרשת בעניינם ולא נקט פעולות הנדרשות לפי החוק והתקנות כדי להגן עליהם באופן מספק. המשמעות של ליקויים אלו היא כי ללא מיפוי מקיף של כלל מאגרי המידע שברשותו, המשרד לא יכול לוודא כי הוא מגן על כלל המאגרים כנדרש.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זאת ועוד, היעדר מנגנון תיעוד אוטומטי לגישה לחלק ממאגרי המידע של המשרד לא מאפשר למשרד לאתר חדירה של גורם לא מורשה למערכות המאגר, בזמן אמת או בדיעבד. כמו כן, אי-ביצוע סקרי סיכונים ומבדקי חדירה למאגרים שבהם נדרשת רמת אבטחה גבוהה מונע מהמשרד מידע על פערים ברמת ההגנה המחייבים טיפול. נוסף על כך, ללא ביצוע של ביקורות תקופתיות על מאגרי המידע בכל הנוגע לעמידתם בדרישות התקנות, המשרד לא יכול לדעת מה רמת ההגנה בפועל על מאגרי המידע שברשותו, וייתכן שמאגרי המידע חשופים לסיכונים העלולים לפגוע בפרטיות המידע שנשמר בהם.</w:t>
      </w:r>
    </w:p>
    <w:bookmarkEnd w:id="117"/>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יצוין בהקשר זה כי העובדה ש</w:t>
      </w:r>
      <w:r w:rsidRPr="003B5D33">
        <w:rPr>
          <w:rFonts w:eastAsia="Calibri"/>
          <w:b/>
          <w:bCs/>
          <w:rtl/>
        </w:rPr>
        <w:t xml:space="preserve">משרד החוץ אינו </w:t>
      </w:r>
      <w:r w:rsidRPr="003B5D33">
        <w:rPr>
          <w:rFonts w:eastAsia="Calibri" w:hint="cs"/>
          <w:b/>
          <w:bCs/>
          <w:rtl/>
        </w:rPr>
        <w:t xml:space="preserve">מיישם באופן מלא את דרישות </w:t>
      </w:r>
      <w:r w:rsidRPr="003B5D33">
        <w:rPr>
          <w:rFonts w:eastAsia="Calibri"/>
          <w:b/>
          <w:bCs/>
          <w:rtl/>
        </w:rPr>
        <w:t>חוק הגנת הפרטיות ותקנותיו</w:t>
      </w:r>
      <w:r w:rsidRPr="003B5D33">
        <w:rPr>
          <w:rFonts w:eastAsia="Calibri" w:hint="cs"/>
          <w:b/>
          <w:bCs/>
          <w:rtl/>
        </w:rPr>
        <w:t xml:space="preserve"> עלתה בביקורת זו גם בהקשרים נוספים. כך למשל </w:t>
      </w:r>
      <w:r w:rsidRPr="003B5D33">
        <w:rPr>
          <w:rFonts w:eastAsia="Calibri"/>
          <w:b/>
          <w:bCs/>
          <w:rtl/>
        </w:rPr>
        <w:t xml:space="preserve">הועלו </w:t>
      </w:r>
      <w:r w:rsidRPr="003B5D33">
        <w:rPr>
          <w:rFonts w:eastAsia="Calibri" w:hint="cs"/>
          <w:b/>
          <w:bCs/>
          <w:rtl/>
        </w:rPr>
        <w:t xml:space="preserve">בדוח זה </w:t>
      </w:r>
      <w:r w:rsidRPr="003B5D33">
        <w:rPr>
          <w:rFonts w:eastAsia="Calibri"/>
          <w:b/>
          <w:bCs/>
          <w:rtl/>
        </w:rPr>
        <w:t xml:space="preserve">ליקויים </w:t>
      </w:r>
      <w:r w:rsidRPr="003B5D33">
        <w:rPr>
          <w:rFonts w:eastAsia="Calibri" w:hint="cs"/>
          <w:b/>
          <w:bCs/>
          <w:rtl/>
        </w:rPr>
        <w:t>חמורים</w:t>
      </w:r>
      <w:r w:rsidRPr="003B5D33">
        <w:rPr>
          <w:rFonts w:eastAsia="Calibri"/>
          <w:b/>
          <w:bCs/>
          <w:rtl/>
        </w:rPr>
        <w:t xml:space="preserve"> בכל הנוגע לה</w:t>
      </w:r>
      <w:r w:rsidRPr="003B5D33">
        <w:rPr>
          <w:rFonts w:eastAsia="Calibri" w:hint="cs"/>
          <w:b/>
          <w:bCs/>
          <w:rtl/>
        </w:rPr>
        <w:t>י</w:t>
      </w:r>
      <w:r w:rsidRPr="003B5D33">
        <w:rPr>
          <w:rFonts w:eastAsia="Calibri"/>
          <w:b/>
          <w:bCs/>
          <w:rtl/>
        </w:rPr>
        <w:t xml:space="preserve">מצאות מידע פרטי רגיש בכונן ברשת </w:t>
      </w:r>
      <w:r w:rsidRPr="003B5D33">
        <w:rPr>
          <w:rFonts w:eastAsia="Calibri" w:hint="cs"/>
          <w:b/>
          <w:bCs/>
          <w:rtl/>
        </w:rPr>
        <w:t>מסוימת</w:t>
      </w:r>
      <w:r w:rsidRPr="003B5D33">
        <w:rPr>
          <w:rFonts w:eastAsia="Calibri"/>
          <w:b/>
          <w:bCs/>
          <w:rtl/>
        </w:rPr>
        <w:t xml:space="preserve"> של המשרד</w:t>
      </w:r>
      <w:r w:rsidRPr="003B5D33">
        <w:rPr>
          <w:rFonts w:eastAsia="Calibri" w:hint="cs"/>
          <w:b/>
          <w:bCs/>
          <w:rtl/>
        </w:rPr>
        <w:t>,</w:t>
      </w:r>
      <w:r w:rsidRPr="003B5D33">
        <w:rPr>
          <w:rFonts w:eastAsia="Calibri"/>
          <w:b/>
          <w:bCs/>
          <w:rtl/>
        </w:rPr>
        <w:t xml:space="preserve"> הפתוח לכל משתמשי הרשת</w:t>
      </w:r>
      <w:r w:rsidRPr="003B5D33">
        <w:rPr>
          <w:rFonts w:eastAsia="Calibri" w:hint="cs"/>
          <w:b/>
          <w:bCs/>
          <w:rtl/>
        </w:rPr>
        <w:t xml:space="preserve"> </w:t>
      </w:r>
      <w:r w:rsidRPr="003B5D33">
        <w:rPr>
          <w:rFonts w:eastAsia="Calibri"/>
          <w:b/>
          <w:bCs/>
          <w:rtl/>
        </w:rPr>
        <w:t>ללא כל מידור של הרשאות כנדרש לפי תקנות הגנת הפרטיות</w:t>
      </w:r>
      <w:r w:rsidRPr="003B5D33">
        <w:rPr>
          <w:rFonts w:eastAsia="Calibri" w:hint="cs"/>
          <w:b/>
          <w:bCs/>
          <w:rtl/>
        </w:rPr>
        <w:t>. כמו כן, גם בסקר סיכוני תקשוב שהוגש למשרד במאי 2024 צוין כי קיימים ליקויים בתחום הגנת הפרטיות, וכי הדבר חושף את המשרד לתביעות ציבוריות.</w:t>
      </w:r>
    </w:p>
    <w:p w:rsidR="003B5D33" w:rsidRPr="003B5D33" w:rsidP="003B5D33">
      <w:pPr>
        <w:spacing w:line="269" w:lineRule="auto"/>
        <w:rPr>
          <w:rFonts w:eastAsia="Calibri"/>
          <w:b/>
          <w:bCs/>
          <w:rtl/>
        </w:rPr>
      </w:pPr>
      <w:bookmarkStart w:id="118" w:name="_Hlk203658257"/>
    </w:p>
    <w:p w:rsidR="003B5D33" w:rsidRPr="003B5D33" w:rsidP="003B5D33">
      <w:pPr>
        <w:spacing w:line="269" w:lineRule="auto"/>
        <w:rPr>
          <w:rFonts w:eastAsia="Calibri"/>
          <w:b/>
          <w:bCs/>
          <w:rtl/>
        </w:rPr>
      </w:pPr>
      <w:r w:rsidRPr="003B5D33">
        <w:rPr>
          <w:rFonts w:eastAsia="Calibri" w:hint="cs"/>
          <w:b/>
          <w:bCs/>
          <w:rtl/>
        </w:rPr>
        <w:t>לנוכח חומרת הממצאים שהועלו בפרק זה</w:t>
      </w:r>
      <w:r w:rsidRPr="003B5D33">
        <w:rPr>
          <w:rFonts w:eastAsia="Calibri"/>
          <w:rtl/>
        </w:rPr>
        <w:t xml:space="preserve"> </w:t>
      </w:r>
      <w:r w:rsidRPr="003B5D33">
        <w:rPr>
          <w:rFonts w:eastAsia="Calibri" w:hint="eastAsia"/>
          <w:b/>
          <w:bCs/>
          <w:rtl/>
        </w:rPr>
        <w:t>העוסק</w:t>
      </w:r>
      <w:r w:rsidRPr="003B5D33">
        <w:rPr>
          <w:rFonts w:eastAsia="Calibri"/>
          <w:b/>
          <w:bCs/>
          <w:rtl/>
        </w:rPr>
        <w:t xml:space="preserve"> </w:t>
      </w:r>
      <w:r w:rsidRPr="003B5D33">
        <w:rPr>
          <w:rFonts w:eastAsia="Calibri" w:hint="eastAsia"/>
          <w:b/>
          <w:bCs/>
          <w:rtl/>
        </w:rPr>
        <w:t>ב</w:t>
      </w:r>
      <w:r w:rsidRPr="003B5D33">
        <w:rPr>
          <w:rFonts w:eastAsia="Calibri"/>
          <w:b/>
          <w:bCs/>
          <w:rtl/>
        </w:rPr>
        <w:t>הגנה על מאגרי מידע לפי חוק הגנת הפרטיות</w:t>
      </w:r>
      <w:r w:rsidRPr="003B5D33">
        <w:rPr>
          <w:rFonts w:eastAsia="Calibri" w:hint="cs"/>
          <w:b/>
          <w:bCs/>
          <w:rtl/>
        </w:rPr>
        <w:t>, על הממונה על הגנת הפרטיות במשרד החוץ לגבש תוכנית עבודה מקיפה וסדורה, לרבות לוחות זמנים ומשאבים הנדרשים לטיפול בנושא הגנת הפרטיות, שתובא לאישור ועדת ההיגוי להגנת הסייבר ומנכ"ל המשרד. על התוכנית לכלול ביצוע של מיפוי מקיף ויסודי לפי תקנות הגנת הפרטיות של כלל מאגרי המידע הנמצאים ברשות המשרד, לרבות המידע המלא הנדרש כדי לקבל החלטה בנוגע לרמת ההגנה הנדרשת על מאגרי המשרד, וכן על המשרד לפעול ליישום התוכנית. כמו כן, על המשרד לפרסם נהלים שיסדירו את טיפולו בנושא ולקיים ביקורות תקופתיות, שבמסגרתן תיבחן עמידתם של כלל מאגרי המידע בתקנות הגנת הפרטיות, והן ישמשו ליצירת תוכנית עבודה לטיפול בפערים.</w:t>
      </w:r>
    </w:p>
    <w:p w:rsidR="00DA2F85" w:rsidRPr="00DA2F85">
      <w:pPr>
        <w:bidi w:val="0"/>
        <w:spacing w:after="200" w:line="276" w:lineRule="auto"/>
        <w:rPr>
          <w:rFonts w:eastAsia="Times New Roman"/>
          <w:b/>
          <w:szCs w:val="28"/>
          <w:rtl/>
        </w:rPr>
      </w:pPr>
      <w:bookmarkStart w:id="119" w:name="_Toc218592826"/>
      <w:bookmarkEnd w:id="118"/>
      <w:r w:rsidRPr="00DA2F85">
        <w:rPr>
          <w:rFonts w:eastAsia="Times New Roman"/>
          <w:b/>
          <w:szCs w:val="28"/>
          <w:rtl/>
        </w:rPr>
        <w:br w:type="page"/>
      </w:r>
    </w:p>
    <w:p w:rsidR="003B5D33" w:rsidRPr="00FD1373" w:rsidP="003B5D33">
      <w:pPr>
        <w:keepNext/>
        <w:keepLines/>
        <w:spacing w:line="269" w:lineRule="auto"/>
        <w:outlineLvl w:val="2"/>
        <w:rPr>
          <w:rFonts w:eastAsia="Times New Roman"/>
          <w:bCs/>
          <w:szCs w:val="28"/>
          <w:u w:val="single"/>
          <w:rtl/>
        </w:rPr>
      </w:pPr>
      <w:r w:rsidRPr="00FD1373">
        <w:rPr>
          <w:rFonts w:eastAsia="Times New Roman" w:hint="cs"/>
          <w:bCs/>
          <w:szCs w:val="28"/>
          <w:u w:val="single"/>
          <w:rtl/>
        </w:rPr>
        <w:t>טיפול ועדת ההיגוי להגנת הסייבר בנושא הגנת הפרטיות</w:t>
      </w:r>
      <w:bookmarkEnd w:id="119"/>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בהנחיות יה"ב נקבע כי הגנת הסייבר במשרדים תיושם בכפוף לחוקי מדינת ישראל הנוגעים לתחום הגנת המידע וסייבר ולרבות חוק הגנת הפרטיות ותקנותיו; באחריות ממונה הגנת הסייבר, מנהלי המשרד והמחלקה המשפטית לוודא כי כל יחידות המשרד פועלות בהתאם לחוק הישראלי, התקנות והרגולציות הנוגעות להיבטי הגנת הסייבר. כן נקבע כי ועדת ההיגוי תשמש מסגרת ניהולית לקבלת החלטות אסטרטגיות בתחום הגנת הסייבר ולביצוע בקרה ניהולית על יישום הגנת הסייבר במשרד.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משרד מבקר המדינה בחן אם ועדת ההיגוי עסקה בנושא זה במהלך השנים 2020 - 2024 וקיבלה החלטות בעניינו, להלן פרטים:</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בישיבת ועדת ההיגוי להגנת הסייבר מפברואר 2020, שדנה בממצאי סקר סיכונים שנעשה </w:t>
      </w:r>
      <w:r w:rsidRPr="003B5D33">
        <w:rPr>
          <w:rFonts w:eastAsia="Calibri"/>
          <w:rtl/>
        </w:rPr>
        <w:t>למאגר הקונסולרי</w:t>
      </w:r>
      <w:r w:rsidRPr="003B5D33">
        <w:rPr>
          <w:rFonts w:eastAsia="Calibri" w:hint="cs"/>
          <w:rtl/>
        </w:rPr>
        <w:t xml:space="preserve">, צוין כי </w:t>
      </w:r>
      <w:r w:rsidRPr="003B5D33">
        <w:rPr>
          <w:rFonts w:eastAsia="Calibri"/>
          <w:rtl/>
        </w:rPr>
        <w:t xml:space="preserve">למשרד פערים </w:t>
      </w:r>
      <w:r w:rsidRPr="003B5D33">
        <w:rPr>
          <w:rFonts w:eastAsia="Calibri" w:hint="cs"/>
          <w:rtl/>
        </w:rPr>
        <w:t xml:space="preserve">בנוגע </w:t>
      </w:r>
      <w:r w:rsidRPr="003B5D33">
        <w:rPr>
          <w:rFonts w:eastAsia="Calibri"/>
          <w:rtl/>
        </w:rPr>
        <w:t>לעמידה בתקנות בכלל המאגרים</w:t>
      </w:r>
      <w:r w:rsidRPr="003B5D33">
        <w:rPr>
          <w:rFonts w:eastAsia="Calibri" w:hint="cs"/>
          <w:rtl/>
        </w:rPr>
        <w:t xml:space="preserve"> שברשותו, ויש לגבש תוכנית לעמידת כלל מאגרי המשרד בתקנות אבטחת המידע עד לסוף שנת 2021, לרבות ביצוע סקרי סיכונים גם למאגרים אלו.</w:t>
      </w:r>
      <w:r w:rsidRPr="003B5D33">
        <w:rPr>
          <w:rFonts w:eastAsia="Calibri"/>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בישיבה נוספת של ועדת ההיגוי מאפריל 2021 אישרה הוועדה את תוכנית הפעולה להשלמת הפערים בכל הנוגע להגנה על המאגר הקונסולרי, ובאותה ישיבה צוין בסיכום הדיון כי </w:t>
      </w:r>
      <w:r w:rsidRPr="003B5D33">
        <w:rPr>
          <w:rFonts w:eastAsia="Calibri"/>
          <w:rtl/>
        </w:rPr>
        <w:t>אי</w:t>
      </w:r>
      <w:r w:rsidRPr="003B5D33">
        <w:rPr>
          <w:rFonts w:eastAsia="Calibri" w:hint="cs"/>
          <w:rtl/>
        </w:rPr>
        <w:t>-</w:t>
      </w:r>
      <w:r w:rsidRPr="003B5D33">
        <w:rPr>
          <w:rFonts w:eastAsia="Calibri"/>
          <w:rtl/>
        </w:rPr>
        <w:t>עמידה בדרישות החוק בישראל ובחו"ל חוש</w:t>
      </w:r>
      <w:r w:rsidRPr="003B5D33">
        <w:rPr>
          <w:rFonts w:eastAsia="Calibri" w:hint="cs"/>
          <w:rtl/>
        </w:rPr>
        <w:t>פת</w:t>
      </w:r>
      <w:r w:rsidRPr="003B5D33">
        <w:rPr>
          <w:rFonts w:eastAsia="Calibri"/>
          <w:rtl/>
        </w:rPr>
        <w:t xml:space="preserve"> את המשרד לסיכונים משפטיים ומדיניים</w:t>
      </w:r>
      <w:r w:rsidRPr="003B5D33">
        <w:rPr>
          <w:rFonts w:eastAsia="Calibri" w:hint="cs"/>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בנובמבר 2022 קיבלה הוועדה דיווח כי הבקרה על ביצוע התוכנית לטיפול בפערים של המאגר הקונסולרי ורישום יתר המאגרים בוצעו באופן חלקי, והביצוע של משימות אלו יסתיים רק במרץ 2023. בנוגע לסקר סיכונים כולל בנושא הגנת הפרטיות, צוין שנדרש לבצעו כל 18 חודשים - הוא בוצע ב-2019 ויבוצע פעם נוספת בשנים 2022 - 2023. במצע לדיון שהוכן לקראת הישיבה הודגש כי קיימת </w:t>
      </w:r>
      <w:r w:rsidRPr="003B5D33">
        <w:rPr>
          <w:rFonts w:eastAsia="Calibri"/>
          <w:rtl/>
        </w:rPr>
        <w:t>אחריות</w:t>
      </w:r>
      <w:r w:rsidRPr="003B5D33">
        <w:rPr>
          <w:rFonts w:eastAsia="Calibri" w:hint="cs"/>
          <w:rtl/>
        </w:rPr>
        <w:t xml:space="preserve"> א</w:t>
      </w:r>
      <w:r w:rsidRPr="003B5D33">
        <w:rPr>
          <w:rFonts w:eastAsia="Calibri"/>
          <w:rtl/>
        </w:rPr>
        <w:t>ישית</w:t>
      </w:r>
      <w:r w:rsidRPr="003B5D33">
        <w:rPr>
          <w:rFonts w:eastAsia="Calibri" w:hint="cs"/>
          <w:rtl/>
        </w:rPr>
        <w:t xml:space="preserve"> </w:t>
      </w:r>
      <w:r w:rsidRPr="003B5D33">
        <w:rPr>
          <w:rFonts w:eastAsia="Calibri"/>
          <w:rtl/>
        </w:rPr>
        <w:t>פלילית של מנכ"ל המשרד וראשי האגפים המנהלים את המאגרים</w:t>
      </w:r>
      <w:r w:rsidRPr="003B5D33">
        <w:rPr>
          <w:rFonts w:eastAsia="Calibri" w:hint="cs"/>
          <w:rtl/>
        </w:rPr>
        <w:t xml:space="preserve"> לאי- רישום המאגרים ולאי-עמידה בתקנות הגנת הפרטיות</w:t>
      </w:r>
      <w:r w:rsidRPr="003B5D33">
        <w:rPr>
          <w:rFonts w:eastAsia="Calibri"/>
          <w:rtl/>
        </w:rPr>
        <w:t xml:space="preserve">. </w:t>
      </w:r>
      <w:r w:rsidRPr="003B5D33">
        <w:rPr>
          <w:rFonts w:eastAsia="Calibri" w:hint="cs"/>
          <w:rtl/>
        </w:rPr>
        <w:t xml:space="preserve">הוועדה עודכנה כי </w:t>
      </w:r>
      <w:r w:rsidRPr="003B5D33">
        <w:rPr>
          <w:rFonts w:eastAsia="Calibri"/>
          <w:rtl/>
        </w:rPr>
        <w:t xml:space="preserve">נכון </w:t>
      </w:r>
      <w:r w:rsidRPr="003B5D33">
        <w:rPr>
          <w:rFonts w:eastAsia="Calibri" w:hint="cs"/>
          <w:rtl/>
        </w:rPr>
        <w:t>למועד כינוס הוועדה,</w:t>
      </w:r>
      <w:r w:rsidRPr="003B5D33">
        <w:rPr>
          <w:rFonts w:eastAsia="Calibri"/>
          <w:rtl/>
        </w:rPr>
        <w:t xml:space="preserve"> רק המאגר הקונסולרי</w:t>
      </w:r>
      <w:r w:rsidRPr="003B5D33">
        <w:rPr>
          <w:rFonts w:eastAsia="Calibri" w:hint="cs"/>
          <w:rtl/>
        </w:rPr>
        <w:t xml:space="preserve"> רשום כחוק,</w:t>
      </w:r>
      <w:r w:rsidRPr="003B5D33">
        <w:rPr>
          <w:rFonts w:eastAsia="Calibri"/>
          <w:rtl/>
        </w:rPr>
        <w:t xml:space="preserve"> </w:t>
      </w:r>
      <w:r w:rsidRPr="003B5D33">
        <w:rPr>
          <w:rFonts w:eastAsia="Calibri" w:hint="cs"/>
          <w:rtl/>
        </w:rPr>
        <w:t>ו</w:t>
      </w:r>
      <w:r w:rsidRPr="003B5D33">
        <w:rPr>
          <w:rFonts w:eastAsia="Calibri"/>
          <w:rtl/>
        </w:rPr>
        <w:t>קב"ט המשרד</w:t>
      </w:r>
      <w:r w:rsidRPr="003B5D33">
        <w:rPr>
          <w:rFonts w:eastAsia="Calibri" w:hint="cs"/>
          <w:rtl/>
        </w:rPr>
        <w:t>, שמונה כממונה על האבטחה לפי החוק,</w:t>
      </w:r>
      <w:r w:rsidRPr="003B5D33">
        <w:rPr>
          <w:rFonts w:eastAsia="Calibri"/>
          <w:rtl/>
        </w:rPr>
        <w:t xml:space="preserve"> מוביל את רישום יתר המאגרים.</w:t>
      </w:r>
      <w:r w:rsidRPr="003B5D33">
        <w:rPr>
          <w:rFonts w:eastAsia="Calibri" w:hint="cs"/>
          <w:rtl/>
        </w:rPr>
        <w:t xml:space="preserve">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בישיבת הוועדה ממאי 2023 נמסר לוועדה כי המשימה של </w:t>
      </w:r>
      <w:r w:rsidRPr="003B5D33">
        <w:rPr>
          <w:rFonts w:eastAsia="Calibri"/>
          <w:rtl/>
        </w:rPr>
        <w:t xml:space="preserve">בקרה ורישום </w:t>
      </w:r>
      <w:r w:rsidRPr="003B5D33">
        <w:rPr>
          <w:rFonts w:eastAsia="Calibri" w:hint="cs"/>
          <w:rtl/>
        </w:rPr>
        <w:t xml:space="preserve">של </w:t>
      </w:r>
      <w:r w:rsidRPr="003B5D33">
        <w:rPr>
          <w:rFonts w:eastAsia="Calibri"/>
          <w:rtl/>
        </w:rPr>
        <w:t>מאגרים</w:t>
      </w:r>
      <w:r w:rsidRPr="003B5D33">
        <w:rPr>
          <w:rFonts w:eastAsia="Calibri" w:hint="cs"/>
          <w:rtl/>
        </w:rPr>
        <w:t xml:space="preserve"> לפי חוק הגנה על הפרטיות </w:t>
      </w:r>
      <w:r w:rsidRPr="003B5D33">
        <w:rPr>
          <w:rFonts w:eastAsia="Calibri"/>
          <w:rtl/>
        </w:rPr>
        <w:t>טרם הושל</w:t>
      </w:r>
      <w:r w:rsidRPr="003B5D33">
        <w:rPr>
          <w:rFonts w:eastAsia="Calibri" w:hint="cs"/>
          <w:rtl/>
        </w:rPr>
        <w:t>מה. בישיבת הוועדה מספטמבר 2024 כלל לא דנו בנושא זה.</w:t>
      </w:r>
    </w:p>
    <w:p w:rsidR="003B5D33" w:rsidRPr="003B5D33" w:rsidP="003B5D33">
      <w:pPr>
        <w:spacing w:line="269" w:lineRule="auto"/>
        <w:rPr>
          <w:rFonts w:eastAsia="Calibri"/>
          <w:b/>
          <w:bCs/>
          <w:rtl/>
        </w:rPr>
      </w:pPr>
      <w:bookmarkStart w:id="120" w:name="_Hlk203658270"/>
    </w:p>
    <w:p w:rsidR="003B5D33" w:rsidRPr="003B5D33" w:rsidP="003B5D33">
      <w:pPr>
        <w:spacing w:line="269" w:lineRule="auto"/>
        <w:rPr>
          <w:rFonts w:eastAsia="Calibri"/>
          <w:rtl/>
        </w:rPr>
      </w:pPr>
      <w:r w:rsidRPr="003B5D33">
        <w:rPr>
          <w:rFonts w:eastAsia="Calibri" w:hint="cs"/>
          <w:b/>
          <w:bCs/>
          <w:rtl/>
        </w:rPr>
        <w:t xml:space="preserve">אף שנושא העמידה בדרישות תקנות הגנת הפרטיות וביצוע סקרי סיכונים עלה בדיוני ועדת ההיגוי כבר בפברואר 2020, גם כעבור חמש שנים לא בוצעו סקרי סיכונים בהקשר של הגנת הפרטיות למאגרי מידע נוספים שברשות המשרד, וכאמור לא נרשמו מאגרי מידע נוספים בפנקס מאגרי המידע שבמשרד המשפטים. זאת אף שהודגש במסמכי הוועדה כי קיימת </w:t>
      </w:r>
      <w:r w:rsidRPr="003B5D33">
        <w:rPr>
          <w:rFonts w:eastAsia="Calibri"/>
          <w:b/>
          <w:bCs/>
          <w:rtl/>
        </w:rPr>
        <w:t>אחריות</w:t>
      </w:r>
      <w:r w:rsidRPr="003B5D33">
        <w:rPr>
          <w:rFonts w:eastAsia="Calibri" w:hint="cs"/>
          <w:b/>
          <w:bCs/>
          <w:rtl/>
        </w:rPr>
        <w:t xml:space="preserve"> א</w:t>
      </w:r>
      <w:r w:rsidRPr="003B5D33">
        <w:rPr>
          <w:rFonts w:eastAsia="Calibri"/>
          <w:b/>
          <w:bCs/>
          <w:rtl/>
        </w:rPr>
        <w:t>ישית</w:t>
      </w:r>
      <w:r w:rsidRPr="003B5D33">
        <w:rPr>
          <w:rFonts w:eastAsia="Calibri" w:hint="cs"/>
          <w:b/>
          <w:bCs/>
          <w:rtl/>
        </w:rPr>
        <w:t xml:space="preserve"> </w:t>
      </w:r>
      <w:r w:rsidRPr="003B5D33">
        <w:rPr>
          <w:rFonts w:eastAsia="Calibri"/>
          <w:b/>
          <w:bCs/>
          <w:rtl/>
        </w:rPr>
        <w:t>פלילית של מנכ"ל המשרד וראשי האגפים המנהלים את המאגרים</w:t>
      </w:r>
      <w:r w:rsidRPr="003B5D33">
        <w:rPr>
          <w:rFonts w:eastAsia="Calibri" w:hint="cs"/>
          <w:b/>
          <w:bCs/>
          <w:rtl/>
        </w:rPr>
        <w:t xml:space="preserve"> לאי-רישום המאגרים ואי- עמידה בתקנות הגנת הפרטיות.</w:t>
      </w:r>
      <w:bookmarkEnd w:id="120"/>
    </w:p>
    <w:p w:rsidR="003B5D33" w:rsidRPr="003B5D33" w:rsidP="003B5D33">
      <w:pPr>
        <w:spacing w:line="269" w:lineRule="auto"/>
        <w:jc w:val="center"/>
        <w:rPr>
          <w:rFonts w:ascii="Arial" w:eastAsia="Calibri" w:hAnsi="Arial" w:cs="Arial"/>
          <w:sz w:val="36"/>
          <w:rtl/>
        </w:rPr>
      </w:pPr>
      <w:bookmarkStart w:id="121" w:name="_Hlk203658281"/>
      <w:r w:rsidRPr="003B5D33">
        <w:rPr>
          <w:rFonts w:ascii="Segoe UI Symbol" w:eastAsia="Calibri" w:hAnsi="Segoe UI Symbol" w:cs="Segoe UI Symbol" w:hint="cs"/>
          <w:sz w:val="36"/>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b/>
          <w:bCs/>
          <w:rtl/>
        </w:rPr>
        <w:t>הנהלת משרד</w:t>
      </w:r>
      <w:r w:rsidRPr="003B5D33">
        <w:rPr>
          <w:rFonts w:eastAsia="Calibri" w:hint="cs"/>
          <w:b/>
          <w:bCs/>
          <w:rtl/>
        </w:rPr>
        <w:t xml:space="preserve"> החוץ התחייבה </w:t>
      </w:r>
      <w:r w:rsidRPr="003B5D33">
        <w:rPr>
          <w:rFonts w:eastAsia="Calibri"/>
          <w:b/>
          <w:bCs/>
          <w:rtl/>
        </w:rPr>
        <w:t>להגן על</w:t>
      </w:r>
      <w:r w:rsidRPr="003B5D33">
        <w:rPr>
          <w:rFonts w:eastAsia="Calibri"/>
          <w:rtl/>
        </w:rPr>
        <w:t xml:space="preserve"> </w:t>
      </w:r>
      <w:r w:rsidRPr="003B5D33">
        <w:rPr>
          <w:rFonts w:eastAsia="Calibri"/>
          <w:b/>
          <w:bCs/>
          <w:rtl/>
        </w:rPr>
        <w:t>מאגרי</w:t>
      </w:r>
      <w:r w:rsidRPr="003B5D33">
        <w:rPr>
          <w:rFonts w:eastAsia="Calibri" w:hint="cs"/>
          <w:b/>
          <w:bCs/>
          <w:rtl/>
        </w:rPr>
        <w:t xml:space="preserve"> </w:t>
      </w:r>
      <w:r w:rsidRPr="003B5D33">
        <w:rPr>
          <w:rFonts w:eastAsia="Calibri"/>
          <w:b/>
          <w:bCs/>
          <w:rtl/>
        </w:rPr>
        <w:t>מידע</w:t>
      </w:r>
      <w:r w:rsidRPr="003B5D33">
        <w:rPr>
          <w:rFonts w:eastAsia="Calibri" w:hint="cs"/>
          <w:b/>
          <w:bCs/>
          <w:rtl/>
        </w:rPr>
        <w:t xml:space="preserve"> הכוללים</w:t>
      </w:r>
      <w:r w:rsidRPr="003B5D33">
        <w:rPr>
          <w:rFonts w:eastAsia="Calibri"/>
          <w:b/>
          <w:bCs/>
          <w:rtl/>
        </w:rPr>
        <w:t xml:space="preserve"> מידע</w:t>
      </w:r>
      <w:r w:rsidRPr="003B5D33">
        <w:rPr>
          <w:rFonts w:eastAsia="Calibri" w:hint="cs"/>
          <w:b/>
          <w:bCs/>
          <w:rtl/>
        </w:rPr>
        <w:t xml:space="preserve"> פרטי</w:t>
      </w:r>
      <w:r w:rsidRPr="003B5D33">
        <w:rPr>
          <w:rFonts w:eastAsia="Calibri"/>
          <w:b/>
          <w:bCs/>
          <w:rtl/>
        </w:rPr>
        <w:t xml:space="preserve"> בהתאם להוראות הדין, לרבות תקנות הגנת הפרטיות, </w:t>
      </w:r>
      <w:r w:rsidRPr="003B5D33">
        <w:rPr>
          <w:rFonts w:eastAsia="Calibri" w:hint="cs"/>
          <w:b/>
          <w:bCs/>
          <w:rtl/>
        </w:rPr>
        <w:t>כדי</w:t>
      </w:r>
      <w:r w:rsidRPr="003B5D33">
        <w:rPr>
          <w:rFonts w:eastAsia="Calibri"/>
          <w:b/>
          <w:bCs/>
          <w:rtl/>
        </w:rPr>
        <w:t xml:space="preserve"> למזער את הסיכון לפגיעה בזכות לפרטיות</w:t>
      </w:r>
      <w:r w:rsidRPr="003B5D33">
        <w:rPr>
          <w:rFonts w:eastAsia="Calibri" w:hint="cs"/>
          <w:b/>
          <w:bCs/>
          <w:rtl/>
        </w:rPr>
        <w:t xml:space="preserve">. ממצאי פרק זה מלמדים שמשרד החוץ אינו מטפל כנדרש בחובות המוטלות עליו לפי חוק הגנת הפרטיות ותקנותיו. בטמ"ח שמונה כאחראי לאבטחת המאגרים לא מקדיש לכך משאבים כנדרש, וממילא תמונת המצב שהועלתה מעידה שהמשרד אינו עומד לפחות בחלק מהנדרש בתקנות הגנת הפרטיות. אי-עמידה בחוק ובתקנותיו עלולה להביא לפגיעה בפרטיותם של עובדי המשרד ומשפחותיהם ושל אזרחים הנזקקים לשירותי המשרד. נוסף על כך, היא חושפת את המשרד לסיכוני אבטחת מידע, ובהם חשיפת המידע הפרטי ושימוש בו באופן שאינו מורשה, שינוי מידע זה ופגיעה בזמינות של המידע הדרושה לצורך הבטחת הרציפות התפקודית של המשרד.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פער זה מתחדד לנוכח כניסתו לתוקף של תיקון מספר 13 לחוק הגנת הפרטיות באוגוסט 2025 המטיל חובות משמעותיות על ארגונים</w:t>
      </w:r>
      <w:r w:rsidRPr="003B5D33">
        <w:rPr>
          <w:rFonts w:eastAsia="Calibri"/>
          <w:b/>
          <w:bCs/>
          <w:rtl/>
        </w:rPr>
        <w:t xml:space="preserve"> </w:t>
      </w:r>
      <w:r w:rsidRPr="003B5D33">
        <w:rPr>
          <w:rFonts w:eastAsia="Calibri" w:hint="cs"/>
          <w:b/>
          <w:bCs/>
          <w:rtl/>
        </w:rPr>
        <w:t>המחזיקים מאגרי מידע ולנוכח העובדה כי המשרד היה צריך להיערך לנושא זה עוד לפני כניסת העדכון לתוקף.</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משרד החוץ ציין בתשובתו כי </w:t>
      </w:r>
      <w:r w:rsidRPr="003B5D33">
        <w:rPr>
          <w:rFonts w:eastAsia="Calibri"/>
          <w:rtl/>
        </w:rPr>
        <w:t xml:space="preserve">במשרד קיים פער בתחום </w:t>
      </w:r>
      <w:r w:rsidRPr="003B5D33">
        <w:rPr>
          <w:rFonts w:eastAsia="Calibri" w:hint="cs"/>
          <w:rtl/>
        </w:rPr>
        <w:t>ה</w:t>
      </w:r>
      <w:r w:rsidRPr="003B5D33">
        <w:rPr>
          <w:rFonts w:eastAsia="Calibri"/>
          <w:rtl/>
        </w:rPr>
        <w:t xml:space="preserve">הגנה על הפרטיות </w:t>
      </w:r>
      <w:r w:rsidRPr="003B5D33">
        <w:rPr>
          <w:rFonts w:eastAsia="Calibri" w:hint="cs"/>
          <w:rtl/>
        </w:rPr>
        <w:t xml:space="preserve">וכי </w:t>
      </w:r>
      <w:r w:rsidRPr="003B5D33">
        <w:rPr>
          <w:rFonts w:eastAsia="Calibri"/>
          <w:rtl/>
        </w:rPr>
        <w:t>אין ולא היה בעבר תקן ל</w:t>
      </w:r>
      <w:r w:rsidRPr="003B5D33">
        <w:rPr>
          <w:rFonts w:eastAsia="Calibri" w:hint="cs"/>
          <w:rtl/>
        </w:rPr>
        <w:t>ממונה על הגנת הפרטיות (</w:t>
      </w:r>
      <w:r w:rsidRPr="003B5D33">
        <w:rPr>
          <w:rFonts w:eastAsia="Calibri" w:hint="cs"/>
        </w:rPr>
        <w:t>DPO</w:t>
      </w:r>
      <w:r w:rsidRPr="003B5D33">
        <w:rPr>
          <w:rFonts w:eastAsia="Calibri" w:hint="cs"/>
          <w:rtl/>
        </w:rPr>
        <w:t>). המשרד הוסיף כי ל</w:t>
      </w:r>
      <w:r w:rsidRPr="003B5D33">
        <w:rPr>
          <w:rFonts w:eastAsia="Calibri"/>
          <w:rtl/>
        </w:rPr>
        <w:t>קב"ט המשרד</w:t>
      </w:r>
      <w:r w:rsidRPr="003B5D33">
        <w:rPr>
          <w:rFonts w:eastAsia="Calibri" w:hint="cs"/>
          <w:rtl/>
        </w:rPr>
        <w:t xml:space="preserve"> שעליו הוטלה האחריות לתחום זה </w:t>
      </w:r>
      <w:r w:rsidRPr="003B5D33">
        <w:rPr>
          <w:rFonts w:eastAsia="Calibri"/>
          <w:rtl/>
        </w:rPr>
        <w:t>אי</w:t>
      </w:r>
      <w:r w:rsidRPr="003B5D33">
        <w:rPr>
          <w:rFonts w:eastAsia="Calibri" w:hint="cs"/>
          <w:rtl/>
        </w:rPr>
        <w:t>ן</w:t>
      </w:r>
      <w:r w:rsidRPr="003B5D33">
        <w:rPr>
          <w:rFonts w:eastAsia="Calibri"/>
          <w:rtl/>
        </w:rPr>
        <w:t xml:space="preserve"> </w:t>
      </w:r>
      <w:r w:rsidRPr="003B5D33">
        <w:rPr>
          <w:rFonts w:eastAsia="Calibri" w:hint="cs"/>
          <w:rtl/>
        </w:rPr>
        <w:t>ה</w:t>
      </w:r>
      <w:r w:rsidRPr="003B5D33">
        <w:rPr>
          <w:rFonts w:eastAsia="Calibri"/>
          <w:rtl/>
        </w:rPr>
        <w:t>יכול</w:t>
      </w:r>
      <w:r w:rsidRPr="003B5D33">
        <w:rPr>
          <w:rFonts w:eastAsia="Calibri" w:hint="cs"/>
          <w:rtl/>
        </w:rPr>
        <w:t>ת</w:t>
      </w:r>
      <w:r w:rsidRPr="003B5D33">
        <w:rPr>
          <w:rFonts w:eastAsia="Calibri"/>
          <w:rtl/>
        </w:rPr>
        <w:t xml:space="preserve"> </w:t>
      </w:r>
      <w:r w:rsidRPr="003B5D33">
        <w:rPr>
          <w:rFonts w:eastAsia="Calibri" w:hint="cs"/>
          <w:rtl/>
        </w:rPr>
        <w:t>לעשות כן</w:t>
      </w:r>
      <w:r w:rsidRPr="003B5D33">
        <w:rPr>
          <w:rFonts w:eastAsia="Calibri"/>
          <w:rtl/>
        </w:rPr>
        <w:t xml:space="preserve"> ללא המשאבים הנדרשים.</w:t>
      </w:r>
    </w:p>
    <w:p w:rsidR="003B5D33" w:rsidRPr="003B5D33" w:rsidP="003B5D33">
      <w:pPr>
        <w:spacing w:line="269" w:lineRule="auto"/>
        <w:rPr>
          <w:rFonts w:eastAsia="Calibri"/>
          <w:b/>
          <w:bCs/>
          <w:rtl/>
        </w:rPr>
      </w:pPr>
    </w:p>
    <w:p w:rsidR="003B5D33" w:rsidP="003B5D33">
      <w:pPr>
        <w:spacing w:line="269" w:lineRule="auto"/>
        <w:rPr>
          <w:rFonts w:eastAsia="Calibri"/>
          <w:b/>
          <w:bCs/>
          <w:rtl/>
        </w:rPr>
      </w:pPr>
      <w:r w:rsidRPr="003B5D33">
        <w:rPr>
          <w:rFonts w:eastAsia="Calibri" w:hint="cs"/>
          <w:b/>
          <w:bCs/>
          <w:rtl/>
        </w:rPr>
        <w:t xml:space="preserve">על מנכ"ל משרד החוץ, בשיתוף הגורמים הרלוונטיים במשרד ובהם אגף התקשוב, הלשכה המשפטית וחטיבת בטמ"ח, לוודא עמידת המשרד בדרישות חוק הגנת הפרטיות ותקנותיו באופן מקיף, סדור ושיטתי ולהקצות לכך משאבים מתאימים, כך שהמידע הפרטי של העובדים והאזרחים שנשמר במאגרי המידע של המשרד יהיה מוגן כנדרש. </w:t>
      </w:r>
    </w:p>
    <w:p w:rsidR="00E57B02" w:rsidRPr="003B5D33" w:rsidP="003B5D33">
      <w:pPr>
        <w:spacing w:line="269" w:lineRule="auto"/>
        <w:rPr>
          <w:rFonts w:eastAsia="Calibri"/>
          <w:b/>
          <w:bCs/>
          <w:rtl/>
        </w:rPr>
      </w:pPr>
    </w:p>
    <w:p w:rsidR="003B5D33" w:rsidRPr="003B5D33" w:rsidP="003B5D33">
      <w:pPr>
        <w:spacing w:line="269" w:lineRule="auto"/>
        <w:rPr>
          <w:rFonts w:eastAsia="Calibri"/>
          <w:b/>
          <w:bCs/>
          <w:rtl/>
        </w:rPr>
      </w:pPr>
    </w:p>
    <w:p w:rsidR="003B5D33" w:rsidRPr="003B5D33" w:rsidP="003B5D33">
      <w:pPr>
        <w:keepNext/>
        <w:keepLines/>
        <w:spacing w:line="269" w:lineRule="auto"/>
        <w:jc w:val="center"/>
        <w:outlineLvl w:val="1"/>
        <w:rPr>
          <w:rFonts w:eastAsia="Times New Roman"/>
          <w:bCs/>
          <w:szCs w:val="32"/>
          <w:rtl/>
        </w:rPr>
      </w:pPr>
      <w:bookmarkStart w:id="122" w:name="_Toc218592827"/>
      <w:bookmarkStart w:id="123" w:name="_Hlk203658288"/>
      <w:bookmarkEnd w:id="121"/>
      <w:r w:rsidRPr="003B5D33">
        <w:rPr>
          <w:rFonts w:eastAsia="Times New Roman"/>
          <w:bCs/>
          <w:szCs w:val="32"/>
          <w:rtl/>
        </w:rPr>
        <w:t xml:space="preserve">מבדק </w:t>
      </w:r>
      <w:r w:rsidRPr="003B5D33">
        <w:rPr>
          <w:rFonts w:eastAsia="Times New Roman" w:hint="cs"/>
          <w:bCs/>
          <w:szCs w:val="32"/>
          <w:rtl/>
        </w:rPr>
        <w:t>חוסן</w:t>
      </w:r>
      <w:r w:rsidRPr="003B5D33">
        <w:rPr>
          <w:rFonts w:eastAsia="Times New Roman"/>
          <w:bCs/>
          <w:szCs w:val="32"/>
          <w:rtl/>
        </w:rPr>
        <w:t xml:space="preserve"> באחת </w:t>
      </w:r>
      <w:r w:rsidRPr="003B5D33">
        <w:rPr>
          <w:rFonts w:eastAsia="Times New Roman" w:hint="cs"/>
          <w:bCs/>
          <w:szCs w:val="32"/>
          <w:rtl/>
        </w:rPr>
        <w:t>מ</w:t>
      </w:r>
      <w:r w:rsidRPr="003B5D33">
        <w:rPr>
          <w:rFonts w:eastAsia="Times New Roman"/>
          <w:bCs/>
          <w:szCs w:val="32"/>
          <w:rtl/>
        </w:rPr>
        <w:t xml:space="preserve">רשתות </w:t>
      </w:r>
      <w:r w:rsidRPr="003B5D33">
        <w:rPr>
          <w:rFonts w:eastAsia="Times New Roman" w:hint="cs"/>
          <w:bCs/>
          <w:szCs w:val="32"/>
          <w:rtl/>
        </w:rPr>
        <w:t>משרד החוץ</w:t>
      </w:r>
      <w:bookmarkEnd w:id="122"/>
      <w:r w:rsidRPr="003B5D33">
        <w:rPr>
          <w:rFonts w:eastAsia="Times New Roman" w:hint="cs"/>
          <w:bCs/>
          <w:szCs w:val="32"/>
          <w:rtl/>
        </w:rPr>
        <w:t xml:space="preserve"> </w:t>
      </w:r>
    </w:p>
    <w:bookmarkEnd w:id="123"/>
    <w:p w:rsidR="003B5D33" w:rsidRPr="003B5D33" w:rsidP="003B5D33">
      <w:pPr>
        <w:spacing w:line="269" w:lineRule="auto"/>
        <w:rPr>
          <w:rFonts w:ascii="David" w:eastAsia="Calibri" w:hAnsi="David"/>
          <w:sz w:val="24"/>
          <w:rtl/>
        </w:rPr>
      </w:pPr>
    </w:p>
    <w:p w:rsidR="003B5D33" w:rsidRPr="003B5D33" w:rsidP="003B5D33">
      <w:pPr>
        <w:spacing w:line="269" w:lineRule="auto"/>
        <w:rPr>
          <w:rFonts w:ascii="David" w:eastAsia="Calibri" w:hAnsi="David"/>
          <w:sz w:val="24"/>
          <w:rtl/>
        </w:rPr>
      </w:pPr>
      <w:r w:rsidRPr="003B5D33">
        <w:rPr>
          <w:rFonts w:ascii="David" w:eastAsia="Calibri" w:hAnsi="David" w:hint="cs"/>
          <w:sz w:val="24"/>
          <w:rtl/>
        </w:rPr>
        <w:t>אחת הדרכים להיערכות לאיומי סייבר בארגון היא ביצוע מבדקי חוסן, ובכללם מבדק חדירה וסקרי הערכת פגיעויות. מבדקים אלו נועדו לבחון את רמת ההגנה המיושמת בארגון, לאתר חולשות אבטחה וסיכונים אפשריים - ולטפל בהם.</w:t>
      </w:r>
    </w:p>
    <w:p w:rsidR="003B5D33" w:rsidRPr="003B5D33" w:rsidP="003B5D33">
      <w:pPr>
        <w:spacing w:line="269" w:lineRule="auto"/>
        <w:rPr>
          <w:rFonts w:ascii="David" w:eastAsia="Calibri" w:hAnsi="David"/>
          <w:sz w:val="24"/>
          <w:rtl/>
        </w:rPr>
      </w:pPr>
      <w:bookmarkStart w:id="124" w:name="_Hlk203658304"/>
    </w:p>
    <w:p w:rsidR="003B5D33" w:rsidRPr="003B5D33" w:rsidP="003B5D33">
      <w:pPr>
        <w:spacing w:line="269" w:lineRule="auto"/>
        <w:rPr>
          <w:rFonts w:ascii="David" w:eastAsia="Calibri" w:hAnsi="David"/>
          <w:sz w:val="24"/>
          <w:rtl/>
        </w:rPr>
      </w:pPr>
      <w:r w:rsidRPr="003B5D33">
        <w:rPr>
          <w:rFonts w:ascii="David" w:eastAsia="Calibri" w:hAnsi="David" w:hint="cs"/>
          <w:sz w:val="24"/>
          <w:rtl/>
        </w:rPr>
        <w:t xml:space="preserve">בחודשים מרץ-אפריל 2025 </w:t>
      </w:r>
      <w:r w:rsidRPr="003B5D33">
        <w:rPr>
          <w:rFonts w:ascii="David" w:eastAsia="Calibri" w:hAnsi="David"/>
          <w:sz w:val="24"/>
          <w:rtl/>
        </w:rPr>
        <w:t>ביצע משרד מבקר המדינה מבדק חדיר</w:t>
      </w:r>
      <w:r w:rsidRPr="003B5D33">
        <w:rPr>
          <w:rFonts w:ascii="David" w:eastAsia="Calibri" w:hAnsi="David" w:hint="cs"/>
          <w:sz w:val="24"/>
          <w:rtl/>
        </w:rPr>
        <w:t xml:space="preserve">ה בשילוב </w:t>
      </w:r>
      <w:r w:rsidRPr="003B5D33">
        <w:rPr>
          <w:rFonts w:ascii="David" w:eastAsia="Calibri" w:hAnsi="David"/>
          <w:sz w:val="24"/>
          <w:rtl/>
        </w:rPr>
        <w:t>סקר הערכת פגיעויות</w:t>
      </w:r>
      <w:r w:rsidRPr="003B5D33">
        <w:rPr>
          <w:rFonts w:ascii="David" w:eastAsia="Calibri" w:hAnsi="David" w:hint="cs"/>
          <w:sz w:val="24"/>
          <w:rtl/>
        </w:rPr>
        <w:t xml:space="preserve"> (להלן - מבדק החוסן)</w:t>
      </w:r>
      <w:r w:rsidRPr="003B5D33">
        <w:rPr>
          <w:rFonts w:ascii="David" w:eastAsia="Calibri" w:hAnsi="David"/>
          <w:sz w:val="24"/>
          <w:rtl/>
        </w:rPr>
        <w:t xml:space="preserve"> </w:t>
      </w:r>
      <w:r w:rsidRPr="003B5D33">
        <w:rPr>
          <w:rFonts w:ascii="David" w:eastAsia="Calibri" w:hAnsi="David" w:hint="cs"/>
          <w:sz w:val="24"/>
          <w:rtl/>
        </w:rPr>
        <w:t>באחת מה</w:t>
      </w:r>
      <w:r w:rsidRPr="003B5D33">
        <w:rPr>
          <w:rFonts w:ascii="David" w:eastAsia="Calibri" w:hAnsi="David"/>
          <w:sz w:val="24"/>
          <w:rtl/>
        </w:rPr>
        <w:t>רשת</w:t>
      </w:r>
      <w:r w:rsidRPr="003B5D33">
        <w:rPr>
          <w:rFonts w:ascii="David" w:eastAsia="Calibri" w:hAnsi="David" w:hint="cs"/>
          <w:sz w:val="24"/>
          <w:rtl/>
        </w:rPr>
        <w:t>ות</w:t>
      </w:r>
      <w:r w:rsidRPr="003B5D33">
        <w:rPr>
          <w:rFonts w:ascii="David" w:eastAsia="Calibri" w:hAnsi="David"/>
          <w:sz w:val="24"/>
          <w:rtl/>
        </w:rPr>
        <w:t xml:space="preserve"> </w:t>
      </w:r>
      <w:r w:rsidRPr="003B5D33">
        <w:rPr>
          <w:rFonts w:ascii="David" w:eastAsia="Calibri" w:hAnsi="David" w:hint="cs"/>
          <w:sz w:val="24"/>
          <w:rtl/>
        </w:rPr>
        <w:t>במשרד החוץ</w:t>
      </w:r>
      <w:r w:rsidRPr="003B5D33">
        <w:rPr>
          <w:rFonts w:ascii="David" w:eastAsia="Calibri" w:hAnsi="David"/>
          <w:sz w:val="24"/>
          <w:rtl/>
        </w:rPr>
        <w:t xml:space="preserve">. </w:t>
      </w:r>
    </w:p>
    <w:bookmarkEnd w:id="124"/>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להלן תרשים המציג את השלבים בתהליך מבדק החוסן שבוצע:</w:t>
      </w:r>
    </w:p>
    <w:p w:rsidR="003B5D33" w:rsidRPr="003B5D33" w:rsidP="003B5D33">
      <w:pPr>
        <w:spacing w:line="269" w:lineRule="auto"/>
        <w:rPr>
          <w:rFonts w:eastAsia="Calibri"/>
          <w:rtl/>
        </w:rPr>
      </w:pPr>
    </w:p>
    <w:p w:rsidR="00FD1373">
      <w:pPr>
        <w:bidi w:val="0"/>
        <w:spacing w:after="200" w:line="276" w:lineRule="auto"/>
        <w:rPr>
          <w:rFonts w:ascii="David" w:eastAsia="Calibri" w:hAnsi="David"/>
          <w:color w:val="0D0D0D"/>
          <w:sz w:val="24"/>
          <w:rtl/>
        </w:rPr>
      </w:pPr>
      <w:r>
        <w:rPr>
          <w:rFonts w:ascii="David" w:eastAsia="Calibri" w:hAnsi="David"/>
          <w:color w:val="0D0D0D"/>
          <w:sz w:val="24"/>
          <w:rtl/>
        </w:rPr>
        <w:br w:type="page"/>
      </w:r>
    </w:p>
    <w:p w:rsidR="003B5D33" w:rsidRPr="003B5D33" w:rsidP="003B5D33">
      <w:pPr>
        <w:spacing w:line="269" w:lineRule="auto"/>
        <w:jc w:val="center"/>
        <w:rPr>
          <w:rFonts w:ascii="David" w:eastAsia="Calibri" w:hAnsi="David"/>
          <w:color w:val="0D0D0D"/>
          <w:sz w:val="24"/>
          <w:rtl/>
        </w:rPr>
      </w:pPr>
      <w:r w:rsidRPr="003B5D33">
        <w:rPr>
          <w:rFonts w:ascii="David" w:eastAsia="Calibri" w:hAnsi="David"/>
          <w:color w:val="0D0D0D"/>
          <w:sz w:val="24"/>
          <w:rtl/>
        </w:rPr>
        <w:t xml:space="preserve">תרשים </w:t>
      </w:r>
      <w:r w:rsidRPr="003B5D33">
        <w:rPr>
          <w:rFonts w:ascii="David" w:eastAsia="Calibri" w:hAnsi="David" w:hint="cs"/>
          <w:color w:val="0D0D0D"/>
          <w:sz w:val="24"/>
          <w:rtl/>
        </w:rPr>
        <w:t>10</w:t>
      </w:r>
      <w:r w:rsidRPr="003B5D33">
        <w:rPr>
          <w:rFonts w:ascii="David" w:eastAsia="Calibri" w:hAnsi="David"/>
          <w:color w:val="0D0D0D"/>
          <w:sz w:val="24"/>
          <w:rtl/>
        </w:rPr>
        <w:t xml:space="preserve">: </w:t>
      </w:r>
      <w:r w:rsidRPr="003B5D33">
        <w:rPr>
          <w:rFonts w:ascii="David" w:eastAsia="Calibri" w:hAnsi="David" w:hint="cs"/>
          <w:b/>
          <w:bCs/>
          <w:color w:val="0D0D0D"/>
          <w:sz w:val="24"/>
          <w:rtl/>
        </w:rPr>
        <w:t>ה</w:t>
      </w:r>
      <w:r w:rsidRPr="003B5D33">
        <w:rPr>
          <w:rFonts w:ascii="David" w:eastAsia="Calibri" w:hAnsi="David"/>
          <w:b/>
          <w:bCs/>
          <w:color w:val="0D0D0D"/>
          <w:sz w:val="24"/>
          <w:rtl/>
        </w:rPr>
        <w:t>שלבי</w:t>
      </w:r>
      <w:r w:rsidRPr="003B5D33">
        <w:rPr>
          <w:rFonts w:ascii="David" w:eastAsia="Calibri" w:hAnsi="David" w:hint="cs"/>
          <w:b/>
          <w:bCs/>
          <w:color w:val="0D0D0D"/>
          <w:sz w:val="24"/>
          <w:rtl/>
        </w:rPr>
        <w:t>ם של</w:t>
      </w:r>
      <w:r w:rsidRPr="003B5D33">
        <w:rPr>
          <w:rFonts w:ascii="David" w:eastAsia="Calibri" w:hAnsi="David"/>
          <w:b/>
          <w:bCs/>
          <w:color w:val="0D0D0D"/>
          <w:sz w:val="24"/>
          <w:rtl/>
        </w:rPr>
        <w:t xml:space="preserve"> מבדק</w:t>
      </w:r>
      <w:r w:rsidRPr="003B5D33">
        <w:rPr>
          <w:rFonts w:ascii="David" w:eastAsia="Calibri" w:hAnsi="David" w:hint="cs"/>
          <w:b/>
          <w:bCs/>
          <w:color w:val="0D0D0D"/>
          <w:sz w:val="24"/>
          <w:rtl/>
        </w:rPr>
        <w:t>י</w:t>
      </w:r>
      <w:r w:rsidRPr="003B5D33">
        <w:rPr>
          <w:rFonts w:ascii="David" w:eastAsia="Calibri" w:hAnsi="David"/>
          <w:b/>
          <w:bCs/>
          <w:color w:val="0D0D0D"/>
          <w:sz w:val="24"/>
          <w:rtl/>
        </w:rPr>
        <w:t xml:space="preserve"> ה</w:t>
      </w:r>
      <w:r w:rsidRPr="003B5D33">
        <w:rPr>
          <w:rFonts w:ascii="David" w:eastAsia="Calibri" w:hAnsi="David" w:hint="cs"/>
          <w:b/>
          <w:bCs/>
          <w:color w:val="0D0D0D"/>
          <w:sz w:val="24"/>
          <w:rtl/>
        </w:rPr>
        <w:t xml:space="preserve">חוסן שביצע משרד מבקר המדינה </w:t>
      </w:r>
      <w:r w:rsidRPr="003B5D33">
        <w:rPr>
          <w:rFonts w:ascii="Calibri" w:eastAsia="Calibri" w:hAnsi="Calibri" w:hint="cs"/>
          <w:b/>
          <w:bCs/>
          <w:color w:val="0D0D0D"/>
          <w:sz w:val="24"/>
          <w:rtl/>
        </w:rPr>
        <w:t>במשרד החוץ</w:t>
      </w:r>
    </w:p>
    <w:p w:rsidR="003B5D33" w:rsidRPr="003B5D33" w:rsidP="003B5D33">
      <w:pPr>
        <w:spacing w:line="269" w:lineRule="auto"/>
        <w:rPr>
          <w:rFonts w:eastAsia="Calibri"/>
          <w:rtl/>
        </w:rPr>
      </w:pPr>
      <w:r w:rsidRPr="003B5D33">
        <w:rPr>
          <w:rFonts w:eastAsia="Calibri" w:hint="cs"/>
          <w:noProof/>
          <w:rtl/>
        </w:rPr>
        <w:drawing>
          <wp:inline distT="0" distB="0" distL="0" distR="0">
            <wp:extent cx="5391150" cy="1695450"/>
            <wp:effectExtent l="95250" t="57150" r="95250" b="114300"/>
            <wp:docPr id="18443" name="דיאגרמה 184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3B5D33" w:rsidRPr="003B5D33" w:rsidP="003B5D33">
      <w:pPr>
        <w:spacing w:line="269" w:lineRule="auto"/>
        <w:rPr>
          <w:rFonts w:eastAsia="Calibri"/>
          <w:rtl/>
        </w:rPr>
      </w:pPr>
      <w:r w:rsidRPr="003B5D33">
        <w:rPr>
          <w:rFonts w:eastAsia="Times New Roman"/>
          <w:noProof/>
          <w:rtl/>
          <w:lang w:val="he-IL" w:eastAsia="he-IL"/>
        </w:rPr>
        <mc:AlternateContent>
          <mc:Choice Requires="wps">
            <w:drawing>
              <wp:anchor distT="0" distB="0" distL="114300" distR="114300" simplePos="0" relativeHeight="251663360" behindDoc="0" locked="0" layoutInCell="1" allowOverlap="1">
                <wp:simplePos x="0" y="0"/>
                <wp:positionH relativeFrom="column">
                  <wp:posOffset>857250</wp:posOffset>
                </wp:positionH>
                <wp:positionV relativeFrom="paragraph">
                  <wp:posOffset>34290</wp:posOffset>
                </wp:positionV>
                <wp:extent cx="361950" cy="490024"/>
                <wp:effectExtent l="0" t="0" r="0" b="5715"/>
                <wp:wrapNone/>
                <wp:docPr id="90" name="חץ: למטה 90"/>
                <wp:cNvGraphicFramePr/>
                <a:graphic xmlns:a="http://schemas.openxmlformats.org/drawingml/2006/main">
                  <a:graphicData uri="http://schemas.microsoft.com/office/word/2010/wordprocessingShape">
                    <wps:wsp xmlns:wps="http://schemas.microsoft.com/office/word/2010/wordprocessingShape">
                      <wps:cNvSpPr/>
                      <wps:spPr>
                        <a:xfrm>
                          <a:off x="0" y="0"/>
                          <a:ext cx="361950" cy="490024"/>
                        </a:xfrm>
                        <a:prstGeom prst="downArrow">
                          <a:avLst/>
                        </a:prstGeom>
                        <a:solidFill>
                          <a:srgbClr val="4BACC6">
                            <a:lumMod val="75000"/>
                          </a:srgbClr>
                        </a:solidFill>
                        <a:ln w="25400">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90" o:spid="_x0000_s1025" type="#_x0000_t67" style="width:28.5pt;height:38.6pt;margin-top:2.7pt;margin-left:67.5pt;mso-height-percent:0;mso-height-relative:margin;mso-width-percent:0;mso-width-relative:margin;mso-wrap-distance-bottom:0;mso-wrap-distance-left:9pt;mso-wrap-distance-right:9pt;mso-wrap-distance-top:0;mso-wrap-style:square;position:absolute;visibility:visible;v-text-anchor:middle;z-index:251664384" adj="13623" fillcolor="#31859c" stroked="f" strokeweight="2pt"/>
            </w:pict>
          </mc:Fallback>
        </mc:AlternateContent>
      </w:r>
      <w:r w:rsidRPr="003B5D33">
        <w:rPr>
          <w:rFonts w:eastAsia="Times New Roman"/>
          <w:noProof/>
          <w:rtl/>
          <w:lang w:val="he-IL" w:eastAsia="he-IL"/>
        </w:rPr>
        <mc:AlternateContent>
          <mc:Choice Requires="wps">
            <w:drawing>
              <wp:anchor distT="0" distB="0" distL="114300" distR="114300" simplePos="0" relativeHeight="251659264" behindDoc="0" locked="0" layoutInCell="1" allowOverlap="1">
                <wp:simplePos x="0" y="0"/>
                <wp:positionH relativeFrom="column">
                  <wp:posOffset>3682365</wp:posOffset>
                </wp:positionH>
                <wp:positionV relativeFrom="paragraph">
                  <wp:posOffset>43180</wp:posOffset>
                </wp:positionV>
                <wp:extent cx="361950" cy="490024"/>
                <wp:effectExtent l="0" t="0" r="0" b="5715"/>
                <wp:wrapNone/>
                <wp:docPr id="91" name="חץ: למטה 91"/>
                <wp:cNvGraphicFramePr/>
                <a:graphic xmlns:a="http://schemas.openxmlformats.org/drawingml/2006/main">
                  <a:graphicData uri="http://schemas.microsoft.com/office/word/2010/wordprocessingShape">
                    <wps:wsp xmlns:wps="http://schemas.microsoft.com/office/word/2010/wordprocessingShape">
                      <wps:cNvSpPr/>
                      <wps:spPr>
                        <a:xfrm>
                          <a:off x="0" y="0"/>
                          <a:ext cx="361950" cy="490024"/>
                        </a:xfrm>
                        <a:prstGeom prst="downArrow">
                          <a:avLst/>
                        </a:prstGeom>
                        <a:solidFill>
                          <a:srgbClr val="8064A2">
                            <a:lumMod val="75000"/>
                          </a:srgbClr>
                        </a:solidFill>
                        <a:ln w="25400">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חץ: למטה 91" o:spid="_x0000_s1026" type="#_x0000_t67" style="width:28.5pt;height:38.6pt;margin-top:3.4pt;margin-left:289.95pt;mso-height-percent:0;mso-height-relative:margin;mso-width-percent:0;mso-width-relative:margin;mso-wrap-distance-bottom:0;mso-wrap-distance-left:9pt;mso-wrap-distance-right:9pt;mso-wrap-distance-top:0;mso-wrap-style:square;position:absolute;visibility:visible;v-text-anchor:middle;z-index:251660288" adj="13623" fillcolor="#604a7b" stroked="f" strokeweight="2pt"/>
            </w:pict>
          </mc:Fallback>
        </mc:AlternateContent>
      </w:r>
    </w:p>
    <w:p w:rsidR="003B5D33" w:rsidRPr="003B5D33" w:rsidP="003B5D33">
      <w:pPr>
        <w:spacing w:line="269" w:lineRule="auto"/>
        <w:rPr>
          <w:rFonts w:eastAsia="Times New Roman"/>
          <w:rtl/>
          <w:lang w:eastAsia="he-IL"/>
        </w:rPr>
      </w:pPr>
      <w:r w:rsidRPr="003B5D33">
        <w:rPr>
          <w:rFonts w:eastAsia="Times New Roman"/>
          <w:noProof/>
          <w:rtl/>
          <w:lang w:val="he-IL" w:eastAsia="he-IL"/>
        </w:rPr>
        <mc:AlternateContent>
          <mc:Choice Requires="wps">
            <w:drawing>
              <wp:anchor distT="0" distB="0" distL="114300" distR="114300" simplePos="0" relativeHeight="251661312" behindDoc="0" locked="0" layoutInCell="1" allowOverlap="1">
                <wp:simplePos x="0" y="0"/>
                <wp:positionH relativeFrom="margin">
                  <wp:posOffset>2405380</wp:posOffset>
                </wp:positionH>
                <wp:positionV relativeFrom="paragraph">
                  <wp:posOffset>2339340</wp:posOffset>
                </wp:positionV>
                <wp:extent cx="147955" cy="156845"/>
                <wp:effectExtent l="0" t="4445" r="0" b="0"/>
                <wp:wrapNone/>
                <wp:docPr id="92" name="חץ: למטה 92"/>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147955" cy="156845"/>
                        </a:xfrm>
                        <a:prstGeom prst="downArrow">
                          <a:avLst/>
                        </a:prstGeom>
                        <a:solidFill>
                          <a:srgbClr val="8064A2">
                            <a:lumMod val="40000"/>
                            <a:lumOff val="60000"/>
                          </a:srgbClr>
                        </a:solidFill>
                        <a:ln w="25400">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חץ: למטה 92" o:spid="_x0000_s1027" type="#_x0000_t67" style="width:11.65pt;height:12.35pt;margin-top:184.2pt;margin-left:189.4pt;mso-height-percent:0;mso-height-relative:margin;mso-position-horizontal-relative:margin;mso-width-percent:0;mso-width-relative:margin;mso-wrap-distance-bottom:0;mso-wrap-distance-left:9pt;mso-wrap-distance-right:9pt;mso-wrap-distance-top:0;mso-wrap-style:square;position:absolute;rotation:90;visibility:visible;v-text-anchor:middle;z-index:251662336" adj="11412" fillcolor="#ccc1da" stroked="f" strokeweight="2pt">
                <w10:wrap anchorx="margin"/>
              </v:shape>
            </w:pict>
          </mc:Fallback>
        </mc:AlternateContent>
      </w:r>
      <w:r w:rsidRPr="003B5D33">
        <w:rPr>
          <w:rFonts w:eastAsia="Times New Roman"/>
          <w:noProof/>
          <w:rtl/>
          <w:lang w:val="he-IL" w:eastAsia="he-IL"/>
        </w:rPr>
        <w:drawing>
          <wp:inline distT="0" distB="0" distL="0" distR="0">
            <wp:extent cx="5343525" cy="3609975"/>
            <wp:effectExtent l="76200" t="0" r="85725" b="0"/>
            <wp:docPr id="18444" name="דיאגרמה 184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3B5D33" w:rsidRPr="003B5D33" w:rsidP="003B5D33">
      <w:pPr>
        <w:spacing w:line="269" w:lineRule="auto"/>
        <w:rPr>
          <w:rFonts w:eastAsia="Calibri"/>
          <w:szCs w:val="20"/>
          <w:rtl/>
        </w:rPr>
      </w:pPr>
      <w:r w:rsidRPr="003B5D33">
        <w:rPr>
          <w:rFonts w:eastAsia="Calibri" w:hint="cs"/>
          <w:szCs w:val="20"/>
          <w:rtl/>
        </w:rPr>
        <w:t xml:space="preserve">הוכן בידי משרד מבקר המדינה. </w:t>
      </w:r>
    </w:p>
    <w:p w:rsidR="003B5D33" w:rsidRPr="00FD1373" w:rsidP="003B5D33">
      <w:pPr>
        <w:spacing w:line="269" w:lineRule="auto"/>
        <w:rPr>
          <w:rFonts w:eastAsia="Calibri"/>
          <w:sz w:val="16"/>
          <w:szCs w:val="16"/>
          <w:rtl/>
        </w:rPr>
      </w:pPr>
    </w:p>
    <w:p w:rsidR="003B5D33" w:rsidRPr="003B5D33" w:rsidP="003B5D33">
      <w:pPr>
        <w:spacing w:line="269" w:lineRule="auto"/>
        <w:rPr>
          <w:rFonts w:eastAsia="Times New Roman"/>
          <w:rtl/>
          <w:lang w:eastAsia="he-IL"/>
        </w:rPr>
      </w:pPr>
      <w:r w:rsidRPr="003B5D33">
        <w:rPr>
          <w:rFonts w:eastAsia="Calibri" w:hint="cs"/>
          <w:rtl/>
        </w:rPr>
        <w:t>ממצאי מבדקי החוסן</w:t>
      </w:r>
      <w:r w:rsidRPr="003B5D33">
        <w:rPr>
          <w:rFonts w:eastAsia="Calibri"/>
          <w:rtl/>
        </w:rPr>
        <w:t xml:space="preserve"> דורגו על פי שני תבחינים:</w:t>
      </w:r>
      <w:r w:rsidRPr="003B5D33">
        <w:rPr>
          <w:rFonts w:eastAsia="Calibri" w:hint="cs"/>
          <w:rtl/>
        </w:rPr>
        <w:t xml:space="preserve"> (א</w:t>
      </w:r>
      <w:r w:rsidRPr="003B5D33">
        <w:rPr>
          <w:rFonts w:eastAsia="Calibri"/>
          <w:rtl/>
        </w:rPr>
        <w:t>)</w:t>
      </w:r>
      <w:r w:rsidRPr="003B5D33">
        <w:rPr>
          <w:rFonts w:eastAsia="Calibri" w:hint="cs"/>
          <w:b/>
          <w:bCs/>
          <w:rtl/>
        </w:rPr>
        <w:t xml:space="preserve"> </w:t>
      </w:r>
      <w:r w:rsidRPr="003B5D33">
        <w:rPr>
          <w:rFonts w:eastAsia="Calibri"/>
          <w:b/>
          <w:bCs/>
          <w:rtl/>
        </w:rPr>
        <w:t>חומרת הנזק</w:t>
      </w:r>
      <w:r w:rsidRPr="003B5D33">
        <w:rPr>
          <w:rFonts w:eastAsia="Calibri"/>
          <w:rtl/>
        </w:rPr>
        <w:t xml:space="preserve"> הגלומה בהם, הנקבעת בהתאם לרמת ההשפעה על יכולת </w:t>
      </w:r>
      <w:r w:rsidRPr="003B5D33">
        <w:rPr>
          <w:rFonts w:eastAsia="Calibri" w:hint="cs"/>
          <w:rtl/>
        </w:rPr>
        <w:t>משרד החוץ</w:t>
      </w:r>
      <w:r w:rsidRPr="003B5D33">
        <w:rPr>
          <w:rFonts w:eastAsia="Calibri"/>
          <w:rtl/>
        </w:rPr>
        <w:t xml:space="preserve"> לקיים את התהליכים </w:t>
      </w:r>
      <w:r w:rsidRPr="003B5D33">
        <w:rPr>
          <w:rFonts w:eastAsia="Calibri" w:hint="cs"/>
          <w:rtl/>
        </w:rPr>
        <w:t>העסקיים</w:t>
      </w:r>
      <w:r w:rsidRPr="003B5D33">
        <w:rPr>
          <w:rFonts w:eastAsia="Calibri"/>
          <w:rtl/>
        </w:rPr>
        <w:t xml:space="preserve"> במקרה של התממשות הסיכון;</w:t>
      </w:r>
      <w:r w:rsidRPr="003B5D33">
        <w:rPr>
          <w:rFonts w:eastAsia="Calibri" w:hint="cs"/>
          <w:rtl/>
        </w:rPr>
        <w:t xml:space="preserve"> (ב)</w:t>
      </w:r>
      <w:r w:rsidRPr="003B5D33">
        <w:rPr>
          <w:rFonts w:eastAsia="Calibri" w:hint="cs"/>
          <w:b/>
          <w:bCs/>
          <w:rtl/>
        </w:rPr>
        <w:t xml:space="preserve"> </w:t>
      </w:r>
      <w:r w:rsidRPr="003B5D33">
        <w:rPr>
          <w:rFonts w:eastAsia="Calibri"/>
          <w:b/>
          <w:bCs/>
          <w:rtl/>
        </w:rPr>
        <w:t>הסבירות להתממשות הסיכון</w:t>
      </w:r>
      <w:r w:rsidRPr="003B5D33">
        <w:rPr>
          <w:rFonts w:eastAsia="Calibri"/>
          <w:rtl/>
        </w:rPr>
        <w:t xml:space="preserve">, </w:t>
      </w:r>
      <w:r w:rsidRPr="003B5D33">
        <w:rPr>
          <w:rFonts w:eastAsia="Calibri" w:hint="cs"/>
          <w:rtl/>
        </w:rPr>
        <w:t>הנוגעת</w:t>
      </w:r>
      <w:r w:rsidRPr="003B5D33">
        <w:rPr>
          <w:rFonts w:eastAsia="Calibri"/>
          <w:rtl/>
        </w:rPr>
        <w:t xml:space="preserve"> לכל ממצא בנפרד</w:t>
      </w:r>
      <w:r w:rsidRPr="003B5D33">
        <w:rPr>
          <w:rFonts w:eastAsia="Calibri" w:hint="cs"/>
          <w:rtl/>
        </w:rPr>
        <w:t>,</w:t>
      </w:r>
      <w:r w:rsidRPr="003B5D33">
        <w:rPr>
          <w:rFonts w:eastAsia="Calibri"/>
          <w:rtl/>
        </w:rPr>
        <w:t xml:space="preserve"> ו</w:t>
      </w:r>
      <w:r w:rsidRPr="003B5D33">
        <w:rPr>
          <w:rFonts w:eastAsia="Calibri" w:hint="cs"/>
          <w:rtl/>
        </w:rPr>
        <w:t>בקביעתה מובאים</w:t>
      </w:r>
      <w:r w:rsidRPr="003B5D33">
        <w:rPr>
          <w:rFonts w:eastAsia="Calibri"/>
          <w:rtl/>
        </w:rPr>
        <w:t xml:space="preserve"> בחשבון רמת </w:t>
      </w:r>
      <w:r w:rsidRPr="003B5D33">
        <w:rPr>
          <w:rFonts w:eastAsia="Calibri" w:hint="cs"/>
          <w:rtl/>
        </w:rPr>
        <w:t>ה</w:t>
      </w:r>
      <w:r w:rsidRPr="003B5D33">
        <w:rPr>
          <w:rFonts w:eastAsia="Calibri"/>
          <w:rtl/>
        </w:rPr>
        <w:t xml:space="preserve">מורכבות </w:t>
      </w:r>
      <w:r w:rsidRPr="003B5D33">
        <w:rPr>
          <w:rFonts w:eastAsia="Calibri" w:hint="cs"/>
          <w:rtl/>
        </w:rPr>
        <w:t xml:space="preserve">של </w:t>
      </w:r>
      <w:r w:rsidRPr="003B5D33">
        <w:rPr>
          <w:rFonts w:eastAsia="Calibri"/>
          <w:rtl/>
        </w:rPr>
        <w:t>ניצול הפער שהתגלה במסגרת הממצא ומידת חשיפתו</w:t>
      </w:r>
      <w:r w:rsidRPr="003B5D33">
        <w:rPr>
          <w:rFonts w:eastAsia="Calibri" w:hint="cs"/>
          <w:rtl/>
        </w:rPr>
        <w:t xml:space="preserve"> של הפער</w:t>
      </w:r>
      <w:r w:rsidRPr="003B5D33">
        <w:rPr>
          <w:rFonts w:eastAsia="Calibri"/>
          <w:rtl/>
        </w:rPr>
        <w:t xml:space="preserve">. לכל תבחין </w:t>
      </w:r>
      <w:r w:rsidRPr="003B5D33">
        <w:rPr>
          <w:rFonts w:eastAsia="Calibri" w:hint="cs"/>
          <w:rtl/>
        </w:rPr>
        <w:t xml:space="preserve">יש </w:t>
      </w:r>
      <w:r w:rsidRPr="003B5D33">
        <w:rPr>
          <w:rFonts w:eastAsia="Calibri"/>
          <w:rtl/>
        </w:rPr>
        <w:t xml:space="preserve">ארבע דרגות אפשריות: גבוהה מאוד, גבוהה, בינונית ונמוכה. המכפלה בין שני התבחינים יוצרת את הערך הנקרא </w:t>
      </w:r>
      <w:r w:rsidRPr="003B5D33">
        <w:rPr>
          <w:rFonts w:eastAsia="Calibri"/>
          <w:b/>
          <w:bCs/>
          <w:rtl/>
        </w:rPr>
        <w:t>רמת הסיכון</w:t>
      </w:r>
      <w:r w:rsidRPr="003B5D33">
        <w:rPr>
          <w:rFonts w:eastAsia="Calibri"/>
          <w:rtl/>
        </w:rPr>
        <w:t>.</w:t>
      </w:r>
    </w:p>
    <w:p w:rsidR="003B5D33" w:rsidRPr="00FD1373" w:rsidP="003B5D33">
      <w:pPr>
        <w:spacing w:line="269" w:lineRule="auto"/>
        <w:jc w:val="center"/>
        <w:rPr>
          <w:rFonts w:eastAsia="Calibri"/>
          <w:sz w:val="16"/>
          <w:szCs w:val="20"/>
          <w:rtl/>
        </w:rPr>
      </w:pPr>
    </w:p>
    <w:p w:rsidR="003B5D33" w:rsidRPr="003B5D33" w:rsidP="003B5D33">
      <w:pPr>
        <w:spacing w:line="269" w:lineRule="auto"/>
        <w:jc w:val="center"/>
        <w:rPr>
          <w:rFonts w:eastAsia="Calibri"/>
          <w:b/>
          <w:bCs/>
          <w:rtl/>
        </w:rPr>
      </w:pPr>
      <w:r w:rsidRPr="003B5D33">
        <w:rPr>
          <w:rFonts w:eastAsia="Calibri" w:hint="cs"/>
          <w:rtl/>
        </w:rPr>
        <w:t>לוח 3:</w:t>
      </w:r>
      <w:r w:rsidRPr="003B5D33">
        <w:rPr>
          <w:rFonts w:eastAsia="Calibri" w:hint="cs"/>
        </w:rPr>
        <w:t xml:space="preserve"> </w:t>
      </w:r>
      <w:r w:rsidRPr="003B5D33">
        <w:rPr>
          <w:rFonts w:eastAsia="Calibri" w:hint="cs"/>
          <w:b/>
          <w:bCs/>
          <w:rtl/>
        </w:rPr>
        <w:t>טבלת דירוג של ניהול הסיכונים</w:t>
      </w:r>
    </w:p>
    <w:tbl>
      <w:tblPr>
        <w:bidiVisual/>
        <w:tblW w:w="8221" w:type="dxa"/>
        <w:tblInd w:w="504" w:type="dxa"/>
        <w:tblLook w:val="04A0"/>
      </w:tblPr>
      <w:tblGrid>
        <w:gridCol w:w="1843"/>
        <w:gridCol w:w="1594"/>
        <w:gridCol w:w="1595"/>
        <w:gridCol w:w="1594"/>
        <w:gridCol w:w="1595"/>
      </w:tblGrid>
      <w:tr w:rsidTr="00D872CA">
        <w:tblPrEx>
          <w:tblW w:w="8221" w:type="dxa"/>
          <w:tblInd w:w="504" w:type="dxa"/>
          <w:tblLook w:val="04A0"/>
        </w:tblPrEx>
        <w:trPr>
          <w:trHeight w:val="374"/>
        </w:trPr>
        <w:tc>
          <w:tcPr>
            <w:tcW w:w="1843"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החומרה / הסבירות</w:t>
            </w:r>
          </w:p>
        </w:tc>
        <w:tc>
          <w:tcPr>
            <w:tcW w:w="1594"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נמוכה</w:t>
            </w:r>
          </w:p>
        </w:tc>
        <w:tc>
          <w:tcPr>
            <w:tcW w:w="1595"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בינונית</w:t>
            </w:r>
          </w:p>
        </w:tc>
        <w:tc>
          <w:tcPr>
            <w:tcW w:w="1594"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גבוהה</w:t>
            </w:r>
          </w:p>
        </w:tc>
        <w:tc>
          <w:tcPr>
            <w:tcW w:w="1595"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גבוהה מאוד</w:t>
            </w:r>
          </w:p>
        </w:tc>
      </w:tr>
      <w:tr w:rsidTr="00D872CA">
        <w:tblPrEx>
          <w:tblW w:w="8221" w:type="dxa"/>
          <w:tblInd w:w="504" w:type="dxa"/>
          <w:tblLook w:val="04A0"/>
        </w:tblPrEx>
        <w:trPr>
          <w:trHeight w:val="374"/>
        </w:trPr>
        <w:tc>
          <w:tcPr>
            <w:tcW w:w="1843"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דרגה גבוהה מאוד</w:t>
            </w:r>
          </w:p>
        </w:tc>
        <w:tc>
          <w:tcPr>
            <w:tcW w:w="1594" w:type="dxa"/>
            <w:shd w:val="clear" w:color="auto" w:fill="FFC000"/>
          </w:tcPr>
          <w:p w:rsidR="003B5D33" w:rsidRPr="00FD1373" w:rsidP="003B5D33">
            <w:pPr>
              <w:spacing w:line="269" w:lineRule="auto"/>
              <w:rPr>
                <w:rFonts w:eastAsia="Calibri"/>
                <w:b/>
                <w:bCs/>
                <w:sz w:val="22"/>
                <w:szCs w:val="22"/>
                <w:rtl/>
              </w:rPr>
            </w:pPr>
          </w:p>
        </w:tc>
        <w:tc>
          <w:tcPr>
            <w:tcW w:w="1595" w:type="dxa"/>
            <w:shd w:val="clear" w:color="auto" w:fill="FF0000"/>
          </w:tcPr>
          <w:p w:rsidR="003B5D33" w:rsidRPr="00FD1373" w:rsidP="003B5D33">
            <w:pPr>
              <w:spacing w:line="269" w:lineRule="auto"/>
              <w:rPr>
                <w:rFonts w:eastAsia="Calibri"/>
                <w:b/>
                <w:bCs/>
                <w:sz w:val="22"/>
                <w:szCs w:val="22"/>
                <w:rtl/>
              </w:rPr>
            </w:pPr>
          </w:p>
        </w:tc>
        <w:tc>
          <w:tcPr>
            <w:tcW w:w="1594" w:type="dxa"/>
            <w:shd w:val="clear" w:color="auto" w:fill="FF0000"/>
          </w:tcPr>
          <w:p w:rsidR="003B5D33" w:rsidRPr="00FD1373" w:rsidP="003B5D33">
            <w:pPr>
              <w:spacing w:line="269" w:lineRule="auto"/>
              <w:rPr>
                <w:rFonts w:eastAsia="Calibri"/>
                <w:b/>
                <w:bCs/>
                <w:sz w:val="22"/>
                <w:szCs w:val="22"/>
                <w:rtl/>
              </w:rPr>
            </w:pPr>
          </w:p>
        </w:tc>
        <w:tc>
          <w:tcPr>
            <w:tcW w:w="1595" w:type="dxa"/>
            <w:shd w:val="clear" w:color="auto" w:fill="C00000"/>
          </w:tcPr>
          <w:p w:rsidR="003B5D33" w:rsidRPr="00FD1373" w:rsidP="003B5D33">
            <w:pPr>
              <w:spacing w:line="269" w:lineRule="auto"/>
              <w:rPr>
                <w:rFonts w:eastAsia="Calibri"/>
                <w:b/>
                <w:bCs/>
                <w:sz w:val="22"/>
                <w:szCs w:val="22"/>
                <w:rtl/>
              </w:rPr>
            </w:pPr>
            <w:r w:rsidRPr="00FD1373">
              <w:rPr>
                <w:rFonts w:eastAsia="Calibri" w:hint="cs"/>
                <w:b/>
                <w:bCs/>
                <w:color w:val="000000"/>
                <w:sz w:val="22"/>
                <w:szCs w:val="22"/>
                <w:rtl/>
              </w:rPr>
              <w:t>סיכון גבוה מאוד</w:t>
            </w:r>
          </w:p>
        </w:tc>
      </w:tr>
      <w:tr w:rsidTr="00D872CA">
        <w:tblPrEx>
          <w:tblW w:w="8221" w:type="dxa"/>
          <w:tblInd w:w="504" w:type="dxa"/>
          <w:tblLook w:val="04A0"/>
        </w:tblPrEx>
        <w:trPr>
          <w:trHeight w:val="361"/>
        </w:trPr>
        <w:tc>
          <w:tcPr>
            <w:tcW w:w="1843"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דרגה גבוהה</w:t>
            </w:r>
          </w:p>
        </w:tc>
        <w:tc>
          <w:tcPr>
            <w:tcW w:w="1594" w:type="dxa"/>
            <w:shd w:val="clear" w:color="auto" w:fill="FFC000"/>
          </w:tcPr>
          <w:p w:rsidR="003B5D33" w:rsidRPr="00FD1373" w:rsidP="003B5D33">
            <w:pPr>
              <w:spacing w:line="269" w:lineRule="auto"/>
              <w:rPr>
                <w:rFonts w:eastAsia="Calibri"/>
                <w:b/>
                <w:bCs/>
                <w:sz w:val="22"/>
                <w:szCs w:val="22"/>
                <w:rtl/>
              </w:rPr>
            </w:pPr>
          </w:p>
        </w:tc>
        <w:tc>
          <w:tcPr>
            <w:tcW w:w="1595" w:type="dxa"/>
            <w:shd w:val="clear" w:color="auto" w:fill="FFC000"/>
          </w:tcPr>
          <w:p w:rsidR="003B5D33" w:rsidRPr="00FD1373" w:rsidP="003B5D33">
            <w:pPr>
              <w:spacing w:line="269" w:lineRule="auto"/>
              <w:rPr>
                <w:rFonts w:eastAsia="Calibri"/>
                <w:b/>
                <w:bCs/>
                <w:sz w:val="22"/>
                <w:szCs w:val="22"/>
                <w:rtl/>
              </w:rPr>
            </w:pPr>
          </w:p>
        </w:tc>
        <w:tc>
          <w:tcPr>
            <w:tcW w:w="1594" w:type="dxa"/>
            <w:shd w:val="clear" w:color="auto" w:fill="FF0000"/>
          </w:tcPr>
          <w:p w:rsidR="003B5D33" w:rsidRPr="00FD1373" w:rsidP="003B5D33">
            <w:pPr>
              <w:spacing w:line="269" w:lineRule="auto"/>
              <w:rPr>
                <w:rFonts w:eastAsia="Calibri"/>
                <w:b/>
                <w:bCs/>
                <w:sz w:val="22"/>
                <w:szCs w:val="22"/>
                <w:rtl/>
              </w:rPr>
            </w:pPr>
            <w:r w:rsidRPr="00FD1373">
              <w:rPr>
                <w:rFonts w:eastAsia="Calibri" w:hint="cs"/>
                <w:b/>
                <w:bCs/>
                <w:sz w:val="22"/>
                <w:szCs w:val="22"/>
                <w:rtl/>
              </w:rPr>
              <w:t>סיכון גבוה</w:t>
            </w:r>
          </w:p>
        </w:tc>
        <w:tc>
          <w:tcPr>
            <w:tcW w:w="1595" w:type="dxa"/>
            <w:shd w:val="clear" w:color="auto" w:fill="FF0000"/>
          </w:tcPr>
          <w:p w:rsidR="003B5D33" w:rsidRPr="00FD1373" w:rsidP="003B5D33">
            <w:pPr>
              <w:spacing w:line="269" w:lineRule="auto"/>
              <w:rPr>
                <w:rFonts w:eastAsia="Calibri"/>
                <w:b/>
                <w:bCs/>
                <w:sz w:val="22"/>
                <w:szCs w:val="22"/>
                <w:rtl/>
              </w:rPr>
            </w:pPr>
          </w:p>
        </w:tc>
      </w:tr>
      <w:tr w:rsidTr="00D872CA">
        <w:tblPrEx>
          <w:tblW w:w="8221" w:type="dxa"/>
          <w:tblInd w:w="504" w:type="dxa"/>
          <w:tblLook w:val="04A0"/>
        </w:tblPrEx>
        <w:trPr>
          <w:trHeight w:val="374"/>
        </w:trPr>
        <w:tc>
          <w:tcPr>
            <w:tcW w:w="1843"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דרגה בינונית</w:t>
            </w:r>
          </w:p>
        </w:tc>
        <w:tc>
          <w:tcPr>
            <w:tcW w:w="1594" w:type="dxa"/>
            <w:shd w:val="clear" w:color="auto" w:fill="FFFF00"/>
          </w:tcPr>
          <w:p w:rsidR="003B5D33" w:rsidRPr="00FD1373" w:rsidP="003B5D33">
            <w:pPr>
              <w:spacing w:line="269" w:lineRule="auto"/>
              <w:rPr>
                <w:rFonts w:eastAsia="Calibri"/>
                <w:b/>
                <w:bCs/>
                <w:sz w:val="22"/>
                <w:szCs w:val="22"/>
                <w:rtl/>
              </w:rPr>
            </w:pPr>
          </w:p>
        </w:tc>
        <w:tc>
          <w:tcPr>
            <w:tcW w:w="1595" w:type="dxa"/>
            <w:shd w:val="clear" w:color="auto" w:fill="FFC000"/>
          </w:tcPr>
          <w:p w:rsidR="003B5D33" w:rsidRPr="00FD1373" w:rsidP="003B5D33">
            <w:pPr>
              <w:spacing w:line="269" w:lineRule="auto"/>
              <w:rPr>
                <w:rFonts w:eastAsia="Calibri"/>
                <w:b/>
                <w:bCs/>
                <w:sz w:val="22"/>
                <w:szCs w:val="22"/>
                <w:rtl/>
              </w:rPr>
            </w:pPr>
            <w:r w:rsidRPr="00FD1373">
              <w:rPr>
                <w:rFonts w:eastAsia="Calibri" w:hint="cs"/>
                <w:b/>
                <w:bCs/>
                <w:sz w:val="22"/>
                <w:szCs w:val="22"/>
                <w:rtl/>
              </w:rPr>
              <w:t>סיכון בינוני</w:t>
            </w:r>
          </w:p>
        </w:tc>
        <w:tc>
          <w:tcPr>
            <w:tcW w:w="1594" w:type="dxa"/>
            <w:shd w:val="clear" w:color="auto" w:fill="FFC000"/>
          </w:tcPr>
          <w:p w:rsidR="003B5D33" w:rsidRPr="00FD1373" w:rsidP="003B5D33">
            <w:pPr>
              <w:spacing w:line="269" w:lineRule="auto"/>
              <w:rPr>
                <w:rFonts w:eastAsia="Calibri"/>
                <w:b/>
                <w:bCs/>
                <w:sz w:val="22"/>
                <w:szCs w:val="22"/>
                <w:rtl/>
              </w:rPr>
            </w:pPr>
          </w:p>
        </w:tc>
        <w:tc>
          <w:tcPr>
            <w:tcW w:w="1595" w:type="dxa"/>
            <w:shd w:val="clear" w:color="auto" w:fill="FF0000"/>
          </w:tcPr>
          <w:p w:rsidR="003B5D33" w:rsidRPr="00FD1373" w:rsidP="003B5D33">
            <w:pPr>
              <w:spacing w:line="269" w:lineRule="auto"/>
              <w:rPr>
                <w:rFonts w:eastAsia="Calibri"/>
                <w:b/>
                <w:bCs/>
                <w:sz w:val="22"/>
                <w:szCs w:val="22"/>
                <w:rtl/>
              </w:rPr>
            </w:pPr>
          </w:p>
        </w:tc>
      </w:tr>
      <w:tr w:rsidTr="00D872CA">
        <w:tblPrEx>
          <w:tblW w:w="8221" w:type="dxa"/>
          <w:tblInd w:w="504" w:type="dxa"/>
          <w:tblLook w:val="04A0"/>
        </w:tblPrEx>
        <w:trPr>
          <w:trHeight w:val="374"/>
        </w:trPr>
        <w:tc>
          <w:tcPr>
            <w:tcW w:w="1843" w:type="dxa"/>
            <w:shd w:val="clear" w:color="auto" w:fill="D9D9D9"/>
          </w:tcPr>
          <w:p w:rsidR="003B5D33" w:rsidRPr="00FD1373" w:rsidP="003B5D33">
            <w:pPr>
              <w:spacing w:line="269" w:lineRule="auto"/>
              <w:rPr>
                <w:rFonts w:eastAsia="Calibri"/>
                <w:b/>
                <w:bCs/>
                <w:sz w:val="22"/>
                <w:szCs w:val="22"/>
                <w:rtl/>
              </w:rPr>
            </w:pPr>
            <w:r w:rsidRPr="00FD1373">
              <w:rPr>
                <w:rFonts w:eastAsia="Calibri" w:hint="cs"/>
                <w:b/>
                <w:bCs/>
                <w:sz w:val="22"/>
                <w:szCs w:val="22"/>
                <w:rtl/>
              </w:rPr>
              <w:t>דרגה נמוכה</w:t>
            </w:r>
          </w:p>
        </w:tc>
        <w:tc>
          <w:tcPr>
            <w:tcW w:w="1594" w:type="dxa"/>
            <w:shd w:val="clear" w:color="auto" w:fill="FFFF00"/>
          </w:tcPr>
          <w:p w:rsidR="003B5D33" w:rsidRPr="00FD1373" w:rsidP="003B5D33">
            <w:pPr>
              <w:spacing w:line="269" w:lineRule="auto"/>
              <w:rPr>
                <w:rFonts w:eastAsia="Calibri"/>
                <w:b/>
                <w:bCs/>
                <w:sz w:val="22"/>
                <w:szCs w:val="22"/>
                <w:rtl/>
              </w:rPr>
            </w:pPr>
            <w:r w:rsidRPr="00FD1373">
              <w:rPr>
                <w:rFonts w:eastAsia="Calibri" w:hint="cs"/>
                <w:b/>
                <w:bCs/>
                <w:sz w:val="22"/>
                <w:szCs w:val="22"/>
                <w:rtl/>
              </w:rPr>
              <w:t>סיכון נמוך</w:t>
            </w:r>
          </w:p>
        </w:tc>
        <w:tc>
          <w:tcPr>
            <w:tcW w:w="1595" w:type="dxa"/>
            <w:shd w:val="clear" w:color="auto" w:fill="FFFF00"/>
          </w:tcPr>
          <w:p w:rsidR="003B5D33" w:rsidRPr="00FD1373" w:rsidP="003B5D33">
            <w:pPr>
              <w:spacing w:line="269" w:lineRule="auto"/>
              <w:rPr>
                <w:rFonts w:eastAsia="Calibri"/>
                <w:b/>
                <w:bCs/>
                <w:sz w:val="22"/>
                <w:szCs w:val="22"/>
                <w:rtl/>
              </w:rPr>
            </w:pPr>
          </w:p>
        </w:tc>
        <w:tc>
          <w:tcPr>
            <w:tcW w:w="1594" w:type="dxa"/>
            <w:shd w:val="clear" w:color="auto" w:fill="FFC000"/>
          </w:tcPr>
          <w:p w:rsidR="003B5D33" w:rsidRPr="00FD1373" w:rsidP="003B5D33">
            <w:pPr>
              <w:spacing w:line="269" w:lineRule="auto"/>
              <w:rPr>
                <w:rFonts w:eastAsia="Calibri"/>
                <w:b/>
                <w:bCs/>
                <w:sz w:val="22"/>
                <w:szCs w:val="22"/>
                <w:rtl/>
              </w:rPr>
            </w:pPr>
          </w:p>
        </w:tc>
        <w:tc>
          <w:tcPr>
            <w:tcW w:w="1595" w:type="dxa"/>
            <w:shd w:val="clear" w:color="auto" w:fill="FFC000"/>
          </w:tcPr>
          <w:p w:rsidR="003B5D33" w:rsidRPr="00FD1373" w:rsidP="003B5D33">
            <w:pPr>
              <w:spacing w:line="269" w:lineRule="auto"/>
              <w:rPr>
                <w:rFonts w:eastAsia="Calibri"/>
                <w:b/>
                <w:bCs/>
                <w:sz w:val="22"/>
                <w:szCs w:val="22"/>
                <w:rtl/>
              </w:rPr>
            </w:pPr>
          </w:p>
        </w:tc>
      </w:tr>
    </w:tbl>
    <w:p w:rsidR="003B5D33" w:rsidRPr="003B5D33" w:rsidP="003B5D33">
      <w:pPr>
        <w:spacing w:line="269" w:lineRule="auto"/>
        <w:rPr>
          <w:rFonts w:eastAsia="Calibri"/>
          <w:b/>
          <w:bCs/>
          <w:rtl/>
        </w:rPr>
      </w:pPr>
      <w:bookmarkStart w:id="125" w:name="_Hlk203658347"/>
      <w:r w:rsidRPr="003B5D33">
        <w:rPr>
          <w:rFonts w:ascii="David" w:eastAsia="Calibri" w:hAnsi="David" w:hint="cs"/>
          <w:b/>
          <w:bCs/>
          <w:sz w:val="24"/>
          <w:rtl/>
        </w:rPr>
        <w:t xml:space="preserve">במבדק החוסן </w:t>
      </w:r>
      <w:r w:rsidRPr="003B5D33">
        <w:rPr>
          <w:rFonts w:ascii="David" w:eastAsia="Calibri" w:hAnsi="David"/>
          <w:b/>
          <w:bCs/>
          <w:sz w:val="24"/>
          <w:rtl/>
        </w:rPr>
        <w:t>שערך משרד מבקר המדינה</w:t>
      </w:r>
      <w:r w:rsidRPr="003B5D33">
        <w:rPr>
          <w:rFonts w:ascii="David" w:eastAsia="Calibri" w:hAnsi="David" w:hint="cs"/>
          <w:b/>
          <w:bCs/>
          <w:sz w:val="24"/>
          <w:rtl/>
        </w:rPr>
        <w:t xml:space="preserve"> זוהו 15 ממצאים בתחומים שונים, וברמות סיכון שונות: רמה גבוהה ביותר, רמה גבוהה, רמה בינונית ורמה נמוכה. יצוין כי ממצא אחד בעל רמת סיכון גבוהה טופל על-ידי משרד החוץ כבר במהלך ביצוע המבדק. ממצאים אלו מעלים את הסיכון ל</w:t>
      </w:r>
      <w:r w:rsidRPr="003B5D33">
        <w:rPr>
          <w:rFonts w:ascii="David" w:eastAsia="Calibri" w:hAnsi="David"/>
          <w:b/>
          <w:bCs/>
          <w:sz w:val="24"/>
          <w:rtl/>
        </w:rPr>
        <w:t xml:space="preserve">פגיעה </w:t>
      </w:r>
      <w:r w:rsidRPr="003B5D33">
        <w:rPr>
          <w:rFonts w:ascii="David" w:eastAsia="Calibri" w:hAnsi="David" w:hint="cs"/>
          <w:b/>
          <w:bCs/>
          <w:sz w:val="24"/>
          <w:rtl/>
        </w:rPr>
        <w:t xml:space="preserve">מהותית </w:t>
      </w:r>
      <w:r w:rsidRPr="003B5D33">
        <w:rPr>
          <w:rFonts w:eastAsia="Calibri" w:hint="cs"/>
          <w:b/>
          <w:bCs/>
          <w:rtl/>
        </w:rPr>
        <w:t>בסודיות המידע, בזמינותו ובמהימנותו וב</w:t>
      </w:r>
      <w:r w:rsidRPr="003B5D33">
        <w:rPr>
          <w:rFonts w:eastAsia="Calibri"/>
          <w:b/>
          <w:bCs/>
          <w:rtl/>
        </w:rPr>
        <w:t>יכולת</w:t>
      </w:r>
      <w:r w:rsidRPr="003B5D33">
        <w:rPr>
          <w:rFonts w:eastAsia="Calibri" w:hint="cs"/>
          <w:b/>
          <w:bCs/>
          <w:rtl/>
        </w:rPr>
        <w:t>ו של</w:t>
      </w:r>
      <w:r w:rsidRPr="003B5D33">
        <w:rPr>
          <w:rFonts w:eastAsia="Calibri"/>
          <w:b/>
          <w:bCs/>
          <w:rtl/>
        </w:rPr>
        <w:t xml:space="preserve"> משרד החוץ לקיים את התהליכים העסקיים</w:t>
      </w:r>
      <w:r w:rsidRPr="003B5D33">
        <w:rPr>
          <w:rFonts w:ascii="David" w:eastAsia="Calibri" w:hAnsi="David" w:hint="cs"/>
          <w:b/>
          <w:bCs/>
          <w:sz w:val="24"/>
          <w:rtl/>
        </w:rPr>
        <w:t xml:space="preserve"> ברשת שנבדקה</w:t>
      </w:r>
      <w:r w:rsidRPr="003B5D33">
        <w:rPr>
          <w:rFonts w:ascii="David" w:eastAsia="Calibri" w:hAnsi="David"/>
          <w:b/>
          <w:bCs/>
          <w:sz w:val="24"/>
          <w:rtl/>
        </w:rPr>
        <w:t xml:space="preserve"> </w:t>
      </w:r>
      <w:r w:rsidRPr="003B5D33">
        <w:rPr>
          <w:rFonts w:ascii="David" w:eastAsia="Calibri" w:hAnsi="David" w:hint="cs"/>
          <w:b/>
          <w:bCs/>
          <w:sz w:val="24"/>
          <w:rtl/>
        </w:rPr>
        <w:t>באמצעות</w:t>
      </w:r>
      <w:r w:rsidRPr="003B5D33">
        <w:rPr>
          <w:rFonts w:ascii="David" w:eastAsia="Calibri" w:hAnsi="David"/>
          <w:b/>
          <w:bCs/>
          <w:sz w:val="24"/>
          <w:rtl/>
        </w:rPr>
        <w:t xml:space="preserve"> ניצול </w:t>
      </w:r>
      <w:r w:rsidRPr="003B5D33">
        <w:rPr>
          <w:rFonts w:ascii="David" w:eastAsia="Calibri" w:hAnsi="David" w:hint="cs"/>
          <w:b/>
          <w:bCs/>
          <w:sz w:val="24"/>
          <w:rtl/>
        </w:rPr>
        <w:t>פערי אבטחת המידע שזוהו</w:t>
      </w:r>
      <w:r w:rsidRPr="003B5D33">
        <w:rPr>
          <w:rFonts w:eastAsia="Calibri" w:hint="cs"/>
          <w:b/>
          <w:bCs/>
          <w:rtl/>
        </w:rPr>
        <w:t>.</w:t>
      </w:r>
    </w:p>
    <w:p w:rsidR="003B5D33" w:rsidRPr="003B5D33" w:rsidP="003B5D33">
      <w:pPr>
        <w:spacing w:line="269" w:lineRule="auto"/>
        <w:rPr>
          <w:rFonts w:ascii="David" w:eastAsia="Calibri" w:hAnsi="David"/>
          <w:sz w:val="24"/>
          <w:rtl/>
        </w:rPr>
      </w:pPr>
    </w:p>
    <w:p w:rsidR="003B5D33" w:rsidRPr="003B5D33" w:rsidP="003B5D33">
      <w:pPr>
        <w:spacing w:line="269" w:lineRule="auto"/>
        <w:rPr>
          <w:rFonts w:ascii="David" w:eastAsia="Calibri" w:hAnsi="David"/>
          <w:sz w:val="24"/>
          <w:rtl/>
        </w:rPr>
      </w:pPr>
      <w:r w:rsidRPr="003B5D33">
        <w:rPr>
          <w:rFonts w:ascii="David" w:eastAsia="Calibri" w:hAnsi="David" w:hint="cs"/>
          <w:sz w:val="24"/>
          <w:rtl/>
        </w:rPr>
        <w:t xml:space="preserve">בהתייחס לליקויים שנמצאו במבדק הבהיר המשרד כי </w:t>
      </w:r>
      <w:r w:rsidRPr="003B5D33">
        <w:rPr>
          <w:rFonts w:ascii="David" w:eastAsia="Calibri" w:hAnsi="David"/>
          <w:sz w:val="24"/>
          <w:rtl/>
        </w:rPr>
        <w:t>נעשתה פעילות בכל הרשתות</w:t>
      </w:r>
      <w:r w:rsidRPr="003B5D33">
        <w:rPr>
          <w:rFonts w:ascii="David" w:eastAsia="Calibri" w:hAnsi="David" w:hint="cs"/>
          <w:sz w:val="24"/>
          <w:rtl/>
        </w:rPr>
        <w:t xml:space="preserve"> לתיקון הליקויים שעלו במבדק</w:t>
      </w:r>
      <w:r w:rsidRPr="003B5D33">
        <w:rPr>
          <w:rFonts w:ascii="David" w:eastAsia="Calibri" w:hAnsi="David"/>
          <w:sz w:val="24"/>
          <w:rtl/>
        </w:rPr>
        <w:t>.</w:t>
      </w:r>
    </w:p>
    <w:p w:rsidR="003B5D33" w:rsidRPr="003B5D33" w:rsidP="003B5D33">
      <w:pPr>
        <w:spacing w:line="269" w:lineRule="auto"/>
        <w:rPr>
          <w:rFonts w:ascii="David" w:eastAsia="Calibri" w:hAnsi="David"/>
          <w:b/>
          <w:bCs/>
          <w:color w:val="000000"/>
          <w:sz w:val="24"/>
          <w:rtl/>
        </w:rPr>
      </w:pPr>
    </w:p>
    <w:p w:rsidR="003B5D33" w:rsidRPr="003B5D33" w:rsidP="003B5D33">
      <w:pPr>
        <w:spacing w:line="269" w:lineRule="auto"/>
        <w:rPr>
          <w:rFonts w:ascii="Tahoma" w:eastAsia="Calibri" w:hAnsi="Tahoma" w:cs="Tahoma"/>
          <w:color w:val="0D0D0D"/>
          <w:sz w:val="18"/>
          <w:szCs w:val="18"/>
          <w:rtl/>
        </w:rPr>
      </w:pPr>
      <w:r w:rsidRPr="003B5D33">
        <w:rPr>
          <w:rFonts w:ascii="David" w:eastAsia="Calibri" w:hAnsi="David"/>
          <w:b/>
          <w:bCs/>
          <w:color w:val="000000"/>
          <w:sz w:val="24"/>
          <w:rtl/>
        </w:rPr>
        <w:t xml:space="preserve">נוכח </w:t>
      </w:r>
      <w:r w:rsidRPr="003B5D33">
        <w:rPr>
          <w:rFonts w:ascii="David" w:eastAsia="Calibri" w:hAnsi="David" w:hint="cs"/>
          <w:b/>
          <w:bCs/>
          <w:color w:val="000000"/>
          <w:sz w:val="24"/>
          <w:rtl/>
        </w:rPr>
        <w:t>היקף ה</w:t>
      </w:r>
      <w:r w:rsidRPr="003B5D33">
        <w:rPr>
          <w:rFonts w:ascii="David" w:eastAsia="Calibri" w:hAnsi="David"/>
          <w:b/>
          <w:bCs/>
          <w:color w:val="000000"/>
          <w:sz w:val="24"/>
          <w:rtl/>
        </w:rPr>
        <w:t>ממצאים</w:t>
      </w:r>
      <w:r w:rsidRPr="003B5D33">
        <w:rPr>
          <w:rFonts w:ascii="David" w:eastAsia="Calibri" w:hAnsi="David" w:hint="cs"/>
          <w:b/>
          <w:bCs/>
          <w:color w:val="000000"/>
          <w:sz w:val="24"/>
          <w:rtl/>
        </w:rPr>
        <w:t xml:space="preserve"> </w:t>
      </w:r>
      <w:r w:rsidRPr="003B5D33">
        <w:rPr>
          <w:rFonts w:ascii="David" w:eastAsia="Calibri" w:hAnsi="David"/>
          <w:b/>
          <w:bCs/>
          <w:color w:val="000000"/>
          <w:sz w:val="24"/>
          <w:rtl/>
        </w:rPr>
        <w:t xml:space="preserve">שעלו </w:t>
      </w:r>
      <w:r w:rsidRPr="003B5D33">
        <w:rPr>
          <w:rFonts w:ascii="David" w:eastAsia="Calibri" w:hAnsi="David" w:hint="cs"/>
          <w:b/>
          <w:bCs/>
          <w:color w:val="000000"/>
          <w:sz w:val="24"/>
          <w:rtl/>
        </w:rPr>
        <w:t>ב</w:t>
      </w:r>
      <w:r w:rsidRPr="003B5D33">
        <w:rPr>
          <w:rFonts w:ascii="David" w:eastAsia="Calibri" w:hAnsi="David"/>
          <w:b/>
          <w:bCs/>
          <w:color w:val="000000"/>
          <w:sz w:val="24"/>
          <w:rtl/>
        </w:rPr>
        <w:t>מבדק הח</w:t>
      </w:r>
      <w:r w:rsidRPr="003B5D33">
        <w:rPr>
          <w:rFonts w:ascii="David" w:eastAsia="Calibri" w:hAnsi="David" w:hint="cs"/>
          <w:b/>
          <w:bCs/>
          <w:color w:val="000000"/>
          <w:sz w:val="24"/>
          <w:rtl/>
        </w:rPr>
        <w:t>וסן שבוצע, על משרד החוץ</w:t>
      </w:r>
      <w:r w:rsidRPr="003B5D33">
        <w:rPr>
          <w:rFonts w:ascii="David" w:eastAsia="Calibri" w:hAnsi="David"/>
          <w:b/>
          <w:bCs/>
          <w:color w:val="000000"/>
          <w:sz w:val="24"/>
          <w:rtl/>
        </w:rPr>
        <w:t xml:space="preserve"> </w:t>
      </w:r>
      <w:r w:rsidRPr="003B5D33">
        <w:rPr>
          <w:rFonts w:ascii="David" w:eastAsia="Calibri" w:hAnsi="David" w:hint="cs"/>
          <w:b/>
          <w:bCs/>
          <w:color w:val="000000"/>
          <w:sz w:val="24"/>
          <w:rtl/>
        </w:rPr>
        <w:t xml:space="preserve">לקיים הערכת מצב ולבנות תוכנית אופרטיבית לתיקון הליקויים </w:t>
      </w:r>
      <w:r w:rsidRPr="003B5D33">
        <w:rPr>
          <w:rFonts w:ascii="David" w:eastAsia="Calibri" w:hAnsi="David"/>
          <w:b/>
          <w:bCs/>
          <w:color w:val="000000"/>
          <w:sz w:val="24"/>
          <w:rtl/>
        </w:rPr>
        <w:t>ש</w:t>
      </w:r>
      <w:r w:rsidRPr="003B5D33">
        <w:rPr>
          <w:rFonts w:ascii="David" w:eastAsia="Calibri" w:hAnsi="David" w:hint="cs"/>
          <w:b/>
          <w:bCs/>
          <w:color w:val="000000"/>
          <w:sz w:val="24"/>
          <w:rtl/>
        </w:rPr>
        <w:t>פורטו בדוח הטכני המפורט שנמסר למשרד החוץ.</w:t>
      </w:r>
      <w:r w:rsidRPr="003B5D33">
        <w:rPr>
          <w:rFonts w:ascii="Tahoma" w:eastAsia="Calibri" w:hAnsi="Tahoma" w:cs="Tahoma"/>
          <w:color w:val="0D0D0D"/>
          <w:sz w:val="18"/>
          <w:szCs w:val="18"/>
          <w:rtl/>
        </w:rPr>
        <w:t xml:space="preserve"> </w:t>
      </w:r>
      <w:bookmarkEnd w:id="125"/>
    </w:p>
    <w:p w:rsidR="003B5D33" w:rsidRPr="003B5D33" w:rsidP="003B5D33">
      <w:pPr>
        <w:spacing w:line="269" w:lineRule="auto"/>
        <w:rPr>
          <w:rFonts w:ascii="Tahoma" w:eastAsia="Calibri" w:hAnsi="Tahoma" w:cs="Tahoma"/>
          <w:color w:val="0D0D0D"/>
          <w:sz w:val="18"/>
          <w:szCs w:val="18"/>
          <w:rtl/>
        </w:rPr>
      </w:pPr>
    </w:p>
    <w:p w:rsidR="003B5D33" w:rsidRPr="003B5D33" w:rsidP="003B5D33">
      <w:pPr>
        <w:spacing w:line="269" w:lineRule="auto"/>
        <w:jc w:val="center"/>
        <w:rPr>
          <w:rFonts w:ascii="Arial" w:eastAsia="Calibri" w:hAnsi="Arial" w:cs="Arial"/>
          <w:color w:val="0D0D0D"/>
          <w:sz w:val="36"/>
          <w:rtl/>
        </w:rPr>
      </w:pPr>
      <w:r w:rsidRPr="003B5D33">
        <w:rPr>
          <w:rFonts w:ascii="Segoe UI Symbol" w:eastAsia="Calibri" w:hAnsi="Segoe UI Symbol" w:cs="Segoe UI Symbol" w:hint="cs"/>
          <w:color w:val="0D0D0D"/>
          <w:sz w:val="36"/>
          <w:rtl/>
        </w:rPr>
        <w:t>✰</w:t>
      </w:r>
    </w:p>
    <w:p w:rsidR="003B5D33" w:rsidRPr="003B5D33" w:rsidP="003B5D33">
      <w:pPr>
        <w:spacing w:line="269" w:lineRule="auto"/>
        <w:jc w:val="center"/>
        <w:rPr>
          <w:rFonts w:ascii="Arial" w:eastAsia="Calibri" w:hAnsi="Arial" w:cs="Arial"/>
          <w:color w:val="0D0D0D"/>
          <w:sz w:val="36"/>
          <w:rtl/>
        </w:rPr>
      </w:pPr>
    </w:p>
    <w:p w:rsidR="003B5D33" w:rsidRPr="003B5D33" w:rsidP="003B5D33">
      <w:pPr>
        <w:spacing w:line="269" w:lineRule="auto"/>
        <w:rPr>
          <w:rFonts w:eastAsia="Calibri"/>
          <w:rtl/>
        </w:rPr>
      </w:pPr>
      <w:r w:rsidRPr="003B5D33">
        <w:rPr>
          <w:rFonts w:eastAsia="Calibri" w:hint="cs"/>
          <w:rtl/>
        </w:rPr>
        <w:t xml:space="preserve">בתשובת משרד החוץ מאוקטובר 2025 צוינו כמה תחומים </w:t>
      </w:r>
      <w:r w:rsidRPr="003B5D33">
        <w:rPr>
          <w:rFonts w:eastAsia="Calibri"/>
          <w:rtl/>
        </w:rPr>
        <w:t xml:space="preserve">בהגנת הסייבר </w:t>
      </w:r>
      <w:r w:rsidRPr="003B5D33">
        <w:rPr>
          <w:rFonts w:eastAsia="Calibri" w:hint="cs"/>
          <w:rtl/>
        </w:rPr>
        <w:t xml:space="preserve">אשר קודמו בשנים 2023 - 2025 </w:t>
      </w:r>
      <w:r w:rsidRPr="003B5D33">
        <w:rPr>
          <w:rFonts w:eastAsia="Calibri"/>
          <w:rtl/>
        </w:rPr>
        <w:t>ונועדו לשפר את יכולות המשרד בהגנה על נכסי המידע</w:t>
      </w:r>
      <w:r w:rsidRPr="003B5D33">
        <w:rPr>
          <w:rFonts w:eastAsia="Calibri" w:hint="cs"/>
          <w:rtl/>
        </w:rPr>
        <w:t xml:space="preserve">: </w:t>
      </w:r>
      <w:r w:rsidRPr="003B5D33">
        <w:rPr>
          <w:rFonts w:eastAsia="Calibri"/>
          <w:rtl/>
        </w:rPr>
        <w:t>המשרד הוסמך לתקנים מובילים בתחום הגנת הסייבר</w:t>
      </w:r>
      <w:r w:rsidRPr="003B5D33">
        <w:rPr>
          <w:rFonts w:eastAsia="Calibri" w:hint="cs"/>
          <w:rtl/>
        </w:rPr>
        <w:t xml:space="preserve"> ובהם תקן לניהול אבטחת המידע בארגון (</w:t>
      </w:r>
      <w:r w:rsidRPr="003B5D33">
        <w:rPr>
          <w:rFonts w:eastAsia="Calibri"/>
          <w:rtl/>
        </w:rPr>
        <w:t>27001</w:t>
      </w:r>
      <w:r w:rsidRPr="003B5D33">
        <w:rPr>
          <w:rFonts w:eastAsia="Calibri"/>
        </w:rPr>
        <w:t xml:space="preserve">ISO </w:t>
      </w:r>
      <w:r w:rsidRPr="003B5D33">
        <w:rPr>
          <w:rFonts w:eastAsia="Calibri" w:hint="cs"/>
          <w:rtl/>
        </w:rPr>
        <w:t>)</w:t>
      </w:r>
      <w:r w:rsidRPr="003B5D33">
        <w:rPr>
          <w:rFonts w:eastAsia="Calibri"/>
          <w:rtl/>
        </w:rPr>
        <w:t xml:space="preserve"> </w:t>
      </w:r>
      <w:r w:rsidRPr="003B5D33">
        <w:rPr>
          <w:rFonts w:eastAsia="Calibri" w:hint="cs"/>
          <w:rtl/>
        </w:rPr>
        <w:t xml:space="preserve">ותקן </w:t>
      </w:r>
      <w:r w:rsidRPr="003B5D33">
        <w:rPr>
          <w:rFonts w:eastAsia="Calibri"/>
          <w:rtl/>
        </w:rPr>
        <w:t>לניהול סיכוני האבטחה בשרשרת האספקה</w:t>
      </w:r>
      <w:r w:rsidRPr="003B5D33">
        <w:rPr>
          <w:rFonts w:eastAsia="Calibri" w:hint="cs"/>
          <w:rtl/>
        </w:rPr>
        <w:t xml:space="preserve"> (</w:t>
      </w:r>
      <w:r w:rsidRPr="003B5D33">
        <w:rPr>
          <w:rFonts w:eastAsia="Calibri"/>
        </w:rPr>
        <w:t>ISO 28000</w:t>
      </w:r>
      <w:r w:rsidRPr="003B5D33">
        <w:rPr>
          <w:rFonts w:eastAsia="Calibri" w:hint="cs"/>
          <w:rtl/>
        </w:rPr>
        <w:t>).</w:t>
      </w:r>
      <w:r w:rsidRPr="003B5D33">
        <w:rPr>
          <w:rFonts w:eastAsia="Calibri"/>
          <w:rtl/>
        </w:rPr>
        <w:t xml:space="preserve"> המשרד </w:t>
      </w:r>
      <w:r w:rsidRPr="003B5D33">
        <w:rPr>
          <w:rFonts w:eastAsia="Calibri" w:hint="cs"/>
          <w:rtl/>
        </w:rPr>
        <w:t>נקט פעולות כדי לקדם את רמת ההגנה על המידע במשרד;</w:t>
      </w:r>
      <w:r w:rsidRPr="003B5D33">
        <w:rPr>
          <w:rFonts w:eastAsia="Calibri" w:hint="cs"/>
        </w:rPr>
        <w:t xml:space="preserve"> </w:t>
      </w:r>
      <w:r w:rsidRPr="003B5D33">
        <w:rPr>
          <w:rFonts w:eastAsia="Calibri"/>
          <w:rtl/>
        </w:rPr>
        <w:t xml:space="preserve">המשרד הסדיר את תחומי האחריות בין אגף תקשוב לבין </w:t>
      </w:r>
      <w:r w:rsidRPr="003B5D33">
        <w:rPr>
          <w:rFonts w:eastAsia="Calibri" w:hint="cs"/>
          <w:rtl/>
        </w:rPr>
        <w:t>בטמ"ח</w:t>
      </w:r>
      <w:r w:rsidRPr="003B5D33">
        <w:rPr>
          <w:rFonts w:eastAsia="Calibri"/>
          <w:rtl/>
        </w:rPr>
        <w:t xml:space="preserve"> ומתקיים שיתוף פעולה סינרגטי</w:t>
      </w:r>
      <w:r w:rsidRPr="003B5D33">
        <w:rPr>
          <w:rFonts w:eastAsia="Calibri" w:hint="cs"/>
          <w:rtl/>
        </w:rPr>
        <w:t>; הוקם</w:t>
      </w:r>
      <w:r w:rsidRPr="003B5D33">
        <w:rPr>
          <w:rFonts w:eastAsia="Calibri"/>
          <w:rtl/>
        </w:rPr>
        <w:t xml:space="preserve"> </w:t>
      </w:r>
      <w:r w:rsidRPr="003B5D33">
        <w:rPr>
          <w:rFonts w:eastAsia="Calibri"/>
        </w:rPr>
        <w:t>SOC</w:t>
      </w:r>
      <w:r w:rsidRPr="003B5D33">
        <w:rPr>
          <w:rFonts w:eastAsia="Calibri"/>
          <w:rtl/>
        </w:rPr>
        <w:t xml:space="preserve"> </w:t>
      </w:r>
      <w:r w:rsidRPr="003B5D33">
        <w:rPr>
          <w:rFonts w:eastAsia="Calibri" w:hint="cs"/>
          <w:rtl/>
        </w:rPr>
        <w:t>ש</w:t>
      </w:r>
      <w:r w:rsidRPr="003B5D33">
        <w:rPr>
          <w:rFonts w:eastAsia="Calibri"/>
          <w:rtl/>
        </w:rPr>
        <w:t xml:space="preserve">מנטר </w:t>
      </w:r>
      <w:r w:rsidRPr="003B5D33">
        <w:rPr>
          <w:rFonts w:eastAsia="Calibri" w:hint="cs"/>
          <w:rtl/>
        </w:rPr>
        <w:t xml:space="preserve">אלפי </w:t>
      </w:r>
      <w:r w:rsidRPr="003B5D33">
        <w:rPr>
          <w:rFonts w:eastAsia="Calibri"/>
          <w:rtl/>
        </w:rPr>
        <w:t>עמדות קצה ומאות מערכות ב</w:t>
      </w:r>
      <w:r w:rsidRPr="003B5D33">
        <w:rPr>
          <w:rFonts w:eastAsia="Calibri" w:hint="cs"/>
          <w:rtl/>
        </w:rPr>
        <w:t>רשתות</w:t>
      </w:r>
      <w:r w:rsidRPr="003B5D33">
        <w:rPr>
          <w:rFonts w:eastAsia="Calibri"/>
          <w:rtl/>
        </w:rPr>
        <w:t xml:space="preserve"> של המשרד</w:t>
      </w:r>
      <w:r w:rsidRPr="003B5D33">
        <w:rPr>
          <w:rFonts w:eastAsia="Calibri" w:hint="cs"/>
          <w:rtl/>
        </w:rPr>
        <w:t>; המשרד החל ב</w:t>
      </w:r>
      <w:r w:rsidRPr="003B5D33">
        <w:rPr>
          <w:rFonts w:eastAsia="Calibri"/>
          <w:rtl/>
        </w:rPr>
        <w:t>חיזוק תהליכי ההזדהות</w:t>
      </w:r>
      <w:r w:rsidRPr="003B5D33">
        <w:rPr>
          <w:rFonts w:eastAsia="Calibri" w:hint="cs"/>
          <w:rtl/>
        </w:rPr>
        <w:t xml:space="preserve"> בכניסה לרשתות המשרד; באגף התקשוב הוקם</w:t>
      </w:r>
      <w:r w:rsidRPr="003B5D33">
        <w:rPr>
          <w:rFonts w:eastAsia="Calibri"/>
          <w:rtl/>
        </w:rPr>
        <w:t xml:space="preserve"> תחום הנחיה ובקרה</w:t>
      </w:r>
      <w:r w:rsidRPr="003B5D33">
        <w:rPr>
          <w:rFonts w:eastAsia="Calibri" w:hint="cs"/>
          <w:rtl/>
        </w:rPr>
        <w:t xml:space="preserve"> המבצע ביקורות וסקרי סיכונים; </w:t>
      </w:r>
      <w:r w:rsidRPr="003B5D33">
        <w:rPr>
          <w:rFonts w:eastAsia="Calibri"/>
          <w:rtl/>
        </w:rPr>
        <w:t>בוצעו תרגילים בתרחישי סייבר ברמת המשרד ובדרגי התפעול</w:t>
      </w:r>
      <w:r w:rsidRPr="003B5D33">
        <w:rPr>
          <w:rFonts w:eastAsia="Calibri" w:hint="cs"/>
          <w:rtl/>
        </w:rPr>
        <w:t>;</w:t>
      </w:r>
      <w:r w:rsidRPr="003B5D33">
        <w:rPr>
          <w:rFonts w:eastAsia="Calibri"/>
          <w:rtl/>
        </w:rPr>
        <w:t xml:space="preserve"> בוצעה פעילות בתחום ניהול סיכוני הסייבר בשרשרת האספקה</w:t>
      </w:r>
      <w:r w:rsidRPr="003B5D33">
        <w:rPr>
          <w:rFonts w:eastAsia="Calibri" w:hint="cs"/>
          <w:rtl/>
        </w:rPr>
        <w:t>, והמשרד נמצא בעיצומו של תהליך לחידוש תשתיות מחשוב ומערכות מידע ישנות</w:t>
      </w:r>
      <w:r w:rsidRPr="003B5D33">
        <w:rPr>
          <w:rFonts w:eastAsia="Calibri"/>
          <w:rtl/>
        </w:rPr>
        <w:t>.</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מנכ"ל משרד החוץ השיב כי </w:t>
      </w:r>
      <w:r w:rsidRPr="003B5D33">
        <w:rPr>
          <w:rFonts w:eastAsia="Calibri"/>
          <w:rtl/>
        </w:rPr>
        <w:t>בחן את ממצאי הדוח ברצינות הראויה</w:t>
      </w:r>
      <w:r w:rsidRPr="003B5D33">
        <w:rPr>
          <w:rFonts w:eastAsia="Calibri" w:hint="cs"/>
          <w:rtl/>
        </w:rPr>
        <w:t xml:space="preserve">, כי חלק מהליקויים כבר תוקנו, וכי הוא ביקש שתוצג בפניו תוכנית עבודה לתיקון הליקויים. המנכ"ל הוסיף כי האתגרים שעומדים בפניו - כמו אלו שעמדו בפני קודמיו בתפקיד - יוסיפו להיות אתגרים של משאבים וסדרי עדיפויות: התקציב המצומצם, כוח האדם שאינו מספיק לכל המשימות ומערכות שנדרש לשדרגן. </w:t>
      </w:r>
    </w:p>
    <w:p w:rsidR="003B5D33" w:rsidRPr="003B5D33" w:rsidP="003B5D33">
      <w:pPr>
        <w:spacing w:line="269" w:lineRule="auto"/>
        <w:rPr>
          <w:rFonts w:eastAsia="Calibri"/>
          <w:rtl/>
        </w:rPr>
      </w:pPr>
    </w:p>
    <w:p w:rsidR="003B5D33" w:rsidRPr="003B5D33" w:rsidP="003B5D33">
      <w:pPr>
        <w:spacing w:line="269" w:lineRule="auto"/>
        <w:rPr>
          <w:rFonts w:eastAsia="Calibri"/>
          <w:rtl/>
        </w:rPr>
      </w:pPr>
      <w:r w:rsidRPr="003B5D33">
        <w:rPr>
          <w:rFonts w:eastAsia="Calibri" w:hint="cs"/>
          <w:rtl/>
        </w:rPr>
        <w:t xml:space="preserve">השב"כ השיב כי דוח הביקורת מפרט ממצאים רבים שיש לתקנם. השב"כ הוסיף כי לנוכח פערים קיימים בכוח אדם בתחום הגנת הסייבר במשרד החוץ, קודם אל מול נציבות שירות המדינה תקנון של משרות נוספות בתחום הגנת הסייבר ואושרו שלוש משרות נוספות חדשות. השב"כ ציין כי כדי לאפשר קפיצת מדרגה בתחום ההגנה יש חשיבות גבוהה לאיוש משרות אלה ולהשקעת משאבים ותקציבים ייעודיים לנושא. השב"כ עמד על כך שמשרד החוץ הוא אחד מגופי הדגל שאותם הוא מנחה, וכי הוא רואה חשיבות רבה בהעלאת רמת החוסן שלו בהקדם בשיתוף משרד החוץ ובאמצעות תוכניות עבודה. </w:t>
      </w:r>
    </w:p>
    <w:p w:rsidR="003B5D33" w:rsidP="003B5D33">
      <w:pPr>
        <w:spacing w:line="269" w:lineRule="auto"/>
        <w:contextualSpacing/>
        <w:rPr>
          <w:rFonts w:ascii="David" w:eastAsia="Calibri" w:hAnsi="David"/>
          <w:b/>
          <w:bCs/>
          <w:sz w:val="24"/>
          <w:rtl/>
        </w:rPr>
      </w:pPr>
    </w:p>
    <w:p w:rsidR="00D872CA" w:rsidRPr="003B5D33" w:rsidP="003B5D33">
      <w:pPr>
        <w:spacing w:line="269" w:lineRule="auto"/>
        <w:contextualSpacing/>
        <w:rPr>
          <w:rFonts w:ascii="David" w:eastAsia="Calibri" w:hAnsi="David"/>
          <w:b/>
          <w:bCs/>
          <w:sz w:val="24"/>
        </w:rPr>
      </w:pPr>
    </w:p>
    <w:p w:rsidR="003B5D33" w:rsidRPr="003B5D33" w:rsidP="003B5D33">
      <w:pPr>
        <w:keepNext/>
        <w:keepLines/>
        <w:spacing w:line="269" w:lineRule="auto"/>
        <w:outlineLvl w:val="2"/>
        <w:rPr>
          <w:rFonts w:eastAsia="Times New Roman"/>
          <w:bCs/>
          <w:sz w:val="36"/>
          <w:szCs w:val="36"/>
          <w:u w:val="single"/>
          <w:rtl/>
        </w:rPr>
      </w:pPr>
      <w:bookmarkStart w:id="126" w:name="_Toc218592828"/>
      <w:r w:rsidRPr="003B5D33">
        <w:rPr>
          <w:rFonts w:eastAsia="Times New Roman" w:hint="cs"/>
          <w:bCs/>
          <w:sz w:val="36"/>
          <w:szCs w:val="36"/>
          <w:u w:val="single"/>
          <w:rtl/>
        </w:rPr>
        <w:t>סיכום</w:t>
      </w:r>
      <w:bookmarkEnd w:id="126"/>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משרד החוץ אמון על גיבוש מדיניות החוץ של מדינת ישראל, ביצועה והסברתה, ומתוקף תפקידו הוא מחזיק במידע רגיש. המערכות הממוחשבות של משרד החוץ חיוניות לפעילותו התקינה ולמימוש יעדיו, ופגיעה בהן או במידע המצוי בהן עלולה לגרום לפגיעה בתפקוד המשרד בכללותו ובשירות שהוא נותן לציבור, ולפגיעה ביחסי החוץ של המדינה ותדמיתה בעולם.</w:t>
      </w:r>
      <w:r w:rsidRPr="003B5D33">
        <w:rPr>
          <w:rFonts w:eastAsia="Calibri"/>
          <w:b/>
          <w:bCs/>
          <w:rtl/>
        </w:rPr>
        <w:t xml:space="preserve"> </w:t>
      </w:r>
      <w:r w:rsidRPr="003B5D33">
        <w:rPr>
          <w:rFonts w:eastAsia="Calibri" w:hint="cs"/>
          <w:b/>
          <w:bCs/>
          <w:rtl/>
        </w:rPr>
        <w:t xml:space="preserve">נוכח תפקידו, </w:t>
      </w:r>
      <w:r w:rsidRPr="003B5D33">
        <w:rPr>
          <w:rFonts w:eastAsia="Calibri"/>
          <w:b/>
          <w:bCs/>
          <w:rtl/>
        </w:rPr>
        <w:t xml:space="preserve">משרד החוץ </w:t>
      </w:r>
      <w:r w:rsidRPr="003B5D33">
        <w:rPr>
          <w:rFonts w:eastAsia="Calibri" w:hint="cs"/>
          <w:b/>
          <w:bCs/>
          <w:rtl/>
        </w:rPr>
        <w:t>הוא</w:t>
      </w:r>
      <w:r w:rsidRPr="003B5D33">
        <w:rPr>
          <w:rFonts w:eastAsia="Calibri"/>
          <w:b/>
          <w:bCs/>
          <w:rtl/>
        </w:rPr>
        <w:t xml:space="preserve"> יעד מרכזי </w:t>
      </w:r>
      <w:r w:rsidRPr="003B5D33">
        <w:rPr>
          <w:rFonts w:eastAsia="Calibri" w:hint="cs"/>
          <w:b/>
          <w:bCs/>
          <w:rtl/>
        </w:rPr>
        <w:t>ל</w:t>
      </w:r>
      <w:r w:rsidRPr="003B5D33">
        <w:rPr>
          <w:rFonts w:eastAsia="Calibri"/>
          <w:b/>
          <w:bCs/>
          <w:rtl/>
        </w:rPr>
        <w:t xml:space="preserve">תקיפות סייבר של מגוון יריבים, החל </w:t>
      </w:r>
      <w:r w:rsidRPr="003B5D33">
        <w:rPr>
          <w:rFonts w:eastAsia="Calibri" w:hint="cs"/>
          <w:b/>
          <w:bCs/>
          <w:rtl/>
        </w:rPr>
        <w:t>מפצחנים</w:t>
      </w:r>
      <w:r w:rsidRPr="003B5D33">
        <w:rPr>
          <w:rFonts w:eastAsia="Calibri"/>
          <w:b/>
          <w:bCs/>
          <w:rtl/>
        </w:rPr>
        <w:t xml:space="preserve"> </w:t>
      </w:r>
      <w:r w:rsidRPr="003B5D33">
        <w:rPr>
          <w:rFonts w:eastAsia="Calibri" w:hint="cs"/>
          <w:b/>
          <w:bCs/>
          <w:rtl/>
        </w:rPr>
        <w:t>וכלה בגורמים מדינתיים</w:t>
      </w:r>
      <w:r w:rsidRPr="003B5D33">
        <w:rPr>
          <w:rFonts w:eastAsia="Calibri"/>
          <w:b/>
          <w:bCs/>
          <w:rtl/>
        </w:rPr>
        <w:t>.</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ממצאי דוח זה מלמדים על פערים בשני התחומים שנבדקו - הניהול והפיתוח של מערכות המידע במשרד החוץ ואבטחת המידע והגנת הסייבר במשרד.</w:t>
      </w:r>
    </w:p>
    <w:p w:rsidR="003B5D33" w:rsidRPr="003B5D33" w:rsidP="003B5D33">
      <w:pPr>
        <w:spacing w:line="269" w:lineRule="auto"/>
        <w:jc w:val="center"/>
        <w:rPr>
          <w:rFonts w:eastAsia="Calibri"/>
          <w:rtl/>
        </w:rPr>
      </w:pPr>
    </w:p>
    <w:p w:rsidR="003B5D33" w:rsidRPr="003B5D33" w:rsidP="003B5D33">
      <w:pPr>
        <w:spacing w:line="269" w:lineRule="auto"/>
        <w:jc w:val="center"/>
        <w:rPr>
          <w:rFonts w:eastAsia="Calibri"/>
          <w:b/>
          <w:bCs/>
          <w:rtl/>
        </w:rPr>
      </w:pPr>
      <w:r w:rsidRPr="003B5D33">
        <w:rPr>
          <w:rFonts w:eastAsia="Calibri" w:hint="cs"/>
          <w:rtl/>
        </w:rPr>
        <w:t>תרשים 11:</w:t>
      </w:r>
      <w:r w:rsidRPr="003B5D33">
        <w:rPr>
          <w:rFonts w:eastAsia="Calibri" w:hint="cs"/>
          <w:b/>
          <w:bCs/>
          <w:rtl/>
        </w:rPr>
        <w:t xml:space="preserve"> פערים מרכזיים בתהליכי הניהול והפיתוח של מערכות המידע</w:t>
      </w:r>
    </w:p>
    <w:p w:rsidR="003B5D33" w:rsidRPr="003B5D33" w:rsidP="003B5D33">
      <w:pPr>
        <w:spacing w:line="269" w:lineRule="auto"/>
        <w:jc w:val="center"/>
        <w:rPr>
          <w:rFonts w:eastAsia="Calibri"/>
          <w:rtl/>
        </w:rPr>
      </w:pPr>
      <w:r w:rsidRPr="003B5D33">
        <w:rPr>
          <w:rFonts w:eastAsia="Calibri"/>
          <w:noProof/>
        </w:rPr>
        <w:drawing>
          <wp:inline distT="0" distB="0" distL="0" distR="0">
            <wp:extent cx="3816350" cy="3856355"/>
            <wp:effectExtent l="0" t="0" r="0" b="0"/>
            <wp:docPr id="13" name="תמונה 13" descr="מוצגים שמונה פערים עיקריים:&#10;נהלים חסרים ולא עדכניים.&#10;פעילות חלקית של ועדת התקשוב המשרדית.&#10;צורך בבחינת תקצוב מערך התקשוב.&#10;היעדר תוכנית עדכנית ותקפה להתאוששות מאסון.&#10;אי־ביצוע כלל הבדיקות הנדרשות בתהליך הפיתוח וביצוע בקרות איכות באופן חלקי.&#10;היעדר ועדות היגוי למרבית הפרויקטים.&#10;היעדר ביצוע של תהליכי תחקור והפקת לקחים.&#10;ניהול לקוי של סיכוני התקשו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pic:cNvPicPr>
                      <a:picLocks noChangeAspect="1" noChangeArrowheads="1"/>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6350" cy="3856355"/>
                    </a:xfrm>
                    <a:prstGeom prst="rect">
                      <a:avLst/>
                    </a:prstGeom>
                    <a:noFill/>
                    <a:ln>
                      <a:noFill/>
                    </a:ln>
                  </pic:spPr>
                </pic:pic>
              </a:graphicData>
            </a:graphic>
          </wp:inline>
        </w:drawing>
      </w:r>
    </w:p>
    <w:p w:rsidR="003B5D33" w:rsidRPr="003B5D33" w:rsidP="003B5D33">
      <w:pPr>
        <w:spacing w:line="269" w:lineRule="auto"/>
        <w:jc w:val="center"/>
        <w:rPr>
          <w:rFonts w:eastAsia="Calibri"/>
          <w:rtl/>
        </w:rPr>
      </w:pPr>
    </w:p>
    <w:p w:rsidR="00D872CA" w:rsidP="003B5D33">
      <w:pPr>
        <w:keepNext/>
        <w:keepLines/>
        <w:spacing w:line="269" w:lineRule="auto"/>
        <w:jc w:val="center"/>
        <w:rPr>
          <w:rFonts w:eastAsia="Calibri"/>
          <w:rtl/>
        </w:rPr>
      </w:pPr>
    </w:p>
    <w:p w:rsidR="003B5D33" w:rsidRPr="003B5D33" w:rsidP="003B5D33">
      <w:pPr>
        <w:keepNext/>
        <w:keepLines/>
        <w:spacing w:line="269" w:lineRule="auto"/>
        <w:jc w:val="center"/>
        <w:rPr>
          <w:rFonts w:eastAsia="Calibri"/>
          <w:rtl/>
        </w:rPr>
      </w:pPr>
      <w:r w:rsidRPr="003B5D33">
        <w:rPr>
          <w:rFonts w:eastAsia="Calibri" w:hint="cs"/>
          <w:rtl/>
        </w:rPr>
        <w:t>תרשים 12:</w:t>
      </w:r>
      <w:r w:rsidRPr="003B5D33">
        <w:rPr>
          <w:rFonts w:eastAsia="Calibri" w:hint="cs"/>
          <w:b/>
          <w:bCs/>
          <w:rtl/>
        </w:rPr>
        <w:t xml:space="preserve"> פערים מרכזיים באבטחת המידע והגנת הסייבר במשרד</w:t>
      </w:r>
      <w:r w:rsidRPr="003B5D33">
        <w:rPr>
          <w:rFonts w:eastAsia="Calibri" w:hint="cs"/>
          <w:rtl/>
        </w:rPr>
        <w:t xml:space="preserve"> </w:t>
      </w:r>
    </w:p>
    <w:p w:rsidR="003B5D33" w:rsidRPr="003B5D33" w:rsidP="003B5D33">
      <w:pPr>
        <w:spacing w:line="269" w:lineRule="auto"/>
        <w:jc w:val="center"/>
        <w:rPr>
          <w:rFonts w:eastAsia="Calibri"/>
          <w:b/>
          <w:bCs/>
          <w:rtl/>
        </w:rPr>
      </w:pPr>
      <w:bookmarkStart w:id="127" w:name="_GoBack"/>
      <w:r w:rsidRPr="003B5D33">
        <w:rPr>
          <w:rFonts w:eastAsia="Calibri"/>
          <w:noProof/>
        </w:rPr>
        <w:drawing>
          <wp:inline distT="0" distB="0" distL="0" distR="0">
            <wp:extent cx="3713480" cy="3697605"/>
            <wp:effectExtent l="0" t="0" r="1270" b="0"/>
            <wp:docPr id="16" name="תמונה 16" descr="מוצגים שישה פערים:&#10;אי־עדכון מדיניות הגנת הסייבר של המשרד משנת 2018.&#10;ליקויים במערך ההזדהות וניהול הרשאות הגישה לרשתות המשרד.&#10;פערים בעדכניות התשתיות ומערכות המידע.&#10;אי־עמידה בדרישות חוק הגנת הפרטיות ותקנותיו.&#10;מתן גישה רחבה למשתמשים רבים לתיקיות ולמסמכים רגישים ברשתות מסוימות.&#10;פערים ברמת ההגנה הנדרשת ברשתות מסוימ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3"/>
                    <pic:cNvPicPr>
                      <a:picLocks noChangeAspect="1" noChangeArrowheads="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3480" cy="3697605"/>
                    </a:xfrm>
                    <a:prstGeom prst="rect">
                      <a:avLst/>
                    </a:prstGeom>
                    <a:noFill/>
                    <a:ln>
                      <a:noFill/>
                    </a:ln>
                  </pic:spPr>
                </pic:pic>
              </a:graphicData>
            </a:graphic>
          </wp:inline>
        </w:drawing>
      </w:r>
      <w:bookmarkEnd w:id="127"/>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 xml:space="preserve">תמונת המצב העולה מביקורת זו מלמדת על פער טכנולוגי מתמשך במערכות המחשוב של משרד החוץ של שנים רבות ועל תרבות ארגונית שאינה הולמת את איום הייחוס שהוגדר למשרד החוץ.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ממצאי ביקורת זו מדגישים את הצורך בחיזוק מנגנוני הפיקוח והבקרה של הנהלת משרד החוץ ו</w:t>
      </w:r>
      <w:r w:rsidRPr="003B5D33">
        <w:rPr>
          <w:rFonts w:eastAsia="Calibri"/>
          <w:b/>
          <w:bCs/>
          <w:rtl/>
        </w:rPr>
        <w:t>ועדת ההיגוי להגנת הסייבר</w:t>
      </w:r>
      <w:r w:rsidRPr="003B5D33">
        <w:rPr>
          <w:rFonts w:eastAsia="Calibri" w:hint="cs"/>
          <w:b/>
          <w:bCs/>
          <w:rtl/>
        </w:rPr>
        <w:t xml:space="preserve"> בראשות מנכ"ל משרד החוץ</w:t>
      </w:r>
      <w:r w:rsidRPr="003B5D33">
        <w:rPr>
          <w:rFonts w:eastAsia="Calibri"/>
          <w:b/>
          <w:bCs/>
          <w:rtl/>
        </w:rPr>
        <w:t xml:space="preserve"> </w:t>
      </w:r>
      <w:r w:rsidRPr="003B5D33">
        <w:rPr>
          <w:rFonts w:eastAsia="Calibri" w:hint="cs"/>
          <w:b/>
          <w:bCs/>
          <w:rtl/>
        </w:rPr>
        <w:t>בכל הנוגע למערכות המידע ואבטחת המידע במשרד.</w:t>
      </w:r>
      <w:r w:rsidRPr="003B5D33">
        <w:rPr>
          <w:rFonts w:eastAsia="Calibri"/>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על מנכ"ל משרד החוץ להידרש לממצאי דוח זה ולוודא כי הליקויים והפערים שהועלו בו יטופלו. בכלל זה, יש להכין תוכנית עבודה סדורה ומפורטת, לרבות לוחות זמנים, כדי לתעדף את הטיפול בכלל הפערים שהועלו ולצמצם את הסיכונים הקיימים. כל זאת, במטרה להבטיח פעילות תקינה של מערך התקשוב במשרד החוץ ו</w:t>
      </w:r>
      <w:r w:rsidRPr="003B5D33">
        <w:rPr>
          <w:rFonts w:eastAsia="Calibri"/>
          <w:b/>
          <w:bCs/>
          <w:rtl/>
        </w:rPr>
        <w:t>לשפר את רמת ההגנה על המשרד ונכסיו.</w:t>
      </w:r>
      <w:r w:rsidRPr="003B5D33">
        <w:rPr>
          <w:rFonts w:eastAsia="Calibri" w:hint="cs"/>
          <w:b/>
          <w:bCs/>
          <w:rtl/>
        </w:rPr>
        <w:t xml:space="preserve"> </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זאת ועוד, על השב"כ ויה"ב להידרש אף הם לממצאי דוח זה ולעקוב אחר הטיפול בפערים שהועלו בו, כדי לשפר את רמת ההגנה על המידע במשרד החוץ ולהבטיח שרמת ההגנה תהיה בהלימה לאיום הייחוס של המשרד.</w:t>
      </w:r>
    </w:p>
    <w:p w:rsidR="003B5D33" w:rsidRPr="003B5D33" w:rsidP="003B5D33">
      <w:pPr>
        <w:spacing w:line="269" w:lineRule="auto"/>
        <w:rPr>
          <w:rFonts w:eastAsia="Calibri"/>
          <w:b/>
          <w:bCs/>
          <w:rtl/>
        </w:rPr>
      </w:pPr>
    </w:p>
    <w:p w:rsidR="003B5D33" w:rsidRPr="003B5D33" w:rsidP="003B5D33">
      <w:pPr>
        <w:spacing w:line="269" w:lineRule="auto"/>
        <w:rPr>
          <w:rFonts w:eastAsia="Calibri"/>
          <w:b/>
          <w:bCs/>
          <w:rtl/>
        </w:rPr>
      </w:pPr>
      <w:r w:rsidRPr="003B5D33">
        <w:rPr>
          <w:rFonts w:eastAsia="Calibri" w:hint="cs"/>
          <w:b/>
          <w:bCs/>
          <w:rtl/>
        </w:rPr>
        <w:t>ואולם בסופו של יום התובנות והלקחים העולים מדוח זה אינם מסתכמים בפעולת משרד החוץ והפיקוח על פעולתו. משרד מבקר המדינה ביצע בשנים האחרונות שורה של ביקורות בגופים ממשלתיים ובגופים ציבוריים רגישים בתחום התקשוב ובפרט בנושא אבטחת המידע והסייבר. ממצאים שעלו בדוחות אלו ובאים לידי ביטוי ברור גם בדוח זה, מחייבים בחינה מעמיקה בקרב הרגולטורים המדינתיים - מערך הדיגיטל הלאומי, מערך הסייבר הלאומי, השב"כ והרשות להגנת הפרטיות - בנוגע לכמה סוגיות יסודיות וזאת בקשר לכלל משרדי הממשלה:</w:t>
      </w:r>
    </w:p>
    <w:p w:rsidR="003B5D33" w:rsidRPr="003B5D33" w:rsidP="003B5D33">
      <w:pPr>
        <w:tabs>
          <w:tab w:val="num" w:pos="1440"/>
        </w:tabs>
        <w:spacing w:line="269" w:lineRule="auto"/>
        <w:ind w:left="312"/>
        <w:contextualSpacing/>
        <w:rPr>
          <w:rFonts w:eastAsia="Calibri"/>
          <w:b/>
          <w:bCs/>
        </w:rPr>
      </w:pPr>
    </w:p>
    <w:p w:rsidR="003B5D33" w:rsidRPr="003B5D33" w:rsidP="003B5D33">
      <w:pPr>
        <w:numPr>
          <w:ilvl w:val="0"/>
          <w:numId w:val="43"/>
        </w:numPr>
        <w:tabs>
          <w:tab w:val="num" w:pos="1440"/>
        </w:tabs>
        <w:spacing w:line="269" w:lineRule="auto"/>
        <w:contextualSpacing/>
        <w:rPr>
          <w:rFonts w:eastAsia="Calibri"/>
          <w:b/>
          <w:bCs/>
        </w:rPr>
      </w:pPr>
      <w:r w:rsidRPr="003B5D33">
        <w:rPr>
          <w:rFonts w:eastAsia="Calibri" w:hint="cs"/>
          <w:b/>
          <w:bCs/>
          <w:rtl/>
        </w:rPr>
        <w:t xml:space="preserve">בחינת הצורך בהטמעה ממשית ועמוקה של הסיכונים הטמונים בתחום הסייבר ופוטנציאל הנזק העלול להיגרם בגינם לארגון ולמדינה בכלל וכי איום הסייבר הוא איום ביטחוני ואסטרטגי לאומי. הטמעה זו נדרשת להיעשות בראש ובראשונה בקרב </w:t>
      </w:r>
      <w:r w:rsidRPr="003B5D33">
        <w:rPr>
          <w:rFonts w:eastAsia="Calibri"/>
          <w:b/>
          <w:bCs/>
          <w:rtl/>
        </w:rPr>
        <w:t>כלל המנהלים הכלליים של משרדי הממשלה</w:t>
      </w:r>
      <w:r w:rsidRPr="003B5D33">
        <w:rPr>
          <w:rFonts w:eastAsia="Calibri" w:hint="cs"/>
          <w:b/>
          <w:bCs/>
          <w:rtl/>
        </w:rPr>
        <w:t xml:space="preserve"> ומכך אף נגזרת הדרישה בנוגע למידת מעורבותם בנושא</w:t>
      </w:r>
      <w:r w:rsidRPr="003B5D33">
        <w:rPr>
          <w:rFonts w:eastAsia="Calibri"/>
          <w:b/>
          <w:bCs/>
          <w:rtl/>
        </w:rPr>
        <w:t xml:space="preserve">. </w:t>
      </w:r>
    </w:p>
    <w:p w:rsidR="003B5D33" w:rsidRPr="003B5D33" w:rsidP="003B5D33">
      <w:pPr>
        <w:tabs>
          <w:tab w:val="num" w:pos="1440"/>
        </w:tabs>
        <w:spacing w:line="269" w:lineRule="auto"/>
        <w:ind w:left="312"/>
        <w:contextualSpacing/>
        <w:rPr>
          <w:rFonts w:eastAsia="Calibri"/>
          <w:b/>
          <w:bCs/>
        </w:rPr>
      </w:pPr>
    </w:p>
    <w:p w:rsidR="003B5D33" w:rsidRPr="003B5D33" w:rsidP="003B5D33">
      <w:pPr>
        <w:numPr>
          <w:ilvl w:val="0"/>
          <w:numId w:val="43"/>
        </w:numPr>
        <w:spacing w:line="269" w:lineRule="auto"/>
        <w:contextualSpacing/>
        <w:rPr>
          <w:rFonts w:eastAsia="Calibri"/>
          <w:b/>
          <w:bCs/>
        </w:rPr>
      </w:pPr>
      <w:r w:rsidRPr="003B5D33">
        <w:rPr>
          <w:rFonts w:eastAsia="Calibri" w:hint="cs"/>
          <w:b/>
          <w:bCs/>
          <w:rtl/>
        </w:rPr>
        <w:t>כנגזרת של תפיסת האיום, נדרשת בחינה בנוגע לחיזוק מנגנוני הפיקוח והרגולציה של הגורמים המנחים, ובפרט כאשר ישנם כמה גורמים המנחים את אותו הגוף. זאת, על מנת להבטיח את אפקטיביות פעילות הגורמים המנחים למול גופים ממשלתיים ומתן מענה לכלל הסיכונים בצורה הוליסטית.</w:t>
      </w:r>
    </w:p>
    <w:p w:rsidR="003B5D33" w:rsidRPr="003B5D33" w:rsidP="003B5D33">
      <w:pPr>
        <w:spacing w:line="269" w:lineRule="auto"/>
        <w:contextualSpacing/>
        <w:rPr>
          <w:rFonts w:eastAsia="Calibri"/>
          <w:b/>
          <w:bCs/>
        </w:rPr>
      </w:pPr>
    </w:p>
    <w:p w:rsidR="003B5D33" w:rsidRPr="003B5D33" w:rsidP="003B5D33">
      <w:pPr>
        <w:numPr>
          <w:ilvl w:val="0"/>
          <w:numId w:val="43"/>
        </w:numPr>
        <w:tabs>
          <w:tab w:val="num" w:pos="1440"/>
        </w:tabs>
        <w:spacing w:line="269" w:lineRule="auto"/>
        <w:contextualSpacing/>
        <w:rPr>
          <w:rFonts w:eastAsia="Calibri"/>
          <w:b/>
          <w:bCs/>
        </w:rPr>
      </w:pPr>
      <w:r w:rsidRPr="003B5D33">
        <w:rPr>
          <w:rFonts w:eastAsia="Calibri"/>
          <w:b/>
          <w:bCs/>
          <w:rtl/>
        </w:rPr>
        <w:t>בחינה מעמיקה של הפערים הקיימים במגזר הממשלתי בנוגע לתקצוב תחום התקשוב</w:t>
      </w:r>
      <w:r w:rsidRPr="003B5D33">
        <w:rPr>
          <w:rFonts w:eastAsia="Calibri" w:hint="cs"/>
          <w:b/>
          <w:bCs/>
          <w:rtl/>
        </w:rPr>
        <w:t xml:space="preserve"> ובכלל זה תחום אבטחת המידע והגנת הסייבר</w:t>
      </w:r>
      <w:r w:rsidRPr="003B5D33">
        <w:rPr>
          <w:rFonts w:eastAsia="Calibri"/>
          <w:b/>
          <w:bCs/>
          <w:rtl/>
        </w:rPr>
        <w:t>, במטרה להבטיח כי במציאות של מחסור יסודי במשאבים</w:t>
      </w:r>
      <w:r w:rsidRPr="003B5D33">
        <w:rPr>
          <w:rFonts w:eastAsia="Calibri" w:hint="cs"/>
          <w:b/>
          <w:bCs/>
          <w:rtl/>
        </w:rPr>
        <w:t xml:space="preserve">, היקף התקציב ייתן מענה הן </w:t>
      </w:r>
      <w:r w:rsidRPr="003B5D33">
        <w:rPr>
          <w:rFonts w:eastAsia="Calibri"/>
          <w:b/>
          <w:bCs/>
          <w:rtl/>
        </w:rPr>
        <w:t>לדרישות המקצועיות</w:t>
      </w:r>
      <w:r w:rsidRPr="003B5D33">
        <w:rPr>
          <w:rFonts w:eastAsia="Calibri" w:hint="cs"/>
          <w:b/>
          <w:bCs/>
          <w:rtl/>
        </w:rPr>
        <w:t xml:space="preserve"> ולהתפתחויות הטכנולוגיות</w:t>
      </w:r>
      <w:r w:rsidRPr="003B5D33">
        <w:rPr>
          <w:rFonts w:eastAsia="Calibri"/>
          <w:b/>
          <w:bCs/>
          <w:rtl/>
        </w:rPr>
        <w:t xml:space="preserve"> ו</w:t>
      </w:r>
      <w:r w:rsidRPr="003B5D33">
        <w:rPr>
          <w:rFonts w:eastAsia="Calibri" w:hint="cs"/>
          <w:b/>
          <w:bCs/>
          <w:rtl/>
        </w:rPr>
        <w:t xml:space="preserve">הן </w:t>
      </w:r>
      <w:r w:rsidRPr="003B5D33">
        <w:rPr>
          <w:rFonts w:eastAsia="Calibri"/>
          <w:b/>
          <w:bCs/>
          <w:rtl/>
        </w:rPr>
        <w:t xml:space="preserve">לאיום </w:t>
      </w:r>
      <w:r w:rsidRPr="003B5D33">
        <w:rPr>
          <w:rFonts w:eastAsia="Calibri" w:hint="cs"/>
          <w:b/>
          <w:bCs/>
          <w:rtl/>
        </w:rPr>
        <w:t xml:space="preserve">הקיים. זאת במטרה להבטיח כי </w:t>
      </w:r>
      <w:r w:rsidRPr="003B5D33">
        <w:rPr>
          <w:rFonts w:eastAsia="Calibri"/>
          <w:b/>
          <w:bCs/>
          <w:rtl/>
        </w:rPr>
        <w:t>המחסור בתקציב לא יוצר סיכוני תקשוב או סיכוני אבטחת מידע, עכשוויים או עתידיים</w:t>
      </w:r>
      <w:r w:rsidRPr="003B5D33">
        <w:rPr>
          <w:rFonts w:eastAsia="Calibri" w:hint="cs"/>
          <w:b/>
          <w:bCs/>
          <w:rtl/>
        </w:rPr>
        <w:t xml:space="preserve"> כמו גם נזקים הנובעים מאי-הטמעת טכנולוגיות חדשות</w:t>
      </w:r>
      <w:r w:rsidRPr="003B5D33">
        <w:rPr>
          <w:rFonts w:eastAsia="Calibri"/>
          <w:b/>
          <w:bCs/>
          <w:rtl/>
        </w:rPr>
        <w:t>.</w:t>
      </w:r>
    </w:p>
    <w:p w:rsidR="003B5D33" w:rsidRPr="003B5D33" w:rsidP="003B5D33">
      <w:pPr>
        <w:tabs>
          <w:tab w:val="num" w:pos="1440"/>
        </w:tabs>
        <w:spacing w:line="269" w:lineRule="auto"/>
        <w:contextualSpacing/>
        <w:rPr>
          <w:rFonts w:eastAsia="Calibri"/>
          <w:b/>
          <w:bCs/>
        </w:rPr>
      </w:pPr>
    </w:p>
    <w:p w:rsidR="003B5D33" w:rsidRPr="003B5D33" w:rsidP="003B5D33">
      <w:pPr>
        <w:numPr>
          <w:ilvl w:val="0"/>
          <w:numId w:val="43"/>
        </w:numPr>
        <w:tabs>
          <w:tab w:val="num" w:pos="1440"/>
        </w:tabs>
        <w:spacing w:line="269" w:lineRule="auto"/>
        <w:contextualSpacing/>
        <w:rPr>
          <w:rFonts w:eastAsia="Calibri"/>
          <w:b/>
          <w:bCs/>
          <w:rtl/>
        </w:rPr>
      </w:pPr>
      <w:r w:rsidRPr="003B5D33">
        <w:rPr>
          <w:rFonts w:eastAsia="Calibri" w:hint="cs"/>
          <w:b/>
          <w:bCs/>
          <w:rtl/>
        </w:rPr>
        <w:t>מתן הדעת על כך שחלק מהפערים, דוגמת אלו הנוגעים להגנה על הפרטיות, נובעים מתרבות ארגונית לקויה וכי ניתן לתת להם מענה באמצעות טיפול וקשב מצד הנהלות הגופים ובאמצעות כלים, לרבות כלים טכנולוגיים, שאינם דורשים בהכרח הקצאת משאבים, כגון הדרכות ונקיטת פעולות להעלאת מודעות העובדים.</w:t>
      </w:r>
    </w:p>
    <w:p w:rsidR="003B5D33" w:rsidRPr="003B5D33" w:rsidP="003B5D33">
      <w:pPr>
        <w:spacing w:line="269" w:lineRule="auto"/>
        <w:rPr>
          <w:rFonts w:eastAsia="Calibri"/>
          <w:b/>
          <w:bCs/>
          <w:rtl/>
        </w:rPr>
      </w:pPr>
    </w:p>
    <w:p w:rsidR="00F954E4" w:rsidP="00FD1373">
      <w:pPr>
        <w:spacing w:line="269" w:lineRule="auto"/>
        <w:rPr>
          <w:rFonts w:ascii="Calibri" w:hAnsi="Calibri" w:cs="Calibri"/>
          <w:b/>
          <w:bCs/>
          <w:color w:val="002060"/>
          <w:sz w:val="80"/>
          <w:szCs w:val="80"/>
        </w:rPr>
      </w:pPr>
      <w:r w:rsidRPr="003B5D33">
        <w:rPr>
          <w:rFonts w:eastAsia="Calibri" w:hint="cs"/>
          <w:b/>
          <w:bCs/>
          <w:rtl/>
        </w:rPr>
        <w:t xml:space="preserve">ביצוע בחינה מעמיקה כאמור </w:t>
      </w:r>
      <w:r w:rsidR="002E058E">
        <w:rPr>
          <w:rFonts w:eastAsia="Calibri" w:hint="cs"/>
          <w:b/>
          <w:bCs/>
          <w:rtl/>
        </w:rPr>
        <w:t>י</w:t>
      </w:r>
      <w:r w:rsidRPr="003B5D33">
        <w:rPr>
          <w:rFonts w:eastAsia="Calibri" w:hint="cs"/>
          <w:b/>
          <w:bCs/>
          <w:rtl/>
        </w:rPr>
        <w:t>סייע במיקוד המאמצים וטיוב עבודת משרדי הממשלה בכל הנוגע לתחום התקשוב, אבטחת מידע והגנת הסייבר ובקידום רמת ההגנה באופן שיהלום את רמת האיום והשלכותיו, כמו גם לשיפור יעילות פעילות עבודת הממשלה ושיפור השירות לציבור.</w:t>
      </w:r>
    </w:p>
    <w:sectPr w:rsidSect="006C2C6D">
      <w:headerReference w:type="first" r:id="rId54"/>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lmoni ML v5 AAA">
    <w:panose1 w:val="00000500000000000000"/>
    <w:charset w:val="00"/>
    <w:family w:val="modern"/>
    <w:notTrueType/>
    <w:pitch w:val="variable"/>
    <w:sig w:usb0="00000A07" w:usb1="40000000" w:usb2="00000000" w:usb3="00000000" w:csb0="000000B7" w:csb1="00000000"/>
  </w:font>
  <w:font w:name="Almoni Tzar ML v5 AAA">
    <w:panose1 w:val="00000506000000000000"/>
    <w:charset w:val="00"/>
    <w:family w:val="modern"/>
    <w:notTrueType/>
    <w:pitch w:val="variable"/>
    <w:sig w:usb0="00000A07" w:usb1="40000000" w:usb2="00000000" w:usb3="00000000" w:csb0="000000B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0C6">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9600C6" w:rsidRPr="00A222E2" w:rsidP="00A222E2">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3"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9600C6" w:rsidRPr="00A222E2" w:rsidP="00A222E2">
                    <w:pPr>
                      <w:jc w:val="center"/>
                      <w:rPr>
                        <w:rFonts w:ascii="Calibri" w:hAnsi="Calibri" w:cs="Calibri"/>
                        <w:color w:val="FFFFFF" w:themeColor="background1"/>
                        <w:spacing w:val="8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600C6" w:rsidP="00C23CC9">
      <w:pPr>
        <w:spacing w:line="240" w:lineRule="auto"/>
      </w:pPr>
      <w:r>
        <w:separator/>
      </w:r>
    </w:p>
  </w:footnote>
  <w:footnote w:type="continuationSeparator" w:id="1">
    <w:p w:rsidR="009600C6" w:rsidP="00C23CC9">
      <w:pPr>
        <w:spacing w:line="240" w:lineRule="auto"/>
      </w:pPr>
      <w:r>
        <w:continuationSeparator/>
      </w:r>
    </w:p>
  </w:footnote>
  <w:footnote w:id="2">
    <w:p w:rsidR="009600C6" w:rsidP="003B5D33">
      <w:pPr>
        <w:pStyle w:val="FootnoteText"/>
        <w:rPr>
          <w:rtl/>
        </w:rPr>
      </w:pPr>
      <w:r>
        <w:rPr>
          <w:rStyle w:val="FootnoteReference1"/>
        </w:rPr>
        <w:footnoteRef/>
      </w:r>
      <w:r>
        <w:rPr>
          <w:rtl/>
        </w:rPr>
        <w:t xml:space="preserve"> </w:t>
      </w:r>
      <w:r>
        <w:rPr>
          <w:rtl/>
        </w:rPr>
        <w:tab/>
      </w:r>
      <w:r>
        <w:rPr>
          <w:rFonts w:hint="cs"/>
          <w:rtl/>
        </w:rPr>
        <w:t xml:space="preserve">נכון למועד הביקורת היו 109 נציגויות </w:t>
      </w:r>
      <w:r w:rsidRPr="00374147">
        <w:rPr>
          <w:rtl/>
        </w:rPr>
        <w:t>דיפלומטיות וקונסולריות בחו</w:t>
      </w:r>
      <w:r>
        <w:rPr>
          <w:rFonts w:hint="cs"/>
          <w:rtl/>
        </w:rPr>
        <w:t xml:space="preserve">"ל, אך ל-7 מהן אין מבנה נציגות משלהן, למשל במקרה של שגריר לא תושב. </w:t>
      </w:r>
    </w:p>
  </w:footnote>
  <w:footnote w:id="3">
    <w:p w:rsidR="009600C6" w:rsidP="003B5D33">
      <w:pPr>
        <w:pStyle w:val="FootnoteText"/>
        <w:rPr>
          <w:rtl/>
        </w:rPr>
      </w:pPr>
      <w:r>
        <w:rPr>
          <w:rStyle w:val="FootnoteReference1"/>
        </w:rPr>
        <w:footnoteRef/>
      </w:r>
      <w:r>
        <w:rPr>
          <w:rtl/>
        </w:rPr>
        <w:t xml:space="preserve"> </w:t>
      </w:r>
      <w:r>
        <w:rPr>
          <w:rtl/>
        </w:rPr>
        <w:tab/>
      </w:r>
      <w:r>
        <w:rPr>
          <w:rFonts w:hint="cs"/>
          <w:rtl/>
        </w:rPr>
        <w:t xml:space="preserve">אית"ן - </w:t>
      </w:r>
      <w:r w:rsidRPr="00754870">
        <w:rPr>
          <w:rtl/>
        </w:rPr>
        <w:t>אזרח</w:t>
      </w:r>
      <w:r>
        <w:rPr>
          <w:rFonts w:hint="cs"/>
          <w:rtl/>
        </w:rPr>
        <w:t xml:space="preserve"> </w:t>
      </w:r>
      <w:r w:rsidRPr="00754870">
        <w:rPr>
          <w:rtl/>
        </w:rPr>
        <w:t>ישראל</w:t>
      </w:r>
      <w:r>
        <w:rPr>
          <w:rFonts w:hint="cs"/>
          <w:rtl/>
        </w:rPr>
        <w:t>י</w:t>
      </w:r>
      <w:r w:rsidRPr="00754870">
        <w:rPr>
          <w:rtl/>
        </w:rPr>
        <w:t xml:space="preserve"> תומ</w:t>
      </w:r>
      <w:r>
        <w:rPr>
          <w:rFonts w:hint="cs"/>
          <w:rtl/>
        </w:rPr>
        <w:t>ך</w:t>
      </w:r>
      <w:r w:rsidRPr="00754870">
        <w:rPr>
          <w:rtl/>
        </w:rPr>
        <w:t xml:space="preserve"> נציגות</w:t>
      </w:r>
      <w:r>
        <w:rPr>
          <w:rFonts w:hint="cs"/>
          <w:rtl/>
        </w:rPr>
        <w:t>.</w:t>
      </w:r>
      <w:r w:rsidRPr="00EB3DD3">
        <w:rPr>
          <w:rtl/>
        </w:rPr>
        <w:t xml:space="preserve"> עובדים אלה הם אזרחי ישראל המתגוררים במדינת השירות במעמד של תושב ארעי, בני זוג של שליחים או אזרחים ישראלים הגרים בישראל שנשלחים לאיוש משרות בנציגויות</w:t>
      </w:r>
      <w:r>
        <w:rPr>
          <w:rFonts w:hint="cs"/>
          <w:rtl/>
        </w:rPr>
        <w:t>.</w:t>
      </w:r>
    </w:p>
  </w:footnote>
  <w:footnote w:id="4">
    <w:p w:rsidR="009600C6" w:rsidRPr="00234C69" w:rsidP="003B5D33">
      <w:pPr>
        <w:pStyle w:val="FootnoteText"/>
        <w:rPr>
          <w:rtl/>
        </w:rPr>
      </w:pPr>
      <w:r>
        <w:rPr>
          <w:rStyle w:val="FootnoteReference1"/>
        </w:rPr>
        <w:footnoteRef/>
      </w:r>
      <w:r>
        <w:rPr>
          <w:rtl/>
        </w:rPr>
        <w:t xml:space="preserve"> </w:t>
      </w:r>
      <w:r>
        <w:rPr>
          <w:rtl/>
        </w:rPr>
        <w:tab/>
      </w:r>
      <w:r w:rsidRPr="00234C69">
        <w:rPr>
          <w:rFonts w:hint="cs"/>
          <w:rtl/>
        </w:rPr>
        <w:t>ה</w:t>
      </w:r>
      <w:r w:rsidRPr="00234C69">
        <w:rPr>
          <w:rtl/>
        </w:rPr>
        <w:t>חלט</w:t>
      </w:r>
      <w:r w:rsidRPr="00234C69">
        <w:rPr>
          <w:rFonts w:hint="cs"/>
          <w:rtl/>
        </w:rPr>
        <w:t xml:space="preserve">ת </w:t>
      </w:r>
      <w:r>
        <w:rPr>
          <w:rFonts w:hint="cs"/>
          <w:rtl/>
        </w:rPr>
        <w:t>ה</w:t>
      </w:r>
      <w:r w:rsidRPr="00234C69">
        <w:rPr>
          <w:rFonts w:hint="cs"/>
          <w:rtl/>
        </w:rPr>
        <w:t>ממשלה</w:t>
      </w:r>
      <w:r w:rsidRPr="00234C69">
        <w:rPr>
          <w:rtl/>
        </w:rPr>
        <w:t xml:space="preserve"> 3058 </w:t>
      </w:r>
      <w:r>
        <w:rPr>
          <w:rFonts w:hint="cs"/>
          <w:rtl/>
        </w:rPr>
        <w:t>(</w:t>
      </w:r>
      <w:r w:rsidRPr="00234C69">
        <w:rPr>
          <w:rtl/>
        </w:rPr>
        <w:t>27.</w:t>
      </w:r>
      <w:r>
        <w:rPr>
          <w:rFonts w:hint="cs"/>
          <w:rtl/>
        </w:rPr>
        <w:t>3</w:t>
      </w:r>
      <w:r w:rsidRPr="00234C69">
        <w:rPr>
          <w:rtl/>
        </w:rPr>
        <w:t>.</w:t>
      </w:r>
      <w:r w:rsidRPr="00234C69">
        <w:rPr>
          <w:rFonts w:hint="cs"/>
          <w:rtl/>
        </w:rPr>
        <w:t>11</w:t>
      </w:r>
      <w:r>
        <w:rPr>
          <w:rFonts w:hint="cs"/>
          <w:rtl/>
        </w:rPr>
        <w:t>)</w:t>
      </w:r>
      <w:r w:rsidRPr="00234C69">
        <w:rPr>
          <w:rFonts w:hint="cs"/>
          <w:rtl/>
        </w:rPr>
        <w:t xml:space="preserve">; </w:t>
      </w:r>
      <w:r w:rsidRPr="00234C69">
        <w:rPr>
          <w:rtl/>
        </w:rPr>
        <w:t xml:space="preserve">החלטת הממשלה 2097 </w:t>
      </w:r>
      <w:r>
        <w:rPr>
          <w:rFonts w:hint="cs"/>
          <w:rtl/>
        </w:rPr>
        <w:t>(</w:t>
      </w:r>
      <w:r w:rsidRPr="00234C69">
        <w:rPr>
          <w:rFonts w:hint="cs"/>
          <w:rtl/>
        </w:rPr>
        <w:t>10.10.14</w:t>
      </w:r>
      <w:r>
        <w:rPr>
          <w:rFonts w:hint="cs"/>
          <w:rtl/>
        </w:rPr>
        <w:t>)</w:t>
      </w:r>
      <w:r w:rsidRPr="00234C69">
        <w:rPr>
          <w:rFonts w:hint="cs"/>
          <w:rtl/>
        </w:rPr>
        <w:t>; ה</w:t>
      </w:r>
      <w:r w:rsidRPr="00234C69">
        <w:rPr>
          <w:rtl/>
        </w:rPr>
        <w:t>חלט</w:t>
      </w:r>
      <w:r w:rsidRPr="00234C69">
        <w:rPr>
          <w:rFonts w:hint="cs"/>
          <w:rtl/>
        </w:rPr>
        <w:t xml:space="preserve">ת </w:t>
      </w:r>
      <w:r>
        <w:rPr>
          <w:rFonts w:hint="cs"/>
          <w:rtl/>
        </w:rPr>
        <w:t>ה</w:t>
      </w:r>
      <w:r w:rsidRPr="00234C69">
        <w:rPr>
          <w:rFonts w:hint="cs"/>
          <w:rtl/>
        </w:rPr>
        <w:t>ממשלה</w:t>
      </w:r>
      <w:r w:rsidRPr="00234C69">
        <w:rPr>
          <w:rtl/>
        </w:rPr>
        <w:t xml:space="preserve"> 260 </w:t>
      </w:r>
      <w:r>
        <w:rPr>
          <w:rFonts w:hint="cs"/>
          <w:rtl/>
        </w:rPr>
        <w:t>(</w:t>
      </w:r>
      <w:r w:rsidRPr="00234C69">
        <w:rPr>
          <w:rtl/>
        </w:rPr>
        <w:t>26.</w:t>
      </w:r>
      <w:r>
        <w:rPr>
          <w:rFonts w:hint="cs"/>
          <w:rtl/>
        </w:rPr>
        <w:t>7</w:t>
      </w:r>
      <w:r w:rsidRPr="00234C69">
        <w:rPr>
          <w:rtl/>
        </w:rPr>
        <w:t>.</w:t>
      </w:r>
      <w:r w:rsidRPr="00234C69">
        <w:rPr>
          <w:rFonts w:hint="cs"/>
          <w:rtl/>
        </w:rPr>
        <w:t>20</w:t>
      </w:r>
      <w:r>
        <w:rPr>
          <w:rFonts w:hint="cs"/>
          <w:rtl/>
        </w:rPr>
        <w:t>)</w:t>
      </w:r>
      <w:r w:rsidRPr="00234C69">
        <w:rPr>
          <w:rFonts w:hint="cs"/>
          <w:rtl/>
        </w:rPr>
        <w:t>.</w:t>
      </w:r>
    </w:p>
  </w:footnote>
  <w:footnote w:id="5">
    <w:p w:rsidR="009600C6" w:rsidRPr="00234C69" w:rsidP="003B5D33">
      <w:pPr>
        <w:pStyle w:val="FootnoteText"/>
      </w:pPr>
      <w:r w:rsidRPr="00234C69">
        <w:rPr>
          <w:rStyle w:val="FootnoteReference1"/>
        </w:rPr>
        <w:footnoteRef/>
      </w:r>
      <w:r w:rsidRPr="00234C69">
        <w:rPr>
          <w:rtl/>
        </w:rPr>
        <w:t xml:space="preserve"> </w:t>
      </w:r>
      <w:r w:rsidRPr="00234C69">
        <w:rPr>
          <w:rtl/>
        </w:rPr>
        <w:tab/>
      </w:r>
      <w:r w:rsidRPr="00234C69">
        <w:rPr>
          <w:rFonts w:hint="cs"/>
          <w:rtl/>
        </w:rPr>
        <w:t xml:space="preserve">מכוח החלטת </w:t>
      </w:r>
      <w:r>
        <w:rPr>
          <w:rFonts w:hint="cs"/>
          <w:rtl/>
        </w:rPr>
        <w:t>ה</w:t>
      </w:r>
      <w:r w:rsidRPr="00234C69">
        <w:rPr>
          <w:rFonts w:hint="cs"/>
          <w:rtl/>
        </w:rPr>
        <w:t>ממשלה</w:t>
      </w:r>
      <w:r>
        <w:rPr>
          <w:rFonts w:hint="cs"/>
          <w:rtl/>
        </w:rPr>
        <w:t xml:space="preserve"> </w:t>
      </w:r>
      <w:r w:rsidRPr="00234C69">
        <w:rPr>
          <w:rFonts w:hint="cs"/>
          <w:rtl/>
        </w:rPr>
        <w:t xml:space="preserve">2443 </w:t>
      </w:r>
      <w:r>
        <w:rPr>
          <w:rFonts w:hint="cs"/>
          <w:rtl/>
        </w:rPr>
        <w:t>(</w:t>
      </w:r>
      <w:r w:rsidRPr="00234C69">
        <w:rPr>
          <w:rFonts w:hint="cs"/>
          <w:rtl/>
        </w:rPr>
        <w:t>15.2.15</w:t>
      </w:r>
      <w:r>
        <w:rPr>
          <w:rFonts w:hint="cs"/>
          <w:rtl/>
        </w:rPr>
        <w:t>).</w:t>
      </w:r>
    </w:p>
  </w:footnote>
  <w:footnote w:id="6">
    <w:p w:rsidR="009600C6" w:rsidP="003B5D33">
      <w:pPr>
        <w:pStyle w:val="FootnoteText"/>
      </w:pPr>
      <w:r>
        <w:rPr>
          <w:rStyle w:val="FootnoteReference1"/>
        </w:rPr>
        <w:footnoteRef/>
      </w:r>
      <w:r>
        <w:rPr>
          <w:rtl/>
        </w:rPr>
        <w:t xml:space="preserve"> </w:t>
      </w:r>
      <w:r>
        <w:rPr>
          <w:rtl/>
        </w:rPr>
        <w:tab/>
        <w:t>מס"ל פרסם מדריך יישומי להגנת</w:t>
      </w:r>
      <w:r w:rsidRPr="00291B11">
        <w:rPr>
          <w:rtl/>
        </w:rPr>
        <w:t xml:space="preserve"> </w:t>
      </w:r>
      <w:r>
        <w:rPr>
          <w:rtl/>
        </w:rPr>
        <w:t>הסייבר בארגון,</w:t>
      </w:r>
      <w:r>
        <w:rPr>
          <w:rFonts w:hint="cs"/>
          <w:rtl/>
        </w:rPr>
        <w:t xml:space="preserve"> "</w:t>
      </w:r>
      <w:r>
        <w:rPr>
          <w:rtl/>
        </w:rPr>
        <w:t>תורת ההגנה</w:t>
      </w:r>
      <w:r>
        <w:rPr>
          <w:rFonts w:hint="cs"/>
          <w:rtl/>
        </w:rPr>
        <w:t xml:space="preserve"> בסייבר</w:t>
      </w:r>
      <w:r>
        <w:rPr>
          <w:rtl/>
        </w:rPr>
        <w:t xml:space="preserve"> 2.0</w:t>
      </w:r>
      <w:r>
        <w:rPr>
          <w:rFonts w:hint="cs"/>
          <w:rtl/>
        </w:rPr>
        <w:t>" (</w:t>
      </w:r>
      <w:r>
        <w:rPr>
          <w:rtl/>
        </w:rPr>
        <w:t>להלן - תורת</w:t>
      </w:r>
      <w:r w:rsidRPr="00291B11">
        <w:rPr>
          <w:rtl/>
        </w:rPr>
        <w:t xml:space="preserve"> </w:t>
      </w:r>
      <w:r>
        <w:rPr>
          <w:rtl/>
        </w:rPr>
        <w:t>ההגנה</w:t>
      </w:r>
      <w:r>
        <w:rPr>
          <w:rFonts w:hint="cs"/>
          <w:rtl/>
        </w:rPr>
        <w:t>).</w:t>
      </w:r>
      <w:r>
        <w:t xml:space="preserve"> </w:t>
      </w:r>
    </w:p>
  </w:footnote>
  <w:footnote w:id="7">
    <w:p w:rsidR="009600C6" w:rsidRPr="00234C69" w:rsidP="003B5D33">
      <w:pPr>
        <w:pStyle w:val="FootnoteText"/>
        <w:rPr>
          <w:rtl/>
        </w:rPr>
      </w:pPr>
      <w:r w:rsidRPr="00234C69">
        <w:rPr>
          <w:rStyle w:val="FootnoteReference1"/>
        </w:rPr>
        <w:footnoteRef/>
      </w:r>
      <w:r w:rsidRPr="00234C69">
        <w:rPr>
          <w:rtl/>
        </w:rPr>
        <w:t xml:space="preserve"> </w:t>
      </w:r>
      <w:r w:rsidRPr="00234C69">
        <w:rPr>
          <w:rtl/>
        </w:rPr>
        <w:tab/>
        <w:t>מכוח החוק להסדרת הביטחון בגופים ציבוריים, התשנ"ח-1998</w:t>
      </w:r>
      <w:r w:rsidRPr="00234C69">
        <w:rPr>
          <w:rFonts w:hint="cs"/>
          <w:rtl/>
        </w:rPr>
        <w:t xml:space="preserve">. </w:t>
      </w:r>
    </w:p>
  </w:footnote>
  <w:footnote w:id="8">
    <w:p w:rsidR="009600C6" w:rsidRPr="00CE2854" w:rsidP="003B5D33">
      <w:pPr>
        <w:pStyle w:val="FootnoteText"/>
        <w:rPr>
          <w:rtl/>
        </w:rPr>
      </w:pPr>
      <w:r>
        <w:rPr>
          <w:rStyle w:val="FootnoteReference1"/>
        </w:rPr>
        <w:footnoteRef/>
      </w:r>
      <w:r>
        <w:rPr>
          <w:rtl/>
        </w:rPr>
        <w:t xml:space="preserve"> </w:t>
      </w:r>
      <w:r>
        <w:rPr>
          <w:rtl/>
        </w:rPr>
        <w:tab/>
      </w:r>
      <w:r w:rsidRPr="00BD104F">
        <w:rPr>
          <w:rtl/>
        </w:rPr>
        <w:t>החלטת ממשלה 2097 "הרחבת תחומי פעילות התקשוב הממשלתי, עידוד חדשנות במגזר הציבורי וקידום המיזם הלאומי "ישראל דיגיטלית"". (10.10.14)</w:t>
      </w:r>
      <w:hyperlink r:id="rId1" w:history="1">
        <w:r w:rsidRPr="001529FB">
          <w:rPr>
            <w:rStyle w:val="Hyperlink"/>
            <w:rFonts w:hint="cs"/>
            <w:rtl/>
          </w:rPr>
          <w:t>.</w:t>
        </w:r>
      </w:hyperlink>
    </w:p>
  </w:footnote>
  <w:footnote w:id="9">
    <w:p w:rsidR="009600C6" w:rsidP="003B5D33">
      <w:pPr>
        <w:pStyle w:val="FootnoteText"/>
      </w:pPr>
      <w:r>
        <w:rPr>
          <w:rStyle w:val="FootnoteReference1"/>
        </w:rPr>
        <w:footnoteRef/>
      </w:r>
      <w:r>
        <w:rPr>
          <w:rtl/>
        </w:rPr>
        <w:t xml:space="preserve"> </w:t>
      </w:r>
      <w:r>
        <w:rPr>
          <w:rtl/>
        </w:rPr>
        <w:tab/>
      </w:r>
      <w:r w:rsidRPr="00BD104F">
        <w:rPr>
          <w:rtl/>
        </w:rPr>
        <w:t>החלט</w:t>
      </w:r>
      <w:r w:rsidRPr="00BD104F">
        <w:rPr>
          <w:rFonts w:hint="cs"/>
          <w:rtl/>
        </w:rPr>
        <w:t xml:space="preserve">ת הממשלה </w:t>
      </w:r>
      <w:r w:rsidRPr="00BD104F">
        <w:rPr>
          <w:rtl/>
        </w:rPr>
        <w:t>135</w:t>
      </w:r>
      <w:r w:rsidRPr="00BD104F">
        <w:rPr>
          <w:rFonts w:hint="cs"/>
          <w:rtl/>
        </w:rPr>
        <w:t xml:space="preserve"> (</w:t>
      </w:r>
      <w:r w:rsidRPr="00BD104F">
        <w:rPr>
          <w:rtl/>
        </w:rPr>
        <w:t>19.</w:t>
      </w:r>
      <w:r w:rsidRPr="00BD104F">
        <w:rPr>
          <w:rFonts w:hint="cs"/>
          <w:rtl/>
        </w:rPr>
        <w:t>7</w:t>
      </w:r>
      <w:r w:rsidRPr="00BD104F">
        <w:rPr>
          <w:rtl/>
        </w:rPr>
        <w:t>.</w:t>
      </w:r>
      <w:r w:rsidRPr="00BD104F">
        <w:rPr>
          <w:rFonts w:hint="cs"/>
          <w:rtl/>
        </w:rPr>
        <w:t>21).</w:t>
      </w:r>
    </w:p>
  </w:footnote>
  <w:footnote w:id="10">
    <w:p w:rsidR="009600C6" w:rsidP="003B5D33">
      <w:pPr>
        <w:pStyle w:val="FootnoteText"/>
      </w:pPr>
      <w:r>
        <w:rPr>
          <w:rStyle w:val="FootnoteReference1"/>
        </w:rPr>
        <w:footnoteRef/>
      </w:r>
      <w:r>
        <w:rPr>
          <w:rtl/>
        </w:rPr>
        <w:t xml:space="preserve"> </w:t>
      </w:r>
      <w:r>
        <w:rPr>
          <w:rtl/>
        </w:rPr>
        <w:tab/>
      </w:r>
      <w:r w:rsidRPr="00BD104F">
        <w:rPr>
          <w:rFonts w:hint="cs"/>
          <w:rtl/>
        </w:rPr>
        <w:t>ראו סעיפים 3 (ב) ו-3 (ג) ב</w:t>
      </w:r>
      <w:r w:rsidRPr="00BD104F">
        <w:rPr>
          <w:rtl/>
        </w:rPr>
        <w:t xml:space="preserve">החלטת </w:t>
      </w:r>
      <w:r w:rsidRPr="00BD104F">
        <w:rPr>
          <w:rFonts w:hint="cs"/>
          <w:rtl/>
        </w:rPr>
        <w:t>ה</w:t>
      </w:r>
      <w:r w:rsidRPr="00BD104F">
        <w:rPr>
          <w:rtl/>
        </w:rPr>
        <w:t>ממשלה 2097</w:t>
      </w:r>
      <w:r w:rsidRPr="00BD104F">
        <w:rPr>
          <w:rFonts w:hint="cs"/>
          <w:rtl/>
        </w:rPr>
        <w:t>.</w:t>
      </w:r>
    </w:p>
  </w:footnote>
  <w:footnote w:id="11">
    <w:p w:rsidR="009600C6" w:rsidP="003B5D33">
      <w:pPr>
        <w:pStyle w:val="FootnoteText"/>
      </w:pPr>
      <w:r>
        <w:rPr>
          <w:rStyle w:val="FootnoteReference1"/>
        </w:rPr>
        <w:footnoteRef/>
      </w:r>
      <w:r>
        <w:rPr>
          <w:rtl/>
        </w:rPr>
        <w:t xml:space="preserve"> </w:t>
      </w:r>
      <w:r>
        <w:rPr>
          <w:rtl/>
        </w:rPr>
        <w:tab/>
      </w:r>
      <w:r w:rsidRPr="00BD104F">
        <w:rPr>
          <w:rFonts w:hint="cs"/>
          <w:rtl/>
        </w:rPr>
        <w:t xml:space="preserve">ראו </w:t>
      </w:r>
      <w:r>
        <w:rPr>
          <w:rFonts w:hint="cs"/>
          <w:rtl/>
        </w:rPr>
        <w:t>סעיף</w:t>
      </w:r>
      <w:r w:rsidRPr="00BD104F">
        <w:rPr>
          <w:rFonts w:hint="cs"/>
          <w:rtl/>
        </w:rPr>
        <w:t xml:space="preserve"> 5 (א) ב</w:t>
      </w:r>
      <w:r w:rsidRPr="00BD104F">
        <w:rPr>
          <w:rtl/>
        </w:rPr>
        <w:t xml:space="preserve">החלטת </w:t>
      </w:r>
      <w:r w:rsidRPr="00BD104F">
        <w:rPr>
          <w:rFonts w:hint="cs"/>
          <w:rtl/>
        </w:rPr>
        <w:t>ה</w:t>
      </w:r>
      <w:r w:rsidRPr="00BD104F">
        <w:rPr>
          <w:rtl/>
        </w:rPr>
        <w:t>ממשלה 2097</w:t>
      </w:r>
      <w:r w:rsidRPr="00BD104F">
        <w:rPr>
          <w:rFonts w:hint="cs"/>
          <w:rtl/>
        </w:rPr>
        <w:t>.</w:t>
      </w:r>
    </w:p>
  </w:footnote>
  <w:footnote w:id="12">
    <w:p w:rsidR="009600C6" w:rsidP="003B5D33">
      <w:pPr>
        <w:pStyle w:val="FootnoteText"/>
      </w:pPr>
      <w:r>
        <w:rPr>
          <w:rStyle w:val="FootnoteReference1"/>
        </w:rPr>
        <w:footnoteRef/>
      </w:r>
      <w:r>
        <w:rPr>
          <w:rtl/>
        </w:rPr>
        <w:t xml:space="preserve"> </w:t>
      </w:r>
      <w:r>
        <w:rPr>
          <w:rtl/>
        </w:rPr>
        <w:tab/>
      </w:r>
      <w:r>
        <w:rPr>
          <w:rFonts w:hint="cs"/>
          <w:rtl/>
        </w:rPr>
        <w:t xml:space="preserve">ראו </w:t>
      </w:r>
      <w:r w:rsidRPr="00190C24">
        <w:rPr>
          <w:rtl/>
        </w:rPr>
        <w:t>ס</w:t>
      </w:r>
      <w:r>
        <w:rPr>
          <w:rFonts w:hint="cs"/>
          <w:rtl/>
        </w:rPr>
        <w:t xml:space="preserve">עיפים </w:t>
      </w:r>
      <w:r w:rsidRPr="00190C24">
        <w:rPr>
          <w:rFonts w:hint="cs"/>
          <w:rtl/>
        </w:rPr>
        <w:t>9.3, 9.4</w:t>
      </w:r>
      <w:r>
        <w:rPr>
          <w:rFonts w:hint="cs"/>
          <w:rtl/>
        </w:rPr>
        <w:t xml:space="preserve"> ב</w:t>
      </w:r>
      <w:r w:rsidRPr="00BD104F">
        <w:rPr>
          <w:rtl/>
        </w:rPr>
        <w:t>הנחי</w:t>
      </w:r>
      <w:r w:rsidRPr="00BD104F">
        <w:rPr>
          <w:rFonts w:hint="cs"/>
          <w:rtl/>
        </w:rPr>
        <w:t>ה 1.1.01</w:t>
      </w:r>
      <w:r>
        <w:rPr>
          <w:rFonts w:hint="cs"/>
          <w:rtl/>
        </w:rPr>
        <w:t>,</w:t>
      </w:r>
      <w:r w:rsidRPr="00BD104F">
        <w:rPr>
          <w:rFonts w:hint="cs"/>
          <w:rtl/>
        </w:rPr>
        <w:t xml:space="preserve"> </w:t>
      </w:r>
      <w:r w:rsidRPr="00BD104F">
        <w:rPr>
          <w:rtl/>
        </w:rPr>
        <w:t>"מסגרת מתודולוגיית תקשוב ממשלתית"</w:t>
      </w:r>
      <w:r w:rsidRPr="00BD104F">
        <w:rPr>
          <w:rFonts w:hint="cs"/>
          <w:rtl/>
        </w:rPr>
        <w:t>.</w:t>
      </w:r>
    </w:p>
  </w:footnote>
  <w:footnote w:id="13">
    <w:p w:rsidR="009600C6" w:rsidP="003B5D33">
      <w:pPr>
        <w:pStyle w:val="FootnoteText"/>
      </w:pPr>
      <w:r>
        <w:rPr>
          <w:rStyle w:val="FootnoteReference1"/>
        </w:rPr>
        <w:footnoteRef/>
      </w:r>
      <w:r>
        <w:rPr>
          <w:rtl/>
        </w:rPr>
        <w:t xml:space="preserve"> </w:t>
      </w:r>
      <w:r>
        <w:rPr>
          <w:rtl/>
        </w:rPr>
        <w:tab/>
      </w:r>
      <w:r>
        <w:rPr>
          <w:rFonts w:hint="cs"/>
          <w:rtl/>
        </w:rPr>
        <w:t xml:space="preserve">מתודולוגיה מקובלת - </w:t>
      </w:r>
      <w:r w:rsidRPr="006206FF">
        <w:rPr>
          <w:rtl/>
        </w:rPr>
        <w:t xml:space="preserve">לפי </w:t>
      </w:r>
      <w:r>
        <w:rPr>
          <w:rtl/>
        </w:rPr>
        <w:t>סעיף</w:t>
      </w:r>
      <w:r w:rsidRPr="006206FF">
        <w:rPr>
          <w:rtl/>
        </w:rPr>
        <w:t xml:space="preserve"> 5.1 </w:t>
      </w:r>
      <w:r w:rsidRPr="00BD104F">
        <w:rPr>
          <w:rtl/>
        </w:rPr>
        <w:t>בהנחיה</w:t>
      </w:r>
      <w:r w:rsidRPr="006206FF">
        <w:rPr>
          <w:rtl/>
        </w:rPr>
        <w:t xml:space="preserve">, מתודולוגיה סדורה - מתודולוגיה ממשלתית או מתודולוגיה מוכרת (כגון מפת"ח, </w:t>
      </w:r>
      <w:r w:rsidRPr="006206FF">
        <w:t>PMI, ITIL, COBIT, TOC</w:t>
      </w:r>
      <w:r>
        <w:rPr>
          <w:rFonts w:hint="cs"/>
          <w:rtl/>
        </w:rPr>
        <w:t xml:space="preserve"> </w:t>
      </w:r>
      <w:r w:rsidRPr="006206FF">
        <w:t>CMMI, Scrum</w:t>
      </w:r>
      <w:r>
        <w:t>,</w:t>
      </w:r>
      <w:r w:rsidRPr="006206FF">
        <w:rPr>
          <w:rtl/>
        </w:rPr>
        <w:t>), או מתודולוגיה שפותחה על ידי המשרד וכוללת פתרונות להיבטים הניהוליים, הכלכליים והטכנולוגיים, להיבטי הלקוחות של מערכות המידע והטכנולוגיות הדיגיטליות ושל יחידות התקשוב.</w:t>
      </w:r>
    </w:p>
  </w:footnote>
  <w:footnote w:id="14">
    <w:p w:rsidR="009600C6" w:rsidP="003B5D33">
      <w:pPr>
        <w:pStyle w:val="FootnoteText"/>
        <w:rPr>
          <w:rtl/>
        </w:rPr>
      </w:pPr>
      <w:r>
        <w:rPr>
          <w:rStyle w:val="FootnoteReference1"/>
        </w:rPr>
        <w:footnoteRef/>
      </w:r>
      <w:r>
        <w:rPr>
          <w:rtl/>
        </w:rPr>
        <w:t xml:space="preserve"> </w:t>
      </w:r>
      <w:r>
        <w:rPr>
          <w:rtl/>
        </w:rPr>
        <w:tab/>
      </w:r>
      <w:r w:rsidRPr="00BC4A17">
        <w:t>COBIT 2019</w:t>
      </w:r>
      <w:r w:rsidRPr="00BC4A17">
        <w:rPr>
          <w:rtl/>
        </w:rPr>
        <w:t xml:space="preserve"> היא מסגרת עבודה לממשל (</w:t>
      </w:r>
      <w:r w:rsidRPr="00BC4A17">
        <w:t>Governance</w:t>
      </w:r>
      <w:r w:rsidRPr="00BC4A17">
        <w:rPr>
          <w:rtl/>
        </w:rPr>
        <w:t>) וניהול של המידע והטכנולוגיה בארגונים, שפותחה ומתוחזקת ע</w:t>
      </w:r>
      <w:r>
        <w:rPr>
          <w:rFonts w:hint="cs"/>
          <w:rtl/>
        </w:rPr>
        <w:t>ל ידי</w:t>
      </w:r>
      <w:r w:rsidRPr="00BC4A17">
        <w:rPr>
          <w:rtl/>
        </w:rPr>
        <w:t xml:space="preserve"> </w:t>
      </w:r>
      <w:r w:rsidRPr="00BC4A17">
        <w:t>ISACA</w:t>
      </w:r>
      <w:r>
        <w:rPr>
          <w:rFonts w:hint="cs"/>
          <w:rtl/>
        </w:rPr>
        <w:t>.</w:t>
      </w:r>
      <w:r w:rsidRPr="00BC4A17">
        <w:rPr>
          <w:rtl/>
        </w:rPr>
        <w:t xml:space="preserve"> מסגרת עבודה זו מספקת עקרונות, נהגים, כלים ומודלים מקובלים, שנועדו לסייע לארגונים למקסם את הערך המתקבל מטכנולוגית המידע בארגונים.</w:t>
      </w:r>
    </w:p>
  </w:footnote>
  <w:footnote w:id="15">
    <w:p w:rsidR="009600C6" w:rsidP="003B5D33">
      <w:pPr>
        <w:pStyle w:val="FootnoteText"/>
        <w:rPr>
          <w:rtl/>
        </w:rPr>
      </w:pPr>
      <w:r>
        <w:rPr>
          <w:rStyle w:val="FootnoteReference1"/>
        </w:rPr>
        <w:footnoteRef/>
      </w:r>
      <w:r>
        <w:rPr>
          <w:rtl/>
        </w:rPr>
        <w:t xml:space="preserve"> </w:t>
      </w:r>
      <w:r>
        <w:rPr>
          <w:rtl/>
        </w:rPr>
        <w:tab/>
      </w:r>
      <w:r>
        <w:t>.</w:t>
      </w:r>
      <w:r w:rsidRPr="008A3D69">
        <w:t>ISO/IEC 38500:2024</w:t>
      </w:r>
      <w:r>
        <w:t xml:space="preserve"> </w:t>
      </w:r>
      <w:r w:rsidRPr="008A3D69">
        <w:t xml:space="preserve">- Information technology </w:t>
      </w:r>
      <w:r>
        <w:t>-</w:t>
      </w:r>
      <w:r w:rsidRPr="008A3D69">
        <w:t xml:space="preserve"> Governance of IT for the organization</w:t>
      </w:r>
    </w:p>
  </w:footnote>
  <w:footnote w:id="16">
    <w:p w:rsidR="009600C6" w:rsidP="003B5D33">
      <w:pPr>
        <w:pStyle w:val="FootnoteText"/>
        <w:rPr>
          <w:rtl/>
        </w:rPr>
      </w:pPr>
      <w:r>
        <w:rPr>
          <w:rStyle w:val="FootnoteReference1"/>
        </w:rPr>
        <w:footnoteRef/>
      </w:r>
      <w:r>
        <w:rPr>
          <w:rtl/>
        </w:rPr>
        <w:t xml:space="preserve"> </w:t>
      </w:r>
      <w:r>
        <w:rPr>
          <w:rtl/>
        </w:rPr>
        <w:tab/>
      </w:r>
      <w:r w:rsidRPr="00F52A64">
        <w:t xml:space="preserve"> PMI</w:t>
      </w:r>
      <w:r w:rsidRPr="00F52A64">
        <w:rPr>
          <w:rtl/>
        </w:rPr>
        <w:t xml:space="preserve"> - המכון לניהול פרויקטים, </w:t>
      </w:r>
      <w:r w:rsidRPr="00F52A64">
        <w:t>PMBOK</w:t>
      </w:r>
      <w:r w:rsidRPr="00F52A64">
        <w:rPr>
          <w:rtl/>
        </w:rPr>
        <w:t xml:space="preserve"> - מדריך הידע של </w:t>
      </w:r>
      <w:r w:rsidRPr="00F52A64">
        <w:t>PMI</w:t>
      </w:r>
      <w:r w:rsidRPr="00F52A64">
        <w:rPr>
          <w:rtl/>
        </w:rPr>
        <w:t xml:space="preserve"> לניהול פרויקטים.</w:t>
      </w:r>
    </w:p>
  </w:footnote>
  <w:footnote w:id="17">
    <w:p w:rsidR="009600C6" w:rsidP="003B5D33">
      <w:pPr>
        <w:pStyle w:val="FootnoteText"/>
        <w:rPr>
          <w:rtl/>
        </w:rPr>
      </w:pPr>
      <w:r>
        <w:rPr>
          <w:rStyle w:val="FootnoteReference1"/>
        </w:rPr>
        <w:footnoteRef/>
      </w:r>
      <w:r>
        <w:rPr>
          <w:rtl/>
        </w:rPr>
        <w:t xml:space="preserve"> </w:t>
      </w:r>
      <w:r>
        <w:rPr>
          <w:rtl/>
        </w:rPr>
        <w:tab/>
      </w:r>
      <w:r>
        <w:rPr>
          <w:rFonts w:hint="cs"/>
        </w:rPr>
        <w:t>ITIL</w:t>
      </w:r>
      <w:r>
        <w:rPr>
          <w:rFonts w:hint="cs"/>
          <w:rtl/>
        </w:rPr>
        <w:t xml:space="preserve"> - </w:t>
      </w:r>
      <w:r w:rsidRPr="002352A9">
        <w:t>Information Technology Infrastructure Library</w:t>
      </w:r>
      <w:r>
        <w:rPr>
          <w:rFonts w:hint="cs"/>
          <w:rtl/>
        </w:rPr>
        <w:t xml:space="preserve">. </w:t>
      </w:r>
    </w:p>
  </w:footnote>
  <w:footnote w:id="18">
    <w:p w:rsidR="009600C6" w:rsidP="003B5D33">
      <w:pPr>
        <w:pStyle w:val="FootnoteText"/>
        <w:rPr>
          <w:rtl/>
        </w:rPr>
      </w:pPr>
      <w:r>
        <w:rPr>
          <w:rStyle w:val="FootnoteReference1"/>
        </w:rPr>
        <w:footnoteRef/>
      </w:r>
      <w:r>
        <w:rPr>
          <w:rtl/>
        </w:rPr>
        <w:t xml:space="preserve"> </w:t>
      </w:r>
      <w:r>
        <w:rPr>
          <w:rtl/>
        </w:rPr>
        <w:tab/>
      </w:r>
      <w:r w:rsidRPr="00BD104F">
        <w:rPr>
          <w:rFonts w:hint="cs"/>
          <w:rtl/>
        </w:rPr>
        <w:t>החלטת הממשלה</w:t>
      </w:r>
      <w:r w:rsidRPr="00BD104F">
        <w:rPr>
          <w:rtl/>
        </w:rPr>
        <w:t xml:space="preserve"> 2097</w:t>
      </w:r>
      <w:r w:rsidRPr="00BD104F">
        <w:rPr>
          <w:rFonts w:hint="cs"/>
          <w:rtl/>
        </w:rPr>
        <w:t xml:space="preserve">, </w:t>
      </w:r>
      <w:r w:rsidRPr="00BD104F">
        <w:rPr>
          <w:rtl/>
        </w:rPr>
        <w:t>"הרחבת תחומי פעילות התקשוב הממשלתי, עידוד חדשנות במגזר הציבורי וקידום המיזם הלאומי 'ישראל דיגיטלית'" (10.10.</w:t>
      </w:r>
      <w:r w:rsidRPr="00BD104F">
        <w:rPr>
          <w:rFonts w:hint="cs"/>
          <w:rtl/>
        </w:rPr>
        <w:t>1</w:t>
      </w:r>
      <w:r w:rsidRPr="00BD104F">
        <w:rPr>
          <w:rtl/>
        </w:rPr>
        <w:t>4).</w:t>
      </w:r>
      <w:r w:rsidRPr="00BF4646">
        <w:rPr>
          <w:rtl/>
        </w:rPr>
        <w:t xml:space="preserve"> במקור הוענקה הסמכות לרשות התקשוב</w:t>
      </w:r>
      <w:r>
        <w:rPr>
          <w:rFonts w:hint="cs"/>
          <w:rtl/>
        </w:rPr>
        <w:t>.</w:t>
      </w:r>
    </w:p>
  </w:footnote>
  <w:footnote w:id="19">
    <w:p w:rsidR="009600C6" w:rsidP="003B5D33">
      <w:pPr>
        <w:pStyle w:val="FootnoteText"/>
        <w:rPr>
          <w:rtl/>
        </w:rPr>
      </w:pPr>
      <w:r>
        <w:rPr>
          <w:rStyle w:val="FootnoteReference1"/>
        </w:rPr>
        <w:footnoteRef/>
      </w:r>
      <w:r>
        <w:rPr>
          <w:rtl/>
        </w:rPr>
        <w:t xml:space="preserve"> </w:t>
      </w:r>
      <w:r>
        <w:rPr>
          <w:rtl/>
        </w:rPr>
        <w:tab/>
      </w:r>
      <w:r>
        <w:rPr>
          <w:rFonts w:hint="cs"/>
          <w:rtl/>
        </w:rPr>
        <w:t>נכון לפברואר 2025.</w:t>
      </w:r>
    </w:p>
  </w:footnote>
  <w:footnote w:id="20">
    <w:p w:rsidR="009600C6" w:rsidRPr="006573AB" w:rsidP="003B5D33">
      <w:pPr>
        <w:pStyle w:val="FootnoteText"/>
        <w:rPr>
          <w:rtl/>
        </w:rPr>
      </w:pPr>
      <w:r>
        <w:rPr>
          <w:rStyle w:val="FootnoteReference1"/>
        </w:rPr>
        <w:footnoteRef/>
      </w:r>
      <w:r>
        <w:rPr>
          <w:rtl/>
        </w:rPr>
        <w:t xml:space="preserve"> </w:t>
      </w:r>
      <w:r>
        <w:rPr>
          <w:rtl/>
        </w:rPr>
        <w:tab/>
      </w:r>
      <w:r>
        <w:rPr>
          <w:rFonts w:hint="cs"/>
        </w:rPr>
        <w:t>COBIT</w:t>
      </w:r>
      <w:r>
        <w:rPr>
          <w:rFonts w:hint="cs"/>
          <w:rtl/>
        </w:rPr>
        <w:t xml:space="preserve"> - </w:t>
      </w:r>
      <w:r w:rsidRPr="00D75154">
        <w:rPr>
          <w:rtl/>
        </w:rPr>
        <w:t xml:space="preserve">תהליך </w:t>
      </w:r>
      <w:r w:rsidRPr="00D75154">
        <w:t>APO02</w:t>
      </w:r>
      <w:r w:rsidRPr="00D75154">
        <w:rPr>
          <w:rtl/>
        </w:rPr>
        <w:t xml:space="preserve"> </w:t>
      </w:r>
      <w:r>
        <w:rPr>
          <w:rFonts w:hint="cs"/>
          <w:rtl/>
        </w:rPr>
        <w:t xml:space="preserve">- </w:t>
      </w:r>
      <w:r w:rsidRPr="00D75154">
        <w:rPr>
          <w:rtl/>
        </w:rPr>
        <w:t>ניהול אסטרטגיית</w:t>
      </w:r>
      <w:r>
        <w:rPr>
          <w:rFonts w:hint="cs"/>
          <w:rtl/>
        </w:rPr>
        <w:t xml:space="preserve"> מידע וטכנולוגיה; </w:t>
      </w:r>
      <w:r>
        <w:t>ISO 38500</w:t>
      </w:r>
      <w:r>
        <w:rPr>
          <w:rFonts w:hint="cs"/>
          <w:rtl/>
        </w:rPr>
        <w:t xml:space="preserve"> - </w:t>
      </w:r>
      <w:r w:rsidRPr="006573AB">
        <w:t>Principle 2: Strategy</w:t>
      </w:r>
      <w:r>
        <w:rPr>
          <w:rFonts w:hint="cs"/>
          <w:rtl/>
        </w:rPr>
        <w:t>.</w:t>
      </w:r>
    </w:p>
  </w:footnote>
  <w:footnote w:id="21">
    <w:p w:rsidR="009600C6" w:rsidP="003B5D33">
      <w:pPr>
        <w:pStyle w:val="FootnoteText"/>
        <w:rPr>
          <w:rtl/>
        </w:rPr>
      </w:pPr>
      <w:r>
        <w:rPr>
          <w:rStyle w:val="FootnoteReference1"/>
        </w:rPr>
        <w:footnoteRef/>
      </w:r>
      <w:r>
        <w:rPr>
          <w:rtl/>
        </w:rPr>
        <w:t xml:space="preserve"> </w:t>
      </w:r>
      <w:r>
        <w:rPr>
          <w:rtl/>
        </w:rPr>
        <w:tab/>
      </w:r>
      <w:r>
        <w:t>Office of the CIO</w:t>
      </w:r>
      <w:r>
        <w:rPr>
          <w:rFonts w:hint="cs"/>
          <w:rtl/>
        </w:rPr>
        <w:t xml:space="preserve"> - פונקציית מטה של ראש האגף לריכוז הפעילות מול החטיבות באגף.</w:t>
      </w:r>
    </w:p>
  </w:footnote>
  <w:footnote w:id="22">
    <w:p w:rsidR="009600C6" w:rsidP="003B5D33">
      <w:pPr>
        <w:pStyle w:val="FootnoteText"/>
        <w:rPr>
          <w:rtl/>
        </w:rPr>
      </w:pPr>
      <w:r>
        <w:rPr>
          <w:rStyle w:val="FootnoteReference1"/>
        </w:rPr>
        <w:footnoteRef/>
      </w:r>
      <w:r>
        <w:rPr>
          <w:rtl/>
        </w:rPr>
        <w:t xml:space="preserve"> </w:t>
      </w:r>
      <w:r>
        <w:rPr>
          <w:rtl/>
        </w:rPr>
        <w:tab/>
      </w:r>
      <w:r w:rsidRPr="00BD104F">
        <w:rPr>
          <w:rFonts w:hint="cs"/>
          <w:rtl/>
        </w:rPr>
        <w:t>הנחיה 1.3.01 בנושא "</w:t>
      </w:r>
      <w:r w:rsidRPr="00BD104F">
        <w:rPr>
          <w:rtl/>
        </w:rPr>
        <w:t xml:space="preserve">עקרונות לניהול </w:t>
      </w:r>
      <w:r w:rsidRPr="00330F5D">
        <w:rPr>
          <w:rtl/>
        </w:rPr>
        <w:t>סיכוני תקשוב במשרדי הממשלה</w:t>
      </w:r>
      <w:r w:rsidRPr="00330F5D">
        <w:rPr>
          <w:rStyle w:val="Hyperlink"/>
          <w:rFonts w:hint="cs"/>
          <w:rtl/>
        </w:rPr>
        <w:t>"</w:t>
      </w:r>
      <w:r w:rsidRPr="00330F5D">
        <w:rPr>
          <w:rFonts w:hint="cs"/>
          <w:rtl/>
        </w:rPr>
        <w:t xml:space="preserve"> מ-14.11.23 והנחיה 1.3.02 בנושא "</w:t>
      </w:r>
      <w:r w:rsidRPr="00330F5D">
        <w:rPr>
          <w:rtl/>
        </w:rPr>
        <w:t>ביצוע סקר סיכוני תקשוב במשרדי ממשלה</w:t>
      </w:r>
      <w:r w:rsidRPr="00330F5D">
        <w:rPr>
          <w:rStyle w:val="Hyperlink"/>
          <w:rFonts w:hint="cs"/>
          <w:rtl/>
        </w:rPr>
        <w:t>"</w:t>
      </w:r>
      <w:r w:rsidRPr="00330F5D">
        <w:rPr>
          <w:rFonts w:hint="cs"/>
          <w:rtl/>
        </w:rPr>
        <w:t xml:space="preserve"> מ-1.11.23</w:t>
      </w:r>
      <w:r>
        <w:rPr>
          <w:rFonts w:hint="cs"/>
          <w:rtl/>
        </w:rPr>
        <w:t>.</w:t>
      </w:r>
    </w:p>
  </w:footnote>
  <w:footnote w:id="23">
    <w:p w:rsidR="009600C6" w:rsidP="003B5D33">
      <w:pPr>
        <w:pStyle w:val="FootnoteText"/>
        <w:rPr>
          <w:rtl/>
        </w:rPr>
      </w:pPr>
      <w:r>
        <w:rPr>
          <w:rStyle w:val="FootnoteReference1"/>
        </w:rPr>
        <w:footnoteRef/>
      </w:r>
      <w:r>
        <w:rPr>
          <w:rtl/>
        </w:rPr>
        <w:t xml:space="preserve"> </w:t>
      </w:r>
      <w:r>
        <w:rPr>
          <w:rtl/>
        </w:rPr>
        <w:tab/>
      </w:r>
      <w:r w:rsidRPr="00A46276">
        <w:rPr>
          <w:rtl/>
        </w:rPr>
        <w:t>"סיכון תקשוב" הוגדר בהחלטת הממשלה 2097 (מיום 10.10.14) כחשיפת תשתיות התקשוב, תהליכי התקשוב ופרו</w:t>
      </w:r>
      <w:r>
        <w:rPr>
          <w:rFonts w:hint="cs"/>
          <w:rtl/>
        </w:rPr>
        <w:t>י</w:t>
      </w:r>
      <w:r w:rsidRPr="00A46276">
        <w:rPr>
          <w:rtl/>
        </w:rPr>
        <w:t>קטי התקשוב לאירוע כשל אשר עלול לגרום לפגיעה ביעדי הארגון, לפגיעה במידע, לפגיעה ברמת השירות או לאי-עמידה בתקנים מחייבים.</w:t>
      </w:r>
    </w:p>
  </w:footnote>
  <w:footnote w:id="24">
    <w:p w:rsidR="009600C6" w:rsidP="003B5D33">
      <w:pPr>
        <w:pStyle w:val="FootnoteText"/>
        <w:rPr>
          <w:rtl/>
        </w:rPr>
      </w:pPr>
      <w:r>
        <w:rPr>
          <w:rStyle w:val="FootnoteReference1"/>
        </w:rPr>
        <w:footnoteRef/>
      </w:r>
      <w:r>
        <w:rPr>
          <w:rtl/>
        </w:rPr>
        <w:t xml:space="preserve"> </w:t>
      </w:r>
      <w:r>
        <w:rPr>
          <w:rtl/>
        </w:rPr>
        <w:tab/>
      </w:r>
      <w:r w:rsidRPr="00A31D71">
        <w:rPr>
          <w:rtl/>
        </w:rPr>
        <w:t>משרד החוץ מסר למשרד מבקר המדינה במאי 2025 כי מערכות לשדרוג בתחום חטיבת יישומים</w:t>
      </w:r>
      <w:r>
        <w:rPr>
          <w:rFonts w:hint="cs"/>
          <w:rtl/>
        </w:rPr>
        <w:t>,</w:t>
      </w:r>
      <w:r w:rsidRPr="00A31D71">
        <w:rPr>
          <w:rtl/>
        </w:rPr>
        <w:t xml:space="preserve"> שנמצאות בת</w:t>
      </w:r>
      <w:r>
        <w:rPr>
          <w:rFonts w:hint="cs"/>
          <w:rtl/>
        </w:rPr>
        <w:t>ו</w:t>
      </w:r>
      <w:r w:rsidRPr="00A31D71">
        <w:rPr>
          <w:rtl/>
        </w:rPr>
        <w:t>כנית ההגירה לענן לשנת 2025, נכנסו לת</w:t>
      </w:r>
      <w:r>
        <w:rPr>
          <w:rFonts w:hint="cs"/>
          <w:rtl/>
        </w:rPr>
        <w:t>ו</w:t>
      </w:r>
      <w:r w:rsidRPr="00A31D71">
        <w:rPr>
          <w:rtl/>
        </w:rPr>
        <w:t>כנית העבודה לביצוע השדרוג בשנה זו (2025) ויש עבור</w:t>
      </w:r>
      <w:r>
        <w:rPr>
          <w:rFonts w:hint="cs"/>
          <w:rtl/>
        </w:rPr>
        <w:t>ן</w:t>
      </w:r>
      <w:r w:rsidRPr="00A31D71">
        <w:rPr>
          <w:rtl/>
        </w:rPr>
        <w:t xml:space="preserve"> תקציב.</w:t>
      </w:r>
    </w:p>
  </w:footnote>
  <w:footnote w:id="25">
    <w:p w:rsidR="009600C6" w:rsidRPr="005A30CA" w:rsidP="003B5D33">
      <w:pPr>
        <w:pStyle w:val="FootnoteText"/>
        <w:rPr>
          <w:rtl/>
        </w:rPr>
      </w:pPr>
      <w:r>
        <w:rPr>
          <w:rStyle w:val="FootnoteReference1"/>
        </w:rPr>
        <w:footnoteRef/>
      </w:r>
      <w:r>
        <w:rPr>
          <w:rtl/>
        </w:rPr>
        <w:t xml:space="preserve"> </w:t>
      </w:r>
      <w:r>
        <w:rPr>
          <w:rtl/>
        </w:rPr>
        <w:tab/>
      </w:r>
      <w:r w:rsidRPr="00BD104F">
        <w:rPr>
          <w:rtl/>
        </w:rPr>
        <w:t>הנחיית מערך הדיגיטל מספר 1.1.0</w:t>
      </w:r>
      <w:r w:rsidRPr="00BD104F">
        <w:rPr>
          <w:rFonts w:hint="cs"/>
          <w:rtl/>
        </w:rPr>
        <w:t>1</w:t>
      </w:r>
      <w:r w:rsidRPr="00BD104F">
        <w:rPr>
          <w:rtl/>
        </w:rPr>
        <w:t xml:space="preserve"> מתאריך </w:t>
      </w:r>
      <w:r w:rsidRPr="00BD104F">
        <w:rPr>
          <w:rFonts w:hint="cs"/>
          <w:rtl/>
        </w:rPr>
        <w:t>17</w:t>
      </w:r>
      <w:r w:rsidRPr="00BD104F">
        <w:rPr>
          <w:rtl/>
        </w:rPr>
        <w:t>.</w:t>
      </w:r>
      <w:r w:rsidRPr="00BD104F">
        <w:rPr>
          <w:rFonts w:hint="cs"/>
          <w:rtl/>
        </w:rPr>
        <w:t>1</w:t>
      </w:r>
      <w:r w:rsidRPr="00BD104F">
        <w:rPr>
          <w:rtl/>
        </w:rPr>
        <w:t>.</w:t>
      </w:r>
      <w:r w:rsidRPr="00BD104F">
        <w:rPr>
          <w:rFonts w:hint="cs"/>
          <w:rtl/>
        </w:rPr>
        <w:t>24</w:t>
      </w:r>
      <w:r w:rsidRPr="00BD104F">
        <w:rPr>
          <w:rtl/>
        </w:rPr>
        <w:t xml:space="preserve"> בנושא </w:t>
      </w:r>
      <w:r w:rsidRPr="00BD104F">
        <w:rPr>
          <w:rFonts w:hint="cs"/>
          <w:rtl/>
        </w:rPr>
        <w:t>"</w:t>
      </w:r>
      <w:r w:rsidRPr="00BD104F">
        <w:rPr>
          <w:rtl/>
        </w:rPr>
        <w:t xml:space="preserve">מסגרת </w:t>
      </w:r>
      <w:r w:rsidRPr="005A30CA">
        <w:rPr>
          <w:rtl/>
        </w:rPr>
        <w:t>מתודולוגיית תקשוב ממשלתית</w:t>
      </w:r>
      <w:r w:rsidRPr="005A30CA">
        <w:rPr>
          <w:rStyle w:val="Hyperlink"/>
          <w:rFonts w:hint="cs"/>
          <w:color w:val="auto"/>
          <w:rtl/>
        </w:rPr>
        <w:t>"</w:t>
      </w:r>
      <w:r w:rsidRPr="005A30CA">
        <w:rPr>
          <w:rFonts w:hint="cs"/>
          <w:rtl/>
        </w:rPr>
        <w:t xml:space="preserve">; </w:t>
      </w:r>
      <w:r w:rsidRPr="005A30CA">
        <w:rPr>
          <w:rtl/>
        </w:rPr>
        <w:t>הנחיית מערך הדיגיטל מספר 1.</w:t>
      </w:r>
      <w:r w:rsidRPr="005A30CA">
        <w:rPr>
          <w:rFonts w:hint="cs"/>
          <w:rtl/>
        </w:rPr>
        <w:t>4</w:t>
      </w:r>
      <w:r w:rsidRPr="005A30CA">
        <w:rPr>
          <w:rtl/>
        </w:rPr>
        <w:t>.0</w:t>
      </w:r>
      <w:r w:rsidRPr="005A30CA">
        <w:rPr>
          <w:rFonts w:hint="cs"/>
          <w:rtl/>
        </w:rPr>
        <w:t>1</w:t>
      </w:r>
      <w:r w:rsidRPr="005A30CA">
        <w:rPr>
          <w:rtl/>
        </w:rPr>
        <w:t xml:space="preserve"> מתאריך </w:t>
      </w:r>
      <w:r w:rsidRPr="005A30CA">
        <w:rPr>
          <w:rFonts w:hint="cs"/>
          <w:rtl/>
        </w:rPr>
        <w:t>11</w:t>
      </w:r>
      <w:r w:rsidRPr="005A30CA">
        <w:rPr>
          <w:rtl/>
        </w:rPr>
        <w:t>.</w:t>
      </w:r>
      <w:r w:rsidRPr="005A30CA">
        <w:rPr>
          <w:rFonts w:hint="cs"/>
          <w:rtl/>
        </w:rPr>
        <w:t>12</w:t>
      </w:r>
      <w:r w:rsidRPr="005A30CA">
        <w:rPr>
          <w:rtl/>
        </w:rPr>
        <w:t>.</w:t>
      </w:r>
      <w:r w:rsidRPr="005A30CA">
        <w:rPr>
          <w:rFonts w:hint="cs"/>
          <w:rtl/>
        </w:rPr>
        <w:t>22</w:t>
      </w:r>
      <w:r w:rsidRPr="005A30CA">
        <w:rPr>
          <w:rtl/>
        </w:rPr>
        <w:t xml:space="preserve"> בנושא </w:t>
      </w:r>
      <w:r w:rsidRPr="005A30CA">
        <w:rPr>
          <w:rFonts w:hint="cs"/>
          <w:rtl/>
        </w:rPr>
        <w:t>"מחזור חיי מערכת תקשוב</w:t>
      </w:r>
      <w:r w:rsidRPr="00DA2F85">
        <w:rPr>
          <w:rStyle w:val="Hyperlink"/>
          <w:rFonts w:hint="cs"/>
          <w:color w:val="auto"/>
          <w:u w:val="none"/>
          <w:rtl/>
        </w:rPr>
        <w:t>"</w:t>
      </w:r>
      <w:r w:rsidRPr="005A30CA">
        <w:rPr>
          <w:rFonts w:hint="cs"/>
          <w:rtl/>
        </w:rPr>
        <w:t>.</w:t>
      </w:r>
    </w:p>
  </w:footnote>
  <w:footnote w:id="26">
    <w:p w:rsidR="009600C6" w:rsidP="003B5D33">
      <w:pPr>
        <w:pStyle w:val="FootnoteText"/>
      </w:pPr>
      <w:r>
        <w:rPr>
          <w:rStyle w:val="FootnoteReference1"/>
        </w:rPr>
        <w:footnoteRef/>
      </w:r>
      <w:r>
        <w:rPr>
          <w:rtl/>
        </w:rPr>
        <w:t xml:space="preserve"> </w:t>
      </w:r>
      <w:r>
        <w:rPr>
          <w:rtl/>
        </w:rPr>
        <w:tab/>
      </w:r>
      <w:r w:rsidRPr="008C134F">
        <w:rPr>
          <w:rtl/>
        </w:rPr>
        <w:t>מתודולוגיית אג'ייל היא שיטה לניהול פרויקטים המתמקדת בפיתוח הדרגתי וגמיש של מוצרים</w:t>
      </w:r>
      <w:r>
        <w:rPr>
          <w:rFonts w:hint="cs"/>
          <w:rtl/>
        </w:rPr>
        <w:t>,</w:t>
      </w:r>
      <w:r w:rsidRPr="008C134F">
        <w:rPr>
          <w:rtl/>
        </w:rPr>
        <w:t xml:space="preserve"> תוך שיתוף פעולה רציף עם הלקוח והתאמה מהירה לשינויים</w:t>
      </w:r>
      <w:r>
        <w:rPr>
          <w:rFonts w:hint="cs"/>
          <w:rtl/>
        </w:rPr>
        <w:t>.</w:t>
      </w:r>
    </w:p>
  </w:footnote>
  <w:footnote w:id="27">
    <w:p w:rsidR="009600C6" w:rsidP="003B5D33">
      <w:pPr>
        <w:pStyle w:val="FootnoteText"/>
        <w:rPr>
          <w:rtl/>
        </w:rPr>
      </w:pPr>
      <w:r>
        <w:rPr>
          <w:rStyle w:val="FootnoteReference1"/>
        </w:rPr>
        <w:footnoteRef/>
      </w:r>
      <w:r>
        <w:rPr>
          <w:rtl/>
        </w:rPr>
        <w:t xml:space="preserve"> </w:t>
      </w:r>
      <w:r>
        <w:rPr>
          <w:rtl/>
        </w:rPr>
        <w:tab/>
      </w:r>
      <w:r>
        <w:rPr>
          <w:rFonts w:hint="cs"/>
          <w:rtl/>
        </w:rPr>
        <w:t xml:space="preserve">ראו למשל במחקר: </w:t>
      </w:r>
    </w:p>
    <w:p w:rsidR="009600C6" w:rsidP="00031CA3">
      <w:pPr>
        <w:pStyle w:val="FootnoteText"/>
        <w:ind w:left="565" w:hanging="13"/>
        <w:jc w:val="right"/>
        <w:rPr>
          <w:rtl/>
        </w:rPr>
      </w:pPr>
      <w:r w:rsidRPr="00BD104F">
        <w:t xml:space="preserve">Belassi, W., &amp; Tukel, O. I., ”A new framework for determining critical success/failure factors in projects”. </w:t>
      </w:r>
      <w:r w:rsidRPr="00BD104F">
        <w:rPr>
          <w:b/>
          <w:bCs/>
        </w:rPr>
        <w:t>International Journal of Project Management</w:t>
      </w:r>
      <w:r w:rsidRPr="00BD104F">
        <w:t>, 14(3) (1996), 141-151</w:t>
      </w:r>
    </w:p>
  </w:footnote>
  <w:footnote w:id="28">
    <w:p w:rsidR="009600C6" w:rsidP="003B5D33">
      <w:pPr>
        <w:pStyle w:val="FootnoteText"/>
        <w:rPr>
          <w:rtl/>
        </w:rPr>
      </w:pPr>
      <w:r>
        <w:rPr>
          <w:rStyle w:val="FootnoteReference1"/>
        </w:rPr>
        <w:footnoteRef/>
      </w:r>
      <w:r>
        <w:rPr>
          <w:rtl/>
        </w:rPr>
        <w:t xml:space="preserve"> </w:t>
      </w:r>
      <w:r>
        <w:rPr>
          <w:rtl/>
        </w:rPr>
        <w:tab/>
        <w:t>נוהל מפת"ח (מתודולוגי</w:t>
      </w:r>
      <w:r>
        <w:rPr>
          <w:rFonts w:hint="cs"/>
          <w:rtl/>
        </w:rPr>
        <w:t>י</w:t>
      </w:r>
      <w:r>
        <w:rPr>
          <w:rtl/>
        </w:rPr>
        <w:t xml:space="preserve">ת פיתוח ותחזוקה) </w:t>
      </w:r>
      <w:r>
        <w:rPr>
          <w:rFonts w:hint="cs"/>
          <w:rtl/>
        </w:rPr>
        <w:t xml:space="preserve">- </w:t>
      </w:r>
      <w:r>
        <w:rPr>
          <w:rtl/>
        </w:rPr>
        <w:t>מתודולוגיה לניהול פרויקטי תוכנה, הנדסת תוכנה, ניתוח מערכות וניהול איכות תוכנה</w:t>
      </w:r>
      <w:r>
        <w:rPr>
          <w:rFonts w:hint="cs"/>
          <w:rtl/>
        </w:rPr>
        <w:t xml:space="preserve">, שפותחה בישראל על ידי </w:t>
      </w:r>
      <w:r>
        <w:rPr>
          <w:rtl/>
        </w:rPr>
        <w:t>משרד האוצר</w:t>
      </w:r>
      <w:r>
        <w:rPr>
          <w:rFonts w:hint="cs"/>
          <w:rtl/>
        </w:rPr>
        <w:t xml:space="preserve"> וחברת מתודה בע"מ</w:t>
      </w:r>
      <w:r>
        <w:rPr>
          <w:rtl/>
        </w:rPr>
        <w:t>.</w:t>
      </w:r>
      <w:r>
        <w:rPr>
          <w:rFonts w:hint="cs"/>
          <w:rtl/>
        </w:rPr>
        <w:t xml:space="preserve"> חייבה בעבר את משרדי הממשלה. כיום מתודולוגיה מוכרת שמשלימה במידת הצורך את המתודולוגיה הממשלתית. </w:t>
      </w:r>
      <w:r w:rsidRPr="00873CDC">
        <w:rPr>
          <w:rFonts w:hint="cs"/>
          <w:rtl/>
        </w:rPr>
        <w:t>ראו</w:t>
      </w:r>
      <w:r>
        <w:rPr>
          <w:rFonts w:hint="cs"/>
          <w:rtl/>
        </w:rPr>
        <w:t xml:space="preserve"> בקישור</w:t>
      </w:r>
      <w:r w:rsidRPr="00BD104F">
        <w:t>methoda.cloud</w:t>
      </w:r>
      <w:r>
        <w:t xml:space="preserve"> </w:t>
      </w:r>
      <w:r>
        <w:rPr>
          <w:rFonts w:hint="cs"/>
          <w:rtl/>
        </w:rPr>
        <w:t>.</w:t>
      </w:r>
    </w:p>
  </w:footnote>
  <w:footnote w:id="29">
    <w:p w:rsidR="009600C6" w:rsidRPr="008119AF" w:rsidP="003B5D33">
      <w:pPr>
        <w:pStyle w:val="FootnoteText"/>
        <w:rPr>
          <w:rtl/>
        </w:rPr>
      </w:pPr>
      <w:r>
        <w:rPr>
          <w:rStyle w:val="FootnoteReference1"/>
        </w:rPr>
        <w:footnoteRef/>
      </w:r>
      <w:r>
        <w:rPr>
          <w:rtl/>
        </w:rPr>
        <w:t xml:space="preserve"> </w:t>
      </w:r>
      <w:r>
        <w:rPr>
          <w:rtl/>
        </w:rPr>
        <w:tab/>
      </w:r>
      <w:r w:rsidRPr="00F52A64">
        <w:t xml:space="preserve"> PMI</w:t>
      </w:r>
      <w:r w:rsidRPr="00E32F01">
        <w:t xml:space="preserve"> </w:t>
      </w:r>
      <w:r>
        <w:t>(</w:t>
      </w:r>
      <w:r w:rsidRPr="00E32F01">
        <w:t>Project Management Institute</w:t>
      </w:r>
      <w:r>
        <w:t>)</w:t>
      </w:r>
      <w:r w:rsidRPr="00F52A64">
        <w:rPr>
          <w:rtl/>
        </w:rPr>
        <w:t>- המכון לניהול פרויקטים</w:t>
      </w:r>
      <w:r>
        <w:rPr>
          <w:rFonts w:hint="cs"/>
          <w:rtl/>
        </w:rPr>
        <w:t>, (</w:t>
      </w:r>
      <w:r w:rsidRPr="00E32F01">
        <w:t>Project Management Body of Knowledge</w:t>
      </w:r>
      <w:r>
        <w:rPr>
          <w:rFonts w:hint="cs"/>
          <w:rtl/>
        </w:rPr>
        <w:t>)</w:t>
      </w:r>
      <w:r w:rsidRPr="00F52A64">
        <w:rPr>
          <w:rtl/>
        </w:rPr>
        <w:t xml:space="preserve"> </w:t>
      </w:r>
      <w:r w:rsidRPr="00F52A64">
        <w:t>PMBOK</w:t>
      </w:r>
      <w:r w:rsidRPr="00F52A64">
        <w:rPr>
          <w:rtl/>
        </w:rPr>
        <w:t xml:space="preserve"> - מדריך הידע של</w:t>
      </w:r>
      <w:r>
        <w:rPr>
          <w:rFonts w:hint="cs"/>
          <w:rtl/>
        </w:rPr>
        <w:t xml:space="preserve"> המכון </w:t>
      </w:r>
      <w:r w:rsidRPr="00F52A64">
        <w:rPr>
          <w:rtl/>
        </w:rPr>
        <w:t>לניהול פרויקטים.</w:t>
      </w:r>
      <w:r>
        <w:rPr>
          <w:rFonts w:hint="cs"/>
          <w:rtl/>
        </w:rPr>
        <w:t xml:space="preserve"> מתודולוגיה מוכרת שעשויה להשלים את המתודולוגיה הממשלתית. ראו: </w:t>
      </w:r>
      <w:r w:rsidRPr="00BD104F">
        <w:t>www.pmi.org</w:t>
      </w:r>
      <w:r>
        <w:rPr>
          <w:rFonts w:hint="cs"/>
          <w:rtl/>
        </w:rPr>
        <w:t>.</w:t>
      </w:r>
    </w:p>
  </w:footnote>
  <w:footnote w:id="30">
    <w:p w:rsidR="009600C6" w:rsidP="003B5D33">
      <w:pPr>
        <w:pStyle w:val="FootnoteText"/>
      </w:pPr>
      <w:r>
        <w:rPr>
          <w:rStyle w:val="FootnoteReference1"/>
        </w:rPr>
        <w:footnoteRef/>
      </w:r>
      <w:r>
        <w:rPr>
          <w:rtl/>
        </w:rPr>
        <w:t xml:space="preserve"> </w:t>
      </w:r>
      <w:r>
        <w:rPr>
          <w:rtl/>
        </w:rPr>
        <w:tab/>
      </w:r>
      <w:r w:rsidRPr="00A3727E">
        <w:rPr>
          <w:rtl/>
        </w:rPr>
        <w:t xml:space="preserve">ראו </w:t>
      </w:r>
      <w:r w:rsidRPr="00BD104F">
        <w:rPr>
          <w:rtl/>
        </w:rPr>
        <w:t xml:space="preserve">הנחיה </w:t>
      </w:r>
      <w:r w:rsidRPr="00BD104F">
        <w:rPr>
          <w:rFonts w:hint="cs"/>
          <w:rtl/>
        </w:rPr>
        <w:t>1.4.01</w:t>
      </w:r>
      <w:r>
        <w:rPr>
          <w:rFonts w:hint="cs"/>
          <w:rtl/>
        </w:rPr>
        <w:t>,</w:t>
      </w:r>
      <w:r w:rsidRPr="00BD104F">
        <w:rPr>
          <w:rFonts w:hint="cs"/>
          <w:rtl/>
        </w:rPr>
        <w:t xml:space="preserve"> </w:t>
      </w:r>
      <w:r w:rsidRPr="00BD104F">
        <w:rPr>
          <w:rtl/>
        </w:rPr>
        <w:t>"מחזור חיי מערכת תקשוב"</w:t>
      </w:r>
      <w:r>
        <w:rPr>
          <w:rFonts w:hint="cs"/>
          <w:rtl/>
        </w:rPr>
        <w:t>.</w:t>
      </w:r>
    </w:p>
  </w:footnote>
  <w:footnote w:id="31">
    <w:p w:rsidR="009600C6" w:rsidP="003B5D33">
      <w:pPr>
        <w:pStyle w:val="FootnoteText"/>
        <w:rPr>
          <w:rtl/>
        </w:rPr>
      </w:pPr>
      <w:r>
        <w:rPr>
          <w:rStyle w:val="FootnoteReference1"/>
        </w:rPr>
        <w:footnoteRef/>
      </w:r>
      <w:r>
        <w:rPr>
          <w:rtl/>
        </w:rPr>
        <w:t xml:space="preserve"> </w:t>
      </w:r>
      <w:r>
        <w:rPr>
          <w:rtl/>
        </w:rPr>
        <w:tab/>
      </w:r>
      <w:r w:rsidRPr="00A3727E">
        <w:rPr>
          <w:rtl/>
        </w:rPr>
        <w:t xml:space="preserve">ראו </w:t>
      </w:r>
      <w:r>
        <w:rPr>
          <w:rFonts w:hint="cs"/>
          <w:rtl/>
        </w:rPr>
        <w:t xml:space="preserve">סעיף </w:t>
      </w:r>
      <w:r w:rsidRPr="00245A91">
        <w:rPr>
          <w:rtl/>
        </w:rPr>
        <w:t>3.23.6</w:t>
      </w:r>
      <w:r>
        <w:rPr>
          <w:rFonts w:hint="cs"/>
          <w:rtl/>
        </w:rPr>
        <w:t xml:space="preserve"> ב</w:t>
      </w:r>
      <w:r w:rsidRPr="00BD104F">
        <w:rPr>
          <w:rtl/>
        </w:rPr>
        <w:t xml:space="preserve">הנחיה </w:t>
      </w:r>
      <w:r w:rsidRPr="00BD104F">
        <w:rPr>
          <w:rFonts w:hint="cs"/>
          <w:rtl/>
        </w:rPr>
        <w:t xml:space="preserve">1.4.01 </w:t>
      </w:r>
      <w:r w:rsidRPr="00BD104F">
        <w:rPr>
          <w:rtl/>
        </w:rPr>
        <w:t>"מחזור חיי מערכת תקשוב"</w:t>
      </w:r>
      <w:r>
        <w:rPr>
          <w:rFonts w:hint="cs"/>
          <w:rtl/>
        </w:rPr>
        <w:t>.</w:t>
      </w:r>
    </w:p>
  </w:footnote>
  <w:footnote w:id="32">
    <w:p w:rsidR="009600C6" w:rsidP="003B5D33">
      <w:pPr>
        <w:pStyle w:val="FootnoteText"/>
      </w:pPr>
      <w:r>
        <w:rPr>
          <w:rStyle w:val="FootnoteReference1"/>
        </w:rPr>
        <w:footnoteRef/>
      </w:r>
      <w:r>
        <w:rPr>
          <w:rtl/>
        </w:rPr>
        <w:t xml:space="preserve"> </w:t>
      </w:r>
      <w:r>
        <w:rPr>
          <w:rtl/>
        </w:rPr>
        <w:tab/>
      </w:r>
      <w:r>
        <w:rPr>
          <w:rFonts w:hint="cs"/>
          <w:rtl/>
        </w:rPr>
        <w:t>פרויקט קטן לפי סעיף 3.15 ב</w:t>
      </w:r>
      <w:r w:rsidRPr="00BD104F">
        <w:rPr>
          <w:rFonts w:hint="cs"/>
          <w:rtl/>
        </w:rPr>
        <w:t>הנחיה 1.4.01</w:t>
      </w:r>
      <w:r>
        <w:rPr>
          <w:rFonts w:hint="cs"/>
          <w:rtl/>
        </w:rPr>
        <w:t>,</w:t>
      </w:r>
      <w:r w:rsidRPr="00BD104F">
        <w:rPr>
          <w:rFonts w:hint="cs"/>
          <w:rtl/>
        </w:rPr>
        <w:t xml:space="preserve"> "</w:t>
      </w:r>
      <w:r w:rsidRPr="00BD104F">
        <w:rPr>
          <w:rtl/>
        </w:rPr>
        <w:t>מחזור חיי מערכת תקשוב"</w:t>
      </w:r>
      <w:r>
        <w:rPr>
          <w:rFonts w:hint="cs"/>
          <w:rtl/>
        </w:rPr>
        <w:t xml:space="preserve"> הוא פרויקט שעלותו עד מיליון ש"ח, ושהמאמץ הכרוך בו אינו עולה על שלוש שנות אדם.</w:t>
      </w:r>
    </w:p>
  </w:footnote>
  <w:footnote w:id="33">
    <w:p w:rsidR="009600C6" w:rsidP="003B5D33">
      <w:pPr>
        <w:pStyle w:val="FootnoteText"/>
      </w:pPr>
      <w:r>
        <w:rPr>
          <w:rStyle w:val="FootnoteReference1"/>
        </w:rPr>
        <w:footnoteRef/>
      </w:r>
      <w:r>
        <w:rPr>
          <w:rtl/>
        </w:rPr>
        <w:t xml:space="preserve"> </w:t>
      </w:r>
      <w:r>
        <w:rPr>
          <w:rtl/>
        </w:rPr>
        <w:tab/>
      </w:r>
      <w:r>
        <w:rPr>
          <w:rFonts w:hint="cs"/>
          <w:rtl/>
        </w:rPr>
        <w:t xml:space="preserve">לפי סעיף 3.16.2 </w:t>
      </w:r>
      <w:r w:rsidRPr="00BD104F">
        <w:rPr>
          <w:rFonts w:hint="cs"/>
          <w:rtl/>
        </w:rPr>
        <w:t>בהנחיה 1.4.01</w:t>
      </w:r>
      <w:r>
        <w:rPr>
          <w:rFonts w:hint="cs"/>
          <w:rtl/>
        </w:rPr>
        <w:t>,</w:t>
      </w:r>
      <w:r w:rsidRPr="00BD104F">
        <w:rPr>
          <w:rFonts w:hint="cs"/>
          <w:rtl/>
        </w:rPr>
        <w:t xml:space="preserve"> "</w:t>
      </w:r>
      <w:r w:rsidRPr="00BD104F">
        <w:rPr>
          <w:rtl/>
        </w:rPr>
        <w:t>מחזור חיי מערכת תקשוב"</w:t>
      </w:r>
      <w:r>
        <w:rPr>
          <w:rStyle w:val="Hyperlink"/>
          <w:rFonts w:hint="cs"/>
          <w:rtl/>
        </w:rPr>
        <w:t>,</w:t>
      </w:r>
      <w:r>
        <w:rPr>
          <w:rFonts w:hint="cs"/>
          <w:rtl/>
        </w:rPr>
        <w:t xml:space="preserve"> פרויקט מורכב מאופיין באחד מאלה: גדול מאוד; בין-משרדי; ממשלתי רוחבי; בעל מורכבות ארגונית גבוהה; מרובה ממשקים חיצוניים; בשימוש טכנולוגיה שהיא חדשה במשרד הממשלתי.</w:t>
      </w:r>
    </w:p>
  </w:footnote>
  <w:footnote w:id="34">
    <w:p w:rsidR="009600C6" w:rsidP="003B5D33">
      <w:pPr>
        <w:pStyle w:val="FootnoteText"/>
      </w:pPr>
      <w:r>
        <w:rPr>
          <w:rStyle w:val="FootnoteReference1"/>
        </w:rPr>
        <w:footnoteRef/>
      </w:r>
      <w:r>
        <w:rPr>
          <w:rtl/>
        </w:rPr>
        <w:t xml:space="preserve"> </w:t>
      </w:r>
      <w:r>
        <w:rPr>
          <w:rtl/>
        </w:rPr>
        <w:tab/>
      </w:r>
      <w:r>
        <w:rPr>
          <w:rFonts w:hint="cs"/>
          <w:rtl/>
        </w:rPr>
        <w:t xml:space="preserve">ראו סעיף </w:t>
      </w:r>
      <w:r w:rsidRPr="00245A91">
        <w:rPr>
          <w:rtl/>
        </w:rPr>
        <w:t>3.23.6</w:t>
      </w:r>
      <w:r>
        <w:rPr>
          <w:rFonts w:hint="cs"/>
          <w:rtl/>
        </w:rPr>
        <w:t xml:space="preserve"> ב</w:t>
      </w:r>
      <w:r w:rsidRPr="00BD104F">
        <w:rPr>
          <w:rtl/>
        </w:rPr>
        <w:t xml:space="preserve">הנחיה </w:t>
      </w:r>
      <w:r w:rsidRPr="00BD104F">
        <w:rPr>
          <w:rFonts w:hint="cs"/>
          <w:rtl/>
        </w:rPr>
        <w:t>1.4.01</w:t>
      </w:r>
      <w:r>
        <w:rPr>
          <w:rFonts w:hint="cs"/>
          <w:rtl/>
        </w:rPr>
        <w:t>,</w:t>
      </w:r>
      <w:r w:rsidRPr="00BD104F">
        <w:rPr>
          <w:rFonts w:hint="cs"/>
          <w:rtl/>
        </w:rPr>
        <w:t xml:space="preserve"> </w:t>
      </w:r>
      <w:r w:rsidRPr="00BD104F">
        <w:rPr>
          <w:rtl/>
        </w:rPr>
        <w:t>"מחזור חיי מערכת תקשוב"</w:t>
      </w:r>
      <w:r w:rsidRPr="00BD104F">
        <w:rPr>
          <w:rFonts w:hint="cs"/>
          <w:rtl/>
        </w:rPr>
        <w:t>.</w:t>
      </w:r>
    </w:p>
  </w:footnote>
  <w:footnote w:id="35">
    <w:p w:rsidR="009600C6" w:rsidP="003B5D33">
      <w:pPr>
        <w:pStyle w:val="FootnoteText"/>
      </w:pPr>
      <w:r>
        <w:rPr>
          <w:rStyle w:val="FootnoteReference1"/>
        </w:rPr>
        <w:footnoteRef/>
      </w:r>
      <w:r>
        <w:rPr>
          <w:rtl/>
        </w:rPr>
        <w:t xml:space="preserve"> </w:t>
      </w:r>
      <w:r>
        <w:rPr>
          <w:rtl/>
        </w:rPr>
        <w:tab/>
      </w:r>
      <w:r w:rsidRPr="00A3727E">
        <w:rPr>
          <w:rtl/>
        </w:rPr>
        <w:t xml:space="preserve">ראו </w:t>
      </w:r>
      <w:r>
        <w:rPr>
          <w:rFonts w:hint="cs"/>
          <w:rtl/>
        </w:rPr>
        <w:t xml:space="preserve">סעיף </w:t>
      </w:r>
      <w:r w:rsidRPr="00245A91">
        <w:rPr>
          <w:rtl/>
        </w:rPr>
        <w:t>3.23.6</w:t>
      </w:r>
      <w:r>
        <w:rPr>
          <w:rFonts w:hint="cs"/>
          <w:rtl/>
        </w:rPr>
        <w:t xml:space="preserve"> </w:t>
      </w:r>
      <w:r w:rsidRPr="00BD104F">
        <w:rPr>
          <w:rFonts w:hint="cs"/>
          <w:rtl/>
        </w:rPr>
        <w:t>ב</w:t>
      </w:r>
      <w:r w:rsidRPr="00BD104F">
        <w:rPr>
          <w:rtl/>
        </w:rPr>
        <w:t xml:space="preserve">הנחיה </w:t>
      </w:r>
      <w:r w:rsidRPr="00BD104F">
        <w:rPr>
          <w:rFonts w:hint="cs"/>
          <w:rtl/>
        </w:rPr>
        <w:t>1.4.01</w:t>
      </w:r>
      <w:r>
        <w:rPr>
          <w:rFonts w:hint="cs"/>
          <w:rtl/>
        </w:rPr>
        <w:t>,</w:t>
      </w:r>
      <w:r w:rsidRPr="00BD104F">
        <w:rPr>
          <w:rFonts w:hint="cs"/>
          <w:rtl/>
        </w:rPr>
        <w:t xml:space="preserve"> </w:t>
      </w:r>
      <w:r w:rsidRPr="00BD104F">
        <w:rPr>
          <w:rtl/>
        </w:rPr>
        <w:t>"מחזור חיי מערכת תקשוב"</w:t>
      </w:r>
      <w:r w:rsidRPr="00BD104F">
        <w:rPr>
          <w:rFonts w:hint="cs"/>
          <w:rtl/>
        </w:rPr>
        <w:t>.</w:t>
      </w:r>
    </w:p>
  </w:footnote>
  <w:footnote w:id="36">
    <w:p w:rsidR="009600C6" w:rsidP="003B5D33">
      <w:pPr>
        <w:pStyle w:val="FootnoteText"/>
      </w:pPr>
      <w:r>
        <w:rPr>
          <w:rStyle w:val="FootnoteReference1"/>
        </w:rPr>
        <w:footnoteRef/>
      </w:r>
      <w:r>
        <w:rPr>
          <w:rtl/>
        </w:rPr>
        <w:t xml:space="preserve"> </w:t>
      </w:r>
      <w:r>
        <w:rPr>
          <w:rtl/>
        </w:rPr>
        <w:tab/>
      </w:r>
      <w:r>
        <w:rPr>
          <w:rFonts w:hint="cs"/>
          <w:rtl/>
        </w:rPr>
        <w:t xml:space="preserve">ראו סעיף 2.4.2.1 </w:t>
      </w:r>
      <w:r w:rsidRPr="00BD104F">
        <w:rPr>
          <w:rFonts w:hint="cs"/>
          <w:rtl/>
        </w:rPr>
        <w:t>בנוהל 01-02-05</w:t>
      </w:r>
      <w:r>
        <w:rPr>
          <w:rFonts w:hint="cs"/>
          <w:rtl/>
        </w:rPr>
        <w:t>,</w:t>
      </w:r>
      <w:r w:rsidRPr="00BD104F">
        <w:rPr>
          <w:rFonts w:hint="cs"/>
          <w:rtl/>
        </w:rPr>
        <w:t xml:space="preserve"> </w:t>
      </w:r>
      <w:r w:rsidRPr="00BD104F">
        <w:rPr>
          <w:rtl/>
        </w:rPr>
        <w:t>"ניהול פרויקט פיתוח מערכת מידע"</w:t>
      </w:r>
      <w:r w:rsidRPr="00BD104F">
        <w:rPr>
          <w:rFonts w:hint="cs"/>
          <w:rtl/>
        </w:rPr>
        <w:t>.</w:t>
      </w:r>
    </w:p>
  </w:footnote>
  <w:footnote w:id="37">
    <w:p w:rsidR="009600C6" w:rsidP="003B5D33">
      <w:pPr>
        <w:pStyle w:val="FootnoteText"/>
      </w:pPr>
      <w:r>
        <w:rPr>
          <w:rStyle w:val="FootnoteReference1"/>
        </w:rPr>
        <w:footnoteRef/>
      </w:r>
      <w:r>
        <w:rPr>
          <w:rtl/>
        </w:rPr>
        <w:t xml:space="preserve"> </w:t>
      </w:r>
      <w:r>
        <w:rPr>
          <w:rtl/>
        </w:rPr>
        <w:tab/>
      </w:r>
      <w:r>
        <w:rPr>
          <w:rFonts w:hint="cs"/>
          <w:rtl/>
        </w:rPr>
        <w:t xml:space="preserve">הסקר נערך </w:t>
      </w:r>
      <w:r>
        <w:rPr>
          <w:rtl/>
        </w:rPr>
        <w:t>ב</w:t>
      </w:r>
      <w:r>
        <w:rPr>
          <w:rFonts w:hint="cs"/>
          <w:rtl/>
        </w:rPr>
        <w:t>ין</w:t>
      </w:r>
      <w:r>
        <w:rPr>
          <w:rtl/>
        </w:rPr>
        <w:t xml:space="preserve"> החודשים אוגוסט 2022 </w:t>
      </w:r>
      <w:r>
        <w:rPr>
          <w:rFonts w:hint="cs"/>
          <w:rtl/>
        </w:rPr>
        <w:t>ל</w:t>
      </w:r>
      <w:r>
        <w:rPr>
          <w:rtl/>
        </w:rPr>
        <w:t>נובמבר 2023 ל</w:t>
      </w:r>
      <w:r>
        <w:rPr>
          <w:rFonts w:hint="cs"/>
          <w:rtl/>
        </w:rPr>
        <w:t xml:space="preserve">צורך </w:t>
      </w:r>
      <w:r>
        <w:rPr>
          <w:rtl/>
        </w:rPr>
        <w:t>איתור סיכוני טכנולוגיות</w:t>
      </w:r>
      <w:r>
        <w:rPr>
          <w:rFonts w:hint="cs"/>
          <w:rtl/>
        </w:rPr>
        <w:t xml:space="preserve"> </w:t>
      </w:r>
      <w:r>
        <w:rPr>
          <w:rtl/>
        </w:rPr>
        <w:t>מידע באגף</w:t>
      </w:r>
      <w:r>
        <w:rPr>
          <w:rFonts w:hint="cs"/>
          <w:rtl/>
        </w:rPr>
        <w:t xml:space="preserve"> התקשוב ש</w:t>
      </w:r>
      <w:r>
        <w:rPr>
          <w:rtl/>
        </w:rPr>
        <w:t>ל משרד חוץ</w:t>
      </w:r>
      <w:r>
        <w:rPr>
          <w:rFonts w:hint="cs"/>
          <w:rtl/>
        </w:rPr>
        <w:t xml:space="preserve"> וניתוחם</w:t>
      </w:r>
      <w:r>
        <w:rPr>
          <w:rtl/>
        </w:rPr>
        <w:t xml:space="preserve">. </w:t>
      </w:r>
      <w:r>
        <w:rPr>
          <w:rFonts w:hint="cs"/>
          <w:rtl/>
        </w:rPr>
        <w:t xml:space="preserve">נבחנו בו </w:t>
      </w:r>
      <w:r>
        <w:rPr>
          <w:rtl/>
        </w:rPr>
        <w:t>מערכות המידע המרכזיות</w:t>
      </w:r>
      <w:r>
        <w:rPr>
          <w:rFonts w:hint="cs"/>
          <w:rtl/>
        </w:rPr>
        <w:t xml:space="preserve"> ו</w:t>
      </w:r>
      <w:r>
        <w:rPr>
          <w:rtl/>
        </w:rPr>
        <w:t>הבקרות הקיימות בתהליכים</w:t>
      </w:r>
      <w:r>
        <w:rPr>
          <w:rFonts w:hint="cs"/>
          <w:rtl/>
        </w:rPr>
        <w:t>.</w:t>
      </w:r>
      <w:r>
        <w:rPr>
          <w:rtl/>
        </w:rPr>
        <w:t xml:space="preserve"> מטר</w:t>
      </w:r>
      <w:r>
        <w:rPr>
          <w:rFonts w:hint="cs"/>
          <w:rtl/>
        </w:rPr>
        <w:t xml:space="preserve">תו </w:t>
      </w:r>
      <w:r>
        <w:rPr>
          <w:rtl/>
        </w:rPr>
        <w:t xml:space="preserve">המרכזית </w:t>
      </w:r>
      <w:r>
        <w:rPr>
          <w:rFonts w:hint="cs"/>
          <w:rtl/>
        </w:rPr>
        <w:t xml:space="preserve">הייתה </w:t>
      </w:r>
      <w:r>
        <w:rPr>
          <w:rtl/>
        </w:rPr>
        <w:t>לספק להנהלה תמונת מצב עדכנית</w:t>
      </w:r>
      <w:r>
        <w:rPr>
          <w:rFonts w:hint="cs"/>
          <w:rtl/>
        </w:rPr>
        <w:t xml:space="preserve"> </w:t>
      </w:r>
      <w:r>
        <w:rPr>
          <w:rtl/>
        </w:rPr>
        <w:t>ב</w:t>
      </w:r>
      <w:r>
        <w:rPr>
          <w:rFonts w:hint="cs"/>
          <w:rtl/>
        </w:rPr>
        <w:t>נוגע</w:t>
      </w:r>
      <w:r>
        <w:rPr>
          <w:rtl/>
        </w:rPr>
        <w:t xml:space="preserve"> לסיכונים העלולים לפגוע </w:t>
      </w:r>
      <w:r>
        <w:rPr>
          <w:rFonts w:hint="cs"/>
          <w:rtl/>
        </w:rPr>
        <w:t>ב</w:t>
      </w:r>
      <w:r>
        <w:rPr>
          <w:rtl/>
        </w:rPr>
        <w:t xml:space="preserve">אגף </w:t>
      </w:r>
      <w:r>
        <w:rPr>
          <w:rFonts w:hint="cs"/>
          <w:rtl/>
        </w:rPr>
        <w:t xml:space="preserve">התקשוב </w:t>
      </w:r>
      <w:r>
        <w:rPr>
          <w:rtl/>
        </w:rPr>
        <w:t>להשיג</w:t>
      </w:r>
      <w:r>
        <w:rPr>
          <w:rFonts w:hint="cs"/>
          <w:rtl/>
        </w:rPr>
        <w:t xml:space="preserve"> </w:t>
      </w:r>
      <w:r>
        <w:rPr>
          <w:rtl/>
        </w:rPr>
        <w:t>את יעדיו</w:t>
      </w:r>
      <w:r>
        <w:rPr>
          <w:rFonts w:hint="cs"/>
          <w:rtl/>
        </w:rPr>
        <w:t xml:space="preserve"> או למנוע ממנו לעשות כן. </w:t>
      </w:r>
      <w:r w:rsidRPr="0002253D">
        <w:rPr>
          <w:rtl/>
        </w:rPr>
        <w:t>תוצרי</w:t>
      </w:r>
      <w:r>
        <w:rPr>
          <w:rFonts w:hint="cs"/>
          <w:rtl/>
        </w:rPr>
        <w:t xml:space="preserve"> הסקר </w:t>
      </w:r>
      <w:r w:rsidRPr="0002253D">
        <w:rPr>
          <w:rtl/>
        </w:rPr>
        <w:t>הוגשו להנהל</w:t>
      </w:r>
      <w:r>
        <w:rPr>
          <w:rFonts w:hint="cs"/>
          <w:rtl/>
        </w:rPr>
        <w:t xml:space="preserve">ת אגף התקשוב </w:t>
      </w:r>
      <w:r w:rsidRPr="0002253D">
        <w:rPr>
          <w:rtl/>
        </w:rPr>
        <w:t>ב</w:t>
      </w:r>
      <w:r>
        <w:rPr>
          <w:rFonts w:hint="cs"/>
          <w:rtl/>
        </w:rPr>
        <w:t>מאי 2</w:t>
      </w:r>
      <w:r w:rsidRPr="0002253D">
        <w:rPr>
          <w:rtl/>
        </w:rPr>
        <w:t>024</w:t>
      </w:r>
      <w:r>
        <w:rPr>
          <w:rFonts w:hint="cs"/>
          <w:rtl/>
        </w:rPr>
        <w:t>.</w:t>
      </w:r>
    </w:p>
  </w:footnote>
  <w:footnote w:id="38">
    <w:p w:rsidR="009600C6" w:rsidP="003B5D33">
      <w:pPr>
        <w:pStyle w:val="FootnoteText"/>
        <w:rPr>
          <w:rtl/>
        </w:rPr>
      </w:pPr>
      <w:r>
        <w:rPr>
          <w:rStyle w:val="FootnoteReference1"/>
        </w:rPr>
        <w:footnoteRef/>
      </w:r>
      <w:r>
        <w:rPr>
          <w:rtl/>
        </w:rPr>
        <w:t xml:space="preserve"> </w:t>
      </w:r>
      <w:r>
        <w:rPr>
          <w:rtl/>
        </w:rPr>
        <w:tab/>
      </w:r>
      <w:r>
        <w:rPr>
          <w:rFonts w:hint="cs"/>
          <w:rtl/>
        </w:rPr>
        <w:t xml:space="preserve">ראו </w:t>
      </w:r>
      <w:r w:rsidRPr="00B66D7A">
        <w:rPr>
          <w:rtl/>
        </w:rPr>
        <w:t>ס</w:t>
      </w:r>
      <w:r>
        <w:rPr>
          <w:rFonts w:hint="cs"/>
          <w:rtl/>
        </w:rPr>
        <w:t>עיף</w:t>
      </w:r>
      <w:r w:rsidRPr="00B66D7A">
        <w:rPr>
          <w:rtl/>
        </w:rPr>
        <w:t xml:space="preserve"> 5.3</w:t>
      </w:r>
      <w:r>
        <w:rPr>
          <w:rFonts w:hint="cs"/>
          <w:rtl/>
        </w:rPr>
        <w:t xml:space="preserve"> </w:t>
      </w:r>
      <w:r w:rsidRPr="00D5021F">
        <w:rPr>
          <w:rFonts w:hint="cs"/>
          <w:rtl/>
        </w:rPr>
        <w:t>ב</w:t>
      </w:r>
      <w:r w:rsidRPr="00D5021F">
        <w:rPr>
          <w:rtl/>
        </w:rPr>
        <w:t xml:space="preserve">הנחיה </w:t>
      </w:r>
      <w:r w:rsidRPr="00D5021F">
        <w:rPr>
          <w:rFonts w:hint="cs"/>
          <w:rtl/>
        </w:rPr>
        <w:t>1.1.01</w:t>
      </w:r>
      <w:r>
        <w:rPr>
          <w:rFonts w:hint="cs"/>
          <w:rtl/>
        </w:rPr>
        <w:t>,</w:t>
      </w:r>
      <w:r w:rsidRPr="00D5021F">
        <w:rPr>
          <w:rFonts w:hint="cs"/>
          <w:rtl/>
        </w:rPr>
        <w:t xml:space="preserve"> </w:t>
      </w:r>
      <w:r w:rsidRPr="00D5021F">
        <w:rPr>
          <w:rtl/>
        </w:rPr>
        <w:t>"מסגרת מתודולוגיית תקשוב ממשלתית"</w:t>
      </w:r>
      <w:r w:rsidRPr="00D5021F">
        <w:rPr>
          <w:rFonts w:hint="cs"/>
          <w:rtl/>
        </w:rPr>
        <w:t>.</w:t>
      </w:r>
    </w:p>
  </w:footnote>
  <w:footnote w:id="39">
    <w:p w:rsidR="009600C6" w:rsidP="003B5D33">
      <w:pPr>
        <w:pStyle w:val="FootnoteText"/>
      </w:pPr>
      <w:r>
        <w:rPr>
          <w:rStyle w:val="FootnoteReference1"/>
        </w:rPr>
        <w:footnoteRef/>
      </w:r>
      <w:r>
        <w:rPr>
          <w:rtl/>
        </w:rPr>
        <w:t xml:space="preserve"> </w:t>
      </w:r>
      <w:r>
        <w:rPr>
          <w:rtl/>
        </w:rPr>
        <w:tab/>
      </w:r>
      <w:r>
        <w:rPr>
          <w:rFonts w:hint="cs"/>
          <w:rtl/>
        </w:rPr>
        <w:t>ראו סעיף 4 ב</w:t>
      </w:r>
      <w:r w:rsidRPr="00D5021F">
        <w:rPr>
          <w:rtl/>
        </w:rPr>
        <w:t xml:space="preserve">הנחיה </w:t>
      </w:r>
      <w:r w:rsidRPr="00D5021F">
        <w:rPr>
          <w:rFonts w:hint="cs"/>
          <w:rtl/>
        </w:rPr>
        <w:t>1.4.9</w:t>
      </w:r>
      <w:r>
        <w:rPr>
          <w:rFonts w:hint="cs"/>
          <w:rtl/>
        </w:rPr>
        <w:t>,</w:t>
      </w:r>
      <w:r w:rsidRPr="00D5021F">
        <w:rPr>
          <w:rFonts w:hint="cs"/>
          <w:rtl/>
        </w:rPr>
        <w:t xml:space="preserve"> "</w:t>
      </w:r>
      <w:r w:rsidRPr="00D5021F">
        <w:rPr>
          <w:rtl/>
        </w:rPr>
        <w:t>אמידה ובקרת עלויות במחזור חיי מערכת תקשו</w:t>
      </w:r>
      <w:r w:rsidRPr="00D5021F">
        <w:rPr>
          <w:rFonts w:hint="cs"/>
          <w:rtl/>
        </w:rPr>
        <w:t>ב".</w:t>
      </w:r>
    </w:p>
  </w:footnote>
  <w:footnote w:id="40">
    <w:p w:rsidR="009600C6" w:rsidP="003B5D33">
      <w:pPr>
        <w:pStyle w:val="FootnoteText"/>
      </w:pPr>
      <w:r>
        <w:rPr>
          <w:rStyle w:val="FootnoteReference1"/>
        </w:rPr>
        <w:footnoteRef/>
      </w:r>
      <w:r>
        <w:rPr>
          <w:rtl/>
        </w:rPr>
        <w:t xml:space="preserve"> </w:t>
      </w:r>
      <w:r>
        <w:rPr>
          <w:rtl/>
        </w:rPr>
        <w:tab/>
      </w:r>
      <w:r>
        <w:rPr>
          <w:rFonts w:hint="cs"/>
          <w:rtl/>
        </w:rPr>
        <w:t xml:space="preserve">ראו סעיף 6.3 </w:t>
      </w:r>
      <w:r w:rsidRPr="00D5021F">
        <w:rPr>
          <w:rFonts w:hint="cs"/>
          <w:rtl/>
        </w:rPr>
        <w:t>בהנחיה 1.4.02</w:t>
      </w:r>
      <w:r>
        <w:rPr>
          <w:rFonts w:hint="cs"/>
          <w:rtl/>
        </w:rPr>
        <w:t>,</w:t>
      </w:r>
      <w:r w:rsidRPr="00D5021F">
        <w:rPr>
          <w:rFonts w:hint="cs"/>
          <w:rtl/>
        </w:rPr>
        <w:t xml:space="preserve"> "</w:t>
      </w:r>
      <w:r w:rsidRPr="00D5021F">
        <w:rPr>
          <w:rtl/>
        </w:rPr>
        <w:t>שלב הייזום ושער הכניסה לפרויקט תקשוב</w:t>
      </w:r>
      <w:r w:rsidRPr="00D5021F">
        <w:rPr>
          <w:rFonts w:hint="cs"/>
          <w:rtl/>
        </w:rPr>
        <w:t>".</w:t>
      </w:r>
    </w:p>
  </w:footnote>
  <w:footnote w:id="41">
    <w:p w:rsidR="009600C6" w:rsidP="003B5D33">
      <w:pPr>
        <w:pStyle w:val="FootnoteText"/>
        <w:rPr>
          <w:rtl/>
        </w:rPr>
      </w:pPr>
      <w:r>
        <w:rPr>
          <w:rStyle w:val="FootnoteReference1"/>
        </w:rPr>
        <w:footnoteRef/>
      </w:r>
      <w:r>
        <w:rPr>
          <w:rtl/>
        </w:rPr>
        <w:t xml:space="preserve"> </w:t>
      </w:r>
      <w:r>
        <w:rPr>
          <w:rtl/>
        </w:rPr>
        <w:tab/>
      </w:r>
      <w:r>
        <w:rPr>
          <w:rFonts w:hint="cs"/>
          <w:rtl/>
        </w:rPr>
        <w:t xml:space="preserve">ראו סעיף 6.11 </w:t>
      </w:r>
      <w:r w:rsidRPr="00D5021F">
        <w:rPr>
          <w:rFonts w:hint="cs"/>
          <w:rtl/>
        </w:rPr>
        <w:t>בהנחיה 1.4.02</w:t>
      </w:r>
      <w:r>
        <w:rPr>
          <w:rFonts w:hint="cs"/>
          <w:rtl/>
        </w:rPr>
        <w:t>,</w:t>
      </w:r>
      <w:r w:rsidRPr="00D5021F">
        <w:rPr>
          <w:rFonts w:hint="cs"/>
          <w:rtl/>
        </w:rPr>
        <w:t xml:space="preserve"> "</w:t>
      </w:r>
      <w:r w:rsidRPr="00D5021F">
        <w:rPr>
          <w:rtl/>
        </w:rPr>
        <w:t>שלב הייזום ושער הכניסה לפרויקט תקשוב</w:t>
      </w:r>
      <w:r w:rsidRPr="00D5021F">
        <w:rPr>
          <w:rFonts w:hint="cs"/>
          <w:rtl/>
        </w:rPr>
        <w:t>".</w:t>
      </w:r>
    </w:p>
  </w:footnote>
  <w:footnote w:id="42">
    <w:p w:rsidR="009600C6" w:rsidP="003B5D33">
      <w:pPr>
        <w:pStyle w:val="FootnoteText"/>
      </w:pPr>
      <w:r>
        <w:rPr>
          <w:rStyle w:val="FootnoteReference1"/>
        </w:rPr>
        <w:footnoteRef/>
      </w:r>
      <w:r>
        <w:rPr>
          <w:rtl/>
        </w:rPr>
        <w:t xml:space="preserve"> </w:t>
      </w:r>
      <w:r>
        <w:rPr>
          <w:rtl/>
        </w:rPr>
        <w:tab/>
      </w:r>
      <w:r>
        <w:rPr>
          <w:rFonts w:hint="cs"/>
          <w:rtl/>
        </w:rPr>
        <w:t xml:space="preserve">ראו סעיף </w:t>
      </w:r>
      <w:r w:rsidRPr="00245A91">
        <w:rPr>
          <w:rtl/>
        </w:rPr>
        <w:t>3.23.6</w:t>
      </w:r>
      <w:r>
        <w:rPr>
          <w:rFonts w:hint="cs"/>
          <w:rtl/>
        </w:rPr>
        <w:t xml:space="preserve"> </w:t>
      </w:r>
      <w:r w:rsidRPr="00D5021F">
        <w:rPr>
          <w:rFonts w:hint="cs"/>
          <w:rtl/>
        </w:rPr>
        <w:t>בהנחיה 1.4.01</w:t>
      </w:r>
      <w:r>
        <w:rPr>
          <w:rFonts w:hint="cs"/>
          <w:rtl/>
        </w:rPr>
        <w:t>,</w:t>
      </w:r>
      <w:r w:rsidRPr="00D5021F">
        <w:rPr>
          <w:rFonts w:hint="cs"/>
          <w:rtl/>
        </w:rPr>
        <w:t xml:space="preserve"> </w:t>
      </w:r>
      <w:r w:rsidRPr="00D5021F">
        <w:rPr>
          <w:rtl/>
        </w:rPr>
        <w:t>"מחזור חיי מערכת תקשוב"</w:t>
      </w:r>
      <w:r w:rsidRPr="00D5021F">
        <w:rPr>
          <w:rFonts w:hint="cs"/>
          <w:rtl/>
        </w:rPr>
        <w:t>.</w:t>
      </w:r>
    </w:p>
  </w:footnote>
  <w:footnote w:id="43">
    <w:p w:rsidR="009600C6" w:rsidP="003B5D33">
      <w:pPr>
        <w:pStyle w:val="FootnoteText"/>
      </w:pPr>
      <w:r>
        <w:rPr>
          <w:rStyle w:val="FootnoteReference1"/>
        </w:rPr>
        <w:footnoteRef/>
      </w:r>
      <w:r>
        <w:rPr>
          <w:rtl/>
        </w:rPr>
        <w:t xml:space="preserve"> </w:t>
      </w:r>
      <w:r>
        <w:rPr>
          <w:rtl/>
        </w:rPr>
        <w:tab/>
      </w:r>
      <w:r w:rsidRPr="00A3727E">
        <w:rPr>
          <w:rtl/>
        </w:rPr>
        <w:t xml:space="preserve">ראו </w:t>
      </w:r>
      <w:r>
        <w:rPr>
          <w:rFonts w:hint="cs"/>
          <w:rtl/>
        </w:rPr>
        <w:t xml:space="preserve">סעיף </w:t>
      </w:r>
      <w:r w:rsidRPr="00245A91">
        <w:rPr>
          <w:rFonts w:hint="cs"/>
          <w:rtl/>
        </w:rPr>
        <w:t>4.1.5</w:t>
      </w:r>
      <w:r>
        <w:rPr>
          <w:rFonts w:hint="cs"/>
          <w:rtl/>
        </w:rPr>
        <w:t xml:space="preserve"> וסעיף 7 </w:t>
      </w:r>
      <w:r w:rsidRPr="00D5021F">
        <w:rPr>
          <w:rFonts w:hint="cs"/>
          <w:rtl/>
        </w:rPr>
        <w:t>בה</w:t>
      </w:r>
      <w:r w:rsidRPr="00D5021F">
        <w:rPr>
          <w:rtl/>
        </w:rPr>
        <w:t>נחיה</w:t>
      </w:r>
      <w:r w:rsidRPr="00D5021F">
        <w:rPr>
          <w:rFonts w:hint="cs"/>
          <w:rtl/>
        </w:rPr>
        <w:t xml:space="preserve"> 1.4.07</w:t>
      </w:r>
      <w:r>
        <w:rPr>
          <w:rFonts w:hint="cs"/>
          <w:rtl/>
        </w:rPr>
        <w:t>,</w:t>
      </w:r>
      <w:r w:rsidRPr="00D5021F">
        <w:rPr>
          <w:rFonts w:hint="cs"/>
          <w:rtl/>
        </w:rPr>
        <w:t xml:space="preserve"> "</w:t>
      </w:r>
      <w:r w:rsidRPr="00D5021F">
        <w:rPr>
          <w:rtl/>
        </w:rPr>
        <w:t>שער עלייה לאוויר בפרויקט תקשוב</w:t>
      </w:r>
      <w:r w:rsidRPr="00D5021F">
        <w:rPr>
          <w:rFonts w:hint="cs"/>
          <w:rtl/>
        </w:rPr>
        <w:t>".</w:t>
      </w:r>
    </w:p>
  </w:footnote>
  <w:footnote w:id="44">
    <w:p w:rsidR="009600C6" w:rsidP="003B5D33">
      <w:pPr>
        <w:pStyle w:val="FootnoteText"/>
      </w:pPr>
      <w:r>
        <w:rPr>
          <w:rStyle w:val="FootnoteReference1"/>
        </w:rPr>
        <w:footnoteRef/>
      </w:r>
      <w:r>
        <w:rPr>
          <w:rtl/>
        </w:rPr>
        <w:t xml:space="preserve"> </w:t>
      </w:r>
      <w:r>
        <w:rPr>
          <w:rtl/>
        </w:rPr>
        <w:tab/>
      </w:r>
      <w:r>
        <w:rPr>
          <w:rFonts w:hint="cs"/>
          <w:rtl/>
        </w:rPr>
        <w:t xml:space="preserve">ראו סעיף 5 </w:t>
      </w:r>
      <w:r w:rsidRPr="00D5021F">
        <w:rPr>
          <w:rFonts w:hint="cs"/>
          <w:rtl/>
        </w:rPr>
        <w:t>בנוהל 01-02-05</w:t>
      </w:r>
      <w:r>
        <w:rPr>
          <w:rFonts w:hint="cs"/>
          <w:rtl/>
        </w:rPr>
        <w:t>,</w:t>
      </w:r>
      <w:r w:rsidRPr="00D5021F">
        <w:rPr>
          <w:rFonts w:hint="cs"/>
          <w:rtl/>
        </w:rPr>
        <w:t xml:space="preserve"> </w:t>
      </w:r>
      <w:r w:rsidRPr="00D5021F">
        <w:rPr>
          <w:rtl/>
        </w:rPr>
        <w:t>"ניהול פרויקט פיתוח מערכת מידע"</w:t>
      </w:r>
      <w:r w:rsidRPr="00D5021F">
        <w:rPr>
          <w:rFonts w:hint="cs"/>
          <w:rtl/>
        </w:rPr>
        <w:t>.</w:t>
      </w:r>
    </w:p>
  </w:footnote>
  <w:footnote w:id="45">
    <w:p w:rsidR="009600C6" w:rsidP="003B5D33">
      <w:pPr>
        <w:pStyle w:val="FootnoteText"/>
        <w:rPr>
          <w:rtl/>
        </w:rPr>
      </w:pPr>
      <w:r>
        <w:rPr>
          <w:rStyle w:val="FootnoteReference1"/>
        </w:rPr>
        <w:footnoteRef/>
      </w:r>
      <w:r>
        <w:rPr>
          <w:rtl/>
        </w:rPr>
        <w:t xml:space="preserve"> </w:t>
      </w:r>
      <w:r>
        <w:rPr>
          <w:rtl/>
        </w:rPr>
        <w:tab/>
      </w:r>
      <w:r>
        <w:rPr>
          <w:rFonts w:hint="cs"/>
          <w:rtl/>
        </w:rPr>
        <w:t xml:space="preserve">ראו סעיף 14 בנספח א' </w:t>
      </w:r>
      <w:r w:rsidRPr="00D5021F">
        <w:rPr>
          <w:rFonts w:hint="cs"/>
          <w:rtl/>
        </w:rPr>
        <w:t>בנוהל 01-05-00</w:t>
      </w:r>
      <w:r>
        <w:rPr>
          <w:rFonts w:hint="cs"/>
          <w:rtl/>
        </w:rPr>
        <w:t>,</w:t>
      </w:r>
      <w:r w:rsidRPr="00D5021F">
        <w:rPr>
          <w:rFonts w:hint="cs"/>
          <w:rtl/>
        </w:rPr>
        <w:t xml:space="preserve"> </w:t>
      </w:r>
      <w:r w:rsidRPr="00D5021F">
        <w:rPr>
          <w:rtl/>
        </w:rPr>
        <w:t>"עלי</w:t>
      </w:r>
      <w:r w:rsidRPr="00D5021F">
        <w:rPr>
          <w:rFonts w:hint="cs"/>
          <w:rtl/>
        </w:rPr>
        <w:t>י</w:t>
      </w:r>
      <w:r w:rsidRPr="00D5021F">
        <w:rPr>
          <w:rtl/>
        </w:rPr>
        <w:t>ה לאוויר מערכת מידע"</w:t>
      </w:r>
      <w:r w:rsidRPr="00D5021F">
        <w:rPr>
          <w:rFonts w:hint="cs"/>
          <w:rtl/>
        </w:rPr>
        <w:t>.</w:t>
      </w:r>
    </w:p>
  </w:footnote>
  <w:footnote w:id="46">
    <w:p w:rsidR="009600C6" w:rsidP="003B5D33">
      <w:pPr>
        <w:pStyle w:val="FootnoteText"/>
      </w:pPr>
      <w:r>
        <w:rPr>
          <w:rStyle w:val="FootnoteReference1"/>
        </w:rPr>
        <w:footnoteRef/>
      </w:r>
      <w:r>
        <w:rPr>
          <w:rtl/>
        </w:rPr>
        <w:t xml:space="preserve"> </w:t>
      </w:r>
      <w:r>
        <w:rPr>
          <w:rtl/>
        </w:rPr>
        <w:tab/>
      </w:r>
      <w:r>
        <w:rPr>
          <w:rFonts w:hint="cs"/>
          <w:rtl/>
        </w:rPr>
        <w:t xml:space="preserve">ראו במסמך </w:t>
      </w:r>
      <w:r w:rsidRPr="00D5021F">
        <w:rPr>
          <w:rFonts w:hint="cs"/>
          <w:rtl/>
        </w:rPr>
        <w:t>ה</w:t>
      </w:r>
      <w:r w:rsidRPr="00D5021F">
        <w:rPr>
          <w:rtl/>
        </w:rPr>
        <w:t>הנחיה</w:t>
      </w:r>
      <w:r w:rsidRPr="00D5021F">
        <w:rPr>
          <w:rFonts w:hint="cs"/>
          <w:rtl/>
        </w:rPr>
        <w:t xml:space="preserve"> 1.5.15</w:t>
      </w:r>
      <w:r>
        <w:rPr>
          <w:rFonts w:hint="cs"/>
          <w:rtl/>
        </w:rPr>
        <w:t>,</w:t>
      </w:r>
      <w:r w:rsidRPr="00D5021F">
        <w:rPr>
          <w:rFonts w:hint="cs"/>
          <w:rtl/>
        </w:rPr>
        <w:t xml:space="preserve"> "</w:t>
      </w:r>
      <w:r w:rsidRPr="00D5021F">
        <w:rPr>
          <w:rtl/>
        </w:rPr>
        <w:t>ניהול לקחים - תחקור, הפקה והטמעת לקחים</w:t>
      </w:r>
      <w:r w:rsidRPr="00D5021F">
        <w:rPr>
          <w:rFonts w:hint="cs"/>
          <w:rtl/>
        </w:rPr>
        <w:t>".</w:t>
      </w:r>
    </w:p>
  </w:footnote>
  <w:footnote w:id="47">
    <w:p w:rsidR="009600C6" w:rsidP="003B5D33">
      <w:pPr>
        <w:pStyle w:val="FootnoteText"/>
      </w:pPr>
      <w:r>
        <w:rPr>
          <w:rStyle w:val="FootnoteReference1"/>
        </w:rPr>
        <w:footnoteRef/>
      </w:r>
      <w:r>
        <w:rPr>
          <w:rtl/>
        </w:rPr>
        <w:t xml:space="preserve"> </w:t>
      </w:r>
      <w:r>
        <w:rPr>
          <w:rtl/>
        </w:rPr>
        <w:tab/>
      </w:r>
      <w:r w:rsidRPr="00A05BDA">
        <w:rPr>
          <w:rtl/>
        </w:rPr>
        <w:t xml:space="preserve">פרויקט </w:t>
      </w:r>
      <w:r>
        <w:rPr>
          <w:rFonts w:hint="cs"/>
          <w:rtl/>
        </w:rPr>
        <w:t xml:space="preserve">גדול </w:t>
      </w:r>
      <w:r w:rsidRPr="00A05BDA">
        <w:rPr>
          <w:rtl/>
        </w:rPr>
        <w:t>לפי ס</w:t>
      </w:r>
      <w:r>
        <w:rPr>
          <w:rFonts w:hint="cs"/>
          <w:rtl/>
        </w:rPr>
        <w:t>עיף</w:t>
      </w:r>
      <w:r w:rsidRPr="00A05BDA">
        <w:rPr>
          <w:rtl/>
        </w:rPr>
        <w:t xml:space="preserve"> 3.15 </w:t>
      </w:r>
      <w:r w:rsidRPr="00D5021F">
        <w:rPr>
          <w:rFonts w:hint="cs"/>
          <w:rtl/>
        </w:rPr>
        <w:t>ב</w:t>
      </w:r>
      <w:r w:rsidRPr="00D5021F">
        <w:rPr>
          <w:rtl/>
        </w:rPr>
        <w:t xml:space="preserve">הנחיה </w:t>
      </w:r>
      <w:r w:rsidRPr="00D5021F">
        <w:rPr>
          <w:rFonts w:hint="cs"/>
          <w:rtl/>
        </w:rPr>
        <w:t>1.4.01</w:t>
      </w:r>
      <w:r>
        <w:rPr>
          <w:rFonts w:hint="cs"/>
          <w:rtl/>
        </w:rPr>
        <w:t>,</w:t>
      </w:r>
      <w:r w:rsidRPr="00D5021F">
        <w:rPr>
          <w:rFonts w:hint="cs"/>
          <w:rtl/>
        </w:rPr>
        <w:t xml:space="preserve"> </w:t>
      </w:r>
      <w:r w:rsidRPr="00D5021F">
        <w:rPr>
          <w:rtl/>
        </w:rPr>
        <w:t>"מחזור חיי מערכת תקשוב"</w:t>
      </w:r>
      <w:r>
        <w:rPr>
          <w:rFonts w:hint="cs"/>
          <w:rtl/>
        </w:rPr>
        <w:t xml:space="preserve"> </w:t>
      </w:r>
      <w:r w:rsidRPr="00A05BDA">
        <w:rPr>
          <w:rtl/>
        </w:rPr>
        <w:t xml:space="preserve">הוא פרויקט שעלותו </w:t>
      </w:r>
      <w:r>
        <w:rPr>
          <w:rFonts w:hint="cs"/>
          <w:rtl/>
        </w:rPr>
        <w:t xml:space="preserve">2.5 </w:t>
      </w:r>
      <w:r w:rsidRPr="00A05BDA">
        <w:rPr>
          <w:rtl/>
        </w:rPr>
        <w:t>מיליון ש"ח</w:t>
      </w:r>
      <w:r>
        <w:rPr>
          <w:rFonts w:hint="cs"/>
          <w:rtl/>
        </w:rPr>
        <w:t xml:space="preserve"> לפחות, א</w:t>
      </w:r>
      <w:r w:rsidRPr="00A05BDA">
        <w:rPr>
          <w:rtl/>
        </w:rPr>
        <w:t>ו</w:t>
      </w:r>
      <w:r>
        <w:rPr>
          <w:rFonts w:hint="cs"/>
          <w:rtl/>
        </w:rPr>
        <w:t xml:space="preserve"> </w:t>
      </w:r>
      <w:r w:rsidRPr="00A05BDA">
        <w:rPr>
          <w:rtl/>
        </w:rPr>
        <w:t>שהמאמץ הכרוך בו</w:t>
      </w:r>
      <w:r>
        <w:rPr>
          <w:rFonts w:hint="cs"/>
          <w:rtl/>
        </w:rPr>
        <w:t xml:space="preserve"> הוא שמונה</w:t>
      </w:r>
      <w:r w:rsidRPr="00A05BDA">
        <w:rPr>
          <w:rtl/>
        </w:rPr>
        <w:t xml:space="preserve"> שנות אדם</w:t>
      </w:r>
      <w:r>
        <w:rPr>
          <w:rFonts w:hint="cs"/>
          <w:rtl/>
        </w:rPr>
        <w:t xml:space="preserve"> לפחות</w:t>
      </w:r>
      <w:r w:rsidRPr="00A05BDA">
        <w:rPr>
          <w:rtl/>
        </w:rPr>
        <w:t>.</w:t>
      </w:r>
    </w:p>
  </w:footnote>
  <w:footnote w:id="48">
    <w:p w:rsidR="009600C6" w:rsidRPr="003F0BA1" w:rsidP="003B5D33">
      <w:pPr>
        <w:pStyle w:val="FootnoteText"/>
      </w:pPr>
      <w:r>
        <w:rPr>
          <w:rStyle w:val="FootnoteReference1"/>
        </w:rPr>
        <w:footnoteRef/>
      </w:r>
      <w:r>
        <w:rPr>
          <w:rtl/>
        </w:rPr>
        <w:t xml:space="preserve"> </w:t>
      </w:r>
      <w:r>
        <w:rPr>
          <w:rtl/>
        </w:rPr>
        <w:tab/>
      </w:r>
      <w:r>
        <w:rPr>
          <w:rFonts w:hint="cs"/>
          <w:rtl/>
        </w:rPr>
        <w:t xml:space="preserve">ראו </w:t>
      </w:r>
      <w:r w:rsidRPr="002D3197">
        <w:rPr>
          <w:rtl/>
        </w:rPr>
        <w:t>ס</w:t>
      </w:r>
      <w:r>
        <w:rPr>
          <w:rFonts w:hint="cs"/>
          <w:rtl/>
        </w:rPr>
        <w:t>עיף 5.1 (ב)</w:t>
      </w:r>
      <w:r w:rsidRPr="002D3197">
        <w:rPr>
          <w:rtl/>
        </w:rPr>
        <w:t xml:space="preserve"> </w:t>
      </w:r>
      <w:r w:rsidRPr="00D5021F">
        <w:rPr>
          <w:rFonts w:hint="cs"/>
          <w:rtl/>
        </w:rPr>
        <w:t>ב</w:t>
      </w:r>
      <w:r w:rsidRPr="00D5021F">
        <w:rPr>
          <w:rtl/>
        </w:rPr>
        <w:t>הנחיה</w:t>
      </w:r>
      <w:r w:rsidRPr="00D5021F">
        <w:rPr>
          <w:rFonts w:hint="cs"/>
          <w:rtl/>
        </w:rPr>
        <w:t xml:space="preserve"> 1.5.15</w:t>
      </w:r>
      <w:r>
        <w:rPr>
          <w:rFonts w:hint="cs"/>
          <w:rtl/>
        </w:rPr>
        <w:t>,</w:t>
      </w:r>
      <w:r w:rsidRPr="00D5021F">
        <w:rPr>
          <w:rFonts w:hint="cs"/>
          <w:rtl/>
        </w:rPr>
        <w:t xml:space="preserve"> "</w:t>
      </w:r>
      <w:r w:rsidRPr="00D5021F">
        <w:rPr>
          <w:rtl/>
        </w:rPr>
        <w:t>ניהול לקחים - תחקור, הפקה והטמעת לקחים</w:t>
      </w:r>
      <w:r w:rsidRPr="00D5021F">
        <w:rPr>
          <w:rFonts w:hint="cs"/>
          <w:rtl/>
        </w:rPr>
        <w:t>"</w:t>
      </w:r>
      <w:r w:rsidRPr="00D5021F">
        <w:rPr>
          <w:rtl/>
        </w:rPr>
        <w:t>.</w:t>
      </w:r>
    </w:p>
  </w:footnote>
  <w:footnote w:id="49">
    <w:p w:rsidR="009600C6" w:rsidP="003B5D33">
      <w:pPr>
        <w:pStyle w:val="FootnoteText"/>
      </w:pPr>
      <w:r>
        <w:rPr>
          <w:rStyle w:val="FootnoteReference1"/>
        </w:rPr>
        <w:footnoteRef/>
      </w:r>
      <w:r>
        <w:rPr>
          <w:rtl/>
        </w:rPr>
        <w:t xml:space="preserve"> </w:t>
      </w:r>
      <w:r>
        <w:rPr>
          <w:rtl/>
        </w:rPr>
        <w:tab/>
      </w:r>
      <w:r w:rsidRPr="002801E1">
        <w:rPr>
          <w:rtl/>
        </w:rPr>
        <w:t xml:space="preserve">סקרים נפוצים הם </w:t>
      </w:r>
      <w:r>
        <w:rPr>
          <w:rFonts w:hint="cs"/>
          <w:rtl/>
        </w:rPr>
        <w:t xml:space="preserve">סקרי </w:t>
      </w:r>
      <w:r w:rsidRPr="002801E1">
        <w:rPr>
          <w:rtl/>
        </w:rPr>
        <w:t xml:space="preserve">דרישות, </w:t>
      </w:r>
      <w:r>
        <w:rPr>
          <w:rFonts w:hint="cs"/>
          <w:rtl/>
        </w:rPr>
        <w:t xml:space="preserve">סקרי </w:t>
      </w:r>
      <w:r w:rsidRPr="002801E1">
        <w:rPr>
          <w:rtl/>
        </w:rPr>
        <w:t xml:space="preserve">תכנון, </w:t>
      </w:r>
      <w:r>
        <w:rPr>
          <w:rFonts w:hint="cs"/>
          <w:rtl/>
        </w:rPr>
        <w:t xml:space="preserve">סקרי </w:t>
      </w:r>
      <w:r w:rsidRPr="002801E1">
        <w:rPr>
          <w:rtl/>
        </w:rPr>
        <w:t xml:space="preserve">אפיון ועיצוב, </w:t>
      </w:r>
      <w:r>
        <w:rPr>
          <w:rFonts w:hint="cs"/>
          <w:rtl/>
        </w:rPr>
        <w:t xml:space="preserve">סקרי </w:t>
      </w:r>
      <w:r w:rsidRPr="002801E1">
        <w:rPr>
          <w:rtl/>
        </w:rPr>
        <w:t xml:space="preserve">מוכנות לבדיקות, </w:t>
      </w:r>
      <w:r>
        <w:rPr>
          <w:rFonts w:hint="cs"/>
          <w:rtl/>
        </w:rPr>
        <w:t xml:space="preserve">סקרי </w:t>
      </w:r>
      <w:r w:rsidRPr="002801E1">
        <w:rPr>
          <w:rtl/>
        </w:rPr>
        <w:t>סיכום בדיקות ו</w:t>
      </w:r>
      <w:r>
        <w:rPr>
          <w:rFonts w:hint="cs"/>
          <w:rtl/>
        </w:rPr>
        <w:t xml:space="preserve">סקרי </w:t>
      </w:r>
      <w:r w:rsidRPr="002801E1">
        <w:rPr>
          <w:rtl/>
        </w:rPr>
        <w:t>מוכנות לעלי</w:t>
      </w:r>
      <w:r>
        <w:rPr>
          <w:rFonts w:hint="cs"/>
          <w:rtl/>
        </w:rPr>
        <w:t>י</w:t>
      </w:r>
      <w:r w:rsidRPr="002801E1">
        <w:rPr>
          <w:rtl/>
        </w:rPr>
        <w:t>ה לאוויר</w:t>
      </w:r>
      <w:r>
        <w:rPr>
          <w:rFonts w:hint="cs"/>
          <w:rtl/>
        </w:rPr>
        <w:t xml:space="preserve">. ראו סעיף 6.3 </w:t>
      </w:r>
      <w:r w:rsidRPr="00D5021F">
        <w:rPr>
          <w:rFonts w:hint="cs"/>
          <w:rtl/>
        </w:rPr>
        <w:t>ב</w:t>
      </w:r>
      <w:r w:rsidRPr="00D5021F">
        <w:rPr>
          <w:rtl/>
        </w:rPr>
        <w:t xml:space="preserve">הנחיה </w:t>
      </w:r>
      <w:r w:rsidRPr="00D5021F">
        <w:rPr>
          <w:rFonts w:hint="cs"/>
          <w:rtl/>
        </w:rPr>
        <w:t>1.4.01</w:t>
      </w:r>
      <w:r>
        <w:rPr>
          <w:rFonts w:hint="cs"/>
          <w:rtl/>
        </w:rPr>
        <w:t>,</w:t>
      </w:r>
      <w:r w:rsidRPr="00D5021F">
        <w:rPr>
          <w:rFonts w:hint="cs"/>
          <w:rtl/>
        </w:rPr>
        <w:t xml:space="preserve"> </w:t>
      </w:r>
      <w:r w:rsidRPr="00D5021F">
        <w:rPr>
          <w:rtl/>
        </w:rPr>
        <w:t>"מחזור חיי מערכת תקשוב".</w:t>
      </w:r>
    </w:p>
  </w:footnote>
  <w:footnote w:id="50">
    <w:p w:rsidR="009600C6" w:rsidP="003B5D33">
      <w:pPr>
        <w:pStyle w:val="FootnoteText"/>
      </w:pPr>
      <w:r>
        <w:rPr>
          <w:rStyle w:val="FootnoteReference1"/>
        </w:rPr>
        <w:footnoteRef/>
      </w:r>
      <w:r>
        <w:rPr>
          <w:rtl/>
        </w:rPr>
        <w:t xml:space="preserve"> </w:t>
      </w:r>
      <w:r>
        <w:rPr>
          <w:rtl/>
        </w:rPr>
        <w:tab/>
      </w:r>
      <w:r>
        <w:rPr>
          <w:rFonts w:hint="cs"/>
          <w:rtl/>
        </w:rPr>
        <w:t xml:space="preserve">ראו סעיף 5.13, 6.1 </w:t>
      </w:r>
      <w:r w:rsidRPr="00D5021F">
        <w:rPr>
          <w:rFonts w:hint="cs"/>
          <w:rtl/>
        </w:rPr>
        <w:t>ב</w:t>
      </w:r>
      <w:r w:rsidRPr="00D5021F">
        <w:rPr>
          <w:rtl/>
        </w:rPr>
        <w:t xml:space="preserve">הנחיה </w:t>
      </w:r>
      <w:r w:rsidRPr="00D5021F">
        <w:rPr>
          <w:rFonts w:hint="cs"/>
          <w:rtl/>
        </w:rPr>
        <w:t>1.4.01</w:t>
      </w:r>
      <w:r>
        <w:rPr>
          <w:rFonts w:hint="cs"/>
          <w:rtl/>
        </w:rPr>
        <w:t>,</w:t>
      </w:r>
      <w:r w:rsidRPr="00D5021F">
        <w:rPr>
          <w:rFonts w:hint="cs"/>
          <w:rtl/>
        </w:rPr>
        <w:t xml:space="preserve"> </w:t>
      </w:r>
      <w:r w:rsidRPr="00D5021F">
        <w:rPr>
          <w:rtl/>
        </w:rPr>
        <w:t>"מחזור חיי מערכת תקשוב".</w:t>
      </w:r>
    </w:p>
  </w:footnote>
  <w:footnote w:id="51">
    <w:p w:rsidR="009600C6" w:rsidP="003B5D33">
      <w:pPr>
        <w:pStyle w:val="FootnoteText"/>
      </w:pPr>
      <w:r>
        <w:rPr>
          <w:rStyle w:val="FootnoteReference1"/>
        </w:rPr>
        <w:footnoteRef/>
      </w:r>
      <w:r>
        <w:rPr>
          <w:rtl/>
        </w:rPr>
        <w:t xml:space="preserve"> </w:t>
      </w:r>
      <w:r>
        <w:rPr>
          <w:rtl/>
        </w:rPr>
        <w:tab/>
        <w:t xml:space="preserve">שער איכות בפרויקט </w:t>
      </w:r>
      <w:r>
        <w:rPr>
          <w:rFonts w:hint="cs"/>
          <w:rtl/>
        </w:rPr>
        <w:t>-</w:t>
      </w:r>
      <w:r>
        <w:rPr>
          <w:rtl/>
        </w:rPr>
        <w:t xml:space="preserve"> נקודת בקרה לאורך מחזור חיי המערכת</w:t>
      </w:r>
      <w:r>
        <w:rPr>
          <w:rFonts w:hint="cs"/>
          <w:rtl/>
        </w:rPr>
        <w:t>,</w:t>
      </w:r>
      <w:r>
        <w:rPr>
          <w:rtl/>
        </w:rPr>
        <w:t xml:space="preserve"> שבה נבדקת שלמות השלבים שהושלמו</w:t>
      </w:r>
      <w:r>
        <w:rPr>
          <w:rFonts w:hint="cs"/>
          <w:rtl/>
        </w:rPr>
        <w:t xml:space="preserve"> </w:t>
      </w:r>
      <w:r>
        <w:rPr>
          <w:rtl/>
        </w:rPr>
        <w:t>ומתקבלת החלטה לגבי המשך הפעילות</w:t>
      </w:r>
      <w:r>
        <w:rPr>
          <w:rFonts w:hint="cs"/>
          <w:rtl/>
        </w:rPr>
        <w:t xml:space="preserve"> (</w:t>
      </w:r>
      <w:r>
        <w:rPr>
          <w:rtl/>
        </w:rPr>
        <w:t>או עצירתה</w:t>
      </w:r>
      <w:r>
        <w:rPr>
          <w:rFonts w:hint="cs"/>
          <w:rtl/>
        </w:rPr>
        <w:t xml:space="preserve">), </w:t>
      </w:r>
      <w:r>
        <w:rPr>
          <w:rtl/>
        </w:rPr>
        <w:t>או לגבי שינוי משמעותי באופי הפעילות.</w:t>
      </w:r>
      <w:r>
        <w:rPr>
          <w:rFonts w:hint="cs"/>
          <w:rtl/>
        </w:rPr>
        <w:t xml:space="preserve"> </w:t>
      </w:r>
      <w:r w:rsidRPr="00A95397">
        <w:rPr>
          <w:rtl/>
        </w:rPr>
        <w:t>ראו ס</w:t>
      </w:r>
      <w:r>
        <w:rPr>
          <w:rFonts w:hint="cs"/>
          <w:rtl/>
        </w:rPr>
        <w:t>עיף</w:t>
      </w:r>
      <w:r w:rsidRPr="00A95397">
        <w:rPr>
          <w:rtl/>
        </w:rPr>
        <w:t xml:space="preserve"> </w:t>
      </w:r>
      <w:r>
        <w:rPr>
          <w:rFonts w:hint="cs"/>
          <w:rtl/>
        </w:rPr>
        <w:t>3.21</w:t>
      </w:r>
      <w:r w:rsidRPr="00A95397">
        <w:rPr>
          <w:rtl/>
        </w:rPr>
        <w:t xml:space="preserve"> </w:t>
      </w:r>
      <w:r w:rsidRPr="00D5021F">
        <w:rPr>
          <w:rFonts w:hint="cs"/>
          <w:rtl/>
        </w:rPr>
        <w:t>ב</w:t>
      </w:r>
      <w:r w:rsidRPr="00D5021F">
        <w:rPr>
          <w:rtl/>
        </w:rPr>
        <w:t xml:space="preserve">הנחיה </w:t>
      </w:r>
      <w:r w:rsidRPr="00D5021F">
        <w:rPr>
          <w:rFonts w:hint="cs"/>
          <w:rtl/>
        </w:rPr>
        <w:t>1.4.01</w:t>
      </w:r>
      <w:r>
        <w:rPr>
          <w:rFonts w:hint="cs"/>
          <w:rtl/>
        </w:rPr>
        <w:t>,</w:t>
      </w:r>
      <w:r w:rsidRPr="00D5021F">
        <w:rPr>
          <w:rFonts w:hint="cs"/>
          <w:rtl/>
        </w:rPr>
        <w:t xml:space="preserve"> </w:t>
      </w:r>
      <w:r w:rsidRPr="00D5021F">
        <w:rPr>
          <w:rtl/>
        </w:rPr>
        <w:t>"מחזור חיי מערכת תקשוב".</w:t>
      </w:r>
    </w:p>
  </w:footnote>
  <w:footnote w:id="52">
    <w:p w:rsidR="009600C6" w:rsidRPr="00D3715F" w:rsidP="003B5D33">
      <w:pPr>
        <w:pStyle w:val="FootnoteText"/>
        <w:rPr>
          <w:rtl/>
        </w:rPr>
      </w:pPr>
      <w:r>
        <w:rPr>
          <w:rStyle w:val="FootnoteReference1"/>
        </w:rPr>
        <w:footnoteRef/>
      </w:r>
      <w:r>
        <w:rPr>
          <w:rtl/>
        </w:rPr>
        <w:t xml:space="preserve"> </w:t>
      </w:r>
      <w:r>
        <w:rPr>
          <w:rtl/>
        </w:rPr>
        <w:tab/>
      </w:r>
      <w:r>
        <w:rPr>
          <w:rFonts w:hint="cs"/>
          <w:rtl/>
        </w:rPr>
        <w:t xml:space="preserve">מעבר לאלה המוגדרים </w:t>
      </w:r>
      <w:r w:rsidRPr="00D5021F">
        <w:rPr>
          <w:rFonts w:hint="cs"/>
          <w:rtl/>
        </w:rPr>
        <w:t>ב</w:t>
      </w:r>
      <w:r w:rsidRPr="00D5021F">
        <w:rPr>
          <w:rtl/>
        </w:rPr>
        <w:t xml:space="preserve">הנחיה </w:t>
      </w:r>
      <w:r w:rsidRPr="00D5021F">
        <w:rPr>
          <w:rFonts w:hint="cs"/>
          <w:rtl/>
        </w:rPr>
        <w:t>1.4.01</w:t>
      </w:r>
      <w:r>
        <w:rPr>
          <w:rFonts w:hint="cs"/>
          <w:rtl/>
        </w:rPr>
        <w:t>,</w:t>
      </w:r>
      <w:r w:rsidRPr="00D5021F">
        <w:rPr>
          <w:rFonts w:hint="cs"/>
          <w:rtl/>
        </w:rPr>
        <w:t xml:space="preserve"> </w:t>
      </w:r>
      <w:r w:rsidRPr="00D5021F">
        <w:rPr>
          <w:rtl/>
        </w:rPr>
        <w:t>"מחזור חיי מערכת תקשוב".</w:t>
      </w:r>
    </w:p>
  </w:footnote>
  <w:footnote w:id="53">
    <w:p w:rsidR="009600C6" w:rsidRPr="00FA7719" w:rsidP="003B5D33">
      <w:pPr>
        <w:pStyle w:val="FootnoteText"/>
      </w:pPr>
      <w:r>
        <w:rPr>
          <w:rStyle w:val="FootnoteReference1"/>
        </w:rPr>
        <w:footnoteRef/>
      </w:r>
      <w:r>
        <w:rPr>
          <w:rtl/>
        </w:rPr>
        <w:t xml:space="preserve"> </w:t>
      </w:r>
      <w:r>
        <w:rPr>
          <w:rtl/>
        </w:rPr>
        <w:tab/>
      </w:r>
      <w:r>
        <w:rPr>
          <w:rFonts w:hint="cs"/>
          <w:rtl/>
        </w:rPr>
        <w:t xml:space="preserve">ראו סעיף 6.1 </w:t>
      </w:r>
      <w:r w:rsidRPr="00D5021F">
        <w:rPr>
          <w:rFonts w:hint="cs"/>
          <w:rtl/>
        </w:rPr>
        <w:t>ב</w:t>
      </w:r>
      <w:r w:rsidRPr="00D5021F">
        <w:rPr>
          <w:rtl/>
        </w:rPr>
        <w:t xml:space="preserve">הנחיה </w:t>
      </w:r>
      <w:r w:rsidRPr="00D5021F">
        <w:rPr>
          <w:rFonts w:hint="cs"/>
          <w:rtl/>
        </w:rPr>
        <w:t>1.4.01</w:t>
      </w:r>
      <w:r>
        <w:rPr>
          <w:rFonts w:hint="cs"/>
          <w:rtl/>
        </w:rPr>
        <w:t>,</w:t>
      </w:r>
      <w:r w:rsidRPr="00D5021F">
        <w:rPr>
          <w:rFonts w:hint="cs"/>
          <w:rtl/>
        </w:rPr>
        <w:t xml:space="preserve"> </w:t>
      </w:r>
      <w:r w:rsidRPr="00D5021F">
        <w:rPr>
          <w:rtl/>
        </w:rPr>
        <w:t>"מחזור חיי מערכת תקשוב".</w:t>
      </w:r>
    </w:p>
  </w:footnote>
  <w:footnote w:id="54">
    <w:p w:rsidR="009600C6" w:rsidP="003B5D33">
      <w:pPr>
        <w:pStyle w:val="FootnoteText"/>
      </w:pPr>
      <w:r>
        <w:rPr>
          <w:rStyle w:val="FootnoteReference1"/>
        </w:rPr>
        <w:footnoteRef/>
      </w:r>
      <w:r>
        <w:rPr>
          <w:rtl/>
        </w:rPr>
        <w:t xml:space="preserve"> </w:t>
      </w:r>
      <w:r>
        <w:rPr>
          <w:rtl/>
        </w:rPr>
        <w:tab/>
      </w:r>
      <w:r>
        <w:rPr>
          <w:rFonts w:hint="cs"/>
          <w:rtl/>
        </w:rPr>
        <w:t xml:space="preserve">ראו סעיף 8.3 </w:t>
      </w:r>
      <w:r w:rsidRPr="00D5021F">
        <w:rPr>
          <w:rFonts w:hint="cs"/>
          <w:rtl/>
        </w:rPr>
        <w:t>בהנחיה 1.4.9</w:t>
      </w:r>
      <w:r>
        <w:rPr>
          <w:rFonts w:hint="cs"/>
          <w:rtl/>
        </w:rPr>
        <w:t>,</w:t>
      </w:r>
      <w:r w:rsidRPr="00D5021F">
        <w:rPr>
          <w:rFonts w:hint="cs"/>
          <w:rtl/>
        </w:rPr>
        <w:t xml:space="preserve"> </w:t>
      </w:r>
      <w:r w:rsidRPr="00D5021F">
        <w:rPr>
          <w:rtl/>
        </w:rPr>
        <w:t>"אמידה ובקרת עלויות במחזור חיי מערכת תקשוב".</w:t>
      </w:r>
    </w:p>
  </w:footnote>
  <w:footnote w:id="55">
    <w:p w:rsidR="009600C6" w:rsidP="003B5D33">
      <w:pPr>
        <w:pStyle w:val="FootnoteText"/>
      </w:pPr>
      <w:r>
        <w:rPr>
          <w:rStyle w:val="FootnoteReference1"/>
        </w:rPr>
        <w:footnoteRef/>
      </w:r>
      <w:r>
        <w:rPr>
          <w:rtl/>
        </w:rPr>
        <w:t xml:space="preserve"> </w:t>
      </w:r>
      <w:r>
        <w:rPr>
          <w:rtl/>
        </w:rPr>
        <w:tab/>
      </w:r>
      <w:r>
        <w:rPr>
          <w:rFonts w:hint="cs"/>
          <w:rtl/>
        </w:rPr>
        <w:t>יחד עם אומדן העלות.</w:t>
      </w:r>
    </w:p>
  </w:footnote>
  <w:footnote w:id="56">
    <w:p w:rsidR="009600C6" w:rsidRPr="0096511F" w:rsidP="003B5D33">
      <w:pPr>
        <w:pStyle w:val="FootnoteText"/>
        <w:rPr>
          <w:rtl/>
        </w:rPr>
      </w:pPr>
      <w:r>
        <w:rPr>
          <w:rStyle w:val="FootnoteReference1"/>
        </w:rPr>
        <w:footnoteRef/>
      </w:r>
      <w:r>
        <w:rPr>
          <w:rtl/>
        </w:rPr>
        <w:t xml:space="preserve"> </w:t>
      </w:r>
      <w:r>
        <w:rPr>
          <w:rtl/>
        </w:rPr>
        <w:tab/>
      </w:r>
      <w:r w:rsidRPr="0096511F">
        <w:rPr>
          <w:rtl/>
        </w:rPr>
        <w:t>ב</w:t>
      </w:r>
      <w:r>
        <w:rPr>
          <w:rFonts w:hint="cs"/>
          <w:rtl/>
        </w:rPr>
        <w:t xml:space="preserve">כל </w:t>
      </w:r>
      <w:r w:rsidRPr="0096511F">
        <w:rPr>
          <w:rtl/>
        </w:rPr>
        <w:t>פרויקט רגיל שאינו הרחבת מערכת ובכל פרויקט מורכב</w:t>
      </w:r>
      <w:r>
        <w:rPr>
          <w:rFonts w:hint="cs"/>
          <w:rtl/>
        </w:rPr>
        <w:t xml:space="preserve">. ראו סעיף 10 </w:t>
      </w:r>
      <w:r w:rsidRPr="00D5021F">
        <w:rPr>
          <w:rFonts w:hint="cs"/>
          <w:rtl/>
        </w:rPr>
        <w:t>בהנחיה 1.4.02</w:t>
      </w:r>
      <w:r>
        <w:rPr>
          <w:rFonts w:hint="cs"/>
          <w:rtl/>
        </w:rPr>
        <w:t>,</w:t>
      </w:r>
      <w:r w:rsidRPr="00D5021F">
        <w:rPr>
          <w:rFonts w:hint="cs"/>
          <w:rtl/>
        </w:rPr>
        <w:t xml:space="preserve"> "</w:t>
      </w:r>
      <w:r w:rsidRPr="00D5021F">
        <w:rPr>
          <w:rtl/>
        </w:rPr>
        <w:t>שלב הייזום ושער הכניסה לפרויקט תקשוב</w:t>
      </w:r>
      <w:r w:rsidRPr="00D5021F">
        <w:rPr>
          <w:rFonts w:hint="cs"/>
          <w:rtl/>
        </w:rPr>
        <w:t>"</w:t>
      </w:r>
      <w:r w:rsidRPr="00D5021F">
        <w:rPr>
          <w:rtl/>
        </w:rPr>
        <w:t>.</w:t>
      </w:r>
    </w:p>
  </w:footnote>
  <w:footnote w:id="57">
    <w:p w:rsidR="009600C6" w:rsidP="003B5D33">
      <w:pPr>
        <w:pStyle w:val="FootnoteText"/>
      </w:pPr>
      <w:r>
        <w:rPr>
          <w:rStyle w:val="FootnoteReference1"/>
        </w:rPr>
        <w:footnoteRef/>
      </w:r>
      <w:r>
        <w:rPr>
          <w:rtl/>
        </w:rPr>
        <w:t xml:space="preserve"> </w:t>
      </w:r>
      <w:r>
        <w:rPr>
          <w:rtl/>
        </w:rPr>
        <w:tab/>
      </w:r>
      <w:r>
        <w:rPr>
          <w:rFonts w:hint="cs"/>
          <w:rtl/>
        </w:rPr>
        <w:t xml:space="preserve">ראו </w:t>
      </w:r>
      <w:r w:rsidRPr="00D5021F">
        <w:rPr>
          <w:rFonts w:hint="cs"/>
          <w:rtl/>
        </w:rPr>
        <w:t>נוהל 00-01-00</w:t>
      </w:r>
      <w:r>
        <w:rPr>
          <w:rFonts w:hint="cs"/>
          <w:rtl/>
        </w:rPr>
        <w:t>,</w:t>
      </w:r>
      <w:r w:rsidRPr="00D5021F">
        <w:rPr>
          <w:rFonts w:hint="cs"/>
          <w:rtl/>
        </w:rPr>
        <w:t xml:space="preserve"> "ב</w:t>
      </w:r>
      <w:r w:rsidRPr="00D5021F">
        <w:rPr>
          <w:rtl/>
        </w:rPr>
        <w:t>קרת מתודולוגיה פרויקט פיתוח</w:t>
      </w:r>
      <w:r w:rsidRPr="00D5021F">
        <w:rPr>
          <w:rFonts w:hint="cs"/>
          <w:rtl/>
        </w:rPr>
        <w:t>"</w:t>
      </w:r>
      <w:r w:rsidRPr="00D5021F">
        <w:rPr>
          <w:rtl/>
        </w:rPr>
        <w:t>.</w:t>
      </w:r>
    </w:p>
  </w:footnote>
  <w:footnote w:id="58">
    <w:p w:rsidR="009600C6" w:rsidP="003B5D33">
      <w:pPr>
        <w:pStyle w:val="FootnoteText"/>
        <w:rPr>
          <w:rtl/>
        </w:rPr>
      </w:pPr>
      <w:r>
        <w:rPr>
          <w:rStyle w:val="FootnoteReference1"/>
        </w:rPr>
        <w:footnoteRef/>
      </w:r>
      <w:r>
        <w:rPr>
          <w:rtl/>
        </w:rPr>
        <w:t xml:space="preserve"> </w:t>
      </w:r>
      <w:r>
        <w:rPr>
          <w:rtl/>
        </w:rPr>
        <w:tab/>
      </w:r>
      <w:r>
        <w:rPr>
          <w:rFonts w:hint="cs"/>
          <w:rtl/>
        </w:rPr>
        <w:t xml:space="preserve">ראו סעיף 3.3 </w:t>
      </w:r>
      <w:r w:rsidRPr="00D5021F">
        <w:rPr>
          <w:rFonts w:hint="cs"/>
          <w:rtl/>
        </w:rPr>
        <w:t>בנוהל 01-01-00</w:t>
      </w:r>
      <w:r>
        <w:rPr>
          <w:rFonts w:hint="cs"/>
          <w:rtl/>
        </w:rPr>
        <w:t>,</w:t>
      </w:r>
      <w:r w:rsidRPr="00D5021F">
        <w:rPr>
          <w:rFonts w:hint="cs"/>
          <w:rtl/>
        </w:rPr>
        <w:t xml:space="preserve"> "ייזום מערכת מידע"</w:t>
      </w:r>
      <w:r w:rsidRPr="00D5021F">
        <w:rPr>
          <w:rtl/>
        </w:rPr>
        <w:t>.</w:t>
      </w:r>
    </w:p>
  </w:footnote>
  <w:footnote w:id="59">
    <w:p w:rsidR="009600C6" w:rsidP="003B5D33">
      <w:pPr>
        <w:pStyle w:val="FootnoteText"/>
      </w:pPr>
      <w:r>
        <w:rPr>
          <w:rStyle w:val="FootnoteReference1"/>
        </w:rPr>
        <w:footnoteRef/>
      </w:r>
      <w:r>
        <w:rPr>
          <w:rtl/>
        </w:rPr>
        <w:t xml:space="preserve"> </w:t>
      </w:r>
      <w:r>
        <w:rPr>
          <w:rtl/>
        </w:rPr>
        <w:tab/>
      </w:r>
      <w:r>
        <w:rPr>
          <w:rFonts w:hint="cs"/>
          <w:rtl/>
        </w:rPr>
        <w:t xml:space="preserve">ראו סעיף 3.3.1 </w:t>
      </w:r>
      <w:r w:rsidRPr="00D5021F">
        <w:rPr>
          <w:rFonts w:hint="cs"/>
          <w:rtl/>
        </w:rPr>
        <w:t>בנוהל 01-05-00</w:t>
      </w:r>
      <w:r>
        <w:rPr>
          <w:rFonts w:hint="cs"/>
          <w:rtl/>
        </w:rPr>
        <w:t>,</w:t>
      </w:r>
      <w:r w:rsidRPr="00D5021F">
        <w:rPr>
          <w:rFonts w:hint="cs"/>
          <w:rtl/>
        </w:rPr>
        <w:t xml:space="preserve"> </w:t>
      </w:r>
      <w:r w:rsidRPr="00D5021F">
        <w:rPr>
          <w:rtl/>
        </w:rPr>
        <w:t>"עלי</w:t>
      </w:r>
      <w:r w:rsidRPr="00D5021F">
        <w:rPr>
          <w:rFonts w:hint="cs"/>
          <w:rtl/>
        </w:rPr>
        <w:t>י</w:t>
      </w:r>
      <w:r w:rsidRPr="00D5021F">
        <w:rPr>
          <w:rtl/>
        </w:rPr>
        <w:t>ה לאוויר מערכת מידע".</w:t>
      </w:r>
    </w:p>
  </w:footnote>
  <w:footnote w:id="60">
    <w:p w:rsidR="009600C6" w:rsidP="003B5D33">
      <w:pPr>
        <w:pStyle w:val="FootnoteText"/>
        <w:rPr>
          <w:rtl/>
        </w:rPr>
      </w:pPr>
      <w:r>
        <w:rPr>
          <w:rStyle w:val="FootnoteReference1"/>
        </w:rPr>
        <w:footnoteRef/>
      </w:r>
      <w:r>
        <w:rPr>
          <w:rtl/>
        </w:rPr>
        <w:t xml:space="preserve"> </w:t>
      </w:r>
      <w:r>
        <w:rPr>
          <w:rtl/>
        </w:rPr>
        <w:tab/>
      </w:r>
      <w:r>
        <w:rPr>
          <w:rFonts w:hint="cs"/>
          <w:rtl/>
        </w:rPr>
        <w:t xml:space="preserve">ראו סעיף 1.4 </w:t>
      </w:r>
      <w:r w:rsidRPr="00D5021F">
        <w:rPr>
          <w:rFonts w:hint="cs"/>
          <w:rtl/>
        </w:rPr>
        <w:t>בנוהל 01-01-00</w:t>
      </w:r>
      <w:r>
        <w:rPr>
          <w:rFonts w:hint="cs"/>
          <w:rtl/>
        </w:rPr>
        <w:t>,</w:t>
      </w:r>
      <w:r w:rsidRPr="00D5021F">
        <w:rPr>
          <w:rFonts w:hint="cs"/>
          <w:rtl/>
        </w:rPr>
        <w:t xml:space="preserve"> "ייזום מערכת מידע"</w:t>
      </w:r>
      <w:r w:rsidRPr="00D5021F">
        <w:rPr>
          <w:rtl/>
        </w:rPr>
        <w:t>.</w:t>
      </w:r>
    </w:p>
  </w:footnote>
  <w:footnote w:id="61">
    <w:p w:rsidR="009600C6" w:rsidRPr="000A1A5F" w:rsidP="003B5D33">
      <w:pPr>
        <w:pStyle w:val="FootnoteText"/>
      </w:pPr>
      <w:r>
        <w:rPr>
          <w:rStyle w:val="FootnoteReference1"/>
        </w:rPr>
        <w:footnoteRef/>
      </w:r>
      <w:r>
        <w:rPr>
          <w:rtl/>
        </w:rPr>
        <w:t xml:space="preserve"> </w:t>
      </w:r>
      <w:r>
        <w:rPr>
          <w:rtl/>
        </w:rPr>
        <w:tab/>
      </w:r>
      <w:r>
        <w:rPr>
          <w:rFonts w:hint="cs"/>
          <w:rtl/>
        </w:rPr>
        <w:t xml:space="preserve">ראו סעיף 1.4.1 </w:t>
      </w:r>
      <w:r w:rsidRPr="00D5021F">
        <w:rPr>
          <w:rFonts w:hint="cs"/>
          <w:rtl/>
        </w:rPr>
        <w:t>בנוהל 01-02-05</w:t>
      </w:r>
      <w:r>
        <w:rPr>
          <w:rFonts w:hint="cs"/>
          <w:rtl/>
        </w:rPr>
        <w:t>,</w:t>
      </w:r>
      <w:r w:rsidRPr="00D5021F">
        <w:rPr>
          <w:rFonts w:hint="cs"/>
          <w:rtl/>
        </w:rPr>
        <w:t xml:space="preserve"> </w:t>
      </w:r>
      <w:r w:rsidRPr="00D5021F">
        <w:rPr>
          <w:rtl/>
        </w:rPr>
        <w:t>"ניהול פרויקט פיתוח מערכת מידע".</w:t>
      </w:r>
    </w:p>
  </w:footnote>
  <w:footnote w:id="62">
    <w:p w:rsidR="009600C6" w:rsidP="003B5D33">
      <w:pPr>
        <w:pStyle w:val="FootnoteText"/>
        <w:rPr>
          <w:rtl/>
        </w:rPr>
      </w:pPr>
      <w:r>
        <w:rPr>
          <w:rStyle w:val="FootnoteReference1"/>
        </w:rPr>
        <w:footnoteRef/>
      </w:r>
      <w:r>
        <w:rPr>
          <w:rtl/>
        </w:rPr>
        <w:t xml:space="preserve"> </w:t>
      </w:r>
      <w:r>
        <w:rPr>
          <w:rtl/>
        </w:rPr>
        <w:tab/>
      </w:r>
      <w:r>
        <w:rPr>
          <w:rFonts w:hint="cs"/>
          <w:rtl/>
        </w:rPr>
        <w:t>מלבד ביצוע (בחלק מהמקרים) של ה</w:t>
      </w:r>
      <w:r w:rsidRPr="00F20158">
        <w:rPr>
          <w:rtl/>
        </w:rPr>
        <w:t>בדיקות</w:t>
      </w:r>
      <w:r>
        <w:rPr>
          <w:rFonts w:hint="cs"/>
          <w:rtl/>
        </w:rPr>
        <w:t xml:space="preserve"> ה</w:t>
      </w:r>
      <w:r w:rsidRPr="00F20158">
        <w:rPr>
          <w:rtl/>
        </w:rPr>
        <w:t>פונקציונליות</w:t>
      </w:r>
      <w:r>
        <w:rPr>
          <w:rFonts w:hint="cs"/>
          <w:rtl/>
        </w:rPr>
        <w:t xml:space="preserve"> (</w:t>
      </w:r>
      <w:r>
        <w:t>- Quality Check</w:t>
      </w:r>
      <w:r w:rsidRPr="00F20158">
        <w:rPr>
          <w:rtl/>
        </w:rPr>
        <w:t xml:space="preserve"> </w:t>
      </w:r>
      <w:r>
        <w:rPr>
          <w:rFonts w:hint="cs"/>
        </w:rPr>
        <w:t>QC</w:t>
      </w:r>
      <w:r>
        <w:rPr>
          <w:rFonts w:hint="cs"/>
          <w:rtl/>
        </w:rPr>
        <w:t xml:space="preserve">), שתפקידן לבדוק את </w:t>
      </w:r>
      <w:r w:rsidRPr="00F20158">
        <w:rPr>
          <w:rtl/>
        </w:rPr>
        <w:t xml:space="preserve">הפעולות והלוגיקה של </w:t>
      </w:r>
      <w:r>
        <w:rPr>
          <w:rFonts w:hint="cs"/>
          <w:rtl/>
        </w:rPr>
        <w:t>התוכנה ו</w:t>
      </w:r>
      <w:r w:rsidRPr="00F20158">
        <w:rPr>
          <w:rtl/>
        </w:rPr>
        <w:t>לוודא שה</w:t>
      </w:r>
      <w:r>
        <w:rPr>
          <w:rFonts w:hint="cs"/>
          <w:rtl/>
        </w:rPr>
        <w:t xml:space="preserve">התנהגות </w:t>
      </w:r>
      <w:r w:rsidRPr="00F20158">
        <w:rPr>
          <w:rtl/>
        </w:rPr>
        <w:t>בהתאם לדרישות העסקיות.</w:t>
      </w:r>
      <w:r>
        <w:rPr>
          <w:rFonts w:hint="cs"/>
          <w:rtl/>
        </w:rPr>
        <w:t xml:space="preserve"> בדיקות אלה מבוצעות על ידי מחלקת </w:t>
      </w:r>
      <w:r>
        <w:rPr>
          <w:rFonts w:hint="cs"/>
        </w:rPr>
        <w:t>QA</w:t>
      </w:r>
      <w:r>
        <w:rPr>
          <w:rFonts w:hint="cs"/>
          <w:rtl/>
        </w:rPr>
        <w:t xml:space="preserve"> שבאגף התקשוב.</w:t>
      </w:r>
    </w:p>
  </w:footnote>
  <w:footnote w:id="63">
    <w:p w:rsidR="009600C6" w:rsidRPr="00BB2227" w:rsidP="003B5D33">
      <w:pPr>
        <w:pStyle w:val="FootnoteText"/>
        <w:rPr>
          <w:rtl/>
        </w:rPr>
      </w:pPr>
      <w:r>
        <w:rPr>
          <w:rStyle w:val="FootnoteReference1"/>
        </w:rPr>
        <w:footnoteRef/>
      </w:r>
      <w:r>
        <w:rPr>
          <w:rtl/>
        </w:rPr>
        <w:t xml:space="preserve"> </w:t>
      </w:r>
      <w:r>
        <w:rPr>
          <w:rtl/>
        </w:rPr>
        <w:tab/>
      </w:r>
      <w:r>
        <w:rPr>
          <w:rFonts w:hint="cs"/>
          <w:rtl/>
        </w:rPr>
        <w:t>תפקידו לפי מילון ה</w:t>
      </w:r>
      <w:r w:rsidRPr="00BB2227">
        <w:rPr>
          <w:rtl/>
        </w:rPr>
        <w:t xml:space="preserve">מונחים </w:t>
      </w:r>
      <w:r>
        <w:rPr>
          <w:rFonts w:hint="cs"/>
          <w:rtl/>
        </w:rPr>
        <w:t xml:space="preserve">של </w:t>
      </w:r>
      <w:r w:rsidRPr="00BB2227">
        <w:rPr>
          <w:rtl/>
        </w:rPr>
        <w:t>מערך הדיגיטל</w:t>
      </w:r>
      <w:r>
        <w:rPr>
          <w:rFonts w:hint="cs"/>
          <w:rtl/>
        </w:rPr>
        <w:t xml:space="preserve"> </w:t>
      </w:r>
      <w:r w:rsidRPr="00BB2227">
        <w:rPr>
          <w:rtl/>
        </w:rPr>
        <w:t>הלאומ</w:t>
      </w:r>
      <w:r>
        <w:rPr>
          <w:rFonts w:hint="cs"/>
          <w:rtl/>
        </w:rPr>
        <w:t xml:space="preserve">י: </w:t>
      </w:r>
      <w:r w:rsidRPr="00BB2227">
        <w:rPr>
          <w:rtl/>
        </w:rPr>
        <w:t xml:space="preserve">אחראי לתכנון, </w:t>
      </w:r>
      <w:r>
        <w:rPr>
          <w:rFonts w:hint="cs"/>
          <w:rtl/>
        </w:rPr>
        <w:t>ל</w:t>
      </w:r>
      <w:r w:rsidRPr="00BB2227">
        <w:rPr>
          <w:rtl/>
        </w:rPr>
        <w:t>בקרה ו</w:t>
      </w:r>
      <w:r>
        <w:rPr>
          <w:rFonts w:hint="cs"/>
          <w:rtl/>
        </w:rPr>
        <w:t>ל</w:t>
      </w:r>
      <w:r w:rsidRPr="00BB2227">
        <w:rPr>
          <w:rtl/>
        </w:rPr>
        <w:t>מתודולוגיות של פונקציית ניהול הפרויקטים בארגון או ביחידה עסקית. עוסק בפיתוח ויישום פתרונות וכלים בתחום תכנון ובקרת פרויקטים, פיתוח</w:t>
      </w:r>
      <w:r>
        <w:rPr>
          <w:rFonts w:hint="cs"/>
          <w:rtl/>
        </w:rPr>
        <w:t>,</w:t>
      </w:r>
      <w:r w:rsidRPr="00BB2227">
        <w:rPr>
          <w:rtl/>
        </w:rPr>
        <w:t xml:space="preserve"> הטמעה ושיפור </w:t>
      </w:r>
      <w:r>
        <w:rPr>
          <w:rFonts w:hint="cs"/>
          <w:rtl/>
        </w:rPr>
        <w:t xml:space="preserve">של </w:t>
      </w:r>
      <w:r w:rsidRPr="00BB2227">
        <w:rPr>
          <w:rtl/>
        </w:rPr>
        <w:t>תהליכי ניהול פרויקטים, התאמה והטמעה של כלים לניהול פרויקטים ובקרתם,</w:t>
      </w:r>
      <w:r>
        <w:rPr>
          <w:rFonts w:hint="cs"/>
          <w:rtl/>
        </w:rPr>
        <w:t xml:space="preserve"> </w:t>
      </w:r>
      <w:r w:rsidRPr="00BB2227">
        <w:rPr>
          <w:rtl/>
        </w:rPr>
        <w:t>ליווי מנהלי הפרויקטים, בניית תוכניות עבודה ובחינת תכנון מול ביצוע.</w:t>
      </w:r>
      <w:r>
        <w:rPr>
          <w:rFonts w:hint="cs"/>
          <w:rtl/>
        </w:rPr>
        <w:t xml:space="preserve"> ראו בקישור: </w:t>
      </w:r>
      <w:r w:rsidRPr="00D5021F">
        <w:t>www.gov.il/he/departments/dynamiccollectors/glossary-of-terms-government-ict-authority</w:t>
      </w:r>
    </w:p>
  </w:footnote>
  <w:footnote w:id="64">
    <w:p w:rsidR="009600C6" w:rsidP="003B5D33">
      <w:pPr>
        <w:pStyle w:val="FootnoteText"/>
      </w:pPr>
      <w:r>
        <w:rPr>
          <w:rStyle w:val="FootnoteReference1"/>
        </w:rPr>
        <w:footnoteRef/>
      </w:r>
      <w:r>
        <w:rPr>
          <w:rtl/>
        </w:rPr>
        <w:t xml:space="preserve"> </w:t>
      </w:r>
      <w:r>
        <w:rPr>
          <w:rtl/>
        </w:rPr>
        <w:tab/>
      </w:r>
      <w:r w:rsidRPr="00A903B4">
        <w:rPr>
          <w:rtl/>
        </w:rPr>
        <w:t>תרשי</w:t>
      </w:r>
      <w:r>
        <w:rPr>
          <w:rFonts w:hint="cs"/>
          <w:rtl/>
        </w:rPr>
        <w:t>מים</w:t>
      </w:r>
      <w:r w:rsidRPr="00A903B4">
        <w:rPr>
          <w:rtl/>
        </w:rPr>
        <w:t xml:space="preserve"> המשמש</w:t>
      </w:r>
      <w:r>
        <w:rPr>
          <w:rFonts w:hint="cs"/>
          <w:rtl/>
        </w:rPr>
        <w:t>ים בפרויקטים</w:t>
      </w:r>
      <w:r w:rsidRPr="00A903B4">
        <w:rPr>
          <w:rtl/>
        </w:rPr>
        <w:t xml:space="preserve"> לתיאור פעילויות עם הקשרים ביניהן </w:t>
      </w:r>
      <w:r>
        <w:rPr>
          <w:rFonts w:hint="cs"/>
          <w:rtl/>
        </w:rPr>
        <w:t>וצ</w:t>
      </w:r>
      <w:r w:rsidRPr="00A903B4">
        <w:rPr>
          <w:rtl/>
        </w:rPr>
        <w:t xml:space="preserve">יון הזמן של כל </w:t>
      </w:r>
      <w:r>
        <w:rPr>
          <w:rFonts w:hint="cs"/>
          <w:rtl/>
        </w:rPr>
        <w:t>אחת מה</w:t>
      </w:r>
      <w:r w:rsidRPr="00A903B4">
        <w:rPr>
          <w:rtl/>
        </w:rPr>
        <w:t>פעילו</w:t>
      </w:r>
      <w:r>
        <w:rPr>
          <w:rFonts w:hint="cs"/>
          <w:rtl/>
        </w:rPr>
        <w:t>יו</w:t>
      </w:r>
      <w:r w:rsidRPr="00A903B4">
        <w:rPr>
          <w:rtl/>
        </w:rPr>
        <w:t>ת.</w:t>
      </w:r>
    </w:p>
  </w:footnote>
  <w:footnote w:id="65">
    <w:p w:rsidR="009600C6" w:rsidP="003B5D33">
      <w:pPr>
        <w:pStyle w:val="FootnoteText"/>
      </w:pPr>
      <w:r>
        <w:rPr>
          <w:rStyle w:val="FootnoteReference1"/>
        </w:rPr>
        <w:footnoteRef/>
      </w:r>
      <w:r>
        <w:rPr>
          <w:rtl/>
        </w:rPr>
        <w:t xml:space="preserve"> </w:t>
      </w:r>
      <w:r>
        <w:rPr>
          <w:rtl/>
        </w:rPr>
        <w:tab/>
      </w:r>
      <w:r w:rsidRPr="00500B06">
        <w:rPr>
          <w:rFonts w:hint="cs"/>
          <w:rtl/>
        </w:rPr>
        <w:t xml:space="preserve">ראו </w:t>
      </w:r>
      <w:r>
        <w:rPr>
          <w:rtl/>
        </w:rPr>
        <w:t>סעיף</w:t>
      </w:r>
      <w:r w:rsidRPr="00500B06">
        <w:rPr>
          <w:rtl/>
        </w:rPr>
        <w:t xml:space="preserve"> 4.1 וס</w:t>
      </w:r>
      <w:r>
        <w:rPr>
          <w:rFonts w:hint="cs"/>
          <w:rtl/>
        </w:rPr>
        <w:t>עיף</w:t>
      </w:r>
      <w:r w:rsidRPr="00500B06">
        <w:rPr>
          <w:rtl/>
        </w:rPr>
        <w:t xml:space="preserve"> 7</w:t>
      </w:r>
      <w:r>
        <w:rPr>
          <w:rFonts w:hint="cs"/>
          <w:rtl/>
        </w:rPr>
        <w:t xml:space="preserve"> </w:t>
      </w:r>
      <w:r w:rsidRPr="004E6FF7">
        <w:rPr>
          <w:rFonts w:hint="cs"/>
          <w:rtl/>
        </w:rPr>
        <w:t>בה</w:t>
      </w:r>
      <w:r w:rsidRPr="004E6FF7">
        <w:rPr>
          <w:rtl/>
        </w:rPr>
        <w:t>נחיה</w:t>
      </w:r>
      <w:r w:rsidRPr="004E6FF7">
        <w:rPr>
          <w:rFonts w:hint="cs"/>
          <w:rtl/>
        </w:rPr>
        <w:t xml:space="preserve"> 1.4.07</w:t>
      </w:r>
      <w:r>
        <w:rPr>
          <w:rFonts w:hint="cs"/>
          <w:rtl/>
        </w:rPr>
        <w:t>,</w:t>
      </w:r>
      <w:r w:rsidRPr="004E6FF7">
        <w:rPr>
          <w:rFonts w:hint="cs"/>
          <w:rtl/>
        </w:rPr>
        <w:t xml:space="preserve"> "</w:t>
      </w:r>
      <w:r w:rsidRPr="004E6FF7">
        <w:rPr>
          <w:rtl/>
        </w:rPr>
        <w:t>שער עלייה לאוויר בפרויקט תקשוב</w:t>
      </w:r>
      <w:r w:rsidRPr="004E6FF7">
        <w:rPr>
          <w:rFonts w:hint="cs"/>
          <w:rtl/>
        </w:rPr>
        <w:t>".</w:t>
      </w:r>
    </w:p>
  </w:footnote>
  <w:footnote w:id="66">
    <w:p w:rsidR="009600C6" w:rsidP="003B5D33">
      <w:pPr>
        <w:pStyle w:val="FootnoteText"/>
      </w:pPr>
      <w:r>
        <w:rPr>
          <w:rStyle w:val="FootnoteReference1"/>
        </w:rPr>
        <w:footnoteRef/>
      </w:r>
      <w:r>
        <w:rPr>
          <w:rtl/>
        </w:rPr>
        <w:t xml:space="preserve"> </w:t>
      </w:r>
      <w:r>
        <w:rPr>
          <w:rtl/>
        </w:rPr>
        <w:tab/>
      </w:r>
      <w:r>
        <w:rPr>
          <w:rFonts w:hint="cs"/>
          <w:rtl/>
        </w:rPr>
        <w:t xml:space="preserve">הגדרה </w:t>
      </w:r>
      <w:r w:rsidRPr="004E6FF7">
        <w:rPr>
          <w:rFonts w:hint="cs"/>
          <w:rtl/>
        </w:rPr>
        <w:t>בנוהל מפת"ח</w:t>
      </w:r>
      <w:r>
        <w:rPr>
          <w:rFonts w:hint="cs"/>
          <w:rtl/>
        </w:rPr>
        <w:t xml:space="preserve">: </w:t>
      </w:r>
      <w:r w:rsidRPr="00EF129F">
        <w:rPr>
          <w:rtl/>
        </w:rPr>
        <w:t>בחינת מוכנות גרסה לתחילת סבב בדיקות חדש, תקינות בסיסית של מערכת לאחר</w:t>
      </w:r>
      <w:r>
        <w:rPr>
          <w:rFonts w:hint="cs"/>
          <w:rtl/>
        </w:rPr>
        <w:t xml:space="preserve"> </w:t>
      </w:r>
      <w:r w:rsidRPr="00EF129F">
        <w:rPr>
          <w:rtl/>
        </w:rPr>
        <w:t>התקנתה (בסביבת הבדיקות או באתר הייצור), בדיקת מוכנות סביבת הבדיקות עצמה</w:t>
      </w:r>
      <w:r>
        <w:rPr>
          <w:rFonts w:hint="cs"/>
          <w:rtl/>
        </w:rPr>
        <w:t>.</w:t>
      </w:r>
    </w:p>
  </w:footnote>
  <w:footnote w:id="67">
    <w:p w:rsidR="009600C6" w:rsidP="003B5D33">
      <w:pPr>
        <w:pStyle w:val="FootnoteText"/>
      </w:pPr>
      <w:r>
        <w:rPr>
          <w:rStyle w:val="FootnoteReference1"/>
        </w:rPr>
        <w:footnoteRef/>
      </w:r>
      <w:r>
        <w:rPr>
          <w:rtl/>
        </w:rPr>
        <w:t xml:space="preserve"> </w:t>
      </w:r>
      <w:r>
        <w:rPr>
          <w:rtl/>
        </w:rPr>
        <w:tab/>
      </w:r>
      <w:r>
        <w:rPr>
          <w:rFonts w:hint="cs"/>
          <w:rtl/>
        </w:rPr>
        <w:t xml:space="preserve">הגדרה </w:t>
      </w:r>
      <w:r w:rsidRPr="004E6FF7">
        <w:rPr>
          <w:rFonts w:hint="cs"/>
          <w:rtl/>
        </w:rPr>
        <w:t>בנוהל מפת"ח</w:t>
      </w:r>
      <w:r>
        <w:rPr>
          <w:rFonts w:hint="cs"/>
          <w:rtl/>
        </w:rPr>
        <w:t xml:space="preserve">: </w:t>
      </w:r>
      <w:r w:rsidRPr="00EF129F">
        <w:rPr>
          <w:rtl/>
        </w:rPr>
        <w:t>בדיקות מסירה של מערכת המפותחת ע</w:t>
      </w:r>
      <w:r>
        <w:rPr>
          <w:rFonts w:hint="cs"/>
          <w:rtl/>
        </w:rPr>
        <w:t>ל ידי</w:t>
      </w:r>
      <w:r w:rsidRPr="00EF129F">
        <w:rPr>
          <w:rtl/>
        </w:rPr>
        <w:t xml:space="preserve"> גורם חיצוני</w:t>
      </w:r>
      <w:r>
        <w:rPr>
          <w:rFonts w:hint="cs"/>
          <w:rtl/>
        </w:rPr>
        <w:t xml:space="preserve"> -</w:t>
      </w:r>
      <w:r w:rsidRPr="00EF129F">
        <w:rPr>
          <w:rtl/>
        </w:rPr>
        <w:t xml:space="preserve"> </w:t>
      </w:r>
      <w:r w:rsidRPr="00EF129F">
        <w:t>Factory Acceptance Test</w:t>
      </w:r>
      <w:r w:rsidRPr="00EF129F">
        <w:rPr>
          <w:rtl/>
        </w:rPr>
        <w:t>. זוהי הבדיקה הסופית ו</w:t>
      </w:r>
      <w:r>
        <w:rPr>
          <w:rFonts w:hint="cs"/>
          <w:rtl/>
        </w:rPr>
        <w:t>ה</w:t>
      </w:r>
      <w:r w:rsidRPr="00EF129F">
        <w:rPr>
          <w:rtl/>
        </w:rPr>
        <w:t>אחרונה לפני בדיקות הקבלה אשר מבוצעות ע</w:t>
      </w:r>
      <w:r>
        <w:rPr>
          <w:rFonts w:hint="cs"/>
          <w:rtl/>
        </w:rPr>
        <w:t>ל ידי</w:t>
      </w:r>
      <w:r w:rsidRPr="00EF129F">
        <w:rPr>
          <w:rtl/>
        </w:rPr>
        <w:t xml:space="preserve"> הלקוח</w:t>
      </w:r>
      <w:r>
        <w:rPr>
          <w:rFonts w:hint="cs"/>
          <w:rtl/>
        </w:rPr>
        <w:t>.</w:t>
      </w:r>
    </w:p>
  </w:footnote>
  <w:footnote w:id="68">
    <w:p w:rsidR="009600C6" w:rsidP="003B5D33">
      <w:pPr>
        <w:pStyle w:val="FootnoteText"/>
      </w:pPr>
      <w:r>
        <w:rPr>
          <w:rStyle w:val="FootnoteReference1"/>
        </w:rPr>
        <w:footnoteRef/>
      </w:r>
      <w:r>
        <w:rPr>
          <w:rtl/>
        </w:rPr>
        <w:t xml:space="preserve"> </w:t>
      </w:r>
      <w:r>
        <w:rPr>
          <w:rtl/>
        </w:rPr>
        <w:tab/>
      </w:r>
      <w:r>
        <w:rPr>
          <w:rFonts w:hint="cs"/>
          <w:rtl/>
        </w:rPr>
        <w:t xml:space="preserve">הגדרה </w:t>
      </w:r>
      <w:r w:rsidRPr="004E6FF7">
        <w:rPr>
          <w:rFonts w:hint="cs"/>
          <w:rtl/>
        </w:rPr>
        <w:t>בנוהל מפת"ח</w:t>
      </w:r>
      <w:r>
        <w:rPr>
          <w:rFonts w:hint="cs"/>
          <w:rtl/>
        </w:rPr>
        <w:t xml:space="preserve">: </w:t>
      </w:r>
      <w:r>
        <w:rPr>
          <w:rtl/>
        </w:rPr>
        <w:t>בדיקות קבלה מבוצעות על ידי הלקוח ונציגיו (משתמשי קצה) לאחר סיום מוצלח של בדיקות המערכת.</w:t>
      </w:r>
      <w:r>
        <w:rPr>
          <w:rFonts w:hint="cs"/>
          <w:rtl/>
        </w:rPr>
        <w:t xml:space="preserve"> </w:t>
      </w:r>
      <w:r>
        <w:rPr>
          <w:rtl/>
        </w:rPr>
        <w:t>מטרתן לוודא התאמת המערכת לצרכים (</w:t>
      </w:r>
      <w:r>
        <w:t>Validation</w:t>
      </w:r>
      <w:r>
        <w:rPr>
          <w:rtl/>
        </w:rPr>
        <w:t>) ולדרישות שהוגדרו במשימת הפרויקט</w:t>
      </w:r>
      <w:r>
        <w:rPr>
          <w:rFonts w:hint="cs"/>
          <w:rtl/>
        </w:rPr>
        <w:t>.</w:t>
      </w:r>
    </w:p>
  </w:footnote>
  <w:footnote w:id="69">
    <w:p w:rsidR="009600C6" w:rsidP="003B5D33">
      <w:pPr>
        <w:pStyle w:val="FootnoteText"/>
        <w:rPr>
          <w:rtl/>
        </w:rPr>
      </w:pPr>
      <w:r>
        <w:rPr>
          <w:rStyle w:val="FootnoteReference1"/>
        </w:rPr>
        <w:footnoteRef/>
      </w:r>
      <w:r>
        <w:rPr>
          <w:rtl/>
        </w:rPr>
        <w:t xml:space="preserve"> </w:t>
      </w:r>
      <w:r>
        <w:rPr>
          <w:rtl/>
        </w:rPr>
        <w:tab/>
      </w:r>
      <w:r w:rsidRPr="00500B06">
        <w:rPr>
          <w:rFonts w:hint="cs"/>
          <w:rtl/>
        </w:rPr>
        <w:t xml:space="preserve">ראו </w:t>
      </w:r>
      <w:r>
        <w:rPr>
          <w:rtl/>
        </w:rPr>
        <w:t>סעיף</w:t>
      </w:r>
      <w:r w:rsidRPr="00500B06">
        <w:rPr>
          <w:rtl/>
        </w:rPr>
        <w:t xml:space="preserve"> </w:t>
      </w:r>
      <w:r>
        <w:rPr>
          <w:rFonts w:hint="cs"/>
          <w:rtl/>
        </w:rPr>
        <w:t xml:space="preserve">6.2 </w:t>
      </w:r>
      <w:r w:rsidRPr="004E6FF7">
        <w:rPr>
          <w:rFonts w:hint="cs"/>
          <w:rtl/>
        </w:rPr>
        <w:t>בה</w:t>
      </w:r>
      <w:r w:rsidRPr="004E6FF7">
        <w:rPr>
          <w:rtl/>
        </w:rPr>
        <w:t>נחיה</w:t>
      </w:r>
      <w:r w:rsidRPr="004E6FF7">
        <w:rPr>
          <w:rFonts w:hint="cs"/>
          <w:rtl/>
        </w:rPr>
        <w:t xml:space="preserve"> 1.4.07</w:t>
      </w:r>
      <w:r>
        <w:rPr>
          <w:rFonts w:hint="cs"/>
          <w:rtl/>
        </w:rPr>
        <w:t>,</w:t>
      </w:r>
      <w:r w:rsidRPr="004E6FF7">
        <w:rPr>
          <w:rFonts w:hint="cs"/>
          <w:rtl/>
        </w:rPr>
        <w:t xml:space="preserve"> "</w:t>
      </w:r>
      <w:r w:rsidRPr="004E6FF7">
        <w:rPr>
          <w:rtl/>
        </w:rPr>
        <w:t>שער עלייה לאוויר בפרויקט תקשוב</w:t>
      </w:r>
      <w:r w:rsidRPr="004E6FF7">
        <w:rPr>
          <w:rFonts w:hint="cs"/>
          <w:rtl/>
        </w:rPr>
        <w:t>".</w:t>
      </w:r>
    </w:p>
  </w:footnote>
  <w:footnote w:id="70">
    <w:p w:rsidR="009600C6" w:rsidP="003B5D33">
      <w:pPr>
        <w:pStyle w:val="FootnoteText"/>
        <w:rPr>
          <w:rtl/>
        </w:rPr>
      </w:pPr>
      <w:r>
        <w:rPr>
          <w:rStyle w:val="FootnoteReference1"/>
        </w:rPr>
        <w:footnoteRef/>
      </w:r>
      <w:r>
        <w:rPr>
          <w:rtl/>
        </w:rPr>
        <w:t xml:space="preserve"> </w:t>
      </w:r>
      <w:r>
        <w:rPr>
          <w:rtl/>
        </w:rPr>
        <w:tab/>
      </w:r>
      <w:r>
        <w:rPr>
          <w:rFonts w:hint="cs"/>
          <w:rtl/>
        </w:rPr>
        <w:t xml:space="preserve">ראו סעיף 3.23.10 </w:t>
      </w:r>
      <w:r w:rsidRPr="004E6FF7">
        <w:rPr>
          <w:rFonts w:hint="cs"/>
          <w:rtl/>
        </w:rPr>
        <w:t>ב</w:t>
      </w:r>
      <w:r w:rsidRPr="004E6FF7">
        <w:rPr>
          <w:rtl/>
        </w:rPr>
        <w:t xml:space="preserve">הנחיה </w:t>
      </w:r>
      <w:r w:rsidRPr="004E6FF7">
        <w:rPr>
          <w:rFonts w:hint="cs"/>
          <w:rtl/>
        </w:rPr>
        <w:t>1.4.01</w:t>
      </w:r>
      <w:r>
        <w:rPr>
          <w:rFonts w:hint="cs"/>
          <w:rtl/>
        </w:rPr>
        <w:t>,</w:t>
      </w:r>
      <w:r w:rsidRPr="004E6FF7">
        <w:rPr>
          <w:rFonts w:hint="cs"/>
          <w:rtl/>
        </w:rPr>
        <w:t xml:space="preserve"> </w:t>
      </w:r>
      <w:r w:rsidRPr="004E6FF7">
        <w:rPr>
          <w:rtl/>
        </w:rPr>
        <w:t>"מחזור חיי מערכת תקשוב"</w:t>
      </w:r>
      <w:r>
        <w:rPr>
          <w:rFonts w:hint="cs"/>
          <w:rtl/>
        </w:rPr>
        <w:t xml:space="preserve"> - </w:t>
      </w:r>
      <w:r>
        <w:rPr>
          <w:rtl/>
        </w:rPr>
        <w:t>היחידה המשרדית הנושאת באחריות הכוללת לפרויקט בשיתוף עם יחידת</w:t>
      </w:r>
      <w:r>
        <w:rPr>
          <w:rFonts w:hint="cs"/>
          <w:rtl/>
        </w:rPr>
        <w:t xml:space="preserve"> </w:t>
      </w:r>
      <w:r>
        <w:rPr>
          <w:rtl/>
        </w:rPr>
        <w:t xml:space="preserve">התקשוב, </w:t>
      </w:r>
      <w:r>
        <w:rPr>
          <w:rFonts w:hint="cs"/>
          <w:rtl/>
        </w:rPr>
        <w:t>אמונה</w:t>
      </w:r>
      <w:r>
        <w:rPr>
          <w:rtl/>
        </w:rPr>
        <w:t xml:space="preserve"> על ריכוז דרישות משתמשי המערכת, על בדיקות הקבלה</w:t>
      </w:r>
      <w:r>
        <w:rPr>
          <w:rFonts w:hint="cs"/>
          <w:rtl/>
        </w:rPr>
        <w:t xml:space="preserve"> </w:t>
      </w:r>
      <w:r>
        <w:rPr>
          <w:rtl/>
        </w:rPr>
        <w:t>ועל שלב ההטמעה</w:t>
      </w:r>
      <w:r>
        <w:rPr>
          <w:rFonts w:hint="cs"/>
          <w:rtl/>
        </w:rPr>
        <w:t>.</w:t>
      </w:r>
    </w:p>
  </w:footnote>
  <w:footnote w:id="71">
    <w:p w:rsidR="009600C6" w:rsidP="003B5D33">
      <w:pPr>
        <w:pStyle w:val="FootnoteText"/>
      </w:pPr>
      <w:r>
        <w:rPr>
          <w:rStyle w:val="FootnoteReference1"/>
        </w:rPr>
        <w:footnoteRef/>
      </w:r>
      <w:r>
        <w:rPr>
          <w:rtl/>
        </w:rPr>
        <w:t xml:space="preserve"> </w:t>
      </w:r>
      <w:r>
        <w:rPr>
          <w:rtl/>
        </w:rPr>
        <w:tab/>
      </w:r>
      <w:r>
        <w:rPr>
          <w:rFonts w:hint="cs"/>
          <w:rtl/>
        </w:rPr>
        <w:t xml:space="preserve">ראו סעיף 3.23.1 </w:t>
      </w:r>
      <w:r w:rsidRPr="004E6FF7">
        <w:rPr>
          <w:rFonts w:hint="cs"/>
          <w:rtl/>
        </w:rPr>
        <w:t>ב</w:t>
      </w:r>
      <w:r w:rsidRPr="004E6FF7">
        <w:rPr>
          <w:rtl/>
        </w:rPr>
        <w:t xml:space="preserve">הנחיה </w:t>
      </w:r>
      <w:r w:rsidRPr="004E6FF7">
        <w:rPr>
          <w:rFonts w:hint="cs"/>
          <w:rtl/>
        </w:rPr>
        <w:t>1.4.01</w:t>
      </w:r>
      <w:r>
        <w:rPr>
          <w:rFonts w:hint="cs"/>
          <w:rtl/>
        </w:rPr>
        <w:t>,</w:t>
      </w:r>
      <w:r w:rsidRPr="004E6FF7">
        <w:rPr>
          <w:rFonts w:hint="cs"/>
          <w:rtl/>
        </w:rPr>
        <w:t xml:space="preserve"> </w:t>
      </w:r>
      <w:r w:rsidRPr="004E6FF7">
        <w:rPr>
          <w:rtl/>
        </w:rPr>
        <w:t>"מחזור חיי מערכת תקשוב"</w:t>
      </w:r>
      <w:r>
        <w:rPr>
          <w:rFonts w:hint="cs"/>
          <w:rtl/>
        </w:rPr>
        <w:t xml:space="preserve"> - </w:t>
      </w:r>
      <w:r>
        <w:rPr>
          <w:rtl/>
        </w:rPr>
        <w:t>הגוף המייצג של לקוחות המערכת</w:t>
      </w:r>
      <w:r>
        <w:rPr>
          <w:rFonts w:hint="cs"/>
          <w:rtl/>
        </w:rPr>
        <w:t>,</w:t>
      </w:r>
      <w:r>
        <w:rPr>
          <w:rtl/>
        </w:rPr>
        <w:t xml:space="preserve"> ולה הסמכות </w:t>
      </w:r>
      <w:r>
        <w:rPr>
          <w:rFonts w:hint="cs"/>
          <w:rtl/>
        </w:rPr>
        <w:t>לקבל</w:t>
      </w:r>
      <w:r>
        <w:rPr>
          <w:rtl/>
        </w:rPr>
        <w:t xml:space="preserve"> החלטות</w:t>
      </w:r>
      <w:r>
        <w:rPr>
          <w:rFonts w:hint="cs"/>
          <w:rtl/>
        </w:rPr>
        <w:t xml:space="preserve"> </w:t>
      </w:r>
      <w:r>
        <w:rPr>
          <w:rtl/>
        </w:rPr>
        <w:t>הנוגעות לדרישות פונקציונליות במערכ</w:t>
      </w:r>
      <w:r>
        <w:rPr>
          <w:rFonts w:hint="cs"/>
          <w:rtl/>
        </w:rPr>
        <w:t>ת.</w:t>
      </w:r>
    </w:p>
  </w:footnote>
  <w:footnote w:id="72">
    <w:p w:rsidR="009600C6" w:rsidP="003B5D33">
      <w:pPr>
        <w:pStyle w:val="FootnoteText"/>
        <w:rPr>
          <w:rtl/>
        </w:rPr>
      </w:pPr>
      <w:r>
        <w:rPr>
          <w:rStyle w:val="FootnoteReference1"/>
        </w:rPr>
        <w:footnoteRef/>
      </w:r>
      <w:r>
        <w:rPr>
          <w:rtl/>
        </w:rPr>
        <w:t xml:space="preserve"> </w:t>
      </w:r>
      <w:r>
        <w:rPr>
          <w:rtl/>
        </w:rPr>
        <w:tab/>
      </w:r>
      <w:r>
        <w:rPr>
          <w:rFonts w:hint="cs"/>
          <w:rtl/>
        </w:rPr>
        <w:t xml:space="preserve">ראו </w:t>
      </w:r>
      <w:r>
        <w:rPr>
          <w:rtl/>
        </w:rPr>
        <w:t>סעיף</w:t>
      </w:r>
      <w:r w:rsidRPr="008D5620">
        <w:rPr>
          <w:rtl/>
        </w:rPr>
        <w:t xml:space="preserve"> 3.23.1</w:t>
      </w:r>
      <w:r>
        <w:rPr>
          <w:rFonts w:hint="cs"/>
          <w:rtl/>
        </w:rPr>
        <w:t xml:space="preserve"> וסעיף </w:t>
      </w:r>
      <w:r w:rsidRPr="008D5620">
        <w:rPr>
          <w:rtl/>
        </w:rPr>
        <w:t>3.23.10</w:t>
      </w:r>
      <w:r>
        <w:rPr>
          <w:rFonts w:hint="cs"/>
          <w:rtl/>
        </w:rPr>
        <w:t xml:space="preserve"> </w:t>
      </w:r>
      <w:r w:rsidRPr="004E6FF7">
        <w:rPr>
          <w:rFonts w:hint="cs"/>
          <w:rtl/>
        </w:rPr>
        <w:t>ב</w:t>
      </w:r>
      <w:r w:rsidRPr="004E6FF7">
        <w:rPr>
          <w:rtl/>
        </w:rPr>
        <w:t xml:space="preserve">הנחיה </w:t>
      </w:r>
      <w:r w:rsidRPr="004E6FF7">
        <w:rPr>
          <w:rFonts w:hint="cs"/>
          <w:rtl/>
        </w:rPr>
        <w:t>1.4.01</w:t>
      </w:r>
      <w:r>
        <w:rPr>
          <w:rFonts w:hint="cs"/>
          <w:rtl/>
        </w:rPr>
        <w:t>,</w:t>
      </w:r>
      <w:r w:rsidRPr="004E6FF7">
        <w:rPr>
          <w:rFonts w:hint="cs"/>
          <w:rtl/>
        </w:rPr>
        <w:t xml:space="preserve"> </w:t>
      </w:r>
      <w:r w:rsidRPr="004E6FF7">
        <w:rPr>
          <w:rtl/>
        </w:rPr>
        <w:t>"מחזור חיי מערכת תקשוב"</w:t>
      </w:r>
      <w:r w:rsidRPr="004E6FF7">
        <w:rPr>
          <w:rFonts w:hint="cs"/>
          <w:rtl/>
        </w:rPr>
        <w:t>.</w:t>
      </w:r>
    </w:p>
  </w:footnote>
  <w:footnote w:id="73">
    <w:p w:rsidR="009600C6" w:rsidP="003B5D33">
      <w:pPr>
        <w:pStyle w:val="FootnoteText"/>
        <w:rPr>
          <w:rtl/>
        </w:rPr>
      </w:pPr>
      <w:r>
        <w:rPr>
          <w:rStyle w:val="FootnoteReference1"/>
        </w:rPr>
        <w:footnoteRef/>
      </w:r>
      <w:r>
        <w:rPr>
          <w:rtl/>
        </w:rPr>
        <w:t xml:space="preserve"> </w:t>
      </w:r>
      <w:r>
        <w:rPr>
          <w:rtl/>
        </w:rPr>
        <w:tab/>
      </w:r>
      <w:r>
        <w:rPr>
          <w:rFonts w:hint="cs"/>
          <w:rtl/>
        </w:rPr>
        <w:t xml:space="preserve">ראו סעיף 5.3 </w:t>
      </w:r>
      <w:r w:rsidRPr="004E6FF7">
        <w:rPr>
          <w:rFonts w:hint="cs"/>
          <w:rtl/>
        </w:rPr>
        <w:t>בהנחיה 1.1.01</w:t>
      </w:r>
      <w:r>
        <w:rPr>
          <w:rFonts w:hint="cs"/>
          <w:rtl/>
        </w:rPr>
        <w:t>,</w:t>
      </w:r>
      <w:r w:rsidRPr="004E6FF7">
        <w:rPr>
          <w:rFonts w:hint="cs"/>
          <w:rtl/>
        </w:rPr>
        <w:t xml:space="preserve"> </w:t>
      </w:r>
      <w:r w:rsidRPr="004E6FF7">
        <w:rPr>
          <w:rtl/>
        </w:rPr>
        <w:t>"מסגרת מתודולוגיית תקשוב ממשלתית"</w:t>
      </w:r>
      <w:r w:rsidRPr="004E6FF7">
        <w:rPr>
          <w:rFonts w:hint="cs"/>
          <w:rtl/>
        </w:rPr>
        <w:t>.</w:t>
      </w:r>
    </w:p>
  </w:footnote>
  <w:footnote w:id="74">
    <w:p w:rsidR="009600C6" w:rsidP="003B5D33">
      <w:pPr>
        <w:pStyle w:val="FootnoteText"/>
      </w:pPr>
      <w:r>
        <w:rPr>
          <w:rStyle w:val="FootnoteReference1"/>
        </w:rPr>
        <w:footnoteRef/>
      </w:r>
      <w:r>
        <w:rPr>
          <w:rtl/>
        </w:rPr>
        <w:t xml:space="preserve"> </w:t>
      </w:r>
      <w:r>
        <w:rPr>
          <w:rtl/>
        </w:rPr>
        <w:tab/>
      </w:r>
      <w:r>
        <w:rPr>
          <w:rFonts w:hint="cs"/>
          <w:rtl/>
        </w:rPr>
        <w:t xml:space="preserve">ראו סעיף 9.4 </w:t>
      </w:r>
      <w:r w:rsidRPr="004E6FF7">
        <w:rPr>
          <w:rFonts w:hint="cs"/>
          <w:rtl/>
        </w:rPr>
        <w:t>בהנחיה 1.1.01</w:t>
      </w:r>
      <w:r>
        <w:rPr>
          <w:rFonts w:hint="cs"/>
          <w:rtl/>
        </w:rPr>
        <w:t>,</w:t>
      </w:r>
      <w:r w:rsidRPr="004E6FF7">
        <w:rPr>
          <w:rFonts w:hint="cs"/>
          <w:rtl/>
        </w:rPr>
        <w:t xml:space="preserve"> </w:t>
      </w:r>
      <w:r w:rsidRPr="004E6FF7">
        <w:rPr>
          <w:rtl/>
        </w:rPr>
        <w:t>"מסגרת מתודולוגיית תקשוב ממשלתית"</w:t>
      </w:r>
      <w:r w:rsidRPr="004E6FF7">
        <w:rPr>
          <w:rFonts w:hint="cs"/>
          <w:rtl/>
        </w:rPr>
        <w:t>.</w:t>
      </w:r>
    </w:p>
  </w:footnote>
  <w:footnote w:id="75">
    <w:p w:rsidR="009600C6" w:rsidP="003B5D33">
      <w:pPr>
        <w:pStyle w:val="FootnoteText"/>
        <w:rPr>
          <w:rtl/>
        </w:rPr>
      </w:pPr>
      <w:r>
        <w:rPr>
          <w:rStyle w:val="FootnoteReference1"/>
        </w:rPr>
        <w:footnoteRef/>
      </w:r>
      <w:r>
        <w:rPr>
          <w:rtl/>
        </w:rPr>
        <w:t xml:space="preserve"> </w:t>
      </w:r>
      <w:r>
        <w:rPr>
          <w:rtl/>
        </w:rPr>
        <w:tab/>
      </w:r>
      <w:r>
        <w:rPr>
          <w:rFonts w:hint="cs"/>
          <w:rtl/>
        </w:rPr>
        <w:t xml:space="preserve">ראו סעיף 2 </w:t>
      </w:r>
      <w:r w:rsidRPr="004E6FF7">
        <w:rPr>
          <w:rFonts w:hint="cs"/>
          <w:rtl/>
        </w:rPr>
        <w:t xml:space="preserve">בנוהל 01-05-00 </w:t>
      </w:r>
      <w:r w:rsidRPr="004E6FF7">
        <w:rPr>
          <w:rtl/>
        </w:rPr>
        <w:t>"עלי</w:t>
      </w:r>
      <w:r w:rsidRPr="004E6FF7">
        <w:rPr>
          <w:rFonts w:hint="cs"/>
          <w:rtl/>
        </w:rPr>
        <w:t>י</w:t>
      </w:r>
      <w:r w:rsidRPr="004E6FF7">
        <w:rPr>
          <w:rtl/>
        </w:rPr>
        <w:t>ה לאוויר מערכת מידע"</w:t>
      </w:r>
      <w:r w:rsidRPr="004E6FF7">
        <w:rPr>
          <w:rFonts w:hint="cs"/>
          <w:rtl/>
        </w:rPr>
        <w:t>.</w:t>
      </w:r>
    </w:p>
  </w:footnote>
  <w:footnote w:id="76">
    <w:p w:rsidR="009600C6" w:rsidP="003B5D33">
      <w:pPr>
        <w:pStyle w:val="FootnoteText"/>
      </w:pPr>
      <w:r>
        <w:rPr>
          <w:rStyle w:val="FootnoteReference1"/>
        </w:rPr>
        <w:footnoteRef/>
      </w:r>
      <w:r>
        <w:rPr>
          <w:rtl/>
        </w:rPr>
        <w:t xml:space="preserve"> </w:t>
      </w:r>
      <w:r>
        <w:rPr>
          <w:rtl/>
        </w:rPr>
        <w:tab/>
      </w:r>
      <w:r>
        <w:rPr>
          <w:rFonts w:hint="cs"/>
          <w:rtl/>
        </w:rPr>
        <w:t xml:space="preserve">ראו סעיף 3.3.3 </w:t>
      </w:r>
      <w:r w:rsidRPr="004E6FF7">
        <w:rPr>
          <w:rFonts w:hint="cs"/>
          <w:rtl/>
        </w:rPr>
        <w:t xml:space="preserve">בנוהל 01-05-00 </w:t>
      </w:r>
      <w:r w:rsidRPr="004E6FF7">
        <w:rPr>
          <w:rtl/>
        </w:rPr>
        <w:t>"עלי</w:t>
      </w:r>
      <w:r w:rsidRPr="004E6FF7">
        <w:rPr>
          <w:rFonts w:hint="cs"/>
          <w:rtl/>
        </w:rPr>
        <w:t>י</w:t>
      </w:r>
      <w:r w:rsidRPr="004E6FF7">
        <w:rPr>
          <w:rtl/>
        </w:rPr>
        <w:t>ה לאוויר מערכת מידע"</w:t>
      </w:r>
      <w:r w:rsidRPr="004E6FF7">
        <w:rPr>
          <w:rFonts w:hint="cs"/>
          <w:rtl/>
        </w:rPr>
        <w:t>.</w:t>
      </w:r>
    </w:p>
  </w:footnote>
  <w:footnote w:id="77">
    <w:p w:rsidR="009600C6" w:rsidP="003B5D33">
      <w:pPr>
        <w:pStyle w:val="FootnoteText"/>
      </w:pPr>
      <w:r>
        <w:rPr>
          <w:rStyle w:val="FootnoteReference1"/>
        </w:rPr>
        <w:footnoteRef/>
      </w:r>
      <w:r>
        <w:rPr>
          <w:rtl/>
        </w:rPr>
        <w:t xml:space="preserve"> </w:t>
      </w:r>
      <w:r>
        <w:rPr>
          <w:rtl/>
        </w:rPr>
        <w:tab/>
      </w:r>
      <w:r>
        <w:t>(</w:t>
      </w:r>
      <w:r w:rsidRPr="008158A2">
        <w:t>Non-Functional Test</w:t>
      </w:r>
      <w:r>
        <w:t>s)</w:t>
      </w:r>
      <w:r>
        <w:rPr>
          <w:rFonts w:hint="cs"/>
          <w:rtl/>
        </w:rPr>
        <w:t xml:space="preserve"> </w:t>
      </w:r>
      <w:r>
        <w:rPr>
          <w:rFonts w:hint="cs"/>
        </w:rPr>
        <w:t>NFT</w:t>
      </w:r>
      <w:r>
        <w:rPr>
          <w:rFonts w:hint="cs"/>
          <w:rtl/>
        </w:rPr>
        <w:t xml:space="preserve"> </w:t>
      </w:r>
      <w:r>
        <w:t>-</w:t>
      </w:r>
      <w:r>
        <w:rPr>
          <w:rFonts w:hint="cs"/>
          <w:rtl/>
        </w:rPr>
        <w:t xml:space="preserve"> בדיקות שלא </w:t>
      </w:r>
      <w:r w:rsidRPr="00DB4872">
        <w:rPr>
          <w:rtl/>
        </w:rPr>
        <w:t>עוסקות בפונקציונליות הישירה של המערכת</w:t>
      </w:r>
      <w:r>
        <w:rPr>
          <w:rFonts w:hint="cs"/>
          <w:rtl/>
        </w:rPr>
        <w:t xml:space="preserve">, לעומת </w:t>
      </w:r>
      <w:r w:rsidRPr="00DB4872">
        <w:rPr>
          <w:rtl/>
        </w:rPr>
        <w:t>בדיקות פונקציונליות</w:t>
      </w:r>
      <w:r>
        <w:rPr>
          <w:rFonts w:hint="cs"/>
          <w:rtl/>
        </w:rPr>
        <w:t xml:space="preserve"> שב</w:t>
      </w:r>
      <w:r w:rsidRPr="00DB4872">
        <w:rPr>
          <w:rtl/>
        </w:rPr>
        <w:t xml:space="preserve">ודקות את הפעולות והלוגיקה של </w:t>
      </w:r>
      <w:r>
        <w:rPr>
          <w:rFonts w:hint="cs"/>
          <w:rtl/>
        </w:rPr>
        <w:t xml:space="preserve">התוכנה </w:t>
      </w:r>
      <w:r w:rsidRPr="00DB4872">
        <w:rPr>
          <w:rtl/>
        </w:rPr>
        <w:t>כדי לוודא שהיא מתנהגת בהתאם לדרישות העסקיות.</w:t>
      </w:r>
    </w:p>
  </w:footnote>
  <w:footnote w:id="78">
    <w:p w:rsidR="009600C6" w:rsidRPr="006E0D98" w:rsidP="003B5D33">
      <w:pPr>
        <w:pStyle w:val="FootnoteText"/>
        <w:rPr>
          <w:rtl/>
        </w:rPr>
      </w:pPr>
      <w:r>
        <w:rPr>
          <w:rStyle w:val="FootnoteReference1"/>
        </w:rPr>
        <w:footnoteRef/>
      </w:r>
      <w:r>
        <w:rPr>
          <w:rtl/>
        </w:rPr>
        <w:t xml:space="preserve"> </w:t>
      </w:r>
      <w:r>
        <w:rPr>
          <w:rtl/>
        </w:rPr>
        <w:tab/>
      </w:r>
      <w:r>
        <w:rPr>
          <w:rFonts w:hint="cs"/>
          <w:rtl/>
        </w:rPr>
        <w:t xml:space="preserve">ראו למשל סוגי הבדיקות בנוהל מפת"ח בקישור: </w:t>
      </w:r>
      <w:r w:rsidRPr="004E6FF7">
        <w:t>www.methoda.cloud/?section=254</w:t>
      </w:r>
      <w:r>
        <w:rPr>
          <w:rFonts w:hint="cs"/>
          <w:rtl/>
        </w:rPr>
        <w:t>.</w:t>
      </w:r>
      <w:r w:rsidRPr="00294F04">
        <w:rPr>
          <w:rFonts w:hint="cs"/>
          <w:b/>
          <w:bCs/>
          <w:rtl/>
        </w:rPr>
        <w:t xml:space="preserve"> </w:t>
      </w:r>
      <w:r w:rsidRPr="00294F04">
        <w:rPr>
          <w:rFonts w:hint="cs"/>
          <w:rtl/>
        </w:rPr>
        <w:t xml:space="preserve">יצוין כי גם במסמך התוכנית האסטרטגית עלה כי </w:t>
      </w:r>
      <w:r w:rsidRPr="00294F04">
        <w:rPr>
          <w:rtl/>
        </w:rPr>
        <w:t xml:space="preserve">לא כל הפיתוחים עוברים בדיקות </w:t>
      </w:r>
      <w:r w:rsidRPr="00294F04">
        <w:rPr>
          <w:rFonts w:hint="cs"/>
          <w:rtl/>
        </w:rPr>
        <w:t>"</w:t>
      </w:r>
      <w:r w:rsidRPr="00294F04">
        <w:rPr>
          <w:rtl/>
        </w:rPr>
        <w:t>בצורה מקיפה</w:t>
      </w:r>
      <w:r>
        <w:rPr>
          <w:rFonts w:hint="cs"/>
          <w:rtl/>
        </w:rPr>
        <w:t>".</w:t>
      </w:r>
    </w:p>
  </w:footnote>
  <w:footnote w:id="79">
    <w:p w:rsidR="009600C6" w:rsidP="003B5D33">
      <w:pPr>
        <w:pStyle w:val="FootnoteText"/>
        <w:rPr>
          <w:rtl/>
        </w:rPr>
      </w:pPr>
      <w:r>
        <w:rPr>
          <w:rStyle w:val="FootnoteReference1"/>
        </w:rPr>
        <w:footnoteRef/>
      </w:r>
      <w:r>
        <w:rPr>
          <w:rtl/>
        </w:rPr>
        <w:t xml:space="preserve"> </w:t>
      </w:r>
      <w:r>
        <w:rPr>
          <w:rtl/>
        </w:rPr>
        <w:tab/>
      </w:r>
      <w:r w:rsidRPr="000E024E">
        <w:rPr>
          <w:rtl/>
        </w:rPr>
        <w:t>מוֹדוּל</w:t>
      </w:r>
      <w:r>
        <w:rPr>
          <w:rFonts w:hint="cs"/>
          <w:rtl/>
        </w:rPr>
        <w:t xml:space="preserve"> - </w:t>
      </w:r>
      <w:r w:rsidRPr="000E024E">
        <w:rPr>
          <w:rtl/>
        </w:rPr>
        <w:t>חלק של ת</w:t>
      </w:r>
      <w:r>
        <w:rPr>
          <w:rFonts w:hint="cs"/>
          <w:rtl/>
        </w:rPr>
        <w:t>ו</w:t>
      </w:r>
      <w:r w:rsidRPr="000E024E">
        <w:rPr>
          <w:rtl/>
        </w:rPr>
        <w:t>כנית שפותח כך שיהיה נבדל או בר זיהוי בכל הקשור לפעולות כגון הידור, כריכה או ביצוע ו</w:t>
      </w:r>
      <w:r>
        <w:rPr>
          <w:rFonts w:hint="cs"/>
          <w:rtl/>
        </w:rPr>
        <w:t>ש</w:t>
      </w:r>
      <w:r w:rsidRPr="000E024E">
        <w:rPr>
          <w:rtl/>
        </w:rPr>
        <w:t>עשוי להדד עם ת</w:t>
      </w:r>
      <w:r>
        <w:rPr>
          <w:rFonts w:hint="cs"/>
          <w:rtl/>
        </w:rPr>
        <w:t>ו</w:t>
      </w:r>
      <w:r w:rsidRPr="000E024E">
        <w:rPr>
          <w:rtl/>
        </w:rPr>
        <w:t>כניות אחרות או עם חלקים אחרים של אותה ת</w:t>
      </w:r>
      <w:r>
        <w:rPr>
          <w:rFonts w:hint="cs"/>
          <w:rtl/>
        </w:rPr>
        <w:t>ו</w:t>
      </w:r>
      <w:r w:rsidRPr="000E024E">
        <w:rPr>
          <w:rtl/>
        </w:rPr>
        <w:t>כנית</w:t>
      </w:r>
      <w:r>
        <w:rPr>
          <w:rFonts w:hint="cs"/>
          <w:rtl/>
        </w:rPr>
        <w:t xml:space="preserve">. ראו </w:t>
      </w:r>
      <w:r w:rsidRPr="004E6FF7">
        <w:rPr>
          <w:rFonts w:hint="cs"/>
          <w:rtl/>
        </w:rPr>
        <w:t xml:space="preserve">במילון </w:t>
      </w:r>
      <w:r w:rsidRPr="004E6FF7">
        <w:rPr>
          <w:rtl/>
        </w:rPr>
        <w:t>שפות תכנות [טכנולוגיית המידע] (</w:t>
      </w:r>
      <w:r w:rsidRPr="004E6FF7">
        <w:rPr>
          <w:rFonts w:hint="cs"/>
          <w:rtl/>
        </w:rPr>
        <w:t>ה</w:t>
      </w:r>
      <w:r w:rsidRPr="004E6FF7">
        <w:rPr>
          <w:rtl/>
        </w:rPr>
        <w:t>תשע"ה)</w:t>
      </w:r>
      <w:r>
        <w:rPr>
          <w:rFonts w:hint="cs"/>
          <w:rtl/>
        </w:rPr>
        <w:t xml:space="preserve"> באתר האקדמיה ללשון העברית.</w:t>
      </w:r>
    </w:p>
  </w:footnote>
  <w:footnote w:id="80">
    <w:p w:rsidR="009600C6" w:rsidP="003B5D33">
      <w:pPr>
        <w:pStyle w:val="FootnoteText"/>
      </w:pPr>
      <w:r>
        <w:rPr>
          <w:rStyle w:val="FootnoteReference1"/>
        </w:rPr>
        <w:footnoteRef/>
      </w:r>
      <w:r>
        <w:rPr>
          <w:rtl/>
        </w:rPr>
        <w:t xml:space="preserve"> </w:t>
      </w:r>
      <w:r>
        <w:rPr>
          <w:rtl/>
        </w:rPr>
        <w:tab/>
      </w:r>
      <w:r>
        <w:rPr>
          <w:rFonts w:hint="cs"/>
          <w:rtl/>
        </w:rPr>
        <w:t xml:space="preserve">שלמה גלוברזון ואבי שטוב, </w:t>
      </w:r>
      <w:r w:rsidRPr="00657E52">
        <w:rPr>
          <w:rFonts w:hint="eastAsia"/>
          <w:b/>
          <w:bCs/>
          <w:rtl/>
        </w:rPr>
        <w:t>ניהול</w:t>
      </w:r>
      <w:r w:rsidRPr="00657E52">
        <w:rPr>
          <w:b/>
          <w:bCs/>
          <w:rtl/>
        </w:rPr>
        <w:t xml:space="preserve"> </w:t>
      </w:r>
      <w:r w:rsidRPr="00657E52">
        <w:rPr>
          <w:rFonts w:hint="eastAsia"/>
          <w:b/>
          <w:bCs/>
          <w:rtl/>
        </w:rPr>
        <w:t>פרויקטים</w:t>
      </w:r>
      <w:r w:rsidRPr="00657E52">
        <w:rPr>
          <w:b/>
          <w:bCs/>
          <w:rtl/>
        </w:rPr>
        <w:t xml:space="preserve"> - </w:t>
      </w:r>
      <w:r w:rsidRPr="00657E52">
        <w:rPr>
          <w:rFonts w:hint="eastAsia"/>
          <w:b/>
          <w:bCs/>
          <w:rtl/>
        </w:rPr>
        <w:t>תכנון</w:t>
      </w:r>
      <w:r w:rsidRPr="00657E52">
        <w:rPr>
          <w:b/>
          <w:bCs/>
          <w:rtl/>
        </w:rPr>
        <w:t xml:space="preserve"> </w:t>
      </w:r>
      <w:r w:rsidRPr="00657E52">
        <w:rPr>
          <w:rFonts w:hint="eastAsia"/>
          <w:b/>
          <w:bCs/>
          <w:rtl/>
        </w:rPr>
        <w:t>ביצוע</w:t>
      </w:r>
      <w:r w:rsidRPr="00657E52">
        <w:rPr>
          <w:b/>
          <w:bCs/>
          <w:rtl/>
        </w:rPr>
        <w:t xml:space="preserve"> </w:t>
      </w:r>
      <w:r w:rsidRPr="00657E52">
        <w:rPr>
          <w:rFonts w:hint="eastAsia"/>
          <w:b/>
          <w:bCs/>
          <w:rtl/>
        </w:rPr>
        <w:t>ובקרה</w:t>
      </w:r>
      <w:r>
        <w:rPr>
          <w:rFonts w:hint="cs"/>
          <w:rtl/>
        </w:rPr>
        <w:t xml:space="preserve"> (2006).</w:t>
      </w:r>
    </w:p>
  </w:footnote>
  <w:footnote w:id="81">
    <w:p w:rsidR="009600C6" w:rsidP="003B5D33">
      <w:pPr>
        <w:pStyle w:val="FootnoteText"/>
      </w:pPr>
      <w:r>
        <w:rPr>
          <w:rStyle w:val="FootnoteReference1"/>
        </w:rPr>
        <w:footnoteRef/>
      </w:r>
      <w:r>
        <w:rPr>
          <w:rtl/>
        </w:rPr>
        <w:t xml:space="preserve"> </w:t>
      </w:r>
      <w:r>
        <w:rPr>
          <w:rtl/>
        </w:rPr>
        <w:tab/>
      </w:r>
      <w:r w:rsidRPr="00266DC9">
        <w:rPr>
          <w:rtl/>
        </w:rPr>
        <w:t xml:space="preserve">יכולות אלו כללו </w:t>
      </w:r>
      <w:r>
        <w:rPr>
          <w:rFonts w:hint="cs"/>
          <w:rtl/>
        </w:rPr>
        <w:t xml:space="preserve">גם </w:t>
      </w:r>
      <w:r w:rsidRPr="00266DC9">
        <w:rPr>
          <w:rtl/>
        </w:rPr>
        <w:t xml:space="preserve">אפשרות </w:t>
      </w:r>
      <w:r w:rsidRPr="000C7DC6">
        <w:rPr>
          <w:rtl/>
        </w:rPr>
        <w:t>הצגה, מעקב</w:t>
      </w:r>
      <w:r>
        <w:rPr>
          <w:rFonts w:hint="cs"/>
          <w:rtl/>
        </w:rPr>
        <w:t xml:space="preserve"> </w:t>
      </w:r>
      <w:r w:rsidRPr="00266DC9">
        <w:rPr>
          <w:rtl/>
        </w:rPr>
        <w:t xml:space="preserve">והתרעות </w:t>
      </w:r>
      <w:r>
        <w:rPr>
          <w:rFonts w:hint="cs"/>
          <w:rtl/>
        </w:rPr>
        <w:t>בכל הקשור</w:t>
      </w:r>
      <w:r w:rsidRPr="00266DC9">
        <w:rPr>
          <w:rtl/>
        </w:rPr>
        <w:t xml:space="preserve"> </w:t>
      </w:r>
      <w:r>
        <w:rPr>
          <w:rFonts w:hint="cs"/>
          <w:rtl/>
        </w:rPr>
        <w:t>ל</w:t>
      </w:r>
      <w:r w:rsidRPr="00266DC9">
        <w:rPr>
          <w:rtl/>
        </w:rPr>
        <w:t>ביצועי המערכת והמשתמשים בה, ניהול מדדי ביצועים מרכזיים, הצגה גרפית, מתן כלים בידי ההנהלה להסקת תובנות עסקיות לשיפור תהליכי העבודה העסקיים של האגף ונוהלי העבודה במערכת</w:t>
      </w:r>
      <w:r>
        <w:rPr>
          <w:rFonts w:hint="cs"/>
          <w:rtl/>
        </w:rPr>
        <w:t xml:space="preserve">. לדוגמה: </w:t>
      </w:r>
      <w:r w:rsidRPr="00D9060B">
        <w:rPr>
          <w:rtl/>
        </w:rPr>
        <w:t>הוספת נציג דיגיטלי ומוקדי שירות, זימון וניהול תורים, תהליכים מונחים והדרכה מוטמעת, בקרות מול מדדי איכות, מדדי איכות לזמן תגובה</w:t>
      </w:r>
      <w:r>
        <w:rPr>
          <w:rFonts w:hint="cs"/>
          <w:rtl/>
        </w:rPr>
        <w:t xml:space="preserve"> ועוד</w:t>
      </w:r>
      <w:r w:rsidRPr="00D9060B">
        <w:rPr>
          <w:rtl/>
        </w:rPr>
        <w:t>.</w:t>
      </w:r>
    </w:p>
  </w:footnote>
  <w:footnote w:id="82">
    <w:p w:rsidR="009600C6" w:rsidP="003B5D33">
      <w:pPr>
        <w:pStyle w:val="FootnoteText"/>
        <w:rPr>
          <w:rtl/>
        </w:rPr>
      </w:pPr>
      <w:r>
        <w:rPr>
          <w:rStyle w:val="FootnoteReference1"/>
        </w:rPr>
        <w:footnoteRef/>
      </w:r>
      <w:r>
        <w:rPr>
          <w:rtl/>
        </w:rPr>
        <w:t xml:space="preserve"> </w:t>
      </w:r>
      <w:r>
        <w:rPr>
          <w:rtl/>
        </w:rPr>
        <w:tab/>
      </w:r>
      <w:bookmarkStart w:id="29" w:name="_Hlk205368077"/>
      <w:r w:rsidRPr="0004241B">
        <w:t>Disaster Recovery Plan</w:t>
      </w:r>
      <w:bookmarkEnd w:id="29"/>
    </w:p>
  </w:footnote>
  <w:footnote w:id="83">
    <w:p w:rsidR="009600C6" w:rsidP="003B5D33">
      <w:pPr>
        <w:pStyle w:val="FootnoteText"/>
        <w:rPr>
          <w:rtl/>
        </w:rPr>
      </w:pPr>
      <w:r>
        <w:rPr>
          <w:rStyle w:val="FootnoteReference1"/>
        </w:rPr>
        <w:footnoteRef/>
      </w:r>
      <w:r>
        <w:rPr>
          <w:rtl/>
        </w:rPr>
        <w:t xml:space="preserve"> </w:t>
      </w:r>
      <w:r>
        <w:rPr>
          <w:rtl/>
        </w:rPr>
        <w:tab/>
      </w:r>
      <w:r>
        <w:rPr>
          <w:rFonts w:hint="cs"/>
          <w:rtl/>
        </w:rPr>
        <w:t xml:space="preserve">אתר ראשי - </w:t>
      </w:r>
      <w:r w:rsidRPr="00AB3F72">
        <w:rPr>
          <w:rtl/>
        </w:rPr>
        <w:t>אתר (או אתרים) המשמש</w:t>
      </w:r>
      <w:r>
        <w:rPr>
          <w:rFonts w:hint="cs"/>
          <w:rtl/>
        </w:rPr>
        <w:t>ים</w:t>
      </w:r>
      <w:r w:rsidRPr="00AB3F72">
        <w:rPr>
          <w:rtl/>
        </w:rPr>
        <w:t xml:space="preserve"> ומכיל</w:t>
      </w:r>
      <w:r>
        <w:rPr>
          <w:rFonts w:hint="cs"/>
          <w:rtl/>
        </w:rPr>
        <w:t>ים</w:t>
      </w:r>
      <w:r w:rsidRPr="00AB3F72">
        <w:rPr>
          <w:rtl/>
        </w:rPr>
        <w:t xml:space="preserve"> בעת שגרה את תשתיות המחשוב, מערכות המידע, האחסון ומרכז הבקרה והניהול של האגף.</w:t>
      </w:r>
    </w:p>
  </w:footnote>
  <w:footnote w:id="84">
    <w:p w:rsidR="009600C6" w:rsidP="003B5D33">
      <w:pPr>
        <w:pStyle w:val="FootnoteText"/>
        <w:rPr>
          <w:rtl/>
        </w:rPr>
      </w:pPr>
      <w:r>
        <w:rPr>
          <w:rStyle w:val="FootnoteReference1"/>
        </w:rPr>
        <w:footnoteRef/>
      </w:r>
      <w:r>
        <w:rPr>
          <w:rtl/>
        </w:rPr>
        <w:t xml:space="preserve"> </w:t>
      </w:r>
      <w:r>
        <w:rPr>
          <w:rtl/>
        </w:rPr>
        <w:tab/>
      </w:r>
      <w:r>
        <w:rPr>
          <w:rFonts w:hint="cs"/>
          <w:rtl/>
        </w:rPr>
        <w:t>מערך הדיגיטל הלאומי, מילון מונחים בתחום התקשוב.</w:t>
      </w:r>
    </w:p>
  </w:footnote>
  <w:footnote w:id="85">
    <w:p w:rsidR="009600C6" w:rsidP="003B5D33">
      <w:pPr>
        <w:pStyle w:val="FootnoteText"/>
        <w:rPr>
          <w:rtl/>
        </w:rPr>
      </w:pPr>
      <w:r>
        <w:rPr>
          <w:rStyle w:val="FootnoteReference1"/>
        </w:rPr>
        <w:footnoteRef/>
      </w:r>
      <w:r>
        <w:rPr>
          <w:rtl/>
        </w:rPr>
        <w:t xml:space="preserve"> </w:t>
      </w:r>
      <w:r>
        <w:rPr>
          <w:rtl/>
        </w:rPr>
        <w:tab/>
      </w:r>
      <w:r w:rsidRPr="00DC129A">
        <w:t>BIA - Business Impact Analysis</w:t>
      </w:r>
      <w:r>
        <w:rPr>
          <w:rFonts w:hint="cs"/>
          <w:rtl/>
        </w:rPr>
        <w:t xml:space="preserve">: </w:t>
      </w:r>
      <w:r w:rsidRPr="00DC17F0">
        <w:rPr>
          <w:rtl/>
        </w:rPr>
        <w:t>ניתוח וחיזוי של השלכות עסקיות ותפקודיות הנוגעות להפסקה או לשיבוש של פעילויות במצב חירום</w:t>
      </w:r>
      <w:r>
        <w:rPr>
          <w:rFonts w:hint="cs"/>
          <w:rtl/>
        </w:rPr>
        <w:t>.</w:t>
      </w:r>
    </w:p>
  </w:footnote>
  <w:footnote w:id="86">
    <w:p w:rsidR="009600C6" w:rsidP="003B5D33">
      <w:pPr>
        <w:pStyle w:val="FootnoteText"/>
        <w:rPr>
          <w:rtl/>
        </w:rPr>
      </w:pPr>
      <w:r>
        <w:rPr>
          <w:rStyle w:val="FootnoteReference1"/>
        </w:rPr>
        <w:footnoteRef/>
      </w:r>
      <w:r>
        <w:rPr>
          <w:rtl/>
        </w:rPr>
        <w:t xml:space="preserve"> </w:t>
      </w:r>
      <w:r>
        <w:rPr>
          <w:rtl/>
        </w:rPr>
        <w:tab/>
      </w:r>
      <w:r w:rsidRPr="008840C4">
        <w:rPr>
          <w:rFonts w:ascii="David" w:hAnsi="David"/>
        </w:rPr>
        <w:t>RPO</w:t>
      </w:r>
      <w:r>
        <w:rPr>
          <w:rFonts w:ascii="David" w:hAnsi="David"/>
        </w:rPr>
        <w:t xml:space="preserve"> </w:t>
      </w:r>
      <w:r w:rsidRPr="008840C4">
        <w:rPr>
          <w:rFonts w:ascii="David" w:hAnsi="David"/>
        </w:rPr>
        <w:t>- Recover</w:t>
      </w:r>
      <w:r>
        <w:rPr>
          <w:rFonts w:ascii="David" w:hAnsi="David"/>
        </w:rPr>
        <w:t>y</w:t>
      </w:r>
      <w:r w:rsidRPr="008840C4">
        <w:rPr>
          <w:rFonts w:ascii="David" w:hAnsi="David"/>
        </w:rPr>
        <w:t xml:space="preserve"> Point Objective</w:t>
      </w:r>
      <w:r>
        <w:rPr>
          <w:rFonts w:hint="cs"/>
          <w:rtl/>
        </w:rPr>
        <w:t xml:space="preserve"> - </w:t>
      </w:r>
      <w:r w:rsidRPr="000C57C7">
        <w:rPr>
          <w:rtl/>
        </w:rPr>
        <w:t xml:space="preserve">מתייחסת לחישוב </w:t>
      </w:r>
      <w:r>
        <w:rPr>
          <w:rFonts w:hint="cs"/>
          <w:rtl/>
        </w:rPr>
        <w:t xml:space="preserve">של </w:t>
      </w:r>
      <w:r w:rsidRPr="000C57C7">
        <w:rPr>
          <w:rtl/>
        </w:rPr>
        <w:t>כמה אובדן נתונים ארגון יכול לחוות, לפני שמתרחש נזק משמעותי, מנקודת האירוע המשבש ועד לגיבוי הנתונים האחרון</w:t>
      </w:r>
      <w:r>
        <w:rPr>
          <w:rFonts w:hint="cs"/>
          <w:rtl/>
        </w:rPr>
        <w:t xml:space="preserve">. </w:t>
      </w:r>
      <w:r w:rsidRPr="000D5A6E">
        <w:t>RPO</w:t>
      </w:r>
      <w:r w:rsidRPr="000D5A6E">
        <w:rPr>
          <w:rtl/>
        </w:rPr>
        <w:t xml:space="preserve"> עוזרת לקבוע כמה אובדן נתונים הארגון יכול לסבול במהלך אירוע בלתי צפוי.</w:t>
      </w:r>
    </w:p>
  </w:footnote>
  <w:footnote w:id="87">
    <w:p w:rsidR="009600C6" w:rsidP="003B5D33">
      <w:pPr>
        <w:pStyle w:val="FootnoteText"/>
        <w:rPr>
          <w:rtl/>
        </w:rPr>
      </w:pPr>
      <w:r>
        <w:rPr>
          <w:rStyle w:val="FootnoteReference1"/>
        </w:rPr>
        <w:footnoteRef/>
      </w:r>
      <w:r>
        <w:rPr>
          <w:rtl/>
        </w:rPr>
        <w:t xml:space="preserve"> </w:t>
      </w:r>
      <w:r>
        <w:rPr>
          <w:rtl/>
        </w:rPr>
        <w:tab/>
      </w:r>
      <w:r>
        <w:t>RTO - Recovery Time Objective</w:t>
      </w:r>
      <w:r>
        <w:rPr>
          <w:rFonts w:hint="cs"/>
          <w:rtl/>
        </w:rPr>
        <w:t xml:space="preserve"> - </w:t>
      </w:r>
      <w:r w:rsidRPr="00102C85">
        <w:rPr>
          <w:rtl/>
        </w:rPr>
        <w:t>טווח הזמן הנדרש להפעלה מחדש של הפעילות העסקית. מתייחס לפרק הזמן שבו אפליקציה, מערכת ותהליך יכולים להיות מושבתים מבלי לגרום נזק משמעותי לעסק ולזמן המושקע בשחזור האפליקציה והנתונים שלה</w:t>
      </w:r>
      <w:r>
        <w:rPr>
          <w:rFonts w:hint="cs"/>
          <w:rtl/>
        </w:rPr>
        <w:t xml:space="preserve"> עד לחידוש</w:t>
      </w:r>
      <w:r w:rsidRPr="00102C85">
        <w:rPr>
          <w:rtl/>
        </w:rPr>
        <w:t xml:space="preserve"> הפעילות העסקית הרגילה לאחר אירוע משמעותי.</w:t>
      </w:r>
    </w:p>
  </w:footnote>
  <w:footnote w:id="88">
    <w:p w:rsidR="009600C6" w:rsidP="003B5D33">
      <w:pPr>
        <w:pStyle w:val="FootnoteText"/>
      </w:pPr>
      <w:r>
        <w:rPr>
          <w:rStyle w:val="FootnoteReference1"/>
        </w:rPr>
        <w:footnoteRef/>
      </w:r>
      <w:r>
        <w:rPr>
          <w:rtl/>
        </w:rPr>
        <w:t xml:space="preserve"> </w:t>
      </w:r>
      <w:r>
        <w:rPr>
          <w:rtl/>
        </w:rPr>
        <w:tab/>
      </w:r>
      <w:r w:rsidRPr="000F6283">
        <w:rPr>
          <w:rtl/>
        </w:rPr>
        <w:t>תהליך שבו נתונים משוכפלים ומועתקים ממערכת אחת לאחרת, לרוב בזמן אמת או כמעט בזמן אמת</w:t>
      </w:r>
      <w:r>
        <w:rPr>
          <w:rFonts w:hint="cs"/>
          <w:rtl/>
        </w:rPr>
        <w:t>.</w:t>
      </w:r>
    </w:p>
  </w:footnote>
  <w:footnote w:id="89">
    <w:p w:rsidR="009600C6" w:rsidP="003B5D33">
      <w:pPr>
        <w:pStyle w:val="FootnoteText"/>
      </w:pPr>
      <w:r>
        <w:rPr>
          <w:rStyle w:val="FootnoteReference1"/>
        </w:rPr>
        <w:footnoteRef/>
      </w:r>
      <w:r>
        <w:rPr>
          <w:rtl/>
        </w:rPr>
        <w:t xml:space="preserve"> </w:t>
      </w:r>
      <w:r>
        <w:rPr>
          <w:rtl/>
        </w:rPr>
        <w:tab/>
      </w:r>
      <w:r w:rsidRPr="000F6283">
        <w:rPr>
          <w:rtl/>
        </w:rPr>
        <w:t>תהליך שבו נתונים משוכפלים ומועתקים ממערכת אחת לאחרת, לרוב בזמן אמת או כמעט בזמן אמת</w:t>
      </w:r>
      <w:r>
        <w:rPr>
          <w:rFonts w:hint="cs"/>
          <w:rtl/>
        </w:rPr>
        <w:t>.</w:t>
      </w:r>
    </w:p>
  </w:footnote>
  <w:footnote w:id="90">
    <w:p w:rsidR="009600C6" w:rsidP="003B5D33">
      <w:pPr>
        <w:pStyle w:val="FootnoteText"/>
        <w:rPr>
          <w:rtl/>
        </w:rPr>
      </w:pPr>
      <w:r>
        <w:rPr>
          <w:rStyle w:val="FootnoteReference1"/>
        </w:rPr>
        <w:footnoteRef/>
      </w:r>
      <w:r>
        <w:rPr>
          <w:rtl/>
        </w:rPr>
        <w:t xml:space="preserve"> </w:t>
      </w:r>
      <w:r>
        <w:rPr>
          <w:rtl/>
        </w:rPr>
        <w:tab/>
      </w:r>
      <w:r>
        <w:rPr>
          <w:rFonts w:hint="cs"/>
          <w:rtl/>
        </w:rPr>
        <w:t>הנחיית ראש אגף התקשוב - נוהל גיבוי ושחזור</w:t>
      </w:r>
      <w:r w:rsidRPr="003818A2">
        <w:rPr>
          <w:rFonts w:hint="cs"/>
          <w:rtl/>
        </w:rPr>
        <w:t>.</w:t>
      </w:r>
      <w:r w:rsidRPr="001D30C9">
        <w:rPr>
          <w:color w:val="FF0000"/>
          <w:rtl/>
        </w:rPr>
        <w:t xml:space="preserve"> </w:t>
      </w:r>
      <w:r>
        <w:rPr>
          <w:rFonts w:hint="cs"/>
          <w:rtl/>
        </w:rPr>
        <w:t xml:space="preserve">הנוהל </w:t>
      </w:r>
      <w:r w:rsidRPr="00C00FEA">
        <w:rPr>
          <w:rtl/>
        </w:rPr>
        <w:t>כולל את מדיניות הגיבויים הנהוגה במשרד</w:t>
      </w:r>
      <w:r>
        <w:rPr>
          <w:rFonts w:hint="cs"/>
          <w:rtl/>
        </w:rPr>
        <w:t>.</w:t>
      </w:r>
    </w:p>
  </w:footnote>
  <w:footnote w:id="91">
    <w:p w:rsidR="009600C6" w:rsidP="003B5D33">
      <w:pPr>
        <w:pStyle w:val="FootnoteText"/>
      </w:pPr>
      <w:r>
        <w:rPr>
          <w:rStyle w:val="FootnoteReference1"/>
        </w:rPr>
        <w:footnoteRef/>
      </w:r>
      <w:r>
        <w:rPr>
          <w:rtl/>
        </w:rPr>
        <w:t xml:space="preserve"> </w:t>
      </w:r>
      <w:r>
        <w:rPr>
          <w:rtl/>
        </w:rPr>
        <w:tab/>
      </w:r>
      <w:r w:rsidRPr="00650BF6">
        <w:t>Asgarkhani, Mehdi; Cater-Steel, Aileen; Toleman, Mark; and Ally, Mustafa, "Failed IT projects: is poor IT governance to blame?"</w:t>
      </w:r>
      <w:r>
        <w:t xml:space="preserve">, </w:t>
      </w:r>
      <w:r w:rsidRPr="001D30C9">
        <w:rPr>
          <w:b/>
          <w:bCs/>
        </w:rPr>
        <w:t>ACIS 2017 Proceedings</w:t>
      </w:r>
      <w:r w:rsidRPr="001D30C9">
        <w:t>,</w:t>
      </w:r>
      <w:r>
        <w:rPr>
          <w:b/>
          <w:bCs/>
        </w:rPr>
        <w:t xml:space="preserve"> </w:t>
      </w:r>
      <w:r w:rsidRPr="001D30C9">
        <w:t>(2017),</w:t>
      </w:r>
      <w:r w:rsidRPr="00650BF6">
        <w:t xml:space="preserve"> 103. </w:t>
      </w:r>
      <w:r w:rsidRPr="004E6FF7">
        <w:t>aisel.aisnet.org/acis2017/103</w:t>
      </w:r>
    </w:p>
    <w:p w:rsidR="009600C6" w:rsidRPr="00325525" w:rsidP="003B5D33">
      <w:pPr>
        <w:pStyle w:val="FootnoteText"/>
      </w:pPr>
      <w:r>
        <w:rPr>
          <w:rtl/>
        </w:rPr>
        <w:tab/>
      </w:r>
      <w:r w:rsidRPr="00CB04F2">
        <w:t>Lee, J., Lee, C., &amp; Jeong, K. Y.</w:t>
      </w:r>
      <w:r>
        <w:t>,</w:t>
      </w:r>
      <w:r w:rsidRPr="00CB04F2">
        <w:t xml:space="preserve"> </w:t>
      </w:r>
      <w:r>
        <w:t>“</w:t>
      </w:r>
      <w:r w:rsidRPr="00CB04F2">
        <w:t>Governance Inhibitors in IT Strategy and Management: An Empirical Study of Korean Enterprises</w:t>
      </w:r>
      <w:r>
        <w:t>”,</w:t>
      </w:r>
      <w:r w:rsidRPr="00CB04F2">
        <w:t xml:space="preserve"> </w:t>
      </w:r>
      <w:r w:rsidRPr="001D30C9">
        <w:rPr>
          <w:b/>
          <w:bCs/>
        </w:rPr>
        <w:t>Global Economic Review</w:t>
      </w:r>
      <w:r w:rsidRPr="00CB04F2">
        <w:t>, 37(1)</w:t>
      </w:r>
      <w:r>
        <w:t xml:space="preserve"> (2008),</w:t>
      </w:r>
      <w:r w:rsidRPr="00CB04F2">
        <w:t xml:space="preserve"> 1</w:t>
      </w:r>
      <w:r>
        <w:t>-</w:t>
      </w:r>
      <w:r w:rsidRPr="00325525">
        <w:t xml:space="preserve">22. </w:t>
      </w:r>
      <w:r w:rsidRPr="004E6FF7">
        <w:t>doi.org/10.1080/12265080801911899</w:t>
      </w:r>
      <w:r>
        <w:rPr>
          <w:rFonts w:hint="cs"/>
          <w:rtl/>
        </w:rPr>
        <w:t>.</w:t>
      </w:r>
    </w:p>
  </w:footnote>
  <w:footnote w:id="92">
    <w:p w:rsidR="009600C6" w:rsidRPr="00325525" w:rsidP="003B5D33">
      <w:pPr>
        <w:pStyle w:val="FootnoteText"/>
        <w:rPr>
          <w:rtl/>
        </w:rPr>
      </w:pPr>
      <w:r w:rsidRPr="00325525">
        <w:rPr>
          <w:rStyle w:val="FootnoteReference1"/>
        </w:rPr>
        <w:footnoteRef/>
      </w:r>
      <w:r w:rsidRPr="00325525">
        <w:rPr>
          <w:rtl/>
        </w:rPr>
        <w:t xml:space="preserve"> </w:t>
      </w:r>
      <w:r w:rsidRPr="00325525">
        <w:rPr>
          <w:rtl/>
        </w:rPr>
        <w:tab/>
      </w:r>
      <w:r w:rsidRPr="00325525">
        <w:t>Ahituv, N., Zviran, M., &amp; Glezer, C.</w:t>
      </w:r>
      <w:r>
        <w:t>, “</w:t>
      </w:r>
      <w:r w:rsidRPr="00325525">
        <w:t>Top Management Toolbox for Managing Corporate IT</w:t>
      </w:r>
      <w:r>
        <w:t>”;</w:t>
      </w:r>
      <w:r w:rsidRPr="00325525">
        <w:t xml:space="preserve"> </w:t>
      </w:r>
      <w:r w:rsidRPr="001D30C9">
        <w:rPr>
          <w:b/>
          <w:bCs/>
        </w:rPr>
        <w:t>Communications of the ACM</w:t>
      </w:r>
      <w:r w:rsidRPr="00325525">
        <w:t>, 42(4)</w:t>
      </w:r>
      <w:r>
        <w:t xml:space="preserve"> (1999)</w:t>
      </w:r>
      <w:r w:rsidRPr="00325525">
        <w:t xml:space="preserve">, 93-99. </w:t>
      </w:r>
      <w:r w:rsidRPr="004E6FF7">
        <w:t>doi.org/10.1145/299157.299177</w:t>
      </w:r>
      <w:r>
        <w:rPr>
          <w:rFonts w:hint="cs"/>
          <w:rtl/>
        </w:rPr>
        <w:t>.</w:t>
      </w:r>
    </w:p>
  </w:footnote>
  <w:footnote w:id="93">
    <w:p w:rsidR="009600C6" w:rsidRPr="00325525" w:rsidP="003B5D33">
      <w:pPr>
        <w:pStyle w:val="FootnoteText"/>
        <w:rPr>
          <w:rtl/>
        </w:rPr>
      </w:pPr>
      <w:r w:rsidRPr="00325525">
        <w:rPr>
          <w:rStyle w:val="FootnoteReference1"/>
        </w:rPr>
        <w:footnoteRef/>
      </w:r>
      <w:r w:rsidRPr="00325525">
        <w:rPr>
          <w:rtl/>
        </w:rPr>
        <w:t xml:space="preserve"> </w:t>
      </w:r>
      <w:r w:rsidRPr="00325525">
        <w:rPr>
          <w:rtl/>
        </w:rPr>
        <w:tab/>
      </w:r>
      <w:r w:rsidRPr="00325525">
        <w:t>De Haes, S., &amp; Van Grembergen, W.</w:t>
      </w:r>
      <w:r>
        <w:t>, “</w:t>
      </w:r>
      <w:r w:rsidRPr="00325525">
        <w:t>An Exploratory Study into IT Governance Implementations and its Impact on Business/IT Alignment</w:t>
      </w:r>
      <w:r>
        <w:t>”;</w:t>
      </w:r>
      <w:r w:rsidRPr="00325525">
        <w:t xml:space="preserve"> </w:t>
      </w:r>
      <w:r w:rsidRPr="001D30C9">
        <w:rPr>
          <w:b/>
          <w:bCs/>
        </w:rPr>
        <w:t>Information Systems Management</w:t>
      </w:r>
      <w:r w:rsidRPr="00325525">
        <w:t>, 26(2)</w:t>
      </w:r>
      <w:r>
        <w:t xml:space="preserve"> (2009),</w:t>
      </w:r>
      <w:r w:rsidRPr="00325525">
        <w:t xml:space="preserve"> 123</w:t>
      </w:r>
      <w:r>
        <w:t>-</w:t>
      </w:r>
      <w:r w:rsidRPr="00325525">
        <w:t xml:space="preserve">137. </w:t>
      </w:r>
      <w:r w:rsidRPr="004E6FF7">
        <w:t>doi.org/10.1080/10580530902794786</w:t>
      </w:r>
    </w:p>
    <w:p w:rsidR="009600C6" w:rsidRPr="00325525" w:rsidP="003B5D33">
      <w:pPr>
        <w:pStyle w:val="FootnoteText"/>
        <w:rPr>
          <w:rtl/>
        </w:rPr>
      </w:pPr>
      <w:r w:rsidRPr="00325525">
        <w:rPr>
          <w:rtl/>
        </w:rPr>
        <w:tab/>
      </w:r>
      <w:r w:rsidRPr="00325525">
        <w:t>Joshi, A., Benitez, J., Huygh, T., Ruiz, L., &amp; De Haes, S.</w:t>
      </w:r>
      <w:r>
        <w:t>, “</w:t>
      </w:r>
      <w:r w:rsidRPr="00325525">
        <w:t>Impact of IT governance process capability on business performance: Theory and empirical evidence</w:t>
      </w:r>
      <w:r>
        <w:t>”,</w:t>
      </w:r>
      <w:r w:rsidRPr="00325525">
        <w:t xml:space="preserve"> </w:t>
      </w:r>
      <w:r w:rsidRPr="001D30C9">
        <w:rPr>
          <w:b/>
          <w:bCs/>
        </w:rPr>
        <w:t>Decision Support</w:t>
      </w:r>
      <w:r>
        <w:rPr>
          <w:b/>
          <w:bCs/>
        </w:rPr>
        <w:t xml:space="preserve"> </w:t>
      </w:r>
      <w:r w:rsidRPr="001D30C9">
        <w:rPr>
          <w:b/>
          <w:bCs/>
        </w:rPr>
        <w:t>Systems</w:t>
      </w:r>
      <w:r>
        <w:rPr>
          <w:b/>
          <w:bCs/>
        </w:rPr>
        <w:t xml:space="preserve">, </w:t>
      </w:r>
      <w:r w:rsidRPr="001D30C9">
        <w:t>153</w:t>
      </w:r>
      <w:r>
        <w:t xml:space="preserve"> (2022).</w:t>
      </w:r>
      <w:r w:rsidRPr="00325525">
        <w:rPr>
          <w:rFonts w:hint="cs"/>
          <w:rtl/>
        </w:rPr>
        <w:t xml:space="preserve"> </w:t>
      </w:r>
      <w:r w:rsidRPr="004E6FF7">
        <w:t>https://www.sciencedirect.com/science/article/pii/S0167923621001780</w:t>
      </w:r>
    </w:p>
    <w:p w:rsidR="009600C6" w:rsidP="003B5D33">
      <w:pPr>
        <w:pStyle w:val="FootnoteText"/>
        <w:rPr>
          <w:highlight w:val="yellow"/>
          <w:rtl/>
        </w:rPr>
      </w:pPr>
    </w:p>
    <w:p w:rsidR="009600C6" w:rsidRPr="00DC5660" w:rsidP="003B5D33">
      <w:pPr>
        <w:pStyle w:val="FootnoteText"/>
        <w:rPr>
          <w:rtl/>
        </w:rPr>
      </w:pPr>
    </w:p>
  </w:footnote>
  <w:footnote w:id="94">
    <w:p w:rsidR="009600C6" w:rsidP="003B5D33">
      <w:pPr>
        <w:pStyle w:val="FootnoteText"/>
      </w:pPr>
      <w:r>
        <w:rPr>
          <w:rStyle w:val="FootnoteReference1"/>
        </w:rPr>
        <w:footnoteRef/>
      </w:r>
      <w:r>
        <w:rPr>
          <w:rtl/>
        </w:rPr>
        <w:t xml:space="preserve"> </w:t>
      </w:r>
      <w:r>
        <w:rPr>
          <w:rtl/>
        </w:rPr>
        <w:tab/>
      </w:r>
      <w:r w:rsidRPr="006E4069">
        <w:rPr>
          <w:rtl/>
        </w:rPr>
        <w:t>החלט</w:t>
      </w:r>
      <w:r w:rsidRPr="006E4069">
        <w:rPr>
          <w:rFonts w:hint="cs"/>
          <w:rtl/>
        </w:rPr>
        <w:t>ת הממשלה</w:t>
      </w:r>
      <w:r w:rsidRPr="006E4069">
        <w:rPr>
          <w:rtl/>
        </w:rPr>
        <w:t xml:space="preserve"> 2443</w:t>
      </w:r>
      <w:r w:rsidRPr="006E4069">
        <w:rPr>
          <w:rFonts w:hint="cs"/>
          <w:rtl/>
        </w:rPr>
        <w:t>, "קידום אסדרה לאומית והובלה ממשלתית בהגנת הסייבר" (15.2.15).</w:t>
      </w:r>
    </w:p>
  </w:footnote>
  <w:footnote w:id="95">
    <w:p w:rsidR="009600C6" w:rsidP="003B5D33">
      <w:pPr>
        <w:pStyle w:val="FootnoteText"/>
      </w:pPr>
      <w:r>
        <w:rPr>
          <w:rStyle w:val="FootnoteReference1"/>
        </w:rPr>
        <w:footnoteRef/>
      </w:r>
      <w:r>
        <w:rPr>
          <w:rtl/>
        </w:rPr>
        <w:t xml:space="preserve"> </w:t>
      </w:r>
      <w:r>
        <w:rPr>
          <w:rtl/>
        </w:rPr>
        <w:tab/>
      </w:r>
      <w:r w:rsidRPr="006E4069">
        <w:rPr>
          <w:rFonts w:hint="cs"/>
          <w:rtl/>
        </w:rPr>
        <w:t xml:space="preserve">מס"ל, </w:t>
      </w:r>
      <w:r w:rsidRPr="006E4069">
        <w:rPr>
          <w:rFonts w:hint="eastAsia"/>
          <w:rtl/>
        </w:rPr>
        <w:t>תורת</w:t>
      </w:r>
      <w:r w:rsidRPr="006E4069">
        <w:rPr>
          <w:rtl/>
        </w:rPr>
        <w:t xml:space="preserve"> </w:t>
      </w:r>
      <w:r w:rsidRPr="006E4069">
        <w:rPr>
          <w:rFonts w:hint="eastAsia"/>
          <w:rtl/>
        </w:rPr>
        <w:t>ההגנה</w:t>
      </w:r>
      <w:r w:rsidRPr="006E4069">
        <w:rPr>
          <w:rtl/>
        </w:rPr>
        <w:t xml:space="preserve"> </w:t>
      </w:r>
      <w:r w:rsidRPr="006E4069">
        <w:rPr>
          <w:rFonts w:hint="eastAsia"/>
          <w:rtl/>
        </w:rPr>
        <w:t>בסייבר</w:t>
      </w:r>
      <w:r w:rsidRPr="006E4069">
        <w:rPr>
          <w:rtl/>
        </w:rPr>
        <w:t xml:space="preserve"> 2.0</w:t>
      </w:r>
      <w:r w:rsidRPr="006E4069">
        <w:rPr>
          <w:rFonts w:hint="cs"/>
          <w:rtl/>
        </w:rPr>
        <w:t xml:space="preserve"> (יוני 2021).</w:t>
      </w:r>
    </w:p>
  </w:footnote>
  <w:footnote w:id="96">
    <w:p w:rsidR="009600C6" w:rsidP="003B5D33">
      <w:pPr>
        <w:pStyle w:val="FootnoteText"/>
        <w:rPr>
          <w:rtl/>
        </w:rPr>
      </w:pPr>
      <w:r>
        <w:rPr>
          <w:rStyle w:val="FootnoteReference1"/>
        </w:rPr>
        <w:footnoteRef/>
      </w:r>
      <w:r>
        <w:rPr>
          <w:rtl/>
        </w:rPr>
        <w:t xml:space="preserve"> </w:t>
      </w:r>
      <w:r>
        <w:rPr>
          <w:rtl/>
        </w:rPr>
        <w:tab/>
      </w:r>
      <w:r w:rsidRPr="0048183F">
        <w:rPr>
          <w:rtl/>
        </w:rPr>
        <w:t xml:space="preserve">נכסי </w:t>
      </w:r>
      <w:r>
        <w:rPr>
          <w:rFonts w:hint="cs"/>
          <w:rtl/>
        </w:rPr>
        <w:t>ה</w:t>
      </w:r>
      <w:r w:rsidRPr="0048183F">
        <w:rPr>
          <w:rtl/>
        </w:rPr>
        <w:t xml:space="preserve">מידע של המשרד הם המידע, מערכות המחשוב </w:t>
      </w:r>
      <w:r>
        <w:rPr>
          <w:rFonts w:hint="cs"/>
          <w:rtl/>
        </w:rPr>
        <w:t>ש</w:t>
      </w:r>
      <w:r w:rsidRPr="0048183F">
        <w:rPr>
          <w:rtl/>
        </w:rPr>
        <w:t>מעבדות ומאכסנות אותו, התקשורת</w:t>
      </w:r>
      <w:r>
        <w:rPr>
          <w:rFonts w:hint="cs"/>
          <w:rtl/>
        </w:rPr>
        <w:t xml:space="preserve"> וכן</w:t>
      </w:r>
      <w:r w:rsidRPr="0048183F">
        <w:rPr>
          <w:rtl/>
        </w:rPr>
        <w:t xml:space="preserve"> האמצעים והציוד </w:t>
      </w:r>
      <w:r>
        <w:rPr>
          <w:rFonts w:hint="cs"/>
          <w:rtl/>
        </w:rPr>
        <w:t>ש</w:t>
      </w:r>
      <w:r w:rsidRPr="0048183F">
        <w:rPr>
          <w:rtl/>
        </w:rPr>
        <w:t xml:space="preserve">עליו הוא מושתת. לפי </w:t>
      </w:r>
      <w:r w:rsidRPr="00BF3815">
        <w:rPr>
          <w:rtl/>
        </w:rPr>
        <w:t>הנחי</w:t>
      </w:r>
      <w:r w:rsidRPr="00BF3815">
        <w:rPr>
          <w:rFonts w:hint="cs"/>
          <w:rtl/>
        </w:rPr>
        <w:t>י</w:t>
      </w:r>
      <w:r w:rsidRPr="00BF3815">
        <w:rPr>
          <w:rtl/>
        </w:rPr>
        <w:t>ת יה"ב 5.1 סעיף 4.5</w:t>
      </w:r>
      <w:r w:rsidRPr="00BF3815">
        <w:rPr>
          <w:rFonts w:hint="cs"/>
          <w:rtl/>
        </w:rPr>
        <w:t>,</w:t>
      </w:r>
      <w:r w:rsidRPr="0048183F">
        <w:rPr>
          <w:rtl/>
        </w:rPr>
        <w:t xml:space="preserve"> מידע מוגדר ככל נתון הנוגע ו/או הקשור לפעילותם, תפעולם או תפקודם של המשרדים, לרבות מידע הנוגע לצנעת הפרט ומידע ממשלתי רגיש, הקיים על</w:t>
      </w:r>
      <w:r>
        <w:rPr>
          <w:rFonts w:hint="cs"/>
          <w:rtl/>
        </w:rPr>
        <w:t xml:space="preserve"> </w:t>
      </w:r>
      <w:r w:rsidRPr="0048183F">
        <w:rPr>
          <w:rtl/>
        </w:rPr>
        <w:t>גבי אמצעי אחסון ממוחשבים, מגנטיים או אלקטרוניים, מצעי מידע פיזיים וכן מידע המועבר בעל</w:t>
      </w:r>
      <w:r>
        <w:rPr>
          <w:rFonts w:hint="cs"/>
          <w:rtl/>
        </w:rPr>
        <w:t xml:space="preserve"> </w:t>
      </w:r>
      <w:r w:rsidRPr="0048183F">
        <w:rPr>
          <w:rtl/>
        </w:rPr>
        <w:t>פה</w:t>
      </w:r>
      <w:r>
        <w:rPr>
          <w:rFonts w:hint="cs"/>
          <w:rtl/>
        </w:rPr>
        <w:t>.</w:t>
      </w:r>
    </w:p>
  </w:footnote>
  <w:footnote w:id="97">
    <w:p w:rsidR="009600C6" w:rsidP="003B5D33">
      <w:pPr>
        <w:pStyle w:val="FootnoteText"/>
      </w:pPr>
      <w:r>
        <w:rPr>
          <w:rStyle w:val="FootnoteReference1"/>
        </w:rPr>
        <w:footnoteRef/>
      </w:r>
      <w:r>
        <w:rPr>
          <w:rtl/>
        </w:rPr>
        <w:t xml:space="preserve"> </w:t>
      </w:r>
      <w:r>
        <w:rPr>
          <w:rtl/>
        </w:rPr>
        <w:tab/>
      </w:r>
      <w:r w:rsidRPr="00390924">
        <w:rPr>
          <w:rtl/>
        </w:rPr>
        <w:t>בשנת 2019 בוצע גם סקר סיכונים בנושא הגנת הפרטיות על המאגר הקונסולרי.</w:t>
      </w:r>
    </w:p>
  </w:footnote>
  <w:footnote w:id="98">
    <w:p w:rsidR="009600C6" w:rsidP="003B5D33">
      <w:pPr>
        <w:pStyle w:val="FootnoteText"/>
      </w:pPr>
      <w:r>
        <w:rPr>
          <w:rStyle w:val="FootnoteReference1"/>
        </w:rPr>
        <w:footnoteRef/>
      </w:r>
      <w:r>
        <w:rPr>
          <w:rtl/>
        </w:rPr>
        <w:t xml:space="preserve"> </w:t>
      </w:r>
      <w:r>
        <w:rPr>
          <w:rtl/>
        </w:rPr>
        <w:tab/>
      </w:r>
      <w:r w:rsidRPr="00BF3815">
        <w:rPr>
          <w:rtl/>
        </w:rPr>
        <w:t>בישיבת ועדת ההיגוי באפריל 2021</w:t>
      </w:r>
      <w:r w:rsidRPr="00BE4A58">
        <w:rPr>
          <w:rtl/>
        </w:rPr>
        <w:t xml:space="preserve"> הוצגו 41 סיכונים בתחום הסייבר במשרד וכן מגמות </w:t>
      </w:r>
      <w:r>
        <w:rPr>
          <w:rFonts w:hint="cs"/>
          <w:rtl/>
        </w:rPr>
        <w:t>השינוי בהם</w:t>
      </w:r>
      <w:r w:rsidRPr="00BE4A58">
        <w:rPr>
          <w:rtl/>
        </w:rPr>
        <w:t xml:space="preserve">. </w:t>
      </w:r>
      <w:r>
        <w:rPr>
          <w:rFonts w:hint="cs"/>
          <w:rtl/>
        </w:rPr>
        <w:t xml:space="preserve">כמו כן </w:t>
      </w:r>
      <w:r w:rsidRPr="00BE4A58">
        <w:rPr>
          <w:rtl/>
        </w:rPr>
        <w:t>הוצגה תמונת מצב של רמת ההגנה בסייבר בשקף הממחיש את רמת ההגנה בסייבר במשרד לפי תתי</w:t>
      </w:r>
      <w:r>
        <w:rPr>
          <w:rFonts w:hint="cs"/>
          <w:rtl/>
        </w:rPr>
        <w:t>-</w:t>
      </w:r>
      <w:r w:rsidRPr="00BE4A58">
        <w:rPr>
          <w:rtl/>
        </w:rPr>
        <w:t xml:space="preserve"> תחומים בהשוואה לרמת ההגנה הנדרשת בכל אחד מהם.</w:t>
      </w:r>
    </w:p>
  </w:footnote>
  <w:footnote w:id="99">
    <w:p w:rsidR="009600C6" w:rsidP="003B5D33">
      <w:pPr>
        <w:pStyle w:val="FootnoteText"/>
        <w:rPr>
          <w:rtl/>
        </w:rPr>
      </w:pPr>
      <w:r>
        <w:rPr>
          <w:rStyle w:val="FootnoteReference1"/>
        </w:rPr>
        <w:footnoteRef/>
      </w:r>
      <w:r>
        <w:rPr>
          <w:rtl/>
        </w:rPr>
        <w:t xml:space="preserve"> </w:t>
      </w:r>
      <w:r>
        <w:rPr>
          <w:rtl/>
        </w:rPr>
        <w:tab/>
      </w:r>
      <w:r w:rsidRPr="00BF3815">
        <w:rPr>
          <w:rtl/>
        </w:rPr>
        <w:t xml:space="preserve">החלטת הממשלה 2443 </w:t>
      </w:r>
      <w:r w:rsidRPr="00BF3815">
        <w:rPr>
          <w:rFonts w:hint="cs"/>
          <w:rtl/>
        </w:rPr>
        <w:t>(</w:t>
      </w:r>
      <w:r w:rsidRPr="00BF3815">
        <w:rPr>
          <w:rtl/>
        </w:rPr>
        <w:t>15.2.15</w:t>
      </w:r>
      <w:r w:rsidRPr="00BF3815">
        <w:rPr>
          <w:rFonts w:hint="cs"/>
          <w:rtl/>
        </w:rPr>
        <w:t>)</w:t>
      </w:r>
      <w:r>
        <w:rPr>
          <w:rFonts w:hint="cs"/>
          <w:rtl/>
        </w:rPr>
        <w:t>.</w:t>
      </w:r>
    </w:p>
  </w:footnote>
  <w:footnote w:id="100">
    <w:p w:rsidR="009600C6" w:rsidP="003B5D33">
      <w:pPr>
        <w:pStyle w:val="FootnoteText"/>
        <w:rPr>
          <w:rtl/>
        </w:rPr>
      </w:pPr>
      <w:r>
        <w:rPr>
          <w:rStyle w:val="FootnoteReference1"/>
        </w:rPr>
        <w:footnoteRef/>
      </w:r>
      <w:r>
        <w:rPr>
          <w:rtl/>
        </w:rPr>
        <w:t xml:space="preserve"> </w:t>
      </w:r>
      <w:r>
        <w:rPr>
          <w:rtl/>
        </w:rPr>
        <w:tab/>
      </w:r>
      <w:r w:rsidRPr="00BF3815">
        <w:rPr>
          <w:rtl/>
        </w:rPr>
        <w:t>חברי הו</w:t>
      </w:r>
      <w:r w:rsidRPr="00BF3815">
        <w:rPr>
          <w:rFonts w:hint="cs"/>
          <w:rtl/>
        </w:rPr>
        <w:t>ו</w:t>
      </w:r>
      <w:r w:rsidRPr="00BF3815">
        <w:rPr>
          <w:rtl/>
        </w:rPr>
        <w:t>עדה ימונו ע</w:t>
      </w:r>
      <w:r w:rsidRPr="00BF3815">
        <w:rPr>
          <w:rFonts w:hint="cs"/>
          <w:rtl/>
        </w:rPr>
        <w:t>ל ידי</w:t>
      </w:r>
      <w:r w:rsidRPr="00BF3815">
        <w:rPr>
          <w:rtl/>
        </w:rPr>
        <w:t xml:space="preserve"> המנכ"ל או </w:t>
      </w:r>
      <w:r w:rsidRPr="00BF3815">
        <w:rPr>
          <w:rFonts w:hint="cs"/>
          <w:rtl/>
        </w:rPr>
        <w:t xml:space="preserve">על ידי </w:t>
      </w:r>
      <w:r w:rsidRPr="00BF3815">
        <w:rPr>
          <w:rtl/>
        </w:rPr>
        <w:t xml:space="preserve">מי </w:t>
      </w:r>
      <w:r w:rsidRPr="00BF3815">
        <w:rPr>
          <w:rFonts w:hint="cs"/>
          <w:rtl/>
        </w:rPr>
        <w:t xml:space="preserve">שהמנכ"ל הסמיכו; הוועדה תכלול </w:t>
      </w:r>
      <w:r w:rsidRPr="00BF3815">
        <w:rPr>
          <w:rtl/>
        </w:rPr>
        <w:t>גורמים בדרג הנהלה בכיר</w:t>
      </w:r>
      <w:r w:rsidRPr="00BF3815">
        <w:rPr>
          <w:rFonts w:hint="cs"/>
          <w:rtl/>
        </w:rPr>
        <w:t xml:space="preserve"> ו</w:t>
      </w:r>
      <w:r w:rsidRPr="00BF3815">
        <w:rPr>
          <w:rtl/>
        </w:rPr>
        <w:t>בעלי זיקה לנושא</w:t>
      </w:r>
      <w:r w:rsidRPr="00BF3815">
        <w:rPr>
          <w:rFonts w:hint="cs"/>
          <w:rtl/>
        </w:rPr>
        <w:t xml:space="preserve"> </w:t>
      </w:r>
      <w:r w:rsidRPr="00BF3815">
        <w:rPr>
          <w:rtl/>
        </w:rPr>
        <w:t>ההגנה בסייבר</w:t>
      </w:r>
      <w:r w:rsidRPr="00BF3815">
        <w:rPr>
          <w:rFonts w:hint="cs"/>
          <w:rtl/>
        </w:rPr>
        <w:t>,</w:t>
      </w:r>
      <w:r w:rsidRPr="00BF3815">
        <w:rPr>
          <w:rtl/>
        </w:rPr>
        <w:t xml:space="preserve"> </w:t>
      </w:r>
      <w:r w:rsidRPr="00BF3815">
        <w:rPr>
          <w:rFonts w:hint="cs"/>
          <w:rtl/>
        </w:rPr>
        <w:t xml:space="preserve">וחברי הוועדה יקבלו מינוי רשמי בכתב שישקף </w:t>
      </w:r>
      <w:r w:rsidRPr="00BF3815">
        <w:rPr>
          <w:rtl/>
        </w:rPr>
        <w:t>את תפקידם ואחריותם</w:t>
      </w:r>
      <w:r>
        <w:rPr>
          <w:rFonts w:hint="cs"/>
          <w:rtl/>
        </w:rPr>
        <w:t>.</w:t>
      </w:r>
    </w:p>
  </w:footnote>
  <w:footnote w:id="101">
    <w:p w:rsidR="009600C6" w:rsidP="003B5D33">
      <w:pPr>
        <w:pStyle w:val="FootnoteText"/>
      </w:pPr>
      <w:r>
        <w:rPr>
          <w:rStyle w:val="FootnoteReference1"/>
        </w:rPr>
        <w:footnoteRef/>
      </w:r>
      <w:r>
        <w:rPr>
          <w:rtl/>
        </w:rPr>
        <w:t xml:space="preserve"> </w:t>
      </w:r>
      <w:r>
        <w:rPr>
          <w:rtl/>
        </w:rPr>
        <w:tab/>
      </w:r>
      <w:r>
        <w:rPr>
          <w:rFonts w:hint="cs"/>
          <w:rtl/>
        </w:rPr>
        <w:t>הוועדה התכנסה ב-</w:t>
      </w:r>
      <w:r w:rsidRPr="00C8716D">
        <w:rPr>
          <w:rFonts w:ascii="David" w:hAnsi="David"/>
        </w:rPr>
        <w:t>25.2.20</w:t>
      </w:r>
      <w:r>
        <w:rPr>
          <w:rFonts w:hint="cs"/>
          <w:rtl/>
        </w:rPr>
        <w:t>, 5.4.21, 23.11.22, 14.5.23, 30.9.24.</w:t>
      </w:r>
    </w:p>
  </w:footnote>
  <w:footnote w:id="102">
    <w:p w:rsidR="009600C6" w:rsidP="003B5D33">
      <w:pPr>
        <w:pStyle w:val="FootnoteText"/>
      </w:pPr>
      <w:r>
        <w:rPr>
          <w:rStyle w:val="FootnoteReference1"/>
        </w:rPr>
        <w:footnoteRef/>
      </w:r>
      <w:r>
        <w:rPr>
          <w:rtl/>
        </w:rPr>
        <w:t xml:space="preserve"> </w:t>
      </w:r>
      <w:r>
        <w:rPr>
          <w:rtl/>
        </w:rPr>
        <w:tab/>
      </w:r>
      <w:r>
        <w:rPr>
          <w:rFonts w:hint="cs"/>
          <w:rtl/>
        </w:rPr>
        <w:t xml:space="preserve">יצוין כי </w:t>
      </w:r>
      <w:r w:rsidRPr="004D6B5C">
        <w:rPr>
          <w:rtl/>
        </w:rPr>
        <w:t xml:space="preserve">הוועדה התקשובית להגנת הסייבר התכנסה שלוש פעמים </w:t>
      </w:r>
      <w:r>
        <w:rPr>
          <w:rFonts w:hint="cs"/>
          <w:rtl/>
        </w:rPr>
        <w:t>בפרק הזמן שמ</w:t>
      </w:r>
      <w:r w:rsidRPr="004D6B5C">
        <w:rPr>
          <w:rtl/>
        </w:rPr>
        <w:t>ספטמבר 2019 ועד פברואר 2020</w:t>
      </w:r>
      <w:r>
        <w:rPr>
          <w:rFonts w:hint="cs"/>
          <w:rtl/>
        </w:rPr>
        <w:t>.</w:t>
      </w:r>
    </w:p>
  </w:footnote>
  <w:footnote w:id="103">
    <w:p w:rsidR="009600C6" w:rsidP="003B5D33">
      <w:pPr>
        <w:pStyle w:val="FootnoteText"/>
        <w:rPr>
          <w:rtl/>
        </w:rPr>
      </w:pPr>
      <w:r>
        <w:rPr>
          <w:rStyle w:val="FootnoteReference1"/>
        </w:rPr>
        <w:footnoteRef/>
      </w:r>
      <w:r>
        <w:rPr>
          <w:rtl/>
        </w:rPr>
        <w:t xml:space="preserve"> </w:t>
      </w:r>
      <w:r>
        <w:rPr>
          <w:rtl/>
        </w:rPr>
        <w:tab/>
      </w:r>
      <w:r>
        <w:rPr>
          <w:rFonts w:hint="cs"/>
          <w:rtl/>
        </w:rPr>
        <w:t xml:space="preserve">מנב"ט סייבר, מנהל </w:t>
      </w:r>
      <w:r>
        <w:rPr>
          <w:rFonts w:hint="cs"/>
        </w:rPr>
        <w:t>SOC</w:t>
      </w:r>
      <w:r>
        <w:rPr>
          <w:rFonts w:hint="cs"/>
          <w:rtl/>
        </w:rPr>
        <w:t xml:space="preserve"> ומתודולוג חו"ל.</w:t>
      </w:r>
    </w:p>
  </w:footnote>
  <w:footnote w:id="104">
    <w:p w:rsidR="009600C6" w:rsidP="003B5D33">
      <w:pPr>
        <w:pStyle w:val="FootnoteText"/>
        <w:rPr>
          <w:rtl/>
        </w:rPr>
      </w:pPr>
      <w:r>
        <w:rPr>
          <w:rStyle w:val="FootnoteReference1"/>
        </w:rPr>
        <w:footnoteRef/>
      </w:r>
      <w:r>
        <w:rPr>
          <w:rtl/>
        </w:rPr>
        <w:t xml:space="preserve"> </w:t>
      </w:r>
      <w:r>
        <w:rPr>
          <w:rtl/>
        </w:rPr>
        <w:tab/>
      </w:r>
      <w:r w:rsidRPr="00BF3815">
        <w:rPr>
          <w:rtl/>
        </w:rPr>
        <w:t>לפי הנחי</w:t>
      </w:r>
      <w:r w:rsidRPr="00BF3815">
        <w:rPr>
          <w:rFonts w:hint="cs"/>
          <w:rtl/>
        </w:rPr>
        <w:t>ית יה"ב</w:t>
      </w:r>
      <w:r>
        <w:rPr>
          <w:rFonts w:hint="cs"/>
          <w:rtl/>
        </w:rPr>
        <w:t>,</w:t>
      </w:r>
      <w:r w:rsidRPr="00A72794">
        <w:rPr>
          <w:rtl/>
        </w:rPr>
        <w:t xml:space="preserve"> נכסי מידע</w:t>
      </w:r>
      <w:r>
        <w:rPr>
          <w:rFonts w:hint="cs"/>
          <w:rtl/>
        </w:rPr>
        <w:t xml:space="preserve"> הם</w:t>
      </w:r>
      <w:r w:rsidRPr="00A72794">
        <w:rPr>
          <w:rtl/>
        </w:rPr>
        <w:t xml:space="preserve"> "המידע, מערכות המחשוב המעבדות ומאכסנות אותו והתקשורת, האמצעים והציוד עליו הוא מושתת".</w:t>
      </w:r>
    </w:p>
  </w:footnote>
  <w:footnote w:id="105">
    <w:p w:rsidR="009600C6" w:rsidP="003B5D33">
      <w:pPr>
        <w:pStyle w:val="FootnoteText"/>
      </w:pPr>
      <w:r>
        <w:rPr>
          <w:rStyle w:val="FootnoteReference1"/>
        </w:rPr>
        <w:footnoteRef/>
      </w:r>
      <w:r>
        <w:rPr>
          <w:rtl/>
        </w:rPr>
        <w:t xml:space="preserve"> </w:t>
      </w:r>
      <w:r>
        <w:rPr>
          <w:rtl/>
        </w:rPr>
        <w:tab/>
      </w:r>
      <w:r w:rsidRPr="00BF3815">
        <w:rPr>
          <w:rtl/>
        </w:rPr>
        <w:t>אשר לרמות סיווג המידע, בהנחיות יה"ב</w:t>
      </w:r>
      <w:r w:rsidRPr="00BF3815">
        <w:rPr>
          <w:rFonts w:hint="cs"/>
          <w:rtl/>
        </w:rPr>
        <w:t xml:space="preserve"> נקבע </w:t>
      </w:r>
      <w:r w:rsidRPr="00BF3815">
        <w:rPr>
          <w:rtl/>
        </w:rPr>
        <w:t>כי המידע במשרד ימופה לפי סוגי המידע הבאים: מידע ב</w:t>
      </w:r>
      <w:r w:rsidRPr="00BF3815">
        <w:rPr>
          <w:rFonts w:hint="cs"/>
          <w:rtl/>
        </w:rPr>
        <w:t>י</w:t>
      </w:r>
      <w:r w:rsidRPr="00BF3815">
        <w:rPr>
          <w:rtl/>
        </w:rPr>
        <w:t xml:space="preserve">טחוני; מידע אישי מוגן על פי חוק הגנת הפרטיות; כל מידע במאגר המוגן על פי תקנות הגנת הפרטיות (אבטחת מידע); מידע כלכלי ו/או מסחרי; מידע הנוגע לשלום הציבור ו/או </w:t>
      </w:r>
      <w:r w:rsidRPr="00BF3815">
        <w:rPr>
          <w:rFonts w:hint="cs"/>
          <w:rtl/>
        </w:rPr>
        <w:t>ל</w:t>
      </w:r>
      <w:r w:rsidRPr="00BF3815">
        <w:rPr>
          <w:rtl/>
        </w:rPr>
        <w:t>שלום היחיד. עוד נקבע בהנח</w:t>
      </w:r>
      <w:r w:rsidRPr="00BF3815">
        <w:rPr>
          <w:rFonts w:hint="cs"/>
          <w:rtl/>
        </w:rPr>
        <w:t>י</w:t>
      </w:r>
      <w:r w:rsidRPr="00BF3815">
        <w:rPr>
          <w:rtl/>
        </w:rPr>
        <w:t>ית יה"ב כי בנ</w:t>
      </w:r>
      <w:r w:rsidRPr="00BF3815">
        <w:rPr>
          <w:rFonts w:hint="cs"/>
          <w:rtl/>
        </w:rPr>
        <w:t>ו</w:t>
      </w:r>
      <w:r w:rsidRPr="00BF3815">
        <w:rPr>
          <w:rtl/>
        </w:rPr>
        <w:t>הלי המשרד ייקבעו רמות התייחסות למידע שאינו ב</w:t>
      </w:r>
      <w:r w:rsidRPr="00BF3815">
        <w:rPr>
          <w:rFonts w:hint="cs"/>
          <w:rtl/>
        </w:rPr>
        <w:t>י</w:t>
      </w:r>
      <w:r w:rsidRPr="00BF3815">
        <w:rPr>
          <w:rtl/>
        </w:rPr>
        <w:t>טחוני אך רגיש בהתאם לרמות הבאות: פנימי; חסוי או חסוי אישי; חסוי ביותר</w:t>
      </w:r>
      <w:r>
        <w:rPr>
          <w:rFonts w:hint="cs"/>
          <w:rtl/>
        </w:rPr>
        <w:t>.</w:t>
      </w:r>
    </w:p>
  </w:footnote>
  <w:footnote w:id="106">
    <w:p w:rsidR="009600C6" w:rsidP="003B5D33">
      <w:pPr>
        <w:pStyle w:val="FootnoteText"/>
        <w:rPr>
          <w:rtl/>
        </w:rPr>
      </w:pPr>
      <w:r>
        <w:rPr>
          <w:rStyle w:val="FootnoteReference1"/>
        </w:rPr>
        <w:footnoteRef/>
      </w:r>
      <w:r>
        <w:rPr>
          <w:rtl/>
        </w:rPr>
        <w:t xml:space="preserve"> </w:t>
      </w:r>
      <w:r>
        <w:rPr>
          <w:rtl/>
        </w:rPr>
        <w:tab/>
      </w:r>
      <w:r>
        <w:rPr>
          <w:rFonts w:hint="cs"/>
          <w:rtl/>
        </w:rPr>
        <w:t>ראש חטיבת בטמ"ח.</w:t>
      </w:r>
    </w:p>
  </w:footnote>
  <w:footnote w:id="107">
    <w:p w:rsidR="009600C6" w:rsidP="003B5D33">
      <w:pPr>
        <w:pStyle w:val="FootnoteText"/>
        <w:rPr>
          <w:rtl/>
        </w:rPr>
      </w:pPr>
      <w:r>
        <w:rPr>
          <w:rStyle w:val="FootnoteReference1"/>
        </w:rPr>
        <w:footnoteRef/>
      </w:r>
      <w:r>
        <w:rPr>
          <w:rtl/>
        </w:rPr>
        <w:t xml:space="preserve"> </w:t>
      </w:r>
      <w:r>
        <w:rPr>
          <w:rtl/>
        </w:rPr>
        <w:tab/>
      </w:r>
      <w:r>
        <w:rPr>
          <w:rFonts w:hint="cs"/>
          <w:rtl/>
        </w:rPr>
        <w:t>יצוין כי חובת ניהול הרשאות הגישה קבועה גם בסעיף 8 בתקנות הגנת הפרטיות (אבטחת מידע), התשע"ז-2017.</w:t>
      </w:r>
    </w:p>
  </w:footnote>
  <w:footnote w:id="108">
    <w:p w:rsidR="009600C6" w:rsidP="003B5D33">
      <w:pPr>
        <w:pStyle w:val="FootnoteText"/>
        <w:rPr>
          <w:rtl/>
        </w:rPr>
      </w:pPr>
      <w:r>
        <w:rPr>
          <w:rStyle w:val="FootnoteReference1"/>
        </w:rPr>
        <w:footnoteRef/>
      </w:r>
      <w:r>
        <w:rPr>
          <w:rtl/>
        </w:rPr>
        <w:t xml:space="preserve"> </w:t>
      </w:r>
      <w:r>
        <w:rPr>
          <w:rtl/>
        </w:rPr>
        <w:tab/>
      </w:r>
      <w:r>
        <w:rPr>
          <w:rFonts w:hint="cs"/>
          <w:rtl/>
        </w:rPr>
        <w:t>בעניין זה ראו גם תקנות הגנת הפרטיות (אבטחת מידע), ה</w:t>
      </w:r>
      <w:r w:rsidRPr="004F6D15">
        <w:rPr>
          <w:rtl/>
        </w:rPr>
        <w:t>תשע"ז-2017.</w:t>
      </w:r>
    </w:p>
  </w:footnote>
  <w:footnote w:id="109">
    <w:p w:rsidR="009600C6" w:rsidP="003B5D33">
      <w:pPr>
        <w:pStyle w:val="FootnoteText"/>
        <w:rPr>
          <w:rtl/>
        </w:rPr>
      </w:pPr>
      <w:r>
        <w:rPr>
          <w:rStyle w:val="FootnoteReference1"/>
        </w:rPr>
        <w:footnoteRef/>
      </w:r>
      <w:r>
        <w:rPr>
          <w:rtl/>
        </w:rPr>
        <w:t xml:space="preserve"> </w:t>
      </w:r>
      <w:r>
        <w:rPr>
          <w:rtl/>
        </w:rPr>
        <w:tab/>
      </w:r>
      <w:r w:rsidRPr="00C06B60">
        <w:rPr>
          <w:rtl/>
        </w:rPr>
        <w:t>בגודל כולל של 5.56</w:t>
      </w:r>
      <w:r w:rsidRPr="00C06B60">
        <w:t>TB</w:t>
      </w:r>
      <w:r>
        <w:t>/</w:t>
      </w:r>
      <w:r>
        <w:rPr>
          <w:rFonts w:hint="cs"/>
          <w:rtl/>
        </w:rPr>
        <w:t>.</w:t>
      </w:r>
    </w:p>
  </w:footnote>
  <w:footnote w:id="110">
    <w:p w:rsidR="009600C6" w:rsidP="003B5D33">
      <w:pPr>
        <w:pStyle w:val="FootnoteText"/>
      </w:pPr>
      <w:r>
        <w:rPr>
          <w:rStyle w:val="FootnoteReference1"/>
        </w:rPr>
        <w:footnoteRef/>
      </w:r>
      <w:r>
        <w:rPr>
          <w:rtl/>
        </w:rPr>
        <w:t xml:space="preserve"> </w:t>
      </w:r>
      <w:r>
        <w:rPr>
          <w:rtl/>
        </w:rPr>
        <w:tab/>
      </w:r>
      <w:r w:rsidRPr="006C3EC9">
        <w:rPr>
          <w:rFonts w:hint="cs"/>
          <w:rtl/>
        </w:rPr>
        <w:t>סעיף 7 לחוק</w:t>
      </w:r>
      <w:r>
        <w:rPr>
          <w:rFonts w:hint="cs"/>
          <w:rtl/>
        </w:rPr>
        <w:t>.</w:t>
      </w:r>
    </w:p>
  </w:footnote>
  <w:footnote w:id="111">
    <w:p w:rsidR="009600C6" w:rsidP="003B5D33">
      <w:pPr>
        <w:pStyle w:val="FootnoteText"/>
        <w:rPr>
          <w:rtl/>
        </w:rPr>
      </w:pPr>
      <w:r>
        <w:rPr>
          <w:rStyle w:val="FootnoteReference1"/>
        </w:rPr>
        <w:footnoteRef/>
      </w:r>
      <w:r>
        <w:rPr>
          <w:rtl/>
        </w:rPr>
        <w:t xml:space="preserve"> </w:t>
      </w:r>
      <w:r>
        <w:rPr>
          <w:rtl/>
        </w:rPr>
        <w:tab/>
      </w:r>
      <w:r w:rsidRPr="006C3EC9">
        <w:rPr>
          <w:rtl/>
        </w:rPr>
        <w:t>מאגר מידע מוגדר בחוק כאוסף נתוני מידע, המוחזק באמצעי מגנטי או אופטי והמיועד לעיבוד ממוחשב</w:t>
      </w:r>
      <w:r w:rsidRPr="006C3EC9">
        <w:rPr>
          <w:rFonts w:hint="cs"/>
          <w:rtl/>
        </w:rPr>
        <w:t>,</w:t>
      </w:r>
      <w:r w:rsidRPr="006C3EC9">
        <w:rPr>
          <w:rtl/>
        </w:rPr>
        <w:t xml:space="preserve"> למעט אוסף לשימוש אישי שאינו למטרות עסק; או אוסף הכולל רק שם, מען ודרכי התקשרות, שכשלעצמו אינו יוצר אפיון שיש בו פגיעה בפרטיות לגבי בני האדם ששמותיהם כלולים בו, ובלבד שלבעל האוסף או לתאגיד בשליטתו אין אוסף נוסף</w:t>
      </w:r>
      <w:r>
        <w:rPr>
          <w:rFonts w:hint="cs"/>
          <w:rtl/>
        </w:rPr>
        <w:t>.</w:t>
      </w:r>
    </w:p>
  </w:footnote>
  <w:footnote w:id="112">
    <w:p w:rsidR="009600C6" w:rsidP="003B5D33">
      <w:pPr>
        <w:pStyle w:val="FootnoteText"/>
      </w:pPr>
      <w:r>
        <w:rPr>
          <w:rStyle w:val="FootnoteReference1"/>
        </w:rPr>
        <w:footnoteRef/>
      </w:r>
      <w:r>
        <w:rPr>
          <w:rtl/>
        </w:rPr>
        <w:t xml:space="preserve"> </w:t>
      </w:r>
      <w:r>
        <w:rPr>
          <w:rtl/>
        </w:rPr>
        <w:tab/>
      </w:r>
      <w:r w:rsidRPr="006C3EC9">
        <w:rPr>
          <w:rFonts w:hint="cs"/>
          <w:rtl/>
        </w:rPr>
        <w:t>תקנה 8 (א).</w:t>
      </w:r>
    </w:p>
  </w:footnote>
  <w:footnote w:id="113">
    <w:p w:rsidR="009600C6" w:rsidP="003B5D33">
      <w:pPr>
        <w:pStyle w:val="FootnoteText"/>
        <w:rPr>
          <w:rtl/>
        </w:rPr>
      </w:pPr>
      <w:r>
        <w:rPr>
          <w:rStyle w:val="FootnoteReference1"/>
        </w:rPr>
        <w:footnoteRef/>
      </w:r>
      <w:r>
        <w:rPr>
          <w:rtl/>
        </w:rPr>
        <w:t xml:space="preserve"> </w:t>
      </w:r>
      <w:r>
        <w:rPr>
          <w:rtl/>
        </w:rPr>
        <w:tab/>
      </w:r>
      <w:r w:rsidRPr="006C3EC9">
        <w:rPr>
          <w:rFonts w:hint="cs"/>
          <w:rtl/>
        </w:rPr>
        <w:t>תקנה 9 (א)</w:t>
      </w:r>
      <w:r>
        <w:rPr>
          <w:rFonts w:hint="cs"/>
          <w:rtl/>
        </w:rPr>
        <w:t>.</w:t>
      </w:r>
    </w:p>
  </w:footnote>
  <w:footnote w:id="114">
    <w:p w:rsidR="009600C6" w:rsidP="003B5D33">
      <w:pPr>
        <w:pStyle w:val="FootnoteText"/>
      </w:pPr>
      <w:r>
        <w:rPr>
          <w:rStyle w:val="FootnoteReference1"/>
        </w:rPr>
        <w:footnoteRef/>
      </w:r>
      <w:r>
        <w:rPr>
          <w:rtl/>
        </w:rPr>
        <w:t xml:space="preserve"> </w:t>
      </w:r>
      <w:r>
        <w:rPr>
          <w:rtl/>
        </w:rPr>
        <w:tab/>
      </w:r>
      <w:r>
        <w:rPr>
          <w:rFonts w:hint="cs"/>
          <w:rtl/>
        </w:rPr>
        <w:t>ראו תקנה 8(א) ותקנה 9(ג) לתקנות.</w:t>
      </w:r>
    </w:p>
  </w:footnote>
  <w:footnote w:id="115">
    <w:p w:rsidR="009600C6" w:rsidP="00031CA3">
      <w:pPr>
        <w:pStyle w:val="FootnoteText"/>
        <w:rPr>
          <w:rtl/>
        </w:rPr>
      </w:pPr>
      <w:r>
        <w:rPr>
          <w:rStyle w:val="FootnoteReference1"/>
        </w:rPr>
        <w:footnoteRef/>
      </w:r>
      <w:r>
        <w:rPr>
          <w:rtl/>
        </w:rPr>
        <w:t xml:space="preserve"> </w:t>
      </w:r>
      <w:r>
        <w:rPr>
          <w:rtl/>
        </w:rPr>
        <w:tab/>
      </w:r>
      <w:r>
        <w:rPr>
          <w:rFonts w:hint="cs"/>
          <w:rtl/>
        </w:rPr>
        <w:t>חולשה מוגדרת כ</w:t>
      </w:r>
      <w:r w:rsidRPr="00905CD5">
        <w:rPr>
          <w:rFonts w:hint="eastAsia"/>
          <w:rtl/>
        </w:rPr>
        <w:t>פגיעות</w:t>
      </w:r>
      <w:r w:rsidRPr="00905CD5">
        <w:rPr>
          <w:rtl/>
        </w:rPr>
        <w:t xml:space="preserve"> בעיצוב, הטמעה, תפעול או בקרות פנימיות של מערכת (</w:t>
      </w:r>
      <w:r w:rsidRPr="006C3EC9">
        <w:rPr>
          <w:rtl/>
        </w:rPr>
        <w:t xml:space="preserve">הנחיית </w:t>
      </w:r>
      <w:r w:rsidRPr="006C3EC9">
        <w:rPr>
          <w:rFonts w:hint="eastAsia"/>
          <w:rtl/>
        </w:rPr>
        <w:t>יה</w:t>
      </w:r>
      <w:r w:rsidRPr="006C3EC9">
        <w:rPr>
          <w:rtl/>
        </w:rPr>
        <w:t>"ב 5.15, "מדיניות עדכון מערכות מידע בממשלה" [להלן - הנחיה 5.15], סעיף 4 וסעיף 7.1)</w:t>
      </w:r>
      <w:r w:rsidRPr="00905CD5">
        <w:rPr>
          <w:rtl/>
        </w:rPr>
        <w:t>.</w:t>
      </w:r>
      <w:r>
        <w:rPr>
          <w:rFonts w:hint="cs"/>
          <w:rtl/>
        </w:rPr>
        <w:t xml:space="preserve"> </w:t>
      </w:r>
    </w:p>
  </w:footnote>
  <w:footnote w:id="116">
    <w:p w:rsidR="009600C6" w:rsidP="003B5D33">
      <w:pPr>
        <w:pStyle w:val="FootnoteText"/>
        <w:rPr>
          <w:rtl/>
        </w:rPr>
      </w:pPr>
      <w:r>
        <w:rPr>
          <w:rStyle w:val="FootnoteReference1"/>
        </w:rPr>
        <w:footnoteRef/>
      </w:r>
      <w:r>
        <w:rPr>
          <w:rtl/>
        </w:rPr>
        <w:t xml:space="preserve"> </w:t>
      </w:r>
      <w:r>
        <w:rPr>
          <w:rtl/>
        </w:rPr>
        <w:tab/>
      </w:r>
      <w:r>
        <w:rPr>
          <w:rFonts w:hint="cs"/>
        </w:rPr>
        <w:t>C</w:t>
      </w:r>
      <w:r>
        <w:t>ommon Vulnerabilities and Exposures</w:t>
      </w:r>
      <w:r>
        <w:rPr>
          <w:rFonts w:hint="cs"/>
          <w:rtl/>
        </w:rPr>
        <w:t>.</w:t>
      </w:r>
    </w:p>
  </w:footnote>
  <w:footnote w:id="117">
    <w:p w:rsidR="009600C6" w:rsidP="003B5D33">
      <w:pPr>
        <w:pStyle w:val="FootnoteText"/>
        <w:rPr>
          <w:rtl/>
        </w:rPr>
      </w:pPr>
      <w:r>
        <w:rPr>
          <w:rStyle w:val="FootnoteReference1"/>
        </w:rPr>
        <w:footnoteRef/>
      </w:r>
      <w:r>
        <w:rPr>
          <w:rtl/>
        </w:rPr>
        <w:t xml:space="preserve"> </w:t>
      </w:r>
      <w:r>
        <w:rPr>
          <w:rtl/>
        </w:rPr>
        <w:tab/>
      </w:r>
      <w:r>
        <w:rPr>
          <w:rFonts w:hint="cs"/>
          <w:rtl/>
        </w:rPr>
        <w:t xml:space="preserve">אתר </w:t>
      </w:r>
      <w:r>
        <w:rPr>
          <w:rFonts w:hint="cs"/>
        </w:rPr>
        <w:t>NIST</w:t>
      </w:r>
      <w:r>
        <w:rPr>
          <w:rFonts w:hint="cs"/>
          <w:rtl/>
        </w:rPr>
        <w:t xml:space="preserve"> תחת הכותרת </w:t>
      </w:r>
      <w:r>
        <w:t>Vulnerability Metrics</w:t>
      </w:r>
      <w:r>
        <w:rPr>
          <w:rFonts w:hint="cs"/>
          <w:rtl/>
        </w:rPr>
        <w:t>.</w:t>
      </w:r>
    </w:p>
  </w:footnote>
  <w:footnote w:id="118">
    <w:p w:rsidR="009600C6" w:rsidP="003B5D33">
      <w:pPr>
        <w:pStyle w:val="FootnoteText"/>
        <w:rPr>
          <w:rtl/>
        </w:rPr>
      </w:pPr>
      <w:r>
        <w:rPr>
          <w:rStyle w:val="FootnoteReference1"/>
        </w:rPr>
        <w:footnoteRef/>
      </w:r>
      <w:r>
        <w:rPr>
          <w:rtl/>
        </w:rPr>
        <w:t xml:space="preserve"> </w:t>
      </w:r>
      <w:r>
        <w:rPr>
          <w:rtl/>
        </w:rPr>
        <w:tab/>
      </w:r>
      <w:r w:rsidRPr="00030A97">
        <w:rPr>
          <w:rtl/>
        </w:rPr>
        <w:t xml:space="preserve">לדוגמה, במאי 2019 פרסם יצרן של מוצרי אבטחת מידע עדכון אבטחה לפגיעות קריטית שהתגלתה באחד ממוצריו. כעבור שנתיים, </w:t>
      </w:r>
      <w:r>
        <w:rPr>
          <w:rFonts w:hint="cs"/>
          <w:rtl/>
        </w:rPr>
        <w:t>ב</w:t>
      </w:r>
      <w:r w:rsidRPr="00030A97">
        <w:rPr>
          <w:rtl/>
        </w:rPr>
        <w:t>ספטמבר</w:t>
      </w:r>
      <w:r>
        <w:rPr>
          <w:rFonts w:hint="cs"/>
          <w:rtl/>
        </w:rPr>
        <w:t xml:space="preserve"> </w:t>
      </w:r>
      <w:r w:rsidRPr="00030A97">
        <w:rPr>
          <w:rtl/>
        </w:rPr>
        <w:t>2021</w:t>
      </w:r>
      <w:r>
        <w:rPr>
          <w:rFonts w:hint="cs"/>
          <w:rtl/>
        </w:rPr>
        <w:t xml:space="preserve">, </w:t>
      </w:r>
      <w:r w:rsidRPr="00030A97">
        <w:rPr>
          <w:rtl/>
        </w:rPr>
        <w:t xml:space="preserve">העלתה הרשות האוסטרלית הממשלתית לאבטחת מידע כי במקרה שבו לא בוצע </w:t>
      </w:r>
      <w:r>
        <w:rPr>
          <w:rFonts w:hint="cs"/>
          <w:rtl/>
        </w:rPr>
        <w:t>ה</w:t>
      </w:r>
      <w:r w:rsidRPr="00030A97">
        <w:rPr>
          <w:rtl/>
        </w:rPr>
        <w:t>עדכון, הפגיעות נוצלה במערכת של ישות אוסטרלית</w:t>
      </w:r>
      <w:r>
        <w:rPr>
          <w:rFonts w:hint="cs"/>
        </w:rPr>
        <w:t>A</w:t>
      </w:r>
      <w:r>
        <w:t>ustralian Signals Directorate, ASD Cyber Threat Report 2022 - 2023</w:t>
      </w:r>
      <w:r>
        <w:rPr>
          <w:rFonts w:hint="cs"/>
          <w:rtl/>
        </w:rPr>
        <w:t>.</w:t>
      </w:r>
      <w:r w:rsidRPr="00030A97">
        <w:rPr>
          <w:rtl/>
        </w:rPr>
        <w:t xml:space="preserve"> </w:t>
      </w:r>
    </w:p>
  </w:footnote>
  <w:footnote w:id="119">
    <w:p w:rsidR="009600C6" w:rsidP="003B5D33">
      <w:pPr>
        <w:pStyle w:val="FootnoteText"/>
        <w:rPr>
          <w:rtl/>
        </w:rPr>
      </w:pPr>
      <w:r>
        <w:rPr>
          <w:rStyle w:val="FootnoteReference1"/>
        </w:rPr>
        <w:footnoteRef/>
      </w:r>
      <w:r>
        <w:rPr>
          <w:rtl/>
        </w:rPr>
        <w:t xml:space="preserve"> </w:t>
      </w:r>
      <w:r>
        <w:rPr>
          <w:rtl/>
        </w:rPr>
        <w:tab/>
      </w:r>
      <w:r w:rsidRPr="006C3EC9">
        <w:rPr>
          <w:rFonts w:hint="cs"/>
          <w:rtl/>
        </w:rPr>
        <w:t>תקנות הגנת הפרטיות (אבטחת מידע), התשע"ז-2017</w:t>
      </w:r>
      <w:r>
        <w:rPr>
          <w:rFonts w:hint="cs"/>
          <w:rtl/>
        </w:rPr>
        <w:t>, סעיף 13: "לא ייעשה שימוש במערכות שהיצרן לא תומך בהיבטי אבטחה שלהן אלא אם כן ניתן מענה אבטחתי מתאים".</w:t>
      </w:r>
    </w:p>
  </w:footnote>
  <w:footnote w:id="120">
    <w:p w:rsidR="009600C6" w:rsidP="003B5D33">
      <w:pPr>
        <w:pStyle w:val="FootnoteText"/>
      </w:pPr>
      <w:r>
        <w:rPr>
          <w:rStyle w:val="FootnoteReference1"/>
        </w:rPr>
        <w:footnoteRef/>
      </w:r>
      <w:r>
        <w:rPr>
          <w:rtl/>
        </w:rPr>
        <w:t xml:space="preserve"> </w:t>
      </w:r>
      <w:r>
        <w:rPr>
          <w:rtl/>
        </w:rPr>
        <w:tab/>
      </w:r>
      <w:r w:rsidRPr="006C3EC9">
        <w:rPr>
          <w:rFonts w:hint="cs"/>
          <w:rtl/>
        </w:rPr>
        <w:t>הנחיית יה"ב 5.15, "מדיניות עדכון מערכות מידע בממשלה".</w:t>
      </w:r>
    </w:p>
  </w:footnote>
  <w:footnote w:id="121">
    <w:p w:rsidR="009600C6" w:rsidP="003B5D33">
      <w:pPr>
        <w:pStyle w:val="FootnoteText"/>
      </w:pPr>
      <w:r>
        <w:rPr>
          <w:rStyle w:val="FootnoteReference1"/>
        </w:rPr>
        <w:footnoteRef/>
      </w:r>
      <w:r>
        <w:rPr>
          <w:rtl/>
        </w:rPr>
        <w:t xml:space="preserve"> </w:t>
      </w:r>
      <w:r>
        <w:rPr>
          <w:rtl/>
        </w:rPr>
        <w:tab/>
      </w:r>
      <w:r>
        <w:rPr>
          <w:rFonts w:hint="cs"/>
          <w:rtl/>
        </w:rPr>
        <w:t>הגנה המשתמשת בתוכנות ובנתונים כדי להגן על הזמינות של הנתונים והתהליכים הממוחשבים, שלמותם וסודיותם.</w:t>
      </w:r>
    </w:p>
  </w:footnote>
  <w:footnote w:id="122">
    <w:p w:rsidR="009600C6" w:rsidP="003B5D33">
      <w:pPr>
        <w:pStyle w:val="FootnoteText"/>
        <w:rPr>
          <w:rtl/>
        </w:rPr>
      </w:pPr>
      <w:r>
        <w:rPr>
          <w:rStyle w:val="FootnoteReference1"/>
        </w:rPr>
        <w:footnoteRef/>
      </w:r>
      <w:r>
        <w:rPr>
          <w:rtl/>
        </w:rPr>
        <w:t xml:space="preserve"> </w:t>
      </w:r>
      <w:r>
        <w:rPr>
          <w:rtl/>
        </w:rPr>
        <w:tab/>
      </w:r>
      <w:r>
        <w:rPr>
          <w:rFonts w:hint="cs"/>
          <w:rtl/>
        </w:rPr>
        <w:t>הזדהות היא נתון המאפשר לזהות את המשתמש או הרכיב או השירות באופן חד-ערכי.</w:t>
      </w:r>
    </w:p>
  </w:footnote>
  <w:footnote w:id="123">
    <w:p w:rsidR="009600C6" w:rsidP="003B5D33">
      <w:pPr>
        <w:pStyle w:val="FootnoteText"/>
      </w:pPr>
      <w:r>
        <w:rPr>
          <w:rStyle w:val="FootnoteReference1"/>
        </w:rPr>
        <w:footnoteRef/>
      </w:r>
      <w:r>
        <w:rPr>
          <w:rtl/>
        </w:rPr>
        <w:t xml:space="preserve"> </w:t>
      </w:r>
      <w:r>
        <w:rPr>
          <w:rtl/>
        </w:rPr>
        <w:tab/>
      </w:r>
      <w:r>
        <w:rPr>
          <w:rFonts w:hint="cs"/>
          <w:rtl/>
        </w:rPr>
        <w:t xml:space="preserve">על פי מסמך של חברת מיקרוסופט </w:t>
      </w:r>
      <w:r>
        <w:rPr>
          <w:rFonts w:hint="cs"/>
        </w:rPr>
        <w:t>S</w:t>
      </w:r>
      <w:r>
        <w:t>ecurity</w:t>
      </w:r>
      <w:r>
        <w:rPr>
          <w:rFonts w:hint="cs"/>
        </w:rPr>
        <w:t xml:space="preserve"> </w:t>
      </w:r>
      <w:r>
        <w:t>policy</w:t>
      </w:r>
      <w:r>
        <w:rPr>
          <w:rFonts w:hint="cs"/>
        </w:rPr>
        <w:t xml:space="preserve"> </w:t>
      </w:r>
      <w:r>
        <w:t>settings</w:t>
      </w:r>
      <w:r>
        <w:rPr>
          <w:rFonts w:hint="cs"/>
          <w:rtl/>
        </w:rPr>
        <w:t xml:space="preserve"> מ-17.2.23, סיסמה ארוכה העושה שימוש גם בתווים ייחודיים, יוצרת מספר רב של קומבינציות אפשריות ומכאן מקשה על חשיפת הסיסמה. </w:t>
      </w:r>
    </w:p>
  </w:footnote>
  <w:footnote w:id="124">
    <w:p w:rsidR="009600C6" w:rsidP="003B5D33">
      <w:pPr>
        <w:pStyle w:val="FootnoteText"/>
      </w:pPr>
      <w:r>
        <w:rPr>
          <w:rStyle w:val="FootnoteReference1"/>
        </w:rPr>
        <w:footnoteRef/>
      </w:r>
      <w:r>
        <w:rPr>
          <w:rtl/>
        </w:rPr>
        <w:t xml:space="preserve"> </w:t>
      </w:r>
      <w:r>
        <w:rPr>
          <w:rtl/>
        </w:rPr>
        <w:tab/>
      </w:r>
      <w:r w:rsidRPr="00257D18">
        <w:rPr>
          <w:rFonts w:hint="cs"/>
          <w:rtl/>
        </w:rPr>
        <w:t>ב-14.8.24 פורסם ברשומות תיקון מקיף לחוק הגנת הפרטיות, אך התיקון ייכנס לתוקף רק ב-14.8.25</w:t>
      </w:r>
      <w:r>
        <w:rPr>
          <w:rFonts w:hint="cs"/>
          <w:rtl/>
        </w:rPr>
        <w:t>.</w:t>
      </w:r>
    </w:p>
  </w:footnote>
  <w:footnote w:id="125">
    <w:p w:rsidR="009600C6" w:rsidP="003B5D33">
      <w:pPr>
        <w:pStyle w:val="FootnoteText"/>
      </w:pPr>
      <w:r>
        <w:rPr>
          <w:rStyle w:val="FootnoteReference1"/>
        </w:rPr>
        <w:footnoteRef/>
      </w:r>
      <w:r>
        <w:rPr>
          <w:rtl/>
        </w:rPr>
        <w:t xml:space="preserve"> </w:t>
      </w:r>
      <w:r>
        <w:rPr>
          <w:rtl/>
        </w:rPr>
        <w:tab/>
      </w:r>
      <w:r>
        <w:rPr>
          <w:rFonts w:hint="cs"/>
          <w:rtl/>
        </w:rPr>
        <w:t>"</w:t>
      </w:r>
      <w:r w:rsidRPr="00257D18">
        <w:rPr>
          <w:rtl/>
        </w:rPr>
        <w:t>מחזיק</w:t>
      </w:r>
      <w:r w:rsidRPr="00257D18">
        <w:rPr>
          <w:rFonts w:hint="cs"/>
          <w:rtl/>
        </w:rPr>
        <w:t>"</w:t>
      </w:r>
      <w:r w:rsidRPr="00257D18">
        <w:rPr>
          <w:rtl/>
        </w:rPr>
        <w:t>, לעני</w:t>
      </w:r>
      <w:r w:rsidRPr="00257D18">
        <w:rPr>
          <w:rFonts w:hint="cs"/>
          <w:rtl/>
        </w:rPr>
        <w:t>י</w:t>
      </w:r>
      <w:r w:rsidRPr="00257D18">
        <w:rPr>
          <w:rtl/>
        </w:rPr>
        <w:t>ן מאגר מידע</w:t>
      </w:r>
      <w:r w:rsidRPr="00257D18">
        <w:rPr>
          <w:rFonts w:hint="cs"/>
          <w:rtl/>
        </w:rPr>
        <w:t>,</w:t>
      </w:r>
      <w:r w:rsidRPr="00257D18">
        <w:rPr>
          <w:rtl/>
        </w:rPr>
        <w:t xml:space="preserve"> </w:t>
      </w:r>
      <w:r w:rsidRPr="00257D18">
        <w:rPr>
          <w:rFonts w:hint="cs"/>
          <w:rtl/>
        </w:rPr>
        <w:t>הוא</w:t>
      </w:r>
      <w:r w:rsidRPr="00257D18">
        <w:rPr>
          <w:rtl/>
        </w:rPr>
        <w:t xml:space="preserve"> מי שמצוי ברשותו מאגר מידע דרך קבע והוא רשאי לעשות בו שימוש</w:t>
      </w:r>
      <w:r>
        <w:rPr>
          <w:rFonts w:hint="cs"/>
          <w:rtl/>
        </w:rPr>
        <w:t>.</w:t>
      </w:r>
    </w:p>
  </w:footnote>
  <w:footnote w:id="126">
    <w:p w:rsidR="009600C6" w:rsidP="003B5D33">
      <w:pPr>
        <w:pStyle w:val="FootnoteText"/>
      </w:pPr>
      <w:r>
        <w:rPr>
          <w:rStyle w:val="FootnoteReference1"/>
        </w:rPr>
        <w:footnoteRef/>
      </w:r>
      <w:r>
        <w:rPr>
          <w:rtl/>
        </w:rPr>
        <w:t xml:space="preserve"> </w:t>
      </w:r>
      <w:r>
        <w:rPr>
          <w:rtl/>
        </w:rPr>
        <w:tab/>
      </w:r>
      <w:r w:rsidRPr="00257D18">
        <w:rPr>
          <w:rFonts w:hint="cs"/>
          <w:rtl/>
        </w:rPr>
        <w:t xml:space="preserve">למעט </w:t>
      </w:r>
      <w:r w:rsidRPr="00257D18">
        <w:rPr>
          <w:rtl/>
        </w:rPr>
        <w:t>אוסף לשימוש אישי שאינו למטרות עסק; או</w:t>
      </w:r>
      <w:r w:rsidRPr="00257D18">
        <w:rPr>
          <w:rFonts w:hint="cs"/>
          <w:rtl/>
        </w:rPr>
        <w:t xml:space="preserve"> </w:t>
      </w:r>
      <w:r w:rsidRPr="00257D18">
        <w:rPr>
          <w:rtl/>
        </w:rPr>
        <w:t>אוסף הכולל רק שם, מען ודרכי התקשרות, שכשלעצמו אינו יוצר אפיון שיש בו פגיעה בפרטיות לגבי בני האדם ששמותיהם כלולים בו, ובלבד שלבעל האוסף או לתאגיד בשליטתו אין אוסף נוסף</w:t>
      </w:r>
      <w:r>
        <w:rPr>
          <w:rFonts w:hint="cs"/>
          <w:rtl/>
        </w:rPr>
        <w:t>.</w:t>
      </w:r>
    </w:p>
  </w:footnote>
  <w:footnote w:id="127">
    <w:p w:rsidR="009600C6" w:rsidP="003B5D33">
      <w:pPr>
        <w:pStyle w:val="FootnoteText"/>
        <w:rPr>
          <w:rtl/>
        </w:rPr>
      </w:pPr>
      <w:r>
        <w:rPr>
          <w:rStyle w:val="FootnoteReference1"/>
        </w:rPr>
        <w:footnoteRef/>
      </w:r>
      <w:r>
        <w:rPr>
          <w:rtl/>
        </w:rPr>
        <w:t xml:space="preserve"> </w:t>
      </w:r>
      <w:r>
        <w:rPr>
          <w:rtl/>
        </w:rPr>
        <w:tab/>
      </w:r>
      <w:r>
        <w:rPr>
          <w:rFonts w:hint="cs"/>
          <w:rtl/>
        </w:rPr>
        <w:t xml:space="preserve">וכן </w:t>
      </w:r>
      <w:r w:rsidRPr="00EC2843">
        <w:rPr>
          <w:rtl/>
        </w:rPr>
        <w:t>מידע ששר המשפטים קבע בצו, באישור ועדת החוקה</w:t>
      </w:r>
      <w:r>
        <w:rPr>
          <w:rFonts w:hint="cs"/>
          <w:rtl/>
        </w:rPr>
        <w:t>,</w:t>
      </w:r>
      <w:r w:rsidRPr="00EC2843">
        <w:rPr>
          <w:rtl/>
        </w:rPr>
        <w:t xml:space="preserve"> חוק ומשפט של הכנסת, שהוא מידע רגיש</w:t>
      </w:r>
      <w:r>
        <w:rPr>
          <w:rFonts w:hint="cs"/>
          <w:rtl/>
        </w:rPr>
        <w:t>.</w:t>
      </w:r>
      <w:r w:rsidRPr="004C63C7">
        <w:rPr>
          <w:rtl/>
        </w:rPr>
        <w:t xml:space="preserve"> יובהר כי עם כניסת תיקון 13 לתוקף ב-14.8.25 חלו שינויים בהגדרות של מונחים שונים בחוק, כגון "מידע בעל רגישות מיוחדת" (במקום </w:t>
      </w:r>
      <w:r>
        <w:rPr>
          <w:rFonts w:hint="cs"/>
          <w:rtl/>
        </w:rPr>
        <w:t>"</w:t>
      </w:r>
      <w:r w:rsidRPr="004C63C7">
        <w:rPr>
          <w:rtl/>
        </w:rPr>
        <w:t>מידע רגיש</w:t>
      </w:r>
      <w:r>
        <w:rPr>
          <w:rFonts w:hint="cs"/>
          <w:rtl/>
        </w:rPr>
        <w:t>"</w:t>
      </w:r>
      <w:r w:rsidRPr="004C63C7">
        <w:rPr>
          <w:rtl/>
        </w:rPr>
        <w:t xml:space="preserve">), "בעל שליטה במאגר מידע" (במקום </w:t>
      </w:r>
      <w:r>
        <w:rPr>
          <w:rFonts w:hint="cs"/>
          <w:rtl/>
        </w:rPr>
        <w:t>"</w:t>
      </w:r>
      <w:r w:rsidRPr="004C63C7">
        <w:rPr>
          <w:rtl/>
        </w:rPr>
        <w:t>בעל מאגר</w:t>
      </w:r>
      <w:r>
        <w:rPr>
          <w:rFonts w:hint="cs"/>
          <w:rtl/>
        </w:rPr>
        <w:t>"</w:t>
      </w:r>
      <w:r w:rsidRPr="004C63C7">
        <w:rPr>
          <w:rtl/>
        </w:rPr>
        <w:t xml:space="preserve">) ו"פנקס רשם מאגרי מידע" (במקום </w:t>
      </w:r>
      <w:r>
        <w:rPr>
          <w:rFonts w:hint="cs"/>
          <w:rtl/>
        </w:rPr>
        <w:t>"</w:t>
      </w:r>
      <w:r w:rsidRPr="004C63C7">
        <w:rPr>
          <w:rtl/>
        </w:rPr>
        <w:t>המרשם</w:t>
      </w:r>
      <w:r w:rsidRPr="004E52BA">
        <w:rPr>
          <w:rFonts w:hint="cs"/>
          <w:rtl/>
        </w:rPr>
        <w:t>"</w:t>
      </w:r>
      <w:r w:rsidRPr="004E52BA">
        <w:rPr>
          <w:rtl/>
        </w:rPr>
        <w:t>)</w:t>
      </w:r>
      <w:r w:rsidRPr="004E52BA">
        <w:rPr>
          <w:rFonts w:hint="eastAsia"/>
          <w:rtl/>
        </w:rPr>
        <w:t xml:space="preserve"> וכי</w:t>
      </w:r>
      <w:r w:rsidRPr="004E52BA">
        <w:rPr>
          <w:rtl/>
        </w:rPr>
        <w:t xml:space="preserve"> דוח זה מתייחס להגדרת </w:t>
      </w:r>
      <w:r w:rsidRPr="004E52BA">
        <w:rPr>
          <w:rFonts w:hint="eastAsia"/>
          <w:rtl/>
        </w:rPr>
        <w:t>המ</w:t>
      </w:r>
      <w:r>
        <w:rPr>
          <w:rFonts w:hint="cs"/>
          <w:rtl/>
        </w:rPr>
        <w:t>ו</w:t>
      </w:r>
      <w:r w:rsidRPr="004E52BA">
        <w:rPr>
          <w:rFonts w:hint="eastAsia"/>
          <w:rtl/>
        </w:rPr>
        <w:t>נחים</w:t>
      </w:r>
      <w:r w:rsidRPr="004E52BA">
        <w:rPr>
          <w:rtl/>
        </w:rPr>
        <w:t xml:space="preserve"> טרם כניסת </w:t>
      </w:r>
      <w:r w:rsidRPr="004E52BA">
        <w:rPr>
          <w:rFonts w:hint="eastAsia"/>
          <w:rtl/>
        </w:rPr>
        <w:t>תיקון</w:t>
      </w:r>
      <w:r w:rsidRPr="004E52BA">
        <w:rPr>
          <w:rtl/>
        </w:rPr>
        <w:t xml:space="preserve"> 13 </w:t>
      </w:r>
      <w:r w:rsidRPr="004E52BA">
        <w:rPr>
          <w:rFonts w:hint="eastAsia"/>
          <w:rtl/>
        </w:rPr>
        <w:t>לתוקף</w:t>
      </w:r>
      <w:r w:rsidRPr="004E52BA">
        <w:rPr>
          <w:rtl/>
        </w:rPr>
        <w:t>.</w:t>
      </w:r>
    </w:p>
  </w:footnote>
  <w:footnote w:id="128">
    <w:p w:rsidR="009600C6" w:rsidP="003B5D33">
      <w:pPr>
        <w:pStyle w:val="FootnoteText"/>
      </w:pPr>
      <w:r>
        <w:rPr>
          <w:rStyle w:val="FootnoteReference1"/>
        </w:rPr>
        <w:footnoteRef/>
      </w:r>
      <w:r>
        <w:rPr>
          <w:rtl/>
        </w:rPr>
        <w:t xml:space="preserve"> </w:t>
      </w:r>
      <w:r>
        <w:rPr>
          <w:rtl/>
        </w:rPr>
        <w:tab/>
      </w:r>
      <w:r w:rsidRPr="00257D18">
        <w:rPr>
          <w:rtl/>
        </w:rPr>
        <w:t>למשל, מידע רפואי של אדם ומידע על מצבו הכלכלי של אדם או שינוי בו</w:t>
      </w:r>
      <w:r w:rsidRPr="00257D18">
        <w:rPr>
          <w:rFonts w:hint="cs"/>
          <w:rtl/>
        </w:rPr>
        <w:t>.</w:t>
      </w:r>
    </w:p>
  </w:footnote>
  <w:footnote w:id="129">
    <w:p w:rsidR="009600C6" w:rsidP="003B5D33">
      <w:pPr>
        <w:pStyle w:val="FootnoteText"/>
        <w:rPr>
          <w:rtl/>
        </w:rPr>
      </w:pPr>
      <w:r>
        <w:rPr>
          <w:rStyle w:val="FootnoteReference1"/>
        </w:rPr>
        <w:footnoteRef/>
      </w:r>
      <w:r>
        <w:rPr>
          <w:rtl/>
        </w:rPr>
        <w:t xml:space="preserve"> </w:t>
      </w:r>
      <w:r>
        <w:rPr>
          <w:rtl/>
        </w:rPr>
        <w:tab/>
      </w:r>
      <w:r w:rsidRPr="00257D18">
        <w:rPr>
          <w:rFonts w:hint="cs"/>
          <w:rtl/>
        </w:rPr>
        <w:t>התוספת הראשונה לתקנות;</w:t>
      </w:r>
      <w:r w:rsidRPr="00257D18">
        <w:rPr>
          <w:rtl/>
        </w:rPr>
        <w:t xml:space="preserve"> </w:t>
      </w:r>
      <w:r w:rsidRPr="00257D18">
        <w:rPr>
          <w:rFonts w:hint="cs"/>
          <w:rtl/>
        </w:rPr>
        <w:t>רמת אבטחה גבוהה נדרשת במאגר מידע ש</w:t>
      </w:r>
      <w:r w:rsidRPr="00257D18">
        <w:rPr>
          <w:rtl/>
        </w:rPr>
        <w:t>יש בו</w:t>
      </w:r>
      <w:r w:rsidRPr="00257D18">
        <w:rPr>
          <w:rFonts w:hint="cs"/>
          <w:rtl/>
        </w:rPr>
        <w:t xml:space="preserve"> אחד מסוגי המידע הרגישים המפורטים בתקנות, ושיש בו</w:t>
      </w:r>
      <w:r w:rsidRPr="00257D18">
        <w:rPr>
          <w:rtl/>
        </w:rPr>
        <w:t xml:space="preserve"> מידע על אודות 100,000 אנשים ומעלה</w:t>
      </w:r>
      <w:r w:rsidRPr="00257D18">
        <w:rPr>
          <w:rFonts w:hint="cs"/>
          <w:rtl/>
        </w:rPr>
        <w:t>,</w:t>
      </w:r>
      <w:r w:rsidRPr="00257D18">
        <w:rPr>
          <w:rtl/>
        </w:rPr>
        <w:t xml:space="preserve"> או שמספר בעלי ההרשאה בו עולה על 100.</w:t>
      </w:r>
    </w:p>
  </w:footnote>
  <w:footnote w:id="130">
    <w:p w:rsidR="009600C6" w:rsidP="003B5D33">
      <w:pPr>
        <w:pStyle w:val="FootnoteText"/>
      </w:pPr>
      <w:r>
        <w:rPr>
          <w:rStyle w:val="FootnoteReference1"/>
        </w:rPr>
        <w:footnoteRef/>
      </w:r>
      <w:r>
        <w:rPr>
          <w:rtl/>
        </w:rPr>
        <w:t xml:space="preserve"> </w:t>
      </w:r>
      <w:r>
        <w:rPr>
          <w:rtl/>
        </w:rPr>
        <w:tab/>
      </w:r>
      <w:r w:rsidRPr="00257D18">
        <w:rPr>
          <w:rFonts w:hint="cs"/>
          <w:rtl/>
        </w:rPr>
        <w:t>סעיפים 4 ו-5 לתקנות.</w:t>
      </w:r>
    </w:p>
  </w:footnote>
  <w:footnote w:id="131">
    <w:p w:rsidR="009600C6" w:rsidP="003B5D33">
      <w:pPr>
        <w:pStyle w:val="FootnoteText"/>
      </w:pPr>
      <w:r>
        <w:rPr>
          <w:rStyle w:val="FootnoteReference1"/>
        </w:rPr>
        <w:footnoteRef/>
      </w:r>
      <w:r>
        <w:rPr>
          <w:rtl/>
        </w:rPr>
        <w:t xml:space="preserve"> </w:t>
      </w:r>
      <w:r>
        <w:rPr>
          <w:rtl/>
        </w:rPr>
        <w:tab/>
      </w:r>
      <w:r w:rsidRPr="001D3349">
        <w:rPr>
          <w:rtl/>
        </w:rPr>
        <w:t xml:space="preserve">מאגר </w:t>
      </w:r>
      <w:r>
        <w:t>connect.il</w:t>
      </w:r>
      <w:r>
        <w:rPr>
          <w:rFonts w:hint="cs"/>
          <w:rtl/>
        </w:rPr>
        <w:t xml:space="preserve"> </w:t>
      </w:r>
      <w:r w:rsidRPr="001D3349">
        <w:rPr>
          <w:rtl/>
        </w:rPr>
        <w:t>שנרשם במאי 2013 וכלל מידע על ניהול קשרי משלחות מחו"ל בידי נציגי משרד החוץ</w:t>
      </w:r>
      <w:r>
        <w:rPr>
          <w:rFonts w:hint="cs"/>
          <w:rtl/>
        </w:rPr>
        <w:t>;</w:t>
      </w:r>
      <w:r w:rsidRPr="001D3349">
        <w:rPr>
          <w:rtl/>
        </w:rPr>
        <w:t xml:space="preserve"> המאגר הקונסולרי שנרשם ביולי 2020</w:t>
      </w:r>
      <w:r>
        <w:rPr>
          <w:rFonts w:hint="cs"/>
          <w:rtl/>
        </w:rPr>
        <w:t>; ומאגר מתמחים זרים בחקלאות שנרשם ביום 11.12.24.</w:t>
      </w:r>
    </w:p>
  </w:footnote>
  <w:footnote w:id="132">
    <w:p w:rsidR="009600C6" w:rsidP="003B5D33">
      <w:pPr>
        <w:pStyle w:val="FootnoteText"/>
        <w:rPr>
          <w:rtl/>
        </w:rPr>
      </w:pPr>
      <w:r>
        <w:rPr>
          <w:rStyle w:val="FootnoteReference1"/>
        </w:rPr>
        <w:footnoteRef/>
      </w:r>
      <w:r>
        <w:rPr>
          <w:rtl/>
        </w:rPr>
        <w:t xml:space="preserve"> </w:t>
      </w:r>
      <w:r>
        <w:rPr>
          <w:rtl/>
        </w:rPr>
        <w:tab/>
      </w:r>
      <w:r w:rsidRPr="00BD104F">
        <w:rPr>
          <w:rFonts w:hint="cs"/>
          <w:rtl/>
        </w:rPr>
        <w:t xml:space="preserve">המסמך צריך להתייחס לנושאים הבאים: </w:t>
      </w:r>
      <w:r w:rsidRPr="00BD104F">
        <w:rPr>
          <w:rtl/>
        </w:rPr>
        <w:t>האבטחה הפיזית והסביבתית של אתרי המאגר; הרשאות גישה למאגר המידע ולמערכות המאגר; אמצעי ההגנה על מערכות המאגר ואופן הפעלתם; הסיכונים שחשוף להם המידע שבמאגר ואופן הטיפול בהם; אופן התמודדות עם אירועי אבטחת מידע; אמצעי הזיהוי והאימות לגישה למאגר ולמערכות המאגר; אופן הבקרה על השימוש במאגר המידע, ובכלל זה תיעוד הגישה למערכות המאגר</w:t>
      </w:r>
      <w:r w:rsidRPr="00BD104F">
        <w:rPr>
          <w:rFonts w:hint="cs"/>
          <w:rtl/>
        </w:rPr>
        <w:t>.</w:t>
      </w:r>
    </w:p>
  </w:footnote>
  <w:footnote w:id="133">
    <w:p w:rsidR="009600C6" w:rsidP="003B5D33">
      <w:pPr>
        <w:pStyle w:val="FootnoteText"/>
      </w:pPr>
      <w:r>
        <w:rPr>
          <w:rStyle w:val="FootnoteReference1"/>
        </w:rPr>
        <w:footnoteRef/>
      </w:r>
      <w:r>
        <w:rPr>
          <w:rtl/>
        </w:rPr>
        <w:t xml:space="preserve"> </w:t>
      </w:r>
      <w:r>
        <w:rPr>
          <w:rtl/>
        </w:rPr>
        <w:tab/>
      </w:r>
      <w:r w:rsidRPr="00BD104F">
        <w:rPr>
          <w:rtl/>
        </w:rPr>
        <w:t>ובכלל זה מידע על תשתיות ומערכות חומרה, סוגי רכיבי תקשורת ואבטחת מידע; מערכות התוכנה המשמשות להפעלת מאגר המידע, לניהול המאגר ולתחזוקתו, לתמיכה בפעילותו, לניטור שלו ולאבטחתו; תוכנות וממשקים המשמשים לתקשורת אל מערכות המאגר ומהן; תרשים הרשת שפועל בה המאגר</w:t>
      </w:r>
      <w:r w:rsidRPr="006F1C68">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0C6" w:rsidRPr="0062451B" w:rsidP="001F4412">
    <w:pPr>
      <w:pStyle w:val="Header"/>
      <w:tabs>
        <w:tab w:val="clear" w:pos="8306"/>
        <w:tab w:val="right" w:pos="8504"/>
      </w:tabs>
      <w:ind w:right="-709"/>
      <w:jc w:val="right"/>
      <w:rPr>
        <w:rFonts w:asciiTheme="minorHAnsi" w:hAnsiTheme="minorHAnsi" w:cstheme="minorHAnsi"/>
        <w:color w:val="002060"/>
        <w:szCs w:val="20"/>
      </w:rPr>
    </w:pP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6432" behindDoc="0" locked="0" layoutInCell="1" allowOverlap="1">
              <wp:simplePos x="0" y="0"/>
              <wp:positionH relativeFrom="margin">
                <wp:posOffset>2918460</wp:posOffset>
              </wp:positionH>
              <wp:positionV relativeFrom="paragraph">
                <wp:posOffset>215265</wp:posOffset>
              </wp:positionV>
              <wp:extent cx="3104515" cy="285750"/>
              <wp:effectExtent l="0" t="0" r="0" b="0"/>
              <wp:wrapSquare wrapText="bothSides"/>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04515" cy="285750"/>
                      </a:xfrm>
                      <a:prstGeom prst="rect">
                        <a:avLst/>
                      </a:prstGeom>
                      <a:noFill/>
                      <a:ln w="9525">
                        <a:noFill/>
                        <a:miter lim="800000"/>
                        <a:headEnd/>
                        <a:tailEnd/>
                      </a:ln>
                    </wps:spPr>
                    <wps:txbx>
                      <w:txbxContent>
                        <w:p w:rsidR="009600C6" w:rsidRPr="001E204F" w:rsidP="00354F9A">
                          <w:pPr>
                            <w:rPr>
                              <w:rFonts w:ascii="Calibri" w:hAnsi="Calibri" w:cs="Calibri"/>
                              <w:color w:val="002060"/>
                              <w:szCs w:val="20"/>
                              <w:rtl/>
                            </w:rPr>
                          </w:pPr>
                          <w:r w:rsidRPr="000E6727">
                            <w:rPr>
                              <w:rFonts w:ascii="Calibri" w:hAnsi="Calibri" w:cs="Calibri"/>
                              <w:color w:val="002060"/>
                              <w:szCs w:val="20"/>
                              <w:rtl/>
                            </w:rPr>
                            <w:t>מערכות מידע ואבטחת מידע וסייבר במשרד החוץ</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49" type="#_x0000_t202" style="width:244.45pt;height:22.5pt;margin-top:16.95pt;margin-left:229.8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9600C6" w:rsidRPr="001E204F" w:rsidP="00354F9A">
                    <w:pPr>
                      <w:rPr>
                        <w:rFonts w:ascii="Calibri" w:hAnsi="Calibri" w:cs="Calibri"/>
                        <w:color w:val="002060"/>
                        <w:szCs w:val="20"/>
                        <w:rtl/>
                      </w:rPr>
                    </w:pPr>
                    <w:r w:rsidRPr="000E6727">
                      <w:rPr>
                        <w:rFonts w:ascii="Calibri" w:hAnsi="Calibri" w:cs="Calibri"/>
                        <w:color w:val="002060"/>
                        <w:szCs w:val="20"/>
                        <w:rtl/>
                      </w:rPr>
                      <w:t>מערכות מידע ואבטחת מידע וסייבר במשרד החוץ</w:t>
                    </w:r>
                  </w:p>
                </w:txbxContent>
              </v:textbox>
              <w10:wrap type="square"/>
            </v:shape>
          </w:pict>
        </mc:Fallback>
      </mc:AlternateContent>
    </w:r>
    <w:r>
      <w:rPr>
        <w:rFonts w:asciiTheme="minorHAnsi" w:hAnsiTheme="minorHAnsi" w:cstheme="minorHAns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 name="מחבר ישר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 o:spid="_x0000_s2050"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9600C6"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9600C6"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9600C6"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2"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9600C6"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0C6">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-464185</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9600C6"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9600C6"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3" style="width:233pt;height:841.75pt;margin-top:-36.55pt;margin-left:0;mso-position-horizontal:center;mso-position-horizontal-relative:margin;position:absolute;z-index:251659264" coordsize="29591,106902">
              <v:group id="קבוצה 53" o:spid="_x0000_s2054" style="width:29591;height:30099;position:absolute" coordsize="29591,30099">
                <v:rect id="מלבן 54" o:spid="_x0000_s2055"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6" type="#_x0000_t75" style="width:8712;height:5709;left:10382;mso-wrap-style:square;position:absolute;top:14382;visibility:visible">
                  <v:imagedata r:id="rId3" o:title=""/>
                </v:shape>
                <v:line id="מחבר ישר 56" o:spid="_x0000_s2057"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8" type="#_x0000_t202" style="width:29591;height:2730;mso-wrap-style:square;position:absolute;top:26003;visibility:visible;v-text-anchor:top" filled="f" stroked="f" strokeweight="0.5pt">
                  <v:textbox>
                    <w:txbxContent>
                      <w:p w:rsidR="009600C6"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9" style="width:25121;height:23654;left:2190;position:absolute;top:83248" coordsize="25120,23653">
                <v:shape id="tbMMHF" o:spid="_x0000_s2060" type="#_x0000_t202" style="width:25120;height:3048;mso-wrap-style:square;position:absolute;top:1809;visibility:visible;v-text-anchor:top" fillcolor="white" stroked="f" strokeweight="0.5pt">
                  <v:textbox>
                    <w:txbxContent>
                      <w:p w:rsidR="009600C6"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0C6" w:rsidRPr="003B5D33" w:rsidP="00EF4539">
    <w:pPr>
      <w:pStyle w:val="Header"/>
      <w:tabs>
        <w:tab w:val="clear" w:pos="8306"/>
        <w:tab w:val="right" w:pos="8504"/>
      </w:tabs>
      <w:ind w:right="-709"/>
      <w:jc w:val="right"/>
      <w:rPr>
        <w:rFonts w:ascii="Calibri" w:hAnsi="Calibri" w:cs="Calibri"/>
        <w:color w:val="002060"/>
        <w:szCs w:val="20"/>
      </w:rPr>
    </w:pPr>
    <w:r w:rsidRPr="003B5D33">
      <w:rPr>
        <w:rFonts w:ascii="Calibri" w:hAnsi="Calibri" w:cs="Calibri"/>
        <w:noProof/>
        <w:color w:val="002060"/>
        <w:szCs w:val="20"/>
        <w:rtl/>
        <w:lang w:val="he-IL"/>
      </w:rPr>
      <mc:AlternateContent>
        <mc:Choice Requires="wps">
          <w:drawing>
            <wp:anchor distT="0" distB="0" distL="114300" distR="114300" simplePos="0" relativeHeight="251668480"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9" name="מחבר ישר 19"/>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9" o:spid="_x0000_s2064" style="flip:y;mso-height-percent:0;mso-height-relative:margin;mso-width-percent:0;mso-width-relative:margin;mso-wrap-distance-bottom:0;mso-wrap-distance-left:9pt;mso-wrap-distance-right:9pt;mso-wrap-distance-top:0;mso-wrap-style:square;position:absolute;visibility:visible;z-index:251669504" from="-38.2pt,17.45pt" to="468.45pt,17.45pt" strokecolor="#4579b8"/>
          </w:pict>
        </mc:Fallback>
      </mc:AlternateContent>
    </w:r>
    <w:r w:rsidRPr="003B5D33">
      <w:rPr>
        <w:rFonts w:ascii="Calibri" w:hAnsi="Calibri" w:cs="Times New Roman"/>
        <w:noProof/>
        <w:color w:val="002060"/>
        <w:szCs w:val="20"/>
        <w:rtl/>
      </w:rPr>
      <mc:AlternateContent>
        <mc:Choice Requires="wps">
          <w:drawing>
            <wp:anchor distT="45720" distB="45720" distL="114300" distR="114300" simplePos="0" relativeHeight="251672576"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9600C6"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3B5D33">
                            <w:rPr>
                              <w:rFonts w:ascii="Calibri" w:hAnsi="Calibri" w:cs="Calibri"/>
                              <w:color w:val="002060"/>
                              <w:spacing w:val="20"/>
                              <w:sz w:val="22"/>
                              <w:szCs w:val="22"/>
                            </w:rPr>
                            <w:t xml:space="preserve"> </w:t>
                          </w:r>
                          <w:r w:rsidRPr="003B5D3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5"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2880" filled="f" stroked="f">
              <v:textbox>
                <w:txbxContent>
                  <w:p w:rsidR="00F56247"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3B5D33">
                      <w:rPr>
                        <w:rFonts w:ascii="Calibri" w:hAnsi="Calibri" w:cs="Calibri"/>
                        <w:color w:val="002060"/>
                        <w:spacing w:val="20"/>
                        <w:sz w:val="22"/>
                        <w:szCs w:val="22"/>
                      </w:rPr>
                      <w:t xml:space="preserve"> </w:t>
                    </w:r>
                    <w:r w:rsidRPr="003B5D3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3B5D33">
      <w:rPr>
        <w:rFonts w:ascii="Calibri" w:hAnsi="Calibri" w:cs="Times New Roman"/>
        <w:noProof/>
        <w:color w:val="002060"/>
        <w:szCs w:val="20"/>
        <w:rtl/>
      </w:rPr>
      <mc:AlternateContent>
        <mc:Choice Requires="wps">
          <w:drawing>
            <wp:anchor distT="45720" distB="45720" distL="114300" distR="114300" simplePos="0" relativeHeight="251670528"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9600C6"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F56247"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v:textbox>
              <w10:wrap type="square"/>
            </v:shape>
          </w:pict>
        </mc:Fallback>
      </mc:AlternateContent>
    </w:r>
    <w:r w:rsidRPr="003B5D33">
      <w:rPr>
        <w:rFonts w:ascii="Calibri" w:hAnsi="Calibri" w:cs="Calibri"/>
        <w:color w:val="002060"/>
        <w:szCs w:val="20"/>
        <w:rtl/>
      </w:rPr>
      <w:fldChar w:fldCharType="begin"/>
    </w:r>
    <w:r w:rsidRPr="003B5D33">
      <w:rPr>
        <w:rFonts w:ascii="Calibri" w:hAnsi="Calibri" w:cs="Calibri"/>
        <w:color w:val="002060"/>
        <w:szCs w:val="20"/>
        <w:rtl/>
      </w:rPr>
      <w:instrText xml:space="preserve"> </w:instrText>
    </w:r>
    <w:r w:rsidRPr="003B5D33">
      <w:rPr>
        <w:rFonts w:ascii="Calibri" w:hAnsi="Calibri" w:cs="Calibri"/>
        <w:color w:val="002060"/>
        <w:szCs w:val="20"/>
      </w:rPr>
      <w:instrText>PAGE</w:instrText>
    </w:r>
    <w:r w:rsidRPr="003B5D33">
      <w:rPr>
        <w:rFonts w:ascii="Calibri" w:hAnsi="Calibri" w:cs="Calibri"/>
        <w:color w:val="002060"/>
        <w:szCs w:val="20"/>
        <w:rtl/>
      </w:rPr>
      <w:instrText xml:space="preserve">  \* </w:instrText>
    </w:r>
    <w:r w:rsidRPr="003B5D33">
      <w:rPr>
        <w:rFonts w:ascii="Calibri" w:hAnsi="Calibri" w:cs="Calibri"/>
        <w:color w:val="002060"/>
        <w:szCs w:val="20"/>
      </w:rPr>
      <w:instrText>MERGEFORMAT</w:instrText>
    </w:r>
    <w:r w:rsidRPr="003B5D33">
      <w:rPr>
        <w:rFonts w:ascii="Calibri" w:hAnsi="Calibri" w:cs="Calibri"/>
        <w:color w:val="002060"/>
        <w:szCs w:val="20"/>
        <w:rtl/>
      </w:rPr>
      <w:instrText xml:space="preserve"> </w:instrText>
    </w:r>
    <w:r w:rsidRPr="003B5D33">
      <w:rPr>
        <w:rFonts w:ascii="Calibri" w:hAnsi="Calibri" w:cs="Calibri"/>
        <w:color w:val="002060"/>
        <w:szCs w:val="20"/>
        <w:rtl/>
      </w:rPr>
      <w:fldChar w:fldCharType="separate"/>
    </w:r>
    <w:r w:rsidRPr="003B5D33">
      <w:rPr>
        <w:rFonts w:ascii="Calibri" w:hAnsi="Calibri" w:cs="Calibri"/>
        <w:color w:val="002060"/>
        <w:szCs w:val="20"/>
        <w:rtl/>
      </w:rPr>
      <w:t>3</w:t>
    </w:r>
    <w:r w:rsidRPr="003B5D33">
      <w:rPr>
        <w:rFonts w:ascii="Calibri" w:hAnsi="Calibri" w:cs="Calibri"/>
        <w:color w:val="002060"/>
        <w:szCs w:val="20"/>
        <w:rtl/>
      </w:rPr>
      <w:fldChar w:fldCharType="end"/>
    </w:r>
    <w:r w:rsidRPr="003B5D33">
      <w:rPr>
        <w:rFonts w:ascii="Calibri" w:hAnsi="Calibri" w:cs="Calibri"/>
        <w:color w:val="002060"/>
        <w:szCs w:val="20"/>
        <w:rtl/>
      </w:rPr>
      <w:t xml:space="preserve"> </w:t>
    </w:r>
  </w:p>
  <w:p w:rsidR="009600C6" w:rsidRPr="00EF4539" w:rsidP="00EF4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35BA2"/>
    <w:multiLevelType w:val="hybridMultilevel"/>
    <w:tmpl w:val="6F684C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4">
    <w:nsid w:val="108D18C5"/>
    <w:multiLevelType w:val="hybridMultilevel"/>
    <w:tmpl w:val="DA300B46"/>
    <w:lvl w:ilvl="0">
      <w:start w:val="1"/>
      <w:numFmt w:val="hebrew1"/>
      <w:lvlText w:val="%1."/>
      <w:lvlJc w:val="center"/>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012ED"/>
    <w:multiLevelType w:val="hybridMultilevel"/>
    <w:tmpl w:val="19BA70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6F6768"/>
    <w:multiLevelType w:val="hybridMultilevel"/>
    <w:tmpl w:val="935E186E"/>
    <w:lvl w:ilvl="0">
      <w:start w:val="1"/>
      <w:numFmt w:val="hebrew1"/>
      <w:lvlText w:val="%1."/>
      <w:lvlJc w:val="center"/>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DF26AE"/>
    <w:multiLevelType w:val="multilevel"/>
    <w:tmpl w:val="1730D2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99C7439"/>
    <w:multiLevelType w:val="hybridMultilevel"/>
    <w:tmpl w:val="3EAEE6C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2B61DA"/>
    <w:multiLevelType w:val="hybridMultilevel"/>
    <w:tmpl w:val="04D818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B177D0"/>
    <w:multiLevelType w:val="multilevel"/>
    <w:tmpl w:val="51B02F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B2F57E2"/>
    <w:multiLevelType w:val="multilevel"/>
    <w:tmpl w:val="D790708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2">
    <w:nsid w:val="2C167E2E"/>
    <w:multiLevelType w:val="hybridMultilevel"/>
    <w:tmpl w:val="0A7211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E5A5C59"/>
    <w:multiLevelType w:val="hybridMultilevel"/>
    <w:tmpl w:val="02A49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5">
    <w:nsid w:val="310E1F11"/>
    <w:multiLevelType w:val="multilevel"/>
    <w:tmpl w:val="48763FDC"/>
    <w:lvl w:ilvl="0">
      <w:start w:val="2"/>
      <w:numFmt w:val="decimal"/>
      <w:lvlText w:val="%1."/>
      <w:lvlJc w:val="left"/>
      <w:pPr>
        <w:ind w:left="340" w:hanging="340"/>
      </w:pPr>
      <w:rPr>
        <w:rFonts w:hint="default"/>
      </w:rPr>
    </w:lvl>
    <w:lvl w:ilvl="1">
      <w:start w:val="4"/>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6">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7">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8">
    <w:nsid w:val="34A02DD9"/>
    <w:multiLevelType w:val="hybridMultilevel"/>
    <w:tmpl w:val="2CDC4D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20">
    <w:nsid w:val="3E797089"/>
    <w:multiLevelType w:val="hybridMultilevel"/>
    <w:tmpl w:val="A1F4AB62"/>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E993B02"/>
    <w:multiLevelType w:val="hybridMultilevel"/>
    <w:tmpl w:val="E1BC7E02"/>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3">
    <w:nsid w:val="424D4334"/>
    <w:multiLevelType w:val="multilevel"/>
    <w:tmpl w:val="0C6016F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4">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25">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26">
    <w:nsid w:val="579A6D34"/>
    <w:multiLevelType w:val="multilevel"/>
    <w:tmpl w:val="B77A551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7">
    <w:nsid w:val="6079445E"/>
    <w:multiLevelType w:val="hybridMultilevel"/>
    <w:tmpl w:val="01E0535A"/>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9">
    <w:nsid w:val="6699458C"/>
    <w:multiLevelType w:val="hybridMultilevel"/>
    <w:tmpl w:val="CA222B0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6E476FB"/>
    <w:multiLevelType w:val="multilevel"/>
    <w:tmpl w:val="4DEA863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1">
    <w:nsid w:val="69757648"/>
    <w:multiLevelType w:val="multilevel"/>
    <w:tmpl w:val="8390B35C"/>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2">
    <w:nsid w:val="70D20A93"/>
    <w:multiLevelType w:val="hybridMultilevel"/>
    <w:tmpl w:val="47F045FE"/>
    <w:lvl w:ilvl="0">
      <w:start w:val="1"/>
      <w:numFmt w:val="hebrew1"/>
      <w:lvlText w:val="%1."/>
      <w:lvlJc w:val="center"/>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1E53B05"/>
    <w:multiLevelType w:val="multilevel"/>
    <w:tmpl w:val="BF222BA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4">
    <w:nsid w:val="73124EC0"/>
    <w:multiLevelType w:val="multilevel"/>
    <w:tmpl w:val="9CA60182"/>
    <w:lvl w:ilvl="0">
      <w:start w:val="1"/>
      <w:numFmt w:val="decimal"/>
      <w:lvlText w:val="%1."/>
      <w:lvlJc w:val="left"/>
      <w:pPr>
        <w:ind w:left="340" w:hanging="340"/>
      </w:pPr>
      <w:rPr>
        <w:b/>
        <w:bCs/>
      </w:rPr>
    </w:lvl>
    <w:lvl w:ilvl="1">
      <w:start w:val="1"/>
      <w:numFmt w:val="hebrew1"/>
      <w:lvlText w:val="%2."/>
      <w:lvlJc w:val="left"/>
      <w:pPr>
        <w:ind w:left="680" w:hanging="340"/>
      </w:pPr>
      <w:rPr>
        <w:lang w:val="en-US"/>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5">
    <w:nsid w:val="792304A9"/>
    <w:multiLevelType w:val="multilevel"/>
    <w:tmpl w:val="B77A551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6">
    <w:nsid w:val="7E154475"/>
    <w:multiLevelType w:val="hybridMultilevel"/>
    <w:tmpl w:val="F8DEF900"/>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38">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37"/>
  </w:num>
  <w:num w:numId="2">
    <w:abstractNumId w:val="25"/>
  </w:num>
  <w:num w:numId="3">
    <w:abstractNumId w:val="22"/>
  </w:num>
  <w:num w:numId="4">
    <w:abstractNumId w:val="3"/>
  </w:num>
  <w:num w:numId="5">
    <w:abstractNumId w:val="24"/>
  </w:num>
  <w:num w:numId="6">
    <w:abstractNumId w:val="28"/>
  </w:num>
  <w:num w:numId="7">
    <w:abstractNumId w:val="19"/>
  </w:num>
  <w:num w:numId="8">
    <w:abstractNumId w:val="16"/>
  </w:num>
  <w:num w:numId="9">
    <w:abstractNumId w:val="14"/>
  </w:num>
  <w:num w:numId="10">
    <w:abstractNumId w:val="17"/>
  </w:num>
  <w:num w:numId="11">
    <w:abstractNumId w:val="38"/>
  </w:num>
  <w:num w:numId="12">
    <w:abstractNumId w:val="1"/>
  </w:num>
  <w:num w:numId="13">
    <w:abstractNumId w:val="2"/>
  </w:num>
  <w:num w:numId="14">
    <w:abstractNumId w:val="8"/>
  </w:num>
  <w:num w:numId="15">
    <w:abstractNumId w:val="18"/>
  </w:num>
  <w:num w:numId="16">
    <w:abstractNumId w:val="34"/>
  </w:num>
  <w:num w:numId="17">
    <w:abstractNumId w:val="33"/>
  </w:num>
  <w:num w:numId="18">
    <w:abstractNumId w:val="12"/>
  </w:num>
  <w:num w:numId="19">
    <w:abstractNumId w:val="32"/>
  </w:num>
  <w:num w:numId="20">
    <w:abstractNumId w:val="0"/>
  </w:num>
  <w:num w:numId="21">
    <w:abstractNumId w:val="20"/>
  </w:num>
  <w:num w:numId="22">
    <w:abstractNumId w:val="5"/>
  </w:num>
  <w:num w:numId="23">
    <w:abstractNumId w:val="21"/>
  </w:num>
  <w:num w:numId="24">
    <w:abstractNumId w:val="30"/>
  </w:num>
  <w:num w:numId="25">
    <w:abstractNumId w:val="4"/>
  </w:num>
  <w:num w:numId="26">
    <w:abstractNumId w:val="23"/>
  </w:num>
  <w:num w:numId="27">
    <w:abstractNumId w:val="31"/>
  </w:num>
  <w:num w:numId="28">
    <w:abstractNumId w:val="36"/>
  </w:num>
  <w:num w:numId="29">
    <w:abstractNumId w:val="11"/>
  </w:num>
  <w:num w:numId="30">
    <w:abstractNumId w:val="29"/>
  </w:num>
  <w:num w:numId="31">
    <w:abstractNumId w:val="27"/>
  </w:num>
  <w:num w:numId="32">
    <w:abstractNumId w:val="6"/>
  </w:num>
  <w:num w:numId="33">
    <w:abstractNumId w:val="15"/>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3"/>
  </w:num>
  <w:num w:numId="38">
    <w:abstractNumId w:val="9"/>
  </w:num>
  <w:num w:numId="39">
    <w:abstractNumId w:val="7"/>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3880"/>
    <w:rsid w:val="0001735B"/>
    <w:rsid w:val="0002253D"/>
    <w:rsid w:val="00030A97"/>
    <w:rsid w:val="00031CA3"/>
    <w:rsid w:val="0004241B"/>
    <w:rsid w:val="00042837"/>
    <w:rsid w:val="000501A4"/>
    <w:rsid w:val="000532AA"/>
    <w:rsid w:val="000704B1"/>
    <w:rsid w:val="000A1A5F"/>
    <w:rsid w:val="000B1102"/>
    <w:rsid w:val="000C57C7"/>
    <w:rsid w:val="000C7459"/>
    <w:rsid w:val="000C7DC6"/>
    <w:rsid w:val="000D5A6E"/>
    <w:rsid w:val="000E013E"/>
    <w:rsid w:val="000E024E"/>
    <w:rsid w:val="000E525E"/>
    <w:rsid w:val="000E6727"/>
    <w:rsid w:val="000F6283"/>
    <w:rsid w:val="000F7725"/>
    <w:rsid w:val="00101D0F"/>
    <w:rsid w:val="00102C85"/>
    <w:rsid w:val="00113E28"/>
    <w:rsid w:val="00114325"/>
    <w:rsid w:val="001529FB"/>
    <w:rsid w:val="00166477"/>
    <w:rsid w:val="001730B0"/>
    <w:rsid w:val="00190C24"/>
    <w:rsid w:val="001960B4"/>
    <w:rsid w:val="001A613C"/>
    <w:rsid w:val="001B2821"/>
    <w:rsid w:val="001C057E"/>
    <w:rsid w:val="001C6185"/>
    <w:rsid w:val="001D30C9"/>
    <w:rsid w:val="001D3349"/>
    <w:rsid w:val="001E0A7B"/>
    <w:rsid w:val="001E204F"/>
    <w:rsid w:val="001F4412"/>
    <w:rsid w:val="00203604"/>
    <w:rsid w:val="002064F7"/>
    <w:rsid w:val="00234C69"/>
    <w:rsid w:val="002352A9"/>
    <w:rsid w:val="00240887"/>
    <w:rsid w:val="00245A91"/>
    <w:rsid w:val="00257D18"/>
    <w:rsid w:val="00263521"/>
    <w:rsid w:val="00266DC9"/>
    <w:rsid w:val="00274180"/>
    <w:rsid w:val="002801E1"/>
    <w:rsid w:val="00291B11"/>
    <w:rsid w:val="00294F04"/>
    <w:rsid w:val="00297914"/>
    <w:rsid w:val="002A7D21"/>
    <w:rsid w:val="002C0FD0"/>
    <w:rsid w:val="002C1EE0"/>
    <w:rsid w:val="002C4139"/>
    <w:rsid w:val="002D3197"/>
    <w:rsid w:val="002E058E"/>
    <w:rsid w:val="00301153"/>
    <w:rsid w:val="003079D5"/>
    <w:rsid w:val="00315B1D"/>
    <w:rsid w:val="00323027"/>
    <w:rsid w:val="00325525"/>
    <w:rsid w:val="00330F5D"/>
    <w:rsid w:val="00354F9A"/>
    <w:rsid w:val="0037370B"/>
    <w:rsid w:val="00374147"/>
    <w:rsid w:val="0037752E"/>
    <w:rsid w:val="00380052"/>
    <w:rsid w:val="003818A2"/>
    <w:rsid w:val="00390924"/>
    <w:rsid w:val="0039415D"/>
    <w:rsid w:val="003B5D33"/>
    <w:rsid w:val="003C7805"/>
    <w:rsid w:val="003D18F4"/>
    <w:rsid w:val="003D61C6"/>
    <w:rsid w:val="003E58C2"/>
    <w:rsid w:val="003F0BA1"/>
    <w:rsid w:val="004779AA"/>
    <w:rsid w:val="0048183F"/>
    <w:rsid w:val="00496F3E"/>
    <w:rsid w:val="004A0385"/>
    <w:rsid w:val="004C63C7"/>
    <w:rsid w:val="004C7D9F"/>
    <w:rsid w:val="004D6B5C"/>
    <w:rsid w:val="004E52BA"/>
    <w:rsid w:val="004E6FF7"/>
    <w:rsid w:val="004F6D15"/>
    <w:rsid w:val="005006C5"/>
    <w:rsid w:val="00500B06"/>
    <w:rsid w:val="00551B42"/>
    <w:rsid w:val="00551FF7"/>
    <w:rsid w:val="005636B8"/>
    <w:rsid w:val="00574579"/>
    <w:rsid w:val="00580C5C"/>
    <w:rsid w:val="005A021D"/>
    <w:rsid w:val="005A30CA"/>
    <w:rsid w:val="005A5B69"/>
    <w:rsid w:val="005A70EF"/>
    <w:rsid w:val="006206FF"/>
    <w:rsid w:val="0062451B"/>
    <w:rsid w:val="00634DAD"/>
    <w:rsid w:val="00640B60"/>
    <w:rsid w:val="006457EB"/>
    <w:rsid w:val="00650BF6"/>
    <w:rsid w:val="006531CB"/>
    <w:rsid w:val="006573AB"/>
    <w:rsid w:val="00657E52"/>
    <w:rsid w:val="00676B9E"/>
    <w:rsid w:val="006C2C6D"/>
    <w:rsid w:val="006C3EC9"/>
    <w:rsid w:val="006D4161"/>
    <w:rsid w:val="006D786C"/>
    <w:rsid w:val="006E0D98"/>
    <w:rsid w:val="006E1414"/>
    <w:rsid w:val="006E4069"/>
    <w:rsid w:val="006F1C68"/>
    <w:rsid w:val="006F235B"/>
    <w:rsid w:val="006F285F"/>
    <w:rsid w:val="00700DCE"/>
    <w:rsid w:val="0072219B"/>
    <w:rsid w:val="007305D6"/>
    <w:rsid w:val="00737BCC"/>
    <w:rsid w:val="00745A68"/>
    <w:rsid w:val="007474F0"/>
    <w:rsid w:val="00753ADE"/>
    <w:rsid w:val="00754870"/>
    <w:rsid w:val="00763388"/>
    <w:rsid w:val="00773F61"/>
    <w:rsid w:val="007A4EBD"/>
    <w:rsid w:val="007B112B"/>
    <w:rsid w:val="007B4976"/>
    <w:rsid w:val="007B5B26"/>
    <w:rsid w:val="007B691A"/>
    <w:rsid w:val="007C1E24"/>
    <w:rsid w:val="007C1FF6"/>
    <w:rsid w:val="007D61B8"/>
    <w:rsid w:val="007F7FF2"/>
    <w:rsid w:val="00805B42"/>
    <w:rsid w:val="008102AD"/>
    <w:rsid w:val="008119AF"/>
    <w:rsid w:val="008131AD"/>
    <w:rsid w:val="008158A2"/>
    <w:rsid w:val="00837997"/>
    <w:rsid w:val="00866A07"/>
    <w:rsid w:val="00867FC5"/>
    <w:rsid w:val="0087072C"/>
    <w:rsid w:val="00873CDC"/>
    <w:rsid w:val="00880265"/>
    <w:rsid w:val="008840C4"/>
    <w:rsid w:val="00892F80"/>
    <w:rsid w:val="008A3D69"/>
    <w:rsid w:val="008B4F41"/>
    <w:rsid w:val="008C134F"/>
    <w:rsid w:val="008C6F75"/>
    <w:rsid w:val="008D5620"/>
    <w:rsid w:val="009015B2"/>
    <w:rsid w:val="00905CD5"/>
    <w:rsid w:val="00906E90"/>
    <w:rsid w:val="00906FB1"/>
    <w:rsid w:val="0091051D"/>
    <w:rsid w:val="00933E1C"/>
    <w:rsid w:val="00936F84"/>
    <w:rsid w:val="00940851"/>
    <w:rsid w:val="00943EA7"/>
    <w:rsid w:val="009600C6"/>
    <w:rsid w:val="0096511F"/>
    <w:rsid w:val="009679D9"/>
    <w:rsid w:val="009B757F"/>
    <w:rsid w:val="009C6066"/>
    <w:rsid w:val="009D73F5"/>
    <w:rsid w:val="009E1A3F"/>
    <w:rsid w:val="009E53CF"/>
    <w:rsid w:val="009F0BD3"/>
    <w:rsid w:val="00A05BDA"/>
    <w:rsid w:val="00A222E2"/>
    <w:rsid w:val="00A31D71"/>
    <w:rsid w:val="00A34AA4"/>
    <w:rsid w:val="00A3727E"/>
    <w:rsid w:val="00A46276"/>
    <w:rsid w:val="00A61AD5"/>
    <w:rsid w:val="00A64E35"/>
    <w:rsid w:val="00A72794"/>
    <w:rsid w:val="00A73038"/>
    <w:rsid w:val="00A76C99"/>
    <w:rsid w:val="00A81EBE"/>
    <w:rsid w:val="00A903B4"/>
    <w:rsid w:val="00A95397"/>
    <w:rsid w:val="00AB3F72"/>
    <w:rsid w:val="00AC6B95"/>
    <w:rsid w:val="00B00E5C"/>
    <w:rsid w:val="00B4321D"/>
    <w:rsid w:val="00B52626"/>
    <w:rsid w:val="00B666B9"/>
    <w:rsid w:val="00B66D7A"/>
    <w:rsid w:val="00B72F03"/>
    <w:rsid w:val="00B76DC1"/>
    <w:rsid w:val="00B862C0"/>
    <w:rsid w:val="00BB2227"/>
    <w:rsid w:val="00BC4A17"/>
    <w:rsid w:val="00BD104F"/>
    <w:rsid w:val="00BE2DD8"/>
    <w:rsid w:val="00BE4A58"/>
    <w:rsid w:val="00BF0EFE"/>
    <w:rsid w:val="00BF168E"/>
    <w:rsid w:val="00BF3815"/>
    <w:rsid w:val="00BF4646"/>
    <w:rsid w:val="00C00FEA"/>
    <w:rsid w:val="00C06B60"/>
    <w:rsid w:val="00C2305A"/>
    <w:rsid w:val="00C23CC9"/>
    <w:rsid w:val="00C30B3D"/>
    <w:rsid w:val="00C33AE2"/>
    <w:rsid w:val="00C8096C"/>
    <w:rsid w:val="00C8100B"/>
    <w:rsid w:val="00C85B62"/>
    <w:rsid w:val="00C85E88"/>
    <w:rsid w:val="00C8716D"/>
    <w:rsid w:val="00CA41D2"/>
    <w:rsid w:val="00CA4F20"/>
    <w:rsid w:val="00CB04F2"/>
    <w:rsid w:val="00CC4F80"/>
    <w:rsid w:val="00CC712C"/>
    <w:rsid w:val="00CD28D9"/>
    <w:rsid w:val="00CE2854"/>
    <w:rsid w:val="00D05C85"/>
    <w:rsid w:val="00D22748"/>
    <w:rsid w:val="00D26918"/>
    <w:rsid w:val="00D37121"/>
    <w:rsid w:val="00D3715F"/>
    <w:rsid w:val="00D5021F"/>
    <w:rsid w:val="00D75154"/>
    <w:rsid w:val="00D779F7"/>
    <w:rsid w:val="00D872CA"/>
    <w:rsid w:val="00D87542"/>
    <w:rsid w:val="00D9060B"/>
    <w:rsid w:val="00D95C20"/>
    <w:rsid w:val="00D9663C"/>
    <w:rsid w:val="00D97C16"/>
    <w:rsid w:val="00DA2F85"/>
    <w:rsid w:val="00DB4872"/>
    <w:rsid w:val="00DC129A"/>
    <w:rsid w:val="00DC17F0"/>
    <w:rsid w:val="00DC5660"/>
    <w:rsid w:val="00DE1DAB"/>
    <w:rsid w:val="00DE20A2"/>
    <w:rsid w:val="00DE36DA"/>
    <w:rsid w:val="00DF0B89"/>
    <w:rsid w:val="00E122EE"/>
    <w:rsid w:val="00E32F01"/>
    <w:rsid w:val="00E35682"/>
    <w:rsid w:val="00E46EA3"/>
    <w:rsid w:val="00E47AAB"/>
    <w:rsid w:val="00E51C1B"/>
    <w:rsid w:val="00E53DA7"/>
    <w:rsid w:val="00E57B02"/>
    <w:rsid w:val="00EB3DD3"/>
    <w:rsid w:val="00EC2843"/>
    <w:rsid w:val="00EC6B44"/>
    <w:rsid w:val="00EE37A3"/>
    <w:rsid w:val="00EE57E1"/>
    <w:rsid w:val="00EF129F"/>
    <w:rsid w:val="00EF4539"/>
    <w:rsid w:val="00F20158"/>
    <w:rsid w:val="00F36CB4"/>
    <w:rsid w:val="00F4385E"/>
    <w:rsid w:val="00F52A64"/>
    <w:rsid w:val="00F56247"/>
    <w:rsid w:val="00F627EB"/>
    <w:rsid w:val="00F66871"/>
    <w:rsid w:val="00F75A10"/>
    <w:rsid w:val="00F77276"/>
    <w:rsid w:val="00F954E4"/>
    <w:rsid w:val="00F95853"/>
    <w:rsid w:val="00FA7719"/>
    <w:rsid w:val="00FB3F26"/>
    <w:rsid w:val="00FC3213"/>
    <w:rsid w:val="00FC48C6"/>
    <w:rsid w:val="00FD1373"/>
    <w:rsid w:val="00FD7B92"/>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44B49607"/>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9"/>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99"/>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9"/>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9"/>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9"/>
    <w:qFormat/>
    <w:rsid w:val="000501A4"/>
    <w:pPr>
      <w:keepNext/>
      <w:keepLines/>
      <w:outlineLvl w:val="4"/>
    </w:pPr>
    <w:rPr>
      <w:rFonts w:eastAsiaTheme="majorEastAsia"/>
      <w:bCs/>
      <w:spacing w:val="40"/>
    </w:rPr>
  </w:style>
  <w:style w:type="paragraph" w:styleId="Heading6">
    <w:name w:val="heading 6"/>
    <w:basedOn w:val="Normal"/>
    <w:next w:val="Normal"/>
    <w:link w:val="6"/>
    <w:uiPriority w:val="9"/>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0501A4"/>
    <w:rPr>
      <w:rFonts w:eastAsiaTheme="majorEastAsia"/>
      <w:bCs/>
      <w:szCs w:val="36"/>
      <w:u w:val="single"/>
    </w:rPr>
  </w:style>
  <w:style w:type="character" w:customStyle="1" w:styleId="2">
    <w:name w:val="כותרת 2 תו"/>
    <w:basedOn w:val="DefaultParagraphFont"/>
    <w:link w:val="Heading2"/>
    <w:uiPriority w:val="99"/>
    <w:rsid w:val="000501A4"/>
    <w:rPr>
      <w:rFonts w:eastAsiaTheme="majorEastAsia"/>
      <w:bCs/>
      <w:szCs w:val="32"/>
    </w:rPr>
  </w:style>
  <w:style w:type="character" w:customStyle="1" w:styleId="3">
    <w:name w:val="כותרת 3 תו"/>
    <w:basedOn w:val="DefaultParagraphFont"/>
    <w:link w:val="Heading3"/>
    <w:uiPriority w:val="9"/>
    <w:rsid w:val="006D786C"/>
    <w:rPr>
      <w:rFonts w:eastAsiaTheme="majorEastAsia"/>
      <w:bCs/>
      <w:szCs w:val="28"/>
      <w:u w:val="single"/>
    </w:rPr>
  </w:style>
  <w:style w:type="character" w:customStyle="1" w:styleId="4">
    <w:name w:val="כותרת 4 תו"/>
    <w:basedOn w:val="DefaultParagraphFont"/>
    <w:link w:val="Heading4"/>
    <w:uiPriority w:val="9"/>
    <w:rsid w:val="006D786C"/>
    <w:rPr>
      <w:rFonts w:eastAsiaTheme="majorEastAsia"/>
      <w:bCs/>
      <w:szCs w:val="26"/>
    </w:rPr>
  </w:style>
  <w:style w:type="character" w:customStyle="1" w:styleId="5">
    <w:name w:val="כותרת 5 תו"/>
    <w:basedOn w:val="DefaultParagraphFont"/>
    <w:link w:val="Heading5"/>
    <w:uiPriority w:val="9"/>
    <w:rsid w:val="000501A4"/>
    <w:rPr>
      <w:rFonts w:eastAsiaTheme="majorEastAsia"/>
      <w:bCs/>
      <w:spacing w:val="40"/>
    </w:rPr>
  </w:style>
  <w:style w:type="character" w:customStyle="1" w:styleId="6">
    <w:name w:val="כותרת 6 תו"/>
    <w:basedOn w:val="DefaultParagraphFont"/>
    <w:link w:val="Heading6"/>
    <w:uiPriority w:val="9"/>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1,Bullet Number,Bulletr List Paragraph,List Paragraph1,List Paragraph11,List Paragraph2,List Paragraph21,Num Bullet 1,Paragraphe de liste1,Parágrafo da Lista1,Párrafo de lista1,Use Case List Paragraph,lp1,lp11,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1 תו,Bullet Number תו,Bulletr List Paragraph תו,List Paragraph1 תו,List Paragraph11 תו,List Paragraph2 תו,List Paragraph21 תו,Num Bullet 1 תו,Paragraphe de liste1 תו,Use Case List Paragraph תו,lp1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9">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719">
    <w:name w:val="71ג טקסט רץ 9"/>
    <w:basedOn w:val="Normal"/>
    <w:link w:val="719Char"/>
    <w:qFormat/>
    <w:rsid w:val="003B5D33"/>
    <w:pPr>
      <w:spacing w:after="180" w:line="260" w:lineRule="exact"/>
      <w:outlineLvl w:val="3"/>
    </w:pPr>
    <w:rPr>
      <w:rFonts w:ascii="Tahoma" w:hAnsi="Tahoma" w:cs="Tahoma"/>
      <w:color w:val="0D0D0D"/>
      <w:sz w:val="18"/>
      <w:szCs w:val="18"/>
    </w:rPr>
  </w:style>
  <w:style w:type="character" w:customStyle="1" w:styleId="719Char">
    <w:name w:val="71ג טקסט רץ 9 Char"/>
    <w:basedOn w:val="DefaultParagraphFont"/>
    <w:link w:val="719"/>
    <w:rsid w:val="003B5D33"/>
    <w:rPr>
      <w:rFonts w:ascii="Tahoma" w:hAnsi="Tahoma" w:cs="Tahoma"/>
      <w:color w:val="0D0D0D"/>
      <w:sz w:val="18"/>
      <w:szCs w:val="18"/>
    </w:rPr>
  </w:style>
  <w:style w:type="character" w:styleId="Strong">
    <w:name w:val="Strong"/>
    <w:basedOn w:val="DefaultParagraphFont"/>
    <w:uiPriority w:val="22"/>
    <w:qFormat/>
    <w:rsid w:val="003B5D33"/>
    <w:rPr>
      <w:b/>
      <w:bCs/>
    </w:rPr>
  </w:style>
  <w:style w:type="paragraph" w:styleId="HTMLTopofForm">
    <w:name w:val="HTML Top of Form"/>
    <w:basedOn w:val="Normal"/>
    <w:next w:val="Normal"/>
    <w:link w:val="z-"/>
    <w:hidden/>
    <w:uiPriority w:val="99"/>
    <w:semiHidden/>
    <w:unhideWhenUsed/>
    <w:rsid w:val="003B5D33"/>
    <w:pPr>
      <w:pBdr>
        <w:bottom w:val="single" w:sz="6" w:space="1" w:color="auto"/>
      </w:pBdr>
      <w:bidi w:val="0"/>
      <w:spacing w:line="240" w:lineRule="auto"/>
      <w:jc w:val="center"/>
    </w:pPr>
    <w:rPr>
      <w:rFonts w:ascii="Arial" w:eastAsia="Times New Roman" w:hAnsi="Arial" w:cs="Arial"/>
      <w:vanish/>
      <w:sz w:val="16"/>
      <w:szCs w:val="16"/>
    </w:rPr>
  </w:style>
  <w:style w:type="character" w:customStyle="1" w:styleId="z-">
    <w:name w:val="z-ראש טופס תו"/>
    <w:basedOn w:val="DefaultParagraphFont"/>
    <w:link w:val="HTMLTopofForm"/>
    <w:uiPriority w:val="99"/>
    <w:semiHidden/>
    <w:rsid w:val="003B5D33"/>
    <w:rPr>
      <w:rFonts w:ascii="Arial" w:eastAsia="Times New Roman" w:hAnsi="Arial" w:cs="Arial"/>
      <w:vanish/>
      <w:sz w:val="16"/>
      <w:szCs w:val="16"/>
    </w:rPr>
  </w:style>
  <w:style w:type="paragraph" w:customStyle="1" w:styleId="placeholder">
    <w:name w:val="placeholder"/>
    <w:basedOn w:val="Normal"/>
    <w:rsid w:val="003B5D33"/>
    <w:pPr>
      <w:bidi w:val="0"/>
      <w:spacing w:before="100" w:beforeAutospacing="1" w:after="100" w:afterAutospacing="1" w:line="240" w:lineRule="auto"/>
      <w:jc w:val="left"/>
    </w:pPr>
    <w:rPr>
      <w:rFonts w:eastAsia="Times New Roman" w:cs="Times New Roman"/>
      <w:sz w:val="24"/>
    </w:rPr>
  </w:style>
  <w:style w:type="character" w:customStyle="1" w:styleId="pointer-events-none">
    <w:name w:val="pointer-events-none"/>
    <w:basedOn w:val="DefaultParagraphFont"/>
    <w:rsid w:val="003B5D33"/>
  </w:style>
  <w:style w:type="paragraph" w:styleId="HTMLBottomofForm">
    <w:name w:val="HTML Bottom of Form"/>
    <w:basedOn w:val="Normal"/>
    <w:next w:val="Normal"/>
    <w:link w:val="z-0"/>
    <w:hidden/>
    <w:uiPriority w:val="99"/>
    <w:semiHidden/>
    <w:unhideWhenUsed/>
    <w:rsid w:val="003B5D33"/>
    <w:pPr>
      <w:pBdr>
        <w:top w:val="single" w:sz="6" w:space="1" w:color="auto"/>
      </w:pBdr>
      <w:bidi w:val="0"/>
      <w:spacing w:line="240" w:lineRule="auto"/>
      <w:jc w:val="center"/>
    </w:pPr>
    <w:rPr>
      <w:rFonts w:ascii="Arial" w:eastAsia="Times New Roman" w:hAnsi="Arial" w:cs="Arial"/>
      <w:vanish/>
      <w:sz w:val="16"/>
      <w:szCs w:val="16"/>
    </w:rPr>
  </w:style>
  <w:style w:type="character" w:customStyle="1" w:styleId="z-0">
    <w:name w:val="z-תחתית טופס תו"/>
    <w:basedOn w:val="DefaultParagraphFont"/>
    <w:link w:val="HTMLBottomofForm"/>
    <w:uiPriority w:val="99"/>
    <w:semiHidden/>
    <w:rsid w:val="003B5D33"/>
    <w:rPr>
      <w:rFonts w:ascii="Arial" w:eastAsia="Times New Roman" w:hAnsi="Arial" w:cs="Arial"/>
      <w:vanish/>
      <w:sz w:val="16"/>
      <w:szCs w:val="16"/>
    </w:rPr>
  </w:style>
  <w:style w:type="table" w:customStyle="1" w:styleId="110">
    <w:name w:val="רשת טבלה11"/>
    <w:basedOn w:val="TableNormal"/>
    <w:next w:val="TableGrid"/>
    <w:uiPriority w:val="39"/>
    <w:rsid w:val="003B5D33"/>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1"/>
    <w:basedOn w:val="Heading1"/>
    <w:link w:val="Heading1Char"/>
    <w:qFormat/>
    <w:rsid w:val="003B5D33"/>
    <w:pPr>
      <w:spacing w:before="240" w:line="360" w:lineRule="auto"/>
    </w:pPr>
    <w:rPr>
      <w:rFonts w:ascii="Cambria" w:hAnsi="Cambria" w:cs="Calibri"/>
      <w:b/>
      <w:sz w:val="32"/>
      <w:szCs w:val="32"/>
    </w:rPr>
  </w:style>
  <w:style w:type="character" w:customStyle="1" w:styleId="Heading1Char">
    <w:name w:val="Heading1 Char"/>
    <w:basedOn w:val="1"/>
    <w:link w:val="Heading10"/>
    <w:rsid w:val="003B5D33"/>
    <w:rPr>
      <w:rFonts w:ascii="Cambria" w:hAnsi="Cambria" w:eastAsiaTheme="majorEastAsia" w:cs="Calibri"/>
      <w:b/>
      <w:bCs/>
      <w:sz w:val="32"/>
      <w:szCs w:val="32"/>
      <w:u w:val="single"/>
    </w:rPr>
  </w:style>
  <w:style w:type="paragraph" w:customStyle="1" w:styleId="NOR2">
    <w:name w:val="NOR 2"/>
    <w:basedOn w:val="Normal"/>
    <w:rsid w:val="003B5D33"/>
    <w:pPr>
      <w:spacing w:line="360" w:lineRule="auto"/>
      <w:ind w:left="794"/>
      <w:jc w:val="left"/>
    </w:pPr>
    <w:rPr>
      <w:rFonts w:ascii="Verdana" w:eastAsia="Times New Roman" w:hAnsi="Verdana"/>
      <w:szCs w:val="22"/>
    </w:rPr>
  </w:style>
  <w:style w:type="paragraph" w:customStyle="1" w:styleId="111">
    <w:name w:val="כותרת תוכן עניינים1"/>
    <w:basedOn w:val="Heading1"/>
    <w:next w:val="Normal"/>
    <w:uiPriority w:val="39"/>
    <w:unhideWhenUsed/>
    <w:qFormat/>
    <w:rsid w:val="003B5D33"/>
    <w:pPr>
      <w:spacing w:before="240" w:line="259" w:lineRule="auto"/>
      <w:jc w:val="left"/>
      <w:outlineLvl w:val="9"/>
    </w:pPr>
    <w:rPr>
      <w:rFonts w:ascii="Cambria" w:hAnsi="Cambria" w:cs="Times New Roman"/>
      <w:bCs w:val="0"/>
      <w:color w:val="365F91"/>
      <w:sz w:val="32"/>
      <w:szCs w:val="32"/>
      <w:u w:val="none"/>
      <w:rtl/>
      <w:cs/>
    </w:rPr>
  </w:style>
  <w:style w:type="paragraph" w:styleId="TOC2">
    <w:name w:val="toc 2"/>
    <w:basedOn w:val="Normal"/>
    <w:next w:val="Normal"/>
    <w:autoRedefine/>
    <w:uiPriority w:val="39"/>
    <w:unhideWhenUsed/>
    <w:rsid w:val="003B5D33"/>
    <w:pPr>
      <w:spacing w:after="100"/>
      <w:ind w:left="200"/>
    </w:pPr>
  </w:style>
  <w:style w:type="paragraph" w:styleId="TOC3">
    <w:name w:val="toc 3"/>
    <w:basedOn w:val="Normal"/>
    <w:next w:val="Normal"/>
    <w:autoRedefine/>
    <w:uiPriority w:val="39"/>
    <w:unhideWhenUsed/>
    <w:rsid w:val="003B5D33"/>
    <w:pPr>
      <w:spacing w:after="100"/>
      <w:ind w:left="400"/>
    </w:pPr>
  </w:style>
  <w:style w:type="paragraph" w:styleId="TOC1">
    <w:name w:val="toc 1"/>
    <w:basedOn w:val="Normal"/>
    <w:next w:val="Normal"/>
    <w:autoRedefine/>
    <w:uiPriority w:val="39"/>
    <w:unhideWhenUsed/>
    <w:rsid w:val="003B5D33"/>
    <w:pPr>
      <w:spacing w:after="100"/>
    </w:pPr>
  </w:style>
  <w:style w:type="paragraph" w:styleId="TOC4">
    <w:name w:val="toc 4"/>
    <w:basedOn w:val="Normal"/>
    <w:next w:val="Normal"/>
    <w:autoRedefine/>
    <w:uiPriority w:val="39"/>
    <w:unhideWhenUsed/>
    <w:rsid w:val="003B5D33"/>
    <w:pPr>
      <w:spacing w:after="100"/>
      <w:ind w:left="600"/>
    </w:pPr>
  </w:style>
  <w:style w:type="character" w:customStyle="1" w:styleId="font-weight-light">
    <w:name w:val="font-weight-light"/>
    <w:basedOn w:val="DefaultParagraphFont"/>
    <w:rsid w:val="003B5D33"/>
  </w:style>
  <w:style w:type="character" w:customStyle="1" w:styleId="unticked">
    <w:name w:val="unticked"/>
    <w:basedOn w:val="DefaultParagraphFont"/>
    <w:rsid w:val="003B5D33"/>
  </w:style>
  <w:style w:type="paragraph" w:customStyle="1" w:styleId="a49">
    <w:name w:val="טבלה טקסט"/>
    <w:basedOn w:val="Normal"/>
    <w:uiPriority w:val="99"/>
    <w:rsid w:val="003B5D33"/>
    <w:pPr>
      <w:spacing w:before="120" w:after="60" w:line="240" w:lineRule="auto"/>
      <w:ind w:left="851" w:firstLine="11"/>
      <w:jc w:val="left"/>
    </w:pPr>
    <w:rPr>
      <w:rFonts w:ascii="Arial" w:eastAsia="Times New Roman" w:hAnsi="Arial" w:cs="Arial"/>
      <w:szCs w:val="20"/>
    </w:rPr>
  </w:style>
  <w:style w:type="paragraph" w:customStyle="1" w:styleId="a50">
    <w:name w:val="טבלה כותרת לבן"/>
    <w:basedOn w:val="Normal"/>
    <w:next w:val="a49"/>
    <w:uiPriority w:val="99"/>
    <w:rsid w:val="003B5D33"/>
    <w:pPr>
      <w:spacing w:before="120" w:after="120" w:line="240" w:lineRule="auto"/>
      <w:ind w:left="851" w:firstLine="11"/>
      <w:jc w:val="left"/>
    </w:pPr>
    <w:rPr>
      <w:rFonts w:ascii="Arial" w:eastAsia="Times New Roman" w:hAnsi="Arial" w:cs="Arial"/>
      <w:b/>
      <w:bCs/>
      <w:color w:val="FFFFFF"/>
      <w:szCs w:val="20"/>
    </w:rPr>
  </w:style>
  <w:style w:type="paragraph" w:customStyle="1" w:styleId="0-Normal2">
    <w:name w:val="0-Normal 2"/>
    <w:basedOn w:val="Normal"/>
    <w:link w:val="0-Normal2Char"/>
    <w:uiPriority w:val="99"/>
    <w:rsid w:val="003B5D33"/>
    <w:pPr>
      <w:spacing w:before="120" w:line="276" w:lineRule="auto"/>
      <w:ind w:left="1263"/>
    </w:pPr>
    <w:rPr>
      <w:rFonts w:ascii="Arial" w:eastAsia="Times New Roman" w:hAnsi="Arial" w:cs="Arial"/>
      <w:sz w:val="24"/>
    </w:rPr>
  </w:style>
  <w:style w:type="character" w:customStyle="1" w:styleId="0-Normal2Char">
    <w:name w:val="0-Normal 2 Char"/>
    <w:link w:val="0-Normal2"/>
    <w:uiPriority w:val="99"/>
    <w:locked/>
    <w:rsid w:val="003B5D33"/>
    <w:rPr>
      <w:rFonts w:ascii="Arial" w:eastAsia="Times New Roman" w:hAnsi="Arial" w:cs="Arial"/>
      <w:sz w:val="24"/>
    </w:rPr>
  </w:style>
  <w:style w:type="paragraph" w:customStyle="1" w:styleId="0-Normal3">
    <w:name w:val="0-Normal 3"/>
    <w:basedOn w:val="0-Normal2"/>
    <w:link w:val="0-Normal3Char"/>
    <w:uiPriority w:val="99"/>
    <w:rsid w:val="003B5D33"/>
    <w:pPr>
      <w:ind w:left="1803"/>
    </w:pPr>
  </w:style>
  <w:style w:type="character" w:customStyle="1" w:styleId="0-Normal3Char">
    <w:name w:val="0-Normal 3 Char"/>
    <w:basedOn w:val="0-Normal2Char"/>
    <w:link w:val="0-Normal3"/>
    <w:uiPriority w:val="99"/>
    <w:locked/>
    <w:rsid w:val="003B5D33"/>
    <w:rPr>
      <w:rFonts w:ascii="Arial" w:eastAsia="Times New Roman" w:hAnsi="Arial" w:cs="Arial"/>
      <w:sz w:val="24"/>
    </w:rPr>
  </w:style>
  <w:style w:type="paragraph" w:customStyle="1" w:styleId="0-Normal4">
    <w:name w:val="0-Normal 4"/>
    <w:basedOn w:val="Normal"/>
    <w:uiPriority w:val="99"/>
    <w:rsid w:val="003B5D33"/>
    <w:pPr>
      <w:spacing w:before="120" w:line="276" w:lineRule="auto"/>
      <w:ind w:left="2343"/>
    </w:pPr>
    <w:rPr>
      <w:rFonts w:ascii="Arial" w:eastAsia="Times New Roman" w:hAnsi="Arial" w:cs="Arial"/>
      <w:sz w:val="24"/>
    </w:rPr>
  </w:style>
  <w:style w:type="paragraph" w:customStyle="1" w:styleId="0-Normal5">
    <w:name w:val="0-Normal5"/>
    <w:basedOn w:val="Normal"/>
    <w:uiPriority w:val="99"/>
    <w:rsid w:val="003B5D33"/>
    <w:pPr>
      <w:spacing w:before="120" w:line="276" w:lineRule="auto"/>
      <w:ind w:left="2883"/>
    </w:pPr>
    <w:rPr>
      <w:rFonts w:ascii="Arial" w:eastAsia="Times New Roman" w:hAnsi="Arial" w:cs="Arial"/>
      <w:sz w:val="24"/>
    </w:rPr>
  </w:style>
  <w:style w:type="paragraph" w:customStyle="1" w:styleId="112">
    <w:name w:val="כותרת טקסט1"/>
    <w:basedOn w:val="Normal"/>
    <w:next w:val="Normal"/>
    <w:uiPriority w:val="10"/>
    <w:qFormat/>
    <w:rsid w:val="003B5D33"/>
    <w:pPr>
      <w:spacing w:before="120" w:line="240" w:lineRule="auto"/>
      <w:ind w:left="851"/>
      <w:contextualSpacing/>
      <w:jc w:val="left"/>
    </w:pPr>
    <w:rPr>
      <w:rFonts w:ascii="Cambria" w:eastAsia="Times New Roman" w:hAnsi="Cambria" w:cs="Times New Roman"/>
      <w:spacing w:val="-10"/>
      <w:kern w:val="28"/>
      <w:sz w:val="56"/>
      <w:szCs w:val="56"/>
    </w:rPr>
  </w:style>
  <w:style w:type="character" w:customStyle="1" w:styleId="a51">
    <w:name w:val="כותרת טקסט תו"/>
    <w:basedOn w:val="DefaultParagraphFont"/>
    <w:link w:val="Title"/>
    <w:uiPriority w:val="10"/>
    <w:rsid w:val="003B5D33"/>
    <w:rPr>
      <w:rFonts w:ascii="Cambria" w:eastAsia="Times New Roman" w:hAnsi="Cambria" w:cs="Times New Roman"/>
      <w:spacing w:val="-10"/>
      <w:kern w:val="28"/>
      <w:sz w:val="56"/>
      <w:szCs w:val="56"/>
    </w:rPr>
  </w:style>
  <w:style w:type="paragraph" w:customStyle="1" w:styleId="TOC51">
    <w:name w:val="TOC 51"/>
    <w:basedOn w:val="Normal"/>
    <w:next w:val="Normal"/>
    <w:autoRedefine/>
    <w:uiPriority w:val="39"/>
    <w:unhideWhenUsed/>
    <w:rsid w:val="003B5D33"/>
    <w:pPr>
      <w:spacing w:line="360" w:lineRule="auto"/>
      <w:ind w:left="960"/>
      <w:jc w:val="left"/>
    </w:pPr>
    <w:rPr>
      <w:rFonts w:ascii="Calibri" w:hAnsi="Calibri" w:cs="Times New Roman"/>
      <w:sz w:val="18"/>
      <w:szCs w:val="18"/>
    </w:rPr>
  </w:style>
  <w:style w:type="paragraph" w:customStyle="1" w:styleId="TOC61">
    <w:name w:val="TOC 61"/>
    <w:basedOn w:val="Normal"/>
    <w:next w:val="Normal"/>
    <w:autoRedefine/>
    <w:uiPriority w:val="39"/>
    <w:unhideWhenUsed/>
    <w:rsid w:val="003B5D33"/>
    <w:pPr>
      <w:spacing w:line="360" w:lineRule="auto"/>
      <w:ind w:left="1200"/>
      <w:jc w:val="left"/>
    </w:pPr>
    <w:rPr>
      <w:rFonts w:ascii="Calibri" w:hAnsi="Calibri" w:cs="Times New Roman"/>
      <w:sz w:val="18"/>
      <w:szCs w:val="18"/>
    </w:rPr>
  </w:style>
  <w:style w:type="paragraph" w:customStyle="1" w:styleId="TOC71">
    <w:name w:val="TOC 71"/>
    <w:basedOn w:val="Normal"/>
    <w:next w:val="Normal"/>
    <w:autoRedefine/>
    <w:uiPriority w:val="39"/>
    <w:unhideWhenUsed/>
    <w:rsid w:val="003B5D33"/>
    <w:pPr>
      <w:spacing w:line="360" w:lineRule="auto"/>
      <w:ind w:left="1440"/>
      <w:jc w:val="left"/>
    </w:pPr>
    <w:rPr>
      <w:rFonts w:ascii="Calibri" w:hAnsi="Calibri" w:cs="Times New Roman"/>
      <w:sz w:val="18"/>
      <w:szCs w:val="18"/>
    </w:rPr>
  </w:style>
  <w:style w:type="paragraph" w:customStyle="1" w:styleId="TOC81">
    <w:name w:val="TOC 81"/>
    <w:basedOn w:val="Normal"/>
    <w:next w:val="Normal"/>
    <w:autoRedefine/>
    <w:uiPriority w:val="39"/>
    <w:unhideWhenUsed/>
    <w:rsid w:val="003B5D33"/>
    <w:pPr>
      <w:spacing w:line="360" w:lineRule="auto"/>
      <w:ind w:left="1680"/>
      <w:jc w:val="left"/>
    </w:pPr>
    <w:rPr>
      <w:rFonts w:ascii="Calibri" w:hAnsi="Calibri" w:cs="Times New Roman"/>
      <w:sz w:val="18"/>
      <w:szCs w:val="18"/>
    </w:rPr>
  </w:style>
  <w:style w:type="paragraph" w:customStyle="1" w:styleId="TOC91">
    <w:name w:val="TOC 91"/>
    <w:basedOn w:val="Normal"/>
    <w:next w:val="Normal"/>
    <w:autoRedefine/>
    <w:uiPriority w:val="39"/>
    <w:unhideWhenUsed/>
    <w:rsid w:val="003B5D33"/>
    <w:pPr>
      <w:spacing w:line="360" w:lineRule="auto"/>
      <w:ind w:left="1920"/>
      <w:jc w:val="left"/>
    </w:pPr>
    <w:rPr>
      <w:rFonts w:ascii="Calibri" w:hAnsi="Calibri" w:cs="Times New Roman"/>
      <w:sz w:val="18"/>
      <w:szCs w:val="18"/>
    </w:rPr>
  </w:style>
  <w:style w:type="paragraph" w:customStyle="1" w:styleId="113">
    <w:name w:val="גוף טקסט1"/>
    <w:basedOn w:val="Normal"/>
    <w:next w:val="BodyText"/>
    <w:link w:val="a52"/>
    <w:uiPriority w:val="1"/>
    <w:qFormat/>
    <w:rsid w:val="003B5D33"/>
    <w:pPr>
      <w:widowControl w:val="0"/>
      <w:autoSpaceDE w:val="0"/>
      <w:autoSpaceDN w:val="0"/>
      <w:bidi w:val="0"/>
      <w:spacing w:line="240" w:lineRule="auto"/>
      <w:jc w:val="left"/>
    </w:pPr>
    <w:rPr>
      <w:rFonts w:ascii="Segoe UI" w:eastAsia="Segoe UI" w:hAnsi="Segoe UI" w:cs="Calibri"/>
      <w:szCs w:val="20"/>
      <w:lang w:val="he-IL" w:eastAsia="he-IL"/>
    </w:rPr>
  </w:style>
  <w:style w:type="character" w:customStyle="1" w:styleId="a52">
    <w:name w:val="גוף טקסט תו"/>
    <w:basedOn w:val="DefaultParagraphFont"/>
    <w:link w:val="113"/>
    <w:uiPriority w:val="1"/>
    <w:rsid w:val="003B5D33"/>
    <w:rPr>
      <w:rFonts w:ascii="Segoe UI" w:eastAsia="Segoe UI" w:hAnsi="Segoe UI" w:cs="Calibri"/>
      <w:szCs w:val="20"/>
      <w:lang w:val="he-IL" w:eastAsia="he-IL"/>
    </w:rPr>
  </w:style>
  <w:style w:type="paragraph" w:customStyle="1" w:styleId="TableParagraph">
    <w:name w:val="Table Paragraph"/>
    <w:basedOn w:val="Normal"/>
    <w:uiPriority w:val="1"/>
    <w:qFormat/>
    <w:rsid w:val="003B5D33"/>
    <w:pPr>
      <w:widowControl w:val="0"/>
      <w:autoSpaceDE w:val="0"/>
      <w:autoSpaceDN w:val="0"/>
      <w:bidi w:val="0"/>
      <w:spacing w:line="240" w:lineRule="auto"/>
      <w:jc w:val="left"/>
    </w:pPr>
    <w:rPr>
      <w:rFonts w:ascii="Segoe UI" w:eastAsia="Segoe UI" w:hAnsi="Segoe UI" w:cs="Segoe UI"/>
      <w:sz w:val="22"/>
      <w:szCs w:val="22"/>
      <w:lang w:val="he-IL" w:eastAsia="he-IL"/>
    </w:rPr>
  </w:style>
  <w:style w:type="paragraph" w:customStyle="1" w:styleId="MainText">
    <w:name w:val="Main Text"/>
    <w:basedOn w:val="Normal"/>
    <w:link w:val="MainTextChar"/>
    <w:qFormat/>
    <w:rsid w:val="003B5D33"/>
    <w:pPr>
      <w:spacing w:before="120" w:line="259" w:lineRule="auto"/>
      <w:ind w:left="1152"/>
    </w:pPr>
    <w:rPr>
      <w:rFonts w:ascii="David" w:eastAsia="Calibri" w:hAnsi="David"/>
      <w:sz w:val="24"/>
    </w:rPr>
  </w:style>
  <w:style w:type="character" w:customStyle="1" w:styleId="MainTextChar">
    <w:name w:val="Main Text Char"/>
    <w:basedOn w:val="DefaultParagraphFont"/>
    <w:link w:val="MainText"/>
    <w:rsid w:val="003B5D33"/>
    <w:rPr>
      <w:rFonts w:ascii="David" w:eastAsia="Calibri" w:hAnsi="David"/>
      <w:sz w:val="24"/>
    </w:rPr>
  </w:style>
  <w:style w:type="paragraph" w:customStyle="1" w:styleId="Default">
    <w:name w:val="Default"/>
    <w:rsid w:val="003B5D33"/>
    <w:pPr>
      <w:autoSpaceDE w:val="0"/>
      <w:autoSpaceDN w:val="0"/>
      <w:adjustRightInd w:val="0"/>
      <w:spacing w:after="0" w:line="240" w:lineRule="auto"/>
      <w:jc w:val="left"/>
    </w:pPr>
    <w:rPr>
      <w:rFonts w:ascii="Calibri" w:hAnsi="Calibri" w:cs="Calibri"/>
      <w:color w:val="000000"/>
      <w:sz w:val="24"/>
    </w:rPr>
  </w:style>
  <w:style w:type="paragraph" w:styleId="Title">
    <w:name w:val="Title"/>
    <w:basedOn w:val="Normal"/>
    <w:next w:val="Normal"/>
    <w:link w:val="a51"/>
    <w:uiPriority w:val="10"/>
    <w:rsid w:val="003B5D33"/>
    <w:pPr>
      <w:spacing w:line="240" w:lineRule="auto"/>
      <w:contextualSpacing/>
    </w:pPr>
    <w:rPr>
      <w:rFonts w:ascii="Cambria" w:eastAsia="Times New Roman" w:hAnsi="Cambria" w:cs="Times New Roman"/>
      <w:spacing w:val="-10"/>
      <w:kern w:val="28"/>
      <w:sz w:val="56"/>
      <w:szCs w:val="56"/>
    </w:rPr>
  </w:style>
  <w:style w:type="character" w:customStyle="1" w:styleId="114">
    <w:name w:val="כותרת טקסט תו1"/>
    <w:basedOn w:val="DefaultParagraphFont"/>
    <w:uiPriority w:val="10"/>
    <w:rsid w:val="003B5D33"/>
    <w:rPr>
      <w:rFonts w:asciiTheme="majorHAnsi" w:eastAsiaTheme="majorEastAsia" w:hAnsiTheme="majorHAnsi" w:cstheme="majorBidi"/>
      <w:spacing w:val="-10"/>
      <w:kern w:val="28"/>
      <w:sz w:val="56"/>
      <w:szCs w:val="56"/>
    </w:rPr>
  </w:style>
  <w:style w:type="paragraph" w:styleId="BodyText">
    <w:name w:val="Body Text"/>
    <w:basedOn w:val="Normal"/>
    <w:link w:val="115"/>
    <w:uiPriority w:val="99"/>
    <w:semiHidden/>
    <w:unhideWhenUsed/>
    <w:rsid w:val="003B5D33"/>
    <w:pPr>
      <w:spacing w:after="120"/>
    </w:pPr>
  </w:style>
  <w:style w:type="character" w:customStyle="1" w:styleId="115">
    <w:name w:val="גוף טקסט תו1"/>
    <w:basedOn w:val="DefaultParagraphFont"/>
    <w:link w:val="BodyText"/>
    <w:uiPriority w:val="99"/>
    <w:semiHidden/>
    <w:rsid w:val="003B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microsoft.com/office/2007/relationships/diagramDrawing" Target="diagrams/drawing1.xml"/><Relationship Id="rId47" Type="http://schemas.microsoft.com/office/2007/relationships/diagramDrawing" Target="diagrams/drawing2.xml"/><Relationship Id="rId50" Type="http://schemas.openxmlformats.org/officeDocument/2006/relationships/diagramQuickStyle" Target="diagrams/quickStyle2.xml"/><Relationship Id="rId55" Type="http://schemas.openxmlformats.org/officeDocument/2006/relationships/theme" Target="theme/theme1.xml"/><Relationship Id="rId7" Type="http://schemas.openxmlformats.org/officeDocument/2006/relationships/header" Target="header2.xml"/><Relationship Id="rId16" Type="http://schemas.openxmlformats.org/officeDocument/2006/relationships/image" Target="media/image11.jpeg"/><Relationship Id="rId2" Type="http://schemas.openxmlformats.org/officeDocument/2006/relationships/settings" Target="settings.xml"/><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diagramQuickStyle" Target="diagrams/quickStyle1.xml"/><Relationship Id="rId53" Type="http://schemas.openxmlformats.org/officeDocument/2006/relationships/image" Target="media/image38.jpeg"/><Relationship Id="rId58" Type="http://schemas.openxmlformats.org/officeDocument/2006/relationships/customXml" Target="../customXml/item2.xml"/><Relationship Id="rId5" Type="http://schemas.openxmlformats.org/officeDocument/2006/relationships/customXml" Target="../customXml/item1.xml"/><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emf"/><Relationship Id="rId35" Type="http://schemas.openxmlformats.org/officeDocument/2006/relationships/image" Target="media/image30.jpeg"/><Relationship Id="rId4" Type="http://schemas.openxmlformats.org/officeDocument/2006/relationships/fontTable" Target="fontTable.xml"/><Relationship Id="rId43" Type="http://schemas.openxmlformats.org/officeDocument/2006/relationships/diagramData" Target="diagrams/data1.xml"/><Relationship Id="rId48" Type="http://schemas.openxmlformats.org/officeDocument/2006/relationships/diagramData" Target="diagrams/data2.xml"/><Relationship Id="rId56" Type="http://schemas.openxmlformats.org/officeDocument/2006/relationships/numbering" Target="numbering.xml"/><Relationship Id="rId9" Type="http://schemas.openxmlformats.org/officeDocument/2006/relationships/image" Target="media/image4.jpeg"/><Relationship Id="rId51" Type="http://schemas.openxmlformats.org/officeDocument/2006/relationships/diagramColors" Target="diagrams/colors2.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diagramColors" Target="diagrams/colors1.xml"/><Relationship Id="rId59" Type="http://schemas.openxmlformats.org/officeDocument/2006/relationships/customXml" Target="../customXml/item3.xm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header" Target="header3.xml"/><Relationship Id="rId1" Type="http://schemas.openxmlformats.org/officeDocument/2006/relationships/footnotes" Target="footnotes.xml"/><Relationship Id="rId6" Type="http://schemas.openxmlformats.org/officeDocument/2006/relationships/header" Target="header1.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diagramLayout" Target="diagrams/layout2.xml"/><Relationship Id="rId57" Type="http://schemas.openxmlformats.org/officeDocument/2006/relationships/styles" Target="styles.xml"/><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diagramLayout" Target="diagrams/layout1.xml"/><Relationship Id="rId52" Type="http://schemas.openxmlformats.org/officeDocument/2006/relationships/image" Target="media/image37.jpeg"/><Relationship Id="rId60" Type="http://schemas.openxmlformats.org/officeDocument/2006/relationships/customXml" Target="../customXml/item4.xml"/></Relationships>
</file>

<file path=word/_rels/footnotes.xml.rels><?xml version="1.0" encoding="utf-8" standalone="yes"?><Relationships xmlns="http://schemas.openxmlformats.org/package/2006/relationships"><Relationship Id="rId1" Type="http://schemas.openxmlformats.org/officeDocument/2006/relationships/hyperlink" Target="https://www.gov.il/BlobFolder/policy/2097/he/2097.pdf"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416AA1-FD9C-4DDB-AD61-E5F6E8D79542}" type="doc">
      <dgm:prSet loTypeId="urn:microsoft.com/office/officeart/2005/8/layout/process2" loCatId="process" qsTypeId="urn:microsoft.com/office/officeart/2005/8/quickstyle/simple5" qsCatId="simple" csTypeId="urn:microsoft.com/office/officeart/2005/8/colors/accent0_3" csCatId="mainScheme" phldr="1"/>
      <dgm:spPr/>
      <dgm:t>
        <a:bodyPr/>
        <a:lstStyle/>
        <a:p>
          <a:pPr rtl="1"/>
          <a:endParaRPr lang="he-IL"/>
        </a:p>
      </dgm:t>
    </dgm:pt>
    <dgm:pt modelId="{0F2E46D6-958B-4885-B805-DBE46C24EC7C}">
      <dgm:prSet phldrT="[טקסט]" custT="1"/>
      <dgm:spPr>
        <a:xfrm>
          <a:off x="12149" y="1034"/>
          <a:ext cx="5366850" cy="677352"/>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buNone/>
          </a:pPr>
          <a:r>
            <a:rPr lang="he-IL" sz="1400" b="1">
              <a:solidFill>
                <a:sysClr val="window" lastClr="FFFFFF"/>
              </a:solidFill>
              <a:latin typeface="David" panose="020E0502060401010101" pitchFamily="34" charset="-79"/>
              <a:ea typeface="+mn-ea"/>
              <a:cs typeface="David" panose="020E0502060401010101" pitchFamily="34" charset="-79"/>
            </a:rPr>
            <a:t>הצגה כללית של הסביבה</a:t>
          </a:r>
          <a:endParaRPr lang="he-IL" sz="1400">
            <a:solidFill>
              <a:sysClr val="window" lastClr="FFFFFF"/>
            </a:solidFill>
            <a:latin typeface="Calibri"/>
            <a:ea typeface="+mn-ea"/>
            <a:cs typeface="Arial" panose="020B0604020202020204" pitchFamily="34" charset="0"/>
          </a:endParaRPr>
        </a:p>
      </dgm:t>
    </dgm:pt>
    <dgm:pt modelId="{F7D0766F-8500-448A-8094-BA014CAA3DA6}" type="parTrans" cxnId="{3CA251F8-0F16-4089-93CA-FD0AA8356F50}">
      <dgm:prSet/>
      <dgm:spPr/>
      <dgm:t>
        <a:bodyPr/>
        <a:lstStyle/>
        <a:p>
          <a:pPr rtl="1"/>
          <a:endParaRPr lang="he-IL"/>
        </a:p>
      </dgm:t>
    </dgm:pt>
    <dgm:pt modelId="{01FD14D5-A201-4110-B93F-7561BAF57648}" type="sibTrans" cxnId="{3CA251F8-0F16-4089-93CA-FD0AA8356F50}">
      <dgm:prSet/>
      <dgm:spPr>
        <a:xfrm rot="5400000">
          <a:off x="2568571" y="695320"/>
          <a:ext cx="254007" cy="304808"/>
        </a:xfrm>
        <a:prstGeom prst="rightArrow">
          <a:avLst>
            <a:gd name="adj1" fmla="val 60000"/>
            <a:gd name="adj2" fmla="val 50000"/>
          </a:avLst>
        </a:prstGeom>
        <a:gradFill rotWithShape="0">
          <a:gsLst>
            <a:gs pos="0">
              <a:srgbClr val="1F497D">
                <a:tint val="60000"/>
                <a:hueOff val="0"/>
                <a:satOff val="0"/>
                <a:lumOff val="0"/>
                <a:alphaOff val="0"/>
                <a:shade val="51000"/>
                <a:satMod val="130000"/>
              </a:srgbClr>
            </a:gs>
            <a:gs pos="80000">
              <a:srgbClr val="1F497D">
                <a:tint val="60000"/>
                <a:hueOff val="0"/>
                <a:satOff val="0"/>
                <a:lumOff val="0"/>
                <a:alphaOff val="0"/>
                <a:shade val="93000"/>
                <a:satMod val="130000"/>
              </a:srgbClr>
            </a:gs>
            <a:gs pos="100000">
              <a:srgbClr val="1F497D">
                <a:tint val="60000"/>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buNone/>
          </a:pPr>
          <a:endParaRPr lang="he-IL">
            <a:solidFill>
              <a:sysClr val="window" lastClr="FFFFFF"/>
            </a:solidFill>
            <a:latin typeface="Calibri"/>
            <a:ea typeface="+mn-ea"/>
            <a:cs typeface="Arial" panose="020B0604020202020204" pitchFamily="34" charset="0"/>
          </a:endParaRPr>
        </a:p>
      </dgm:t>
    </dgm:pt>
    <dgm:pt modelId="{E764799C-3501-4DAC-9E38-E7E0B6756673}">
      <dgm:prSet phldrT="[טקסט]" custT="1"/>
      <dgm:spPr>
        <a:xfrm>
          <a:off x="2631" y="1017063"/>
          <a:ext cx="5385887" cy="677352"/>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buNone/>
          </a:pPr>
          <a:r>
            <a:rPr lang="he-IL" sz="1400" b="1">
              <a:solidFill>
                <a:sysClr val="window" lastClr="FFFFFF"/>
              </a:solidFill>
              <a:latin typeface="David" panose="020E0502060401010101" pitchFamily="34" charset="-79"/>
              <a:ea typeface="+mn-ea"/>
              <a:cs typeface="David" panose="020E0502060401010101" pitchFamily="34" charset="-79"/>
            </a:rPr>
            <a:t>תשאול לגבי מרכיבי ההגנה בסייבר המוטמעים בסביבה</a:t>
          </a:r>
          <a:endParaRPr lang="he-IL" sz="1400">
            <a:solidFill>
              <a:sysClr val="window" lastClr="FFFFFF"/>
            </a:solidFill>
            <a:latin typeface="Calibri"/>
            <a:ea typeface="+mn-ea"/>
            <a:cs typeface="Arial" panose="020B0604020202020204" pitchFamily="34" charset="0"/>
          </a:endParaRPr>
        </a:p>
      </dgm:t>
    </dgm:pt>
    <dgm:pt modelId="{50E9CDCB-7876-44C8-BD96-191491B2ECB3}" type="sibTrans" cxnId="{634E47A6-2ADA-4FFB-9840-1447AEF3D65F}">
      <dgm:prSet/>
      <dgm:spPr/>
      <dgm:t>
        <a:bodyPr/>
        <a:lstStyle/>
        <a:p>
          <a:pPr rtl="1"/>
          <a:endParaRPr lang="he-IL"/>
        </a:p>
      </dgm:t>
    </dgm:pt>
    <dgm:pt modelId="{8C5895A9-8FD3-4CB1-B3AE-D7452236E256}" type="parTrans" cxnId="{634E47A6-2ADA-4FFB-9840-1447AEF3D65F}">
      <dgm:prSet/>
      <dgm:spPr/>
      <dgm:t>
        <a:bodyPr/>
        <a:lstStyle/>
        <a:p>
          <a:pPr rtl="1"/>
          <a:endParaRPr lang="he-IL"/>
        </a:p>
      </dgm:t>
    </dgm:pt>
    <dgm:pt modelId="{5150EC22-AA17-4752-A0D3-65A4E040A13F}" type="pres">
      <dgm:prSet presAssocID="{A1416AA1-FD9C-4DDB-AD61-E5F6E8D79542}" presName="linearFlow" presStyleCnt="0">
        <dgm:presLayoutVars>
          <dgm:resizeHandles val="exact"/>
        </dgm:presLayoutVars>
      </dgm:prSet>
      <dgm:spPr/>
    </dgm:pt>
    <dgm:pt modelId="{C6B418C7-56C6-4E3F-A9B4-2288F3C6FCA7}" type="pres">
      <dgm:prSet presAssocID="{0F2E46D6-958B-4885-B805-DBE46C24EC7C}" presName="node" presStyleLbl="node1" presStyleIdx="0" presStyleCnt="2" custScaleX="369599">
        <dgm:presLayoutVars>
          <dgm:bulletEnabled val="1"/>
        </dgm:presLayoutVars>
      </dgm:prSet>
      <dgm:spPr/>
    </dgm:pt>
    <dgm:pt modelId="{3FA65463-9A6F-46C2-B43E-D711126AD58B}" type="pres">
      <dgm:prSet presAssocID="{01FD14D5-A201-4110-B93F-7561BAF57648}" presName="sibTrans" presStyleLbl="sibTrans2D1" presStyleIdx="0" presStyleCnt="1"/>
      <dgm:spPr/>
    </dgm:pt>
    <dgm:pt modelId="{A61DA076-9914-4472-8036-F560B7D3C4A4}" type="pres">
      <dgm:prSet presAssocID="{01FD14D5-A201-4110-B93F-7561BAF57648}" presName="connectorText" presStyleLbl="sibTrans2D1" presStyleIdx="0" presStyleCnt="1"/>
      <dgm:spPr/>
    </dgm:pt>
    <dgm:pt modelId="{C47E0BCC-1692-4418-A44A-0B2EA5A22672}" type="pres">
      <dgm:prSet presAssocID="{E764799C-3501-4DAC-9E38-E7E0B6756673}" presName="node" presStyleLbl="node1" presStyleIdx="1" presStyleCnt="2" custScaleX="370910">
        <dgm:presLayoutVars>
          <dgm:bulletEnabled val="1"/>
        </dgm:presLayoutVars>
      </dgm:prSet>
      <dgm:spPr/>
    </dgm:pt>
  </dgm:ptLst>
  <dgm:cxnLst>
    <dgm:cxn modelId="{A8ECD535-ED05-4169-9610-8D496FF55359}" type="presOf" srcId="{A1416AA1-FD9C-4DDB-AD61-E5F6E8D79542}" destId="{5150EC22-AA17-4752-A0D3-65A4E040A13F}" srcOrd="0" destOrd="0" presId="urn:microsoft.com/office/officeart/2005/8/layout/process2"/>
    <dgm:cxn modelId="{80BF9964-7C1E-4D0B-A464-6658BAD80820}" type="presOf" srcId="{E764799C-3501-4DAC-9E38-E7E0B6756673}" destId="{C47E0BCC-1692-4418-A44A-0B2EA5A22672}" srcOrd="0" destOrd="0" presId="urn:microsoft.com/office/officeart/2005/8/layout/process2"/>
    <dgm:cxn modelId="{634E47A6-2ADA-4FFB-9840-1447AEF3D65F}" srcId="{A1416AA1-FD9C-4DDB-AD61-E5F6E8D79542}" destId="{E764799C-3501-4DAC-9E38-E7E0B6756673}" srcOrd="1" destOrd="0" parTransId="{8C5895A9-8FD3-4CB1-B3AE-D7452236E256}" sibTransId="{50E9CDCB-7876-44C8-BD96-191491B2ECB3}"/>
    <dgm:cxn modelId="{E89997A6-2F4E-425A-9501-678A04957631}" type="presOf" srcId="{01FD14D5-A201-4110-B93F-7561BAF57648}" destId="{3FA65463-9A6F-46C2-B43E-D711126AD58B}" srcOrd="0" destOrd="0" presId="urn:microsoft.com/office/officeart/2005/8/layout/process2"/>
    <dgm:cxn modelId="{4634D5D0-C3EE-4019-89DB-71F491342FF0}" type="presOf" srcId="{01FD14D5-A201-4110-B93F-7561BAF57648}" destId="{A61DA076-9914-4472-8036-F560B7D3C4A4}" srcOrd="1" destOrd="0" presId="urn:microsoft.com/office/officeart/2005/8/layout/process2"/>
    <dgm:cxn modelId="{0387A3F4-571F-42E4-9A85-D76929DB4412}" type="presOf" srcId="{0F2E46D6-958B-4885-B805-DBE46C24EC7C}" destId="{C6B418C7-56C6-4E3F-A9B4-2288F3C6FCA7}" srcOrd="0" destOrd="0" presId="urn:microsoft.com/office/officeart/2005/8/layout/process2"/>
    <dgm:cxn modelId="{3CA251F8-0F16-4089-93CA-FD0AA8356F50}" srcId="{A1416AA1-FD9C-4DDB-AD61-E5F6E8D79542}" destId="{0F2E46D6-958B-4885-B805-DBE46C24EC7C}" srcOrd="0" destOrd="0" parTransId="{F7D0766F-8500-448A-8094-BA014CAA3DA6}" sibTransId="{01FD14D5-A201-4110-B93F-7561BAF57648}"/>
    <dgm:cxn modelId="{F4D63781-CE5F-411E-B1AA-938B54311B86}" type="presParOf" srcId="{5150EC22-AA17-4752-A0D3-65A4E040A13F}" destId="{C6B418C7-56C6-4E3F-A9B4-2288F3C6FCA7}" srcOrd="0" destOrd="0" presId="urn:microsoft.com/office/officeart/2005/8/layout/process2"/>
    <dgm:cxn modelId="{3C748236-6621-481C-BCC5-E9BEF883F175}" type="presParOf" srcId="{5150EC22-AA17-4752-A0D3-65A4E040A13F}" destId="{3FA65463-9A6F-46C2-B43E-D711126AD58B}" srcOrd="1" destOrd="0" presId="urn:microsoft.com/office/officeart/2005/8/layout/process2"/>
    <dgm:cxn modelId="{A2F9B2B8-61A4-4FBF-84AE-0820391157F8}" type="presParOf" srcId="{3FA65463-9A6F-46C2-B43E-D711126AD58B}" destId="{A61DA076-9914-4472-8036-F560B7D3C4A4}" srcOrd="0" destOrd="0" presId="urn:microsoft.com/office/officeart/2005/8/layout/process2"/>
    <dgm:cxn modelId="{22021AFE-93F1-4266-B4CA-3A45007F2E3B}" type="presParOf" srcId="{5150EC22-AA17-4752-A0D3-65A4E040A13F}" destId="{C47E0BCC-1692-4418-A44A-0B2EA5A22672}" srcOrd="2" destOrd="0" presId="urn:microsoft.com/office/officeart/2005/8/layout/process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42"/>
    </a:ext>
  </dgm:extLst>
</dgm:dataModel>
</file>

<file path=word/diagrams/data2.xml><?xml version="1.0" encoding="utf-8"?>
<dgm:dataModel xmlns:dgm="http://schemas.openxmlformats.org/drawingml/2006/diagram" xmlns:a="http://schemas.openxmlformats.org/drawingml/2006/main">
  <dgm:ptLst>
    <dgm:pt modelId="{F7AE121B-F1C8-4793-89DC-F1AE40920664}" type="doc">
      <dgm:prSet loTypeId="urn:microsoft.com/office/officeart/2005/8/layout/lProcess1#1" loCatId="process" qsTypeId="urn:microsoft.com/office/officeart/2005/8/quickstyle/simple5" qsCatId="simple" csTypeId="urn:microsoft.com/office/officeart/2005/8/colors/colorful4" csCatId="colorful" phldr="1"/>
      <dgm:spPr/>
      <dgm:t>
        <a:bodyPr/>
        <a:lstStyle/>
        <a:p>
          <a:pPr rtl="1"/>
          <a:endParaRPr lang="he-IL"/>
        </a:p>
      </dgm:t>
    </dgm:pt>
    <dgm:pt modelId="{621CDDFD-A0BF-4DE7-8A64-51028854CB89}">
      <dgm:prSet phldrT="[טקסט]" custT="1"/>
      <dgm:spPr>
        <a:xfrm>
          <a:off x="2846479" y="229413"/>
          <a:ext cx="2495959" cy="623989"/>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buNone/>
          </a:pPr>
          <a:r>
            <a:rPr lang="he-IL" sz="2000">
              <a:solidFill>
                <a:sysClr val="window" lastClr="FFFFFF"/>
              </a:solidFill>
              <a:latin typeface="David" panose="020E0502060401010101" pitchFamily="34" charset="-79"/>
              <a:ea typeface="+mn-ea"/>
              <a:cs typeface="David" panose="020E0502060401010101" pitchFamily="34" charset="-79"/>
            </a:rPr>
            <a:t>סקר הערכת פגיעויות</a:t>
          </a:r>
        </a:p>
      </dgm:t>
    </dgm:pt>
    <dgm:pt modelId="{958A53E6-1BFA-45DC-975E-55DCC13D1741}" type="parTrans" cxnId="{155B815D-B058-4684-9F0E-6025D4B870B7}">
      <dgm:prSet/>
      <dgm:spPr/>
      <dgm:t>
        <a:bodyPr/>
        <a:lstStyle/>
        <a:p>
          <a:pPr rtl="1"/>
          <a:endParaRPr lang="he-IL"/>
        </a:p>
      </dgm:t>
    </dgm:pt>
    <dgm:pt modelId="{17204DCC-3716-43A6-88DF-C4D8B6373775}" type="sibTrans" cxnId="{155B815D-B058-4684-9F0E-6025D4B870B7}">
      <dgm:prSet/>
      <dgm:spPr/>
      <dgm:t>
        <a:bodyPr/>
        <a:lstStyle/>
        <a:p>
          <a:pPr rtl="1"/>
          <a:endParaRPr lang="he-IL"/>
        </a:p>
      </dgm:t>
    </dgm:pt>
    <dgm:pt modelId="{CA6A22AE-0B86-47DA-B26B-B79A4FE00AFF}">
      <dgm:prSet phldrT="[טקסט]"/>
      <dgm:spPr>
        <a:xfrm>
          <a:off x="2846479" y="2756571"/>
          <a:ext cx="2495959" cy="623989"/>
        </a:xfrm>
        <a:prstGeom prst="roundRect">
          <a:avLst>
            <a:gd name="adj" fmla="val 10000"/>
          </a:avLst>
        </a:prstGeom>
        <a:solidFill>
          <a:srgbClr val="8064A2">
            <a:tint val="40000"/>
            <a:alpha val="90000"/>
            <a:hueOff val="-1578284"/>
            <a:satOff val="8863"/>
            <a:lumOff val="563"/>
            <a:alphaOff val="0"/>
          </a:srgbClr>
        </a:solidFill>
        <a:ln w="9525">
          <a:solidFill>
            <a:srgbClr val="8064A2">
              <a:tint val="40000"/>
              <a:alpha val="90000"/>
              <a:hueOff val="-1578284"/>
              <a:satOff val="8863"/>
              <a:lumOff val="563"/>
              <a:alphaOff val="0"/>
            </a:srgbClr>
          </a:solidFill>
          <a:prstDash val="solid"/>
        </a:ln>
        <a:effectLst>
          <a:outerShdw blurRad="40000" dist="23000" dir="5400000" sx="100000" sy="100000" kx="0" ky="0" algn="b" rotWithShape="0">
            <a:srgbClr val="000000">
              <a:alpha val="35000"/>
            </a:srgbClr>
          </a:outerShdw>
        </a:effectLst>
      </dgm:spPr>
      <dgm:t>
        <a:bodyPr/>
        <a:lstStyle/>
        <a:p>
          <a:pPr rtl="0">
            <a:buNone/>
          </a:pPr>
          <a:r>
            <a:rPr lang="he-IL" b="1">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בדיקת הגדרות התצורה אל מול המלצות היצרן והפרקטיקה המקובלת</a:t>
          </a:r>
          <a:endParaRPr lang="he-IL">
            <a:solidFill>
              <a:sysClr val="windowText" lastClr="000000">
                <a:hueOff val="0"/>
                <a:satOff val="0"/>
                <a:lumOff val="0"/>
                <a:alphaOff val="0"/>
              </a:sysClr>
            </a:solidFill>
            <a:latin typeface="Calibri"/>
            <a:ea typeface="+mn-ea"/>
            <a:cs typeface="Arial" panose="020B0604020202020204" pitchFamily="34" charset="0"/>
          </a:endParaRPr>
        </a:p>
      </dgm:t>
    </dgm:pt>
    <dgm:pt modelId="{469FE7A3-058F-437D-83C0-AFC5E246A047}" type="parTrans" cxnId="{C06469BB-8E7A-4AAC-88AF-7F84F2A221BB}">
      <dgm:prSet/>
      <dgm:spPr/>
      <dgm:t>
        <a:bodyPr/>
        <a:lstStyle/>
        <a:p>
          <a:pPr rtl="1"/>
          <a:endParaRPr lang="he-IL"/>
        </a:p>
      </dgm:t>
    </dgm:pt>
    <dgm:pt modelId="{BD83FEEB-7146-4756-8D93-B723C2F55A18}" type="sibTrans" cxnId="{C06469BB-8E7A-4AAC-88AF-7F84F2A221BB}">
      <dgm:prSet/>
      <dgm:spPr/>
      <dgm:t>
        <a:bodyPr/>
        <a:lstStyle/>
        <a:p>
          <a:pPr rtl="1"/>
          <a:endParaRPr lang="he-IL"/>
        </a:p>
      </dgm:t>
    </dgm:pt>
    <dgm:pt modelId="{5B210A5E-5316-4FF3-AB83-F37F57C73113}">
      <dgm:prSet phldrT="[טקסט]" custT="1"/>
      <dgm:spPr>
        <a:xfrm>
          <a:off x="1086" y="229413"/>
          <a:ext cx="2495959" cy="623989"/>
        </a:xfrm>
        <a:prstGeom prst="roundRect">
          <a:avLst>
            <a:gd name="adj" fmla="val 10000"/>
          </a:avLst>
        </a:prstGeom>
        <a:gradFill rotWithShape="0">
          <a:gsLst>
            <a:gs pos="0">
              <a:srgbClr val="8064A2">
                <a:hueOff val="-4464770"/>
                <a:satOff val="26899"/>
                <a:lumOff val="2156"/>
                <a:alphaOff val="0"/>
                <a:shade val="51000"/>
                <a:satMod val="130000"/>
              </a:srgbClr>
            </a:gs>
            <a:gs pos="80000">
              <a:srgbClr val="8064A2">
                <a:hueOff val="-4464770"/>
                <a:satOff val="26899"/>
                <a:lumOff val="2156"/>
                <a:alphaOff val="0"/>
                <a:shade val="93000"/>
                <a:satMod val="130000"/>
              </a:srgbClr>
            </a:gs>
            <a:gs pos="100000">
              <a:srgbClr val="8064A2">
                <a:hueOff val="-4464770"/>
                <a:satOff val="26899"/>
                <a:lumOff val="2156"/>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buNone/>
          </a:pPr>
          <a:r>
            <a:rPr lang="he-IL" sz="2000">
              <a:solidFill>
                <a:sysClr val="window" lastClr="FFFFFF"/>
              </a:solidFill>
              <a:latin typeface="David" panose="020E0502060401010101" pitchFamily="34" charset="-79"/>
              <a:ea typeface="+mn-ea"/>
              <a:cs typeface="David" panose="020E0502060401010101" pitchFamily="34" charset="-79"/>
            </a:rPr>
            <a:t>מבדק חדירות</a:t>
          </a:r>
        </a:p>
      </dgm:t>
    </dgm:pt>
    <dgm:pt modelId="{9437E888-0771-4ACD-A4A6-08A50193F0C0}" type="parTrans" cxnId="{51936655-A28E-4303-8204-933010C94DE6}">
      <dgm:prSet/>
      <dgm:spPr/>
      <dgm:t>
        <a:bodyPr/>
        <a:lstStyle/>
        <a:p>
          <a:pPr rtl="1"/>
          <a:endParaRPr lang="he-IL"/>
        </a:p>
      </dgm:t>
    </dgm:pt>
    <dgm:pt modelId="{FAC1F49B-2C96-4E79-A899-A457E5B0FA5B}" type="sibTrans" cxnId="{51936655-A28E-4303-8204-933010C94DE6}">
      <dgm:prSet/>
      <dgm:spPr/>
      <dgm:t>
        <a:bodyPr/>
        <a:lstStyle/>
        <a:p>
          <a:pPr rtl="1"/>
          <a:endParaRPr lang="he-IL"/>
        </a:p>
      </dgm:t>
    </dgm:pt>
    <dgm:pt modelId="{FAF60729-8499-449A-A3C8-49C9078806DD}">
      <dgm:prSet phldrT="[טקסט]"/>
      <dgm:spPr>
        <a:xfrm>
          <a:off x="1086" y="1071799"/>
          <a:ext cx="2495959" cy="623989"/>
        </a:xfrm>
        <a:prstGeom prst="roundRect">
          <a:avLst>
            <a:gd name="adj" fmla="val 10000"/>
          </a:avLst>
        </a:prstGeom>
        <a:solidFill>
          <a:srgbClr val="8064A2">
            <a:tint val="40000"/>
            <a:alpha val="90000"/>
            <a:hueOff val="-2367426"/>
            <a:satOff val="13294"/>
            <a:lumOff val="845"/>
            <a:alphaOff val="0"/>
          </a:srgbClr>
        </a:solidFill>
        <a:ln w="9525">
          <a:solidFill>
            <a:srgbClr val="8064A2">
              <a:tint val="40000"/>
              <a:alpha val="90000"/>
              <a:hueOff val="-2367426"/>
              <a:satOff val="13294"/>
              <a:lumOff val="845"/>
              <a:alphaOff val="0"/>
            </a:srgbClr>
          </a:solidFill>
          <a:prstDash val="solid"/>
        </a:ln>
        <a:effectLst>
          <a:outerShdw blurRad="40000" dist="23000" dir="5400000" sx="100000" sy="100000" kx="0" ky="0" algn="b" rotWithShape="0">
            <a:srgbClr val="000000">
              <a:alpha val="35000"/>
            </a:srgbClr>
          </a:outerShdw>
        </a:effectLst>
      </dgm:spPr>
      <dgm:t>
        <a:bodyPr/>
        <a:lstStyle/>
        <a:p>
          <a:pPr rtl="1">
            <a:buNone/>
          </a:pPr>
          <a:r>
            <a:rPr lang="he-IL" b="1">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קביעת תרחישים לבדיקה אל מול איום הייחוס</a:t>
          </a:r>
        </a:p>
      </dgm:t>
    </dgm:pt>
    <dgm:pt modelId="{80F0A1F8-016F-430E-A2FE-46A424A27371}" type="parTrans" cxnId="{8753576E-5CDD-4834-81B2-FA22B5CC3ED1}">
      <dgm:prSet/>
      <dgm:spPr>
        <a:xfrm rot="5400000">
          <a:off x="1194466" y="908002"/>
          <a:ext cx="109198" cy="109198"/>
        </a:xfrm>
        <a:prstGeom prst="rightArrow">
          <a:avLst>
            <a:gd name="adj1" fmla="val 66700"/>
            <a:gd name="adj2" fmla="val 50000"/>
          </a:avLst>
        </a:prstGeom>
        <a:gradFill rotWithShape="0">
          <a:gsLst>
            <a:gs pos="0">
              <a:srgbClr val="8064A2">
                <a:hueOff val="-2678862"/>
                <a:satOff val="16139"/>
                <a:lumOff val="1294"/>
                <a:alphaOff val="0"/>
                <a:shade val="51000"/>
                <a:satMod val="130000"/>
              </a:srgbClr>
            </a:gs>
            <a:gs pos="80000">
              <a:srgbClr val="8064A2">
                <a:hueOff val="-2678862"/>
                <a:satOff val="16139"/>
                <a:lumOff val="1294"/>
                <a:alphaOff val="0"/>
                <a:shade val="93000"/>
                <a:satMod val="130000"/>
              </a:srgbClr>
            </a:gs>
            <a:gs pos="100000">
              <a:srgbClr val="8064A2">
                <a:hueOff val="-2678862"/>
                <a:satOff val="16139"/>
                <a:lumOff val="1294"/>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endParaRPr lang="he-IL"/>
        </a:p>
      </dgm:t>
    </dgm:pt>
    <dgm:pt modelId="{96A306A7-B386-4E44-8E05-19C99F27504C}" type="sibTrans" cxnId="{8753576E-5CDD-4834-81B2-FA22B5CC3ED1}">
      <dgm:prSet/>
      <dgm:spPr>
        <a:xfrm rot="5400000">
          <a:off x="1194466" y="1750388"/>
          <a:ext cx="109198" cy="109198"/>
        </a:xfrm>
        <a:prstGeom prst="rightArrow">
          <a:avLst>
            <a:gd name="adj1" fmla="val 66700"/>
            <a:gd name="adj2" fmla="val 50000"/>
          </a:avLst>
        </a:prstGeom>
        <a:gradFill rotWithShape="0">
          <a:gsLst>
            <a:gs pos="0">
              <a:srgbClr val="8064A2">
                <a:hueOff val="-3571816"/>
                <a:satOff val="21519"/>
                <a:lumOff val="1725"/>
                <a:alphaOff val="0"/>
                <a:shade val="51000"/>
                <a:satMod val="130000"/>
              </a:srgbClr>
            </a:gs>
            <a:gs pos="80000">
              <a:srgbClr val="8064A2">
                <a:hueOff val="-3571816"/>
                <a:satOff val="21519"/>
                <a:lumOff val="1725"/>
                <a:alphaOff val="0"/>
                <a:shade val="93000"/>
                <a:satMod val="130000"/>
              </a:srgbClr>
            </a:gs>
            <a:gs pos="100000">
              <a:srgbClr val="8064A2">
                <a:hueOff val="-3571816"/>
                <a:satOff val="21519"/>
                <a:lumOff val="1725"/>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endParaRPr lang="he-IL"/>
        </a:p>
      </dgm:t>
    </dgm:pt>
    <dgm:pt modelId="{485FBF0A-82BE-49B4-B25F-A5BD1B9CFADB}">
      <dgm:prSet phldrT="[טקסט]"/>
      <dgm:spPr>
        <a:xfrm>
          <a:off x="2846479" y="1914185"/>
          <a:ext cx="2495959" cy="623989"/>
        </a:xfrm>
        <a:prstGeom prst="roundRect">
          <a:avLst>
            <a:gd name="adj" fmla="val 10000"/>
          </a:avLst>
        </a:prstGeom>
        <a:solidFill>
          <a:srgbClr val="8064A2">
            <a:tint val="40000"/>
            <a:alpha val="90000"/>
            <a:hueOff val="-789142"/>
            <a:satOff val="4431"/>
            <a:lumOff val="282"/>
            <a:alphaOff val="0"/>
          </a:srgbClr>
        </a:solidFill>
        <a:ln w="9525">
          <a:solidFill>
            <a:srgbClr val="8064A2">
              <a:tint val="40000"/>
              <a:alpha val="90000"/>
              <a:hueOff val="-789142"/>
              <a:satOff val="4431"/>
              <a:lumOff val="282"/>
              <a:alphaOff val="0"/>
            </a:srgbClr>
          </a:solidFill>
          <a:prstDash val="solid"/>
        </a:ln>
        <a:effectLst>
          <a:outerShdw blurRad="40000" dist="23000" dir="5400000" sx="100000" sy="100000" kx="0" ky="0" algn="b" rotWithShape="0">
            <a:srgbClr val="000000">
              <a:alpha val="35000"/>
            </a:srgbClr>
          </a:outerShdw>
        </a:effectLst>
      </dgm:spPr>
      <dgm:t>
        <a:bodyPr/>
        <a:lstStyle/>
        <a:p>
          <a:pPr rtl="0">
            <a:buNone/>
          </a:pPr>
          <a:r>
            <a:rPr lang="he-IL" b="1">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סריקה מדגמית של רכיבים תשתיתיים בסביבה באמצעות כלי בדיקה ייעודיים לשם זיהוי חולשות אבטחה</a:t>
          </a:r>
          <a:endParaRPr lang="he-IL">
            <a:solidFill>
              <a:sysClr val="windowText" lastClr="000000">
                <a:hueOff val="0"/>
                <a:satOff val="0"/>
                <a:lumOff val="0"/>
                <a:alphaOff val="0"/>
              </a:sysClr>
            </a:solidFill>
            <a:highlight>
              <a:srgbClr val="FFFF00"/>
            </a:highlight>
            <a:latin typeface="David" panose="020E0502060401010101" pitchFamily="34" charset="-79"/>
            <a:ea typeface="+mn-ea"/>
            <a:cs typeface="David" panose="020E0502060401010101" pitchFamily="34" charset="-79"/>
          </a:endParaRPr>
        </a:p>
      </dgm:t>
    </dgm:pt>
    <dgm:pt modelId="{72A96917-1826-4085-B216-249585F2A292}" type="parTrans" cxnId="{ADF67127-624C-48FB-8639-6E43935911B3}">
      <dgm:prSet/>
      <dgm:spPr/>
      <dgm:t>
        <a:bodyPr/>
        <a:lstStyle/>
        <a:p>
          <a:pPr rtl="1"/>
          <a:endParaRPr lang="he-IL"/>
        </a:p>
      </dgm:t>
    </dgm:pt>
    <dgm:pt modelId="{46F936D9-73B3-4994-AD2E-CC004C335241}" type="sibTrans" cxnId="{ADF67127-624C-48FB-8639-6E43935911B3}">
      <dgm:prSet/>
      <dgm:spPr>
        <a:xfrm rot="5400000">
          <a:off x="4039860" y="2592774"/>
          <a:ext cx="109198" cy="109198"/>
        </a:xfrm>
        <a:prstGeom prst="rightArrow">
          <a:avLst>
            <a:gd name="adj1" fmla="val 66700"/>
            <a:gd name="adj2" fmla="val 50000"/>
          </a:avLst>
        </a:prstGeom>
        <a:gradFill rotWithShape="0">
          <a:gsLst>
            <a:gs pos="0">
              <a:srgbClr val="8064A2">
                <a:hueOff val="-1785908"/>
                <a:satOff val="10760"/>
                <a:lumOff val="862"/>
                <a:alphaOff val="0"/>
                <a:shade val="51000"/>
                <a:satMod val="130000"/>
              </a:srgbClr>
            </a:gs>
            <a:gs pos="80000">
              <a:srgbClr val="8064A2">
                <a:hueOff val="-1785908"/>
                <a:satOff val="10760"/>
                <a:lumOff val="862"/>
                <a:alphaOff val="0"/>
                <a:shade val="93000"/>
                <a:satMod val="130000"/>
              </a:srgbClr>
            </a:gs>
            <a:gs pos="100000">
              <a:srgbClr val="8064A2">
                <a:hueOff val="-1785908"/>
                <a:satOff val="10760"/>
                <a:lumOff val="862"/>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endParaRPr lang="he-IL"/>
        </a:p>
      </dgm:t>
    </dgm:pt>
    <dgm:pt modelId="{FF8F14F7-D9C8-4B4A-B4B1-E5FC56F7F908}">
      <dgm:prSet phldrT="[טקסט]"/>
      <dgm:spPr>
        <a:xfrm>
          <a:off x="2846479" y="1071799"/>
          <a:ext cx="2495959" cy="623989"/>
        </a:xfrm>
        <a:prstGeom prst="roundRect">
          <a:avLst>
            <a:gd name="adj" fmla="val 10000"/>
          </a:avLst>
        </a:prstGeom>
        <a:solidFill>
          <a:srgbClr val="8064A2">
            <a:tint val="40000"/>
            <a:alpha val="90000"/>
            <a:hueOff val="0"/>
            <a:satOff val="0"/>
            <a:lumOff val="0"/>
            <a:alphaOff val="0"/>
          </a:srgbClr>
        </a:solidFill>
        <a:ln w="9525">
          <a:solidFill>
            <a:srgbClr val="8064A2">
              <a:tint val="40000"/>
              <a:alpha val="90000"/>
              <a:hueOff val="0"/>
              <a:satOff val="0"/>
              <a:lumOff val="0"/>
              <a:alphaOff val="0"/>
            </a:srgbClr>
          </a:solidFill>
          <a:prstDash val="solid"/>
        </a:ln>
        <a:effectLst>
          <a:outerShdw blurRad="40000" dist="23000" dir="5400000" sx="100000" sy="100000" kx="0" ky="0" algn="b" rotWithShape="0">
            <a:srgbClr val="000000">
              <a:alpha val="35000"/>
            </a:srgbClr>
          </a:outerShdw>
        </a:effectLst>
      </dgm:spPr>
      <dgm:t>
        <a:bodyPr/>
        <a:lstStyle/>
        <a:p>
          <a:pPr rtl="1">
            <a:buNone/>
          </a:pPr>
          <a:r>
            <a:rPr lang="he-IL" b="1">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הפקת דוחות וקובצי הגדרות תצורה של מרכיבים שונים ברשת</a:t>
          </a:r>
          <a:endParaRPr lang="he-IL">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gm:t>
    </dgm:pt>
    <dgm:pt modelId="{2783B98E-9A39-4EB4-BDCA-D498B54A34FB}" type="parTrans" cxnId="{995C253A-E317-47F4-BDEC-2A790179F6A0}">
      <dgm:prSet/>
      <dgm:spPr>
        <a:xfrm rot="5400000">
          <a:off x="4039860" y="908002"/>
          <a:ext cx="109198" cy="109198"/>
        </a:xfrm>
        <a:prstGeom prst="rightArrow">
          <a:avLst>
            <a:gd name="adj1" fmla="val 66700"/>
            <a:gd name="adj2" fmla="val 5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endParaRPr lang="he-IL"/>
        </a:p>
      </dgm:t>
    </dgm:pt>
    <dgm:pt modelId="{604DDB3B-36BA-4EDA-93F4-7ACCA1208E0E}" type="sibTrans" cxnId="{995C253A-E317-47F4-BDEC-2A790179F6A0}">
      <dgm:prSet/>
      <dgm:spPr>
        <a:xfrm rot="5400000">
          <a:off x="4039860" y="1750388"/>
          <a:ext cx="109198" cy="109198"/>
        </a:xfrm>
        <a:prstGeom prst="rightArrow">
          <a:avLst>
            <a:gd name="adj1" fmla="val 66700"/>
            <a:gd name="adj2" fmla="val 50000"/>
          </a:avLst>
        </a:prstGeom>
        <a:gradFill rotWithShape="0">
          <a:gsLst>
            <a:gs pos="0">
              <a:srgbClr val="8064A2">
                <a:hueOff val="-892954"/>
                <a:satOff val="5380"/>
                <a:lumOff val="431"/>
                <a:alphaOff val="0"/>
                <a:shade val="51000"/>
                <a:satMod val="130000"/>
              </a:srgbClr>
            </a:gs>
            <a:gs pos="80000">
              <a:srgbClr val="8064A2">
                <a:hueOff val="-892954"/>
                <a:satOff val="5380"/>
                <a:lumOff val="431"/>
                <a:alphaOff val="0"/>
                <a:shade val="93000"/>
                <a:satMod val="130000"/>
              </a:srgbClr>
            </a:gs>
            <a:gs pos="100000">
              <a:srgbClr val="8064A2">
                <a:hueOff val="-892954"/>
                <a:satOff val="5380"/>
                <a:lumOff val="431"/>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endParaRPr lang="he-IL"/>
        </a:p>
      </dgm:t>
    </dgm:pt>
    <dgm:pt modelId="{8F8F42CC-50DE-4BCF-8E0E-66270FA4D7F6}">
      <dgm:prSet phldrT="[טקסט]"/>
      <dgm:spPr>
        <a:xfrm>
          <a:off x="1086" y="2756571"/>
          <a:ext cx="2495959" cy="623989"/>
        </a:xfrm>
        <a:prstGeom prst="roundRect">
          <a:avLst>
            <a:gd name="adj" fmla="val 10000"/>
          </a:avLst>
        </a:prstGeom>
        <a:solidFill>
          <a:srgbClr val="8064A2">
            <a:tint val="40000"/>
            <a:alpha val="90000"/>
            <a:hueOff val="-3945710"/>
            <a:satOff val="22157"/>
            <a:lumOff val="1408"/>
            <a:alphaOff val="0"/>
          </a:srgbClr>
        </a:solidFill>
        <a:ln w="9525">
          <a:solidFill>
            <a:srgbClr val="8064A2">
              <a:tint val="40000"/>
              <a:alpha val="90000"/>
              <a:hueOff val="-3945710"/>
              <a:satOff val="22157"/>
              <a:lumOff val="1408"/>
              <a:alphaOff val="0"/>
            </a:srgbClr>
          </a:solidFill>
          <a:prstDash val="solid"/>
        </a:ln>
        <a:effectLst>
          <a:outerShdw blurRad="40000" dist="23000" dir="5400000" sx="100000" sy="100000" kx="0" ky="0" algn="b" rotWithShape="0">
            <a:srgbClr val="000000">
              <a:alpha val="35000"/>
            </a:srgbClr>
          </a:outerShdw>
        </a:effectLst>
      </dgm:spPr>
      <dgm:t>
        <a:bodyPr/>
        <a:lstStyle/>
        <a:p>
          <a:pPr rtl="1">
            <a:buNone/>
          </a:pPr>
          <a:r>
            <a:rPr lang="he-IL" b="1">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ניסיון מימוש בפועל של התרחישים שהוגדרו</a:t>
          </a:r>
        </a:p>
      </dgm:t>
    </dgm:pt>
    <dgm:pt modelId="{6C4895A9-8D4A-4A4B-B165-9DEC546616BA}" type="parTrans" cxnId="{DDBA28C4-E5C9-403D-86AF-3C3F5EF97F9A}">
      <dgm:prSet/>
      <dgm:spPr/>
      <dgm:t>
        <a:bodyPr/>
        <a:lstStyle/>
        <a:p>
          <a:pPr rtl="1"/>
          <a:endParaRPr lang="he-IL"/>
        </a:p>
      </dgm:t>
    </dgm:pt>
    <dgm:pt modelId="{BEEE3CA3-2F26-4E52-BBAF-1DB88AD8F433}" type="sibTrans" cxnId="{DDBA28C4-E5C9-403D-86AF-3C3F5EF97F9A}">
      <dgm:prSet/>
      <dgm:spPr/>
      <dgm:t>
        <a:bodyPr/>
        <a:lstStyle/>
        <a:p>
          <a:pPr rtl="1"/>
          <a:endParaRPr lang="he-IL"/>
        </a:p>
      </dgm:t>
    </dgm:pt>
    <dgm:pt modelId="{FF43A2AA-E567-4081-9601-8BCC2A1F8956}">
      <dgm:prSet phldrT="[טקסט]"/>
      <dgm:spPr>
        <a:xfrm>
          <a:off x="1086" y="1914185"/>
          <a:ext cx="2495959" cy="623989"/>
        </a:xfrm>
        <a:prstGeom prst="roundRect">
          <a:avLst>
            <a:gd name="adj" fmla="val 10000"/>
          </a:avLst>
        </a:prstGeom>
        <a:solidFill>
          <a:srgbClr val="8064A2">
            <a:tint val="40000"/>
            <a:alpha val="90000"/>
            <a:hueOff val="-3156568"/>
            <a:satOff val="17726"/>
            <a:lumOff val="1126"/>
            <a:alphaOff val="0"/>
          </a:srgbClr>
        </a:solidFill>
        <a:ln w="9525">
          <a:solidFill>
            <a:srgbClr val="8064A2">
              <a:tint val="40000"/>
              <a:alpha val="90000"/>
              <a:hueOff val="-3156568"/>
              <a:satOff val="17726"/>
              <a:lumOff val="1126"/>
              <a:alphaOff val="0"/>
            </a:srgbClr>
          </a:solidFill>
          <a:prstDash val="solid"/>
        </a:ln>
        <a:effectLst>
          <a:outerShdw blurRad="40000" dist="23000" dir="5400000" sx="100000" sy="100000" kx="0" ky="0" algn="b" rotWithShape="0">
            <a:srgbClr val="000000">
              <a:alpha val="35000"/>
            </a:srgbClr>
          </a:outerShdw>
        </a:effectLst>
      </dgm:spPr>
      <dgm:t>
        <a:bodyPr/>
        <a:lstStyle/>
        <a:p>
          <a:pPr rtl="1">
            <a:buNone/>
          </a:pPr>
          <a:r>
            <a:rPr lang="he-IL" b="1">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זיהוי חולשות אבטחה העשויות לאפשר את מימוש התרחישים שהוגדרו</a:t>
          </a:r>
        </a:p>
      </dgm:t>
    </dgm:pt>
    <dgm:pt modelId="{859011B4-7C9C-40F9-AB7E-7EDA2899BD6B}" type="parTrans" cxnId="{587A2DFE-CB8A-4693-AA4A-CACB8E0ED473}">
      <dgm:prSet/>
      <dgm:spPr/>
      <dgm:t>
        <a:bodyPr/>
        <a:lstStyle/>
        <a:p>
          <a:pPr rtl="1"/>
          <a:endParaRPr lang="he-IL"/>
        </a:p>
      </dgm:t>
    </dgm:pt>
    <dgm:pt modelId="{200FAB3C-D0D8-40E8-8F20-1B7B5A7304F2}" type="sibTrans" cxnId="{587A2DFE-CB8A-4693-AA4A-CACB8E0ED473}">
      <dgm:prSet/>
      <dgm:spPr>
        <a:xfrm rot="5400000">
          <a:off x="1194466" y="2592774"/>
          <a:ext cx="109198" cy="109198"/>
        </a:xfrm>
        <a:prstGeom prst="rightArrow">
          <a:avLst>
            <a:gd name="adj1" fmla="val 66700"/>
            <a:gd name="adj2" fmla="val 50000"/>
          </a:avLst>
        </a:prstGeom>
        <a:gradFill rotWithShape="0">
          <a:gsLst>
            <a:gs pos="0">
              <a:srgbClr val="8064A2">
                <a:hueOff val="-4464770"/>
                <a:satOff val="26899"/>
                <a:lumOff val="2156"/>
                <a:alphaOff val="0"/>
                <a:shade val="51000"/>
                <a:satMod val="130000"/>
              </a:srgbClr>
            </a:gs>
            <a:gs pos="80000">
              <a:srgbClr val="8064A2">
                <a:hueOff val="-4464770"/>
                <a:satOff val="26899"/>
                <a:lumOff val="2156"/>
                <a:alphaOff val="0"/>
                <a:shade val="93000"/>
                <a:satMod val="130000"/>
              </a:srgbClr>
            </a:gs>
            <a:gs pos="100000">
              <a:srgbClr val="8064A2">
                <a:hueOff val="-4464770"/>
                <a:satOff val="26899"/>
                <a:lumOff val="2156"/>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gm:spPr>
      <dgm:t>
        <a:bodyPr/>
        <a:lstStyle/>
        <a:p>
          <a:pPr rtl="1"/>
          <a:endParaRPr lang="he-IL"/>
        </a:p>
      </dgm:t>
    </dgm:pt>
    <dgm:pt modelId="{DB6D098B-7D30-4294-BEFB-BB39B6B26D90}" type="pres">
      <dgm:prSet presAssocID="{F7AE121B-F1C8-4793-89DC-F1AE40920664}" presName="Name0" presStyleCnt="0">
        <dgm:presLayoutVars>
          <dgm:dir val="rev"/>
          <dgm:animLvl val="lvl"/>
          <dgm:resizeHandles val="exact"/>
        </dgm:presLayoutVars>
      </dgm:prSet>
      <dgm:spPr/>
    </dgm:pt>
    <dgm:pt modelId="{DBBDC110-843F-4553-B058-F29C5955125A}" type="pres">
      <dgm:prSet presAssocID="{621CDDFD-A0BF-4DE7-8A64-51028854CB89}" presName="vertFlow" presStyleCnt="0"/>
      <dgm:spPr/>
    </dgm:pt>
    <dgm:pt modelId="{419AD2F2-277E-44E4-BF99-8396F4ABD779}" type="pres">
      <dgm:prSet presAssocID="{621CDDFD-A0BF-4DE7-8A64-51028854CB89}" presName="header" presStyleLbl="node1" presStyleIdx="0" presStyleCnt="2"/>
      <dgm:spPr/>
    </dgm:pt>
    <dgm:pt modelId="{237E7141-A712-43DE-B084-4F849905D2AB}" type="pres">
      <dgm:prSet presAssocID="{2783B98E-9A39-4EB4-BDCA-D498B54A34FB}" presName="parTrans" presStyleLbl="sibTrans2D1" presStyleIdx="0" presStyleCnt="6"/>
      <dgm:spPr/>
    </dgm:pt>
    <dgm:pt modelId="{55FED551-E1F2-487F-9CC6-CD14B925AC9D}" type="pres">
      <dgm:prSet presAssocID="{FF8F14F7-D9C8-4B4A-B4B1-E5FC56F7F908}" presName="child" presStyleLbl="alignAccFollowNode1" presStyleIdx="0" presStyleCnt="6">
        <dgm:presLayoutVars>
          <dgm:chMax val="0"/>
          <dgm:bulletEnabled val="1"/>
        </dgm:presLayoutVars>
      </dgm:prSet>
      <dgm:spPr/>
    </dgm:pt>
    <dgm:pt modelId="{B14FA955-E097-4EB9-B6E2-6A3B0658135B}" type="pres">
      <dgm:prSet presAssocID="{604DDB3B-36BA-4EDA-93F4-7ACCA1208E0E}" presName="sibTrans" presStyleLbl="sibTrans2D1" presStyleIdx="1" presStyleCnt="6"/>
      <dgm:spPr/>
    </dgm:pt>
    <dgm:pt modelId="{F4FAB6E6-8E64-4E01-8C58-DA23C0BC6BBB}" type="pres">
      <dgm:prSet presAssocID="{485FBF0A-82BE-49B4-B25F-A5BD1B9CFADB}" presName="child" presStyleLbl="alignAccFollowNode1" presStyleIdx="1" presStyleCnt="6">
        <dgm:presLayoutVars>
          <dgm:chMax val="0"/>
          <dgm:bulletEnabled val="1"/>
        </dgm:presLayoutVars>
      </dgm:prSet>
      <dgm:spPr/>
    </dgm:pt>
    <dgm:pt modelId="{605AF294-57F1-4417-92E9-5B631D6A46B9}" type="pres">
      <dgm:prSet presAssocID="{46F936D9-73B3-4994-AD2E-CC004C335241}" presName="sibTrans" presStyleLbl="sibTrans2D1" presStyleIdx="2" presStyleCnt="6"/>
      <dgm:spPr/>
    </dgm:pt>
    <dgm:pt modelId="{5C4F018F-488B-42C1-B90E-58993BD3088C}" type="pres">
      <dgm:prSet presAssocID="{CA6A22AE-0B86-47DA-B26B-B79A4FE00AFF}" presName="child" presStyleLbl="alignAccFollowNode1" presStyleIdx="2" presStyleCnt="6">
        <dgm:presLayoutVars>
          <dgm:chMax val="0"/>
          <dgm:bulletEnabled val="1"/>
        </dgm:presLayoutVars>
      </dgm:prSet>
      <dgm:spPr/>
    </dgm:pt>
    <dgm:pt modelId="{84B7CDDA-D2D1-4670-A21A-299F4B18121D}" type="pres">
      <dgm:prSet presAssocID="{621CDDFD-A0BF-4DE7-8A64-51028854CB89}" presName="hSp" presStyleCnt="0"/>
      <dgm:spPr/>
    </dgm:pt>
    <dgm:pt modelId="{5DE2E8D5-FD3E-4E51-9766-DBC22ABEC1C9}" type="pres">
      <dgm:prSet presAssocID="{5B210A5E-5316-4FF3-AB83-F37F57C73113}" presName="vertFlow" presStyleCnt="0"/>
      <dgm:spPr/>
    </dgm:pt>
    <dgm:pt modelId="{8316D1F9-EBFC-46F9-B540-A3E027449869}" type="pres">
      <dgm:prSet presAssocID="{5B210A5E-5316-4FF3-AB83-F37F57C73113}" presName="header" presStyleLbl="node1" presStyleIdx="1" presStyleCnt="2"/>
      <dgm:spPr/>
    </dgm:pt>
    <dgm:pt modelId="{DE9C30B8-4617-4935-B20A-03D97D9AE439}" type="pres">
      <dgm:prSet presAssocID="{80F0A1F8-016F-430E-A2FE-46A424A27371}" presName="parTrans" presStyleLbl="sibTrans2D1" presStyleIdx="3" presStyleCnt="6"/>
      <dgm:spPr/>
    </dgm:pt>
    <dgm:pt modelId="{8118EECB-35C9-4646-8E97-FFC23A2F408E}" type="pres">
      <dgm:prSet presAssocID="{FAF60729-8499-449A-A3C8-49C9078806DD}" presName="child" presStyleLbl="alignAccFollowNode1" presStyleIdx="3" presStyleCnt="6">
        <dgm:presLayoutVars>
          <dgm:chMax val="0"/>
          <dgm:bulletEnabled val="1"/>
        </dgm:presLayoutVars>
      </dgm:prSet>
      <dgm:spPr/>
    </dgm:pt>
    <dgm:pt modelId="{EC430576-2A20-4948-824A-63C94BD04391}" type="pres">
      <dgm:prSet presAssocID="{96A306A7-B386-4E44-8E05-19C99F27504C}" presName="sibTrans" presStyleLbl="sibTrans2D1" presStyleIdx="4" presStyleCnt="6"/>
      <dgm:spPr/>
    </dgm:pt>
    <dgm:pt modelId="{70EACBB0-0088-47F7-8D42-67603F016466}" type="pres">
      <dgm:prSet presAssocID="{FF43A2AA-E567-4081-9601-8BCC2A1F8956}" presName="child" presStyleLbl="alignAccFollowNode1" presStyleIdx="4" presStyleCnt="6">
        <dgm:presLayoutVars>
          <dgm:chMax val="0"/>
          <dgm:bulletEnabled val="1"/>
        </dgm:presLayoutVars>
      </dgm:prSet>
      <dgm:spPr/>
    </dgm:pt>
    <dgm:pt modelId="{EB5156EC-4084-475F-9D52-C2CFA620B12F}" type="pres">
      <dgm:prSet presAssocID="{200FAB3C-D0D8-40E8-8F20-1B7B5A7304F2}" presName="sibTrans" presStyleLbl="sibTrans2D1" presStyleIdx="5" presStyleCnt="6"/>
      <dgm:spPr/>
    </dgm:pt>
    <dgm:pt modelId="{1B4264DC-119A-48ED-9D68-B7C2DE70F7B4}" type="pres">
      <dgm:prSet presAssocID="{8F8F42CC-50DE-4BCF-8E0E-66270FA4D7F6}" presName="child" presStyleLbl="alignAccFollowNode1" presStyleIdx="5" presStyleCnt="6">
        <dgm:presLayoutVars>
          <dgm:chMax val="0"/>
          <dgm:bulletEnabled val="1"/>
        </dgm:presLayoutVars>
      </dgm:prSet>
      <dgm:spPr/>
    </dgm:pt>
  </dgm:ptLst>
  <dgm:cxnLst>
    <dgm:cxn modelId="{D07A6215-0BDB-42F0-87BA-ABB90E560A6F}" type="presOf" srcId="{200FAB3C-D0D8-40E8-8F20-1B7B5A7304F2}" destId="{EB5156EC-4084-475F-9D52-C2CFA620B12F}" srcOrd="0" destOrd="0" presId="urn:microsoft.com/office/officeart/2005/8/layout/lProcess1#1"/>
    <dgm:cxn modelId="{ADF67127-624C-48FB-8639-6E43935911B3}" srcId="{621CDDFD-A0BF-4DE7-8A64-51028854CB89}" destId="{485FBF0A-82BE-49B4-B25F-A5BD1B9CFADB}" srcOrd="1" destOrd="0" parTransId="{72A96917-1826-4085-B216-249585F2A292}" sibTransId="{46F936D9-73B3-4994-AD2E-CC004C335241}"/>
    <dgm:cxn modelId="{69750C2D-7DED-42AE-A4E7-9E0B5074DF13}" type="presOf" srcId="{485FBF0A-82BE-49B4-B25F-A5BD1B9CFADB}" destId="{F4FAB6E6-8E64-4E01-8C58-DA23C0BC6BBB}" srcOrd="0" destOrd="0" presId="urn:microsoft.com/office/officeart/2005/8/layout/lProcess1#1"/>
    <dgm:cxn modelId="{5387E030-1A57-4ACC-B1AA-C2CD71391193}" type="presOf" srcId="{5B210A5E-5316-4FF3-AB83-F37F57C73113}" destId="{8316D1F9-EBFC-46F9-B540-A3E027449869}" srcOrd="0" destOrd="0" presId="urn:microsoft.com/office/officeart/2005/8/layout/lProcess1#1"/>
    <dgm:cxn modelId="{995C253A-E317-47F4-BDEC-2A790179F6A0}" srcId="{621CDDFD-A0BF-4DE7-8A64-51028854CB89}" destId="{FF8F14F7-D9C8-4B4A-B4B1-E5FC56F7F908}" srcOrd="0" destOrd="0" parTransId="{2783B98E-9A39-4EB4-BDCA-D498B54A34FB}" sibTransId="{604DDB3B-36BA-4EDA-93F4-7ACCA1208E0E}"/>
    <dgm:cxn modelId="{BFA43D3A-7E0F-4AB6-9433-933AEDD6B1AD}" type="presOf" srcId="{FF43A2AA-E567-4081-9601-8BCC2A1F8956}" destId="{70EACBB0-0088-47F7-8D42-67603F016466}" srcOrd="0" destOrd="0" presId="urn:microsoft.com/office/officeart/2005/8/layout/lProcess1#1"/>
    <dgm:cxn modelId="{155B815D-B058-4684-9F0E-6025D4B870B7}" srcId="{F7AE121B-F1C8-4793-89DC-F1AE40920664}" destId="{621CDDFD-A0BF-4DE7-8A64-51028854CB89}" srcOrd="0" destOrd="0" parTransId="{958A53E6-1BFA-45DC-975E-55DCC13D1741}" sibTransId="{17204DCC-3716-43A6-88DF-C4D8B6373775}"/>
    <dgm:cxn modelId="{DB769762-A85F-4FB2-89D8-17D6EDFFBF0F}" type="presOf" srcId="{FAF60729-8499-449A-A3C8-49C9078806DD}" destId="{8118EECB-35C9-4646-8E97-FFC23A2F408E}" srcOrd="0" destOrd="0" presId="urn:microsoft.com/office/officeart/2005/8/layout/lProcess1#1"/>
    <dgm:cxn modelId="{199B3A44-E9A3-401C-965D-FD72E75FA56F}" type="presOf" srcId="{604DDB3B-36BA-4EDA-93F4-7ACCA1208E0E}" destId="{B14FA955-E097-4EB9-B6E2-6A3B0658135B}" srcOrd="0" destOrd="0" presId="urn:microsoft.com/office/officeart/2005/8/layout/lProcess1#1"/>
    <dgm:cxn modelId="{A66EA149-27BB-45E0-91F7-86C4AC386A58}" type="presOf" srcId="{46F936D9-73B3-4994-AD2E-CC004C335241}" destId="{605AF294-57F1-4417-92E9-5B631D6A46B9}" srcOrd="0" destOrd="0" presId="urn:microsoft.com/office/officeart/2005/8/layout/lProcess1#1"/>
    <dgm:cxn modelId="{EBF6616D-731D-4F0D-8787-147C71459B1C}" type="presOf" srcId="{F7AE121B-F1C8-4793-89DC-F1AE40920664}" destId="{DB6D098B-7D30-4294-BEFB-BB39B6B26D90}" srcOrd="0" destOrd="0" presId="urn:microsoft.com/office/officeart/2005/8/layout/lProcess1#1"/>
    <dgm:cxn modelId="{8753576E-5CDD-4834-81B2-FA22B5CC3ED1}" srcId="{5B210A5E-5316-4FF3-AB83-F37F57C73113}" destId="{FAF60729-8499-449A-A3C8-49C9078806DD}" srcOrd="0" destOrd="0" parTransId="{80F0A1F8-016F-430E-A2FE-46A424A27371}" sibTransId="{96A306A7-B386-4E44-8E05-19C99F27504C}"/>
    <dgm:cxn modelId="{33F1E453-B281-48C8-A3F2-F085A5589EAB}" type="presOf" srcId="{80F0A1F8-016F-430E-A2FE-46A424A27371}" destId="{DE9C30B8-4617-4935-B20A-03D97D9AE439}" srcOrd="0" destOrd="0" presId="urn:microsoft.com/office/officeart/2005/8/layout/lProcess1#1"/>
    <dgm:cxn modelId="{51936655-A28E-4303-8204-933010C94DE6}" srcId="{F7AE121B-F1C8-4793-89DC-F1AE40920664}" destId="{5B210A5E-5316-4FF3-AB83-F37F57C73113}" srcOrd="1" destOrd="0" parTransId="{9437E888-0771-4ACD-A4A6-08A50193F0C0}" sibTransId="{FAC1F49B-2C96-4E79-A899-A457E5B0FA5B}"/>
    <dgm:cxn modelId="{C1EA3A79-B763-40F2-9A16-A3738783462B}" type="presOf" srcId="{8F8F42CC-50DE-4BCF-8E0E-66270FA4D7F6}" destId="{1B4264DC-119A-48ED-9D68-B7C2DE70F7B4}" srcOrd="0" destOrd="0" presId="urn:microsoft.com/office/officeart/2005/8/layout/lProcess1#1"/>
    <dgm:cxn modelId="{C06469BB-8E7A-4AAC-88AF-7F84F2A221BB}" srcId="{621CDDFD-A0BF-4DE7-8A64-51028854CB89}" destId="{CA6A22AE-0B86-47DA-B26B-B79A4FE00AFF}" srcOrd="2" destOrd="0" parTransId="{469FE7A3-058F-437D-83C0-AFC5E246A047}" sibTransId="{BD83FEEB-7146-4756-8D93-B723C2F55A18}"/>
    <dgm:cxn modelId="{88AF2CC2-7CEC-46F0-A16A-F3BCB9244866}" type="presOf" srcId="{FF8F14F7-D9C8-4B4A-B4B1-E5FC56F7F908}" destId="{55FED551-E1F2-487F-9CC6-CD14B925AC9D}" srcOrd="0" destOrd="0" presId="urn:microsoft.com/office/officeart/2005/8/layout/lProcess1#1"/>
    <dgm:cxn modelId="{C9F7A5C3-1F30-45E1-8EE1-E0338E60146C}" type="presOf" srcId="{CA6A22AE-0B86-47DA-B26B-B79A4FE00AFF}" destId="{5C4F018F-488B-42C1-B90E-58993BD3088C}" srcOrd="0" destOrd="0" presId="urn:microsoft.com/office/officeart/2005/8/layout/lProcess1#1"/>
    <dgm:cxn modelId="{DDBA28C4-E5C9-403D-86AF-3C3F5EF97F9A}" srcId="{5B210A5E-5316-4FF3-AB83-F37F57C73113}" destId="{8F8F42CC-50DE-4BCF-8E0E-66270FA4D7F6}" srcOrd="2" destOrd="0" parTransId="{6C4895A9-8D4A-4A4B-B165-9DEC546616BA}" sibTransId="{BEEE3CA3-2F26-4E52-BBAF-1DB88AD8F433}"/>
    <dgm:cxn modelId="{652023DA-2C41-4BBD-BBE4-A9A3EFA0FF4B}" type="presOf" srcId="{2783B98E-9A39-4EB4-BDCA-D498B54A34FB}" destId="{237E7141-A712-43DE-B084-4F849905D2AB}" srcOrd="0" destOrd="0" presId="urn:microsoft.com/office/officeart/2005/8/layout/lProcess1#1"/>
    <dgm:cxn modelId="{4E2055EA-9CBD-4A12-A01E-F353881B9FB9}" type="presOf" srcId="{96A306A7-B386-4E44-8E05-19C99F27504C}" destId="{EC430576-2A20-4948-824A-63C94BD04391}" srcOrd="0" destOrd="0" presId="urn:microsoft.com/office/officeart/2005/8/layout/lProcess1#1"/>
    <dgm:cxn modelId="{50430BF7-95F5-4071-AA60-5CBFDC836F81}" type="presOf" srcId="{621CDDFD-A0BF-4DE7-8A64-51028854CB89}" destId="{419AD2F2-277E-44E4-BF99-8396F4ABD779}" srcOrd="0" destOrd="0" presId="urn:microsoft.com/office/officeart/2005/8/layout/lProcess1#1"/>
    <dgm:cxn modelId="{587A2DFE-CB8A-4693-AA4A-CACB8E0ED473}" srcId="{5B210A5E-5316-4FF3-AB83-F37F57C73113}" destId="{FF43A2AA-E567-4081-9601-8BCC2A1F8956}" srcOrd="1" destOrd="0" parTransId="{859011B4-7C9C-40F9-AB7E-7EDA2899BD6B}" sibTransId="{200FAB3C-D0D8-40E8-8F20-1B7B5A7304F2}"/>
    <dgm:cxn modelId="{319CA90C-23E4-4A4B-8E0D-0151C93950CD}" type="presParOf" srcId="{DB6D098B-7D30-4294-BEFB-BB39B6B26D90}" destId="{DBBDC110-843F-4553-B058-F29C5955125A}" srcOrd="0" destOrd="0" presId="urn:microsoft.com/office/officeart/2005/8/layout/lProcess1#1"/>
    <dgm:cxn modelId="{03D2A0B2-52CF-43B9-B9FB-32A3F707AD3E}" type="presParOf" srcId="{DBBDC110-843F-4553-B058-F29C5955125A}" destId="{419AD2F2-277E-44E4-BF99-8396F4ABD779}" srcOrd="0" destOrd="0" presId="urn:microsoft.com/office/officeart/2005/8/layout/lProcess1#1"/>
    <dgm:cxn modelId="{3FAB18A8-9063-4F17-8681-ACDCFBF76468}" type="presParOf" srcId="{DBBDC110-843F-4553-B058-F29C5955125A}" destId="{237E7141-A712-43DE-B084-4F849905D2AB}" srcOrd="1" destOrd="0" presId="urn:microsoft.com/office/officeart/2005/8/layout/lProcess1#1"/>
    <dgm:cxn modelId="{2760D860-5346-4347-99E6-E5F07575E1D6}" type="presParOf" srcId="{DBBDC110-843F-4553-B058-F29C5955125A}" destId="{55FED551-E1F2-487F-9CC6-CD14B925AC9D}" srcOrd="2" destOrd="0" presId="urn:microsoft.com/office/officeart/2005/8/layout/lProcess1#1"/>
    <dgm:cxn modelId="{25B5B151-6A9B-4CE5-867F-86E2262C7796}" type="presParOf" srcId="{DBBDC110-843F-4553-B058-F29C5955125A}" destId="{B14FA955-E097-4EB9-B6E2-6A3B0658135B}" srcOrd="3" destOrd="0" presId="urn:microsoft.com/office/officeart/2005/8/layout/lProcess1#1"/>
    <dgm:cxn modelId="{540C1AE2-DF98-4AE9-AA11-5011A3FB0795}" type="presParOf" srcId="{DBBDC110-843F-4553-B058-F29C5955125A}" destId="{F4FAB6E6-8E64-4E01-8C58-DA23C0BC6BBB}" srcOrd="4" destOrd="0" presId="urn:microsoft.com/office/officeart/2005/8/layout/lProcess1#1"/>
    <dgm:cxn modelId="{AD657AE8-8F56-4828-8020-7DC388FB87C4}" type="presParOf" srcId="{DBBDC110-843F-4553-B058-F29C5955125A}" destId="{605AF294-57F1-4417-92E9-5B631D6A46B9}" srcOrd="5" destOrd="0" presId="urn:microsoft.com/office/officeart/2005/8/layout/lProcess1#1"/>
    <dgm:cxn modelId="{F7219388-C6C3-4AD7-ABC0-2AE7FB67F896}" type="presParOf" srcId="{DBBDC110-843F-4553-B058-F29C5955125A}" destId="{5C4F018F-488B-42C1-B90E-58993BD3088C}" srcOrd="6" destOrd="0" presId="urn:microsoft.com/office/officeart/2005/8/layout/lProcess1#1"/>
    <dgm:cxn modelId="{79EA84B8-18CC-45C1-857E-B474FC4FA8FE}" type="presParOf" srcId="{DB6D098B-7D30-4294-BEFB-BB39B6B26D90}" destId="{84B7CDDA-D2D1-4670-A21A-299F4B18121D}" srcOrd="1" destOrd="0" presId="urn:microsoft.com/office/officeart/2005/8/layout/lProcess1#1"/>
    <dgm:cxn modelId="{39BDBAE1-A05F-404C-A0AA-D794E17BF391}" type="presParOf" srcId="{DB6D098B-7D30-4294-BEFB-BB39B6B26D90}" destId="{5DE2E8D5-FD3E-4E51-9766-DBC22ABEC1C9}" srcOrd="2" destOrd="0" presId="urn:microsoft.com/office/officeart/2005/8/layout/lProcess1#1"/>
    <dgm:cxn modelId="{F3BCDF6D-F068-4A36-9FC8-BE031FF4EE93}" type="presParOf" srcId="{5DE2E8D5-FD3E-4E51-9766-DBC22ABEC1C9}" destId="{8316D1F9-EBFC-46F9-B540-A3E027449869}" srcOrd="0" destOrd="0" presId="urn:microsoft.com/office/officeart/2005/8/layout/lProcess1#1"/>
    <dgm:cxn modelId="{C641CDC1-A4EC-48DB-83C8-31EF49F27FF6}" type="presParOf" srcId="{5DE2E8D5-FD3E-4E51-9766-DBC22ABEC1C9}" destId="{DE9C30B8-4617-4935-B20A-03D97D9AE439}" srcOrd="1" destOrd="0" presId="urn:microsoft.com/office/officeart/2005/8/layout/lProcess1#1"/>
    <dgm:cxn modelId="{7F6BD116-C08B-4204-BAEB-42E4CBEE68F0}" type="presParOf" srcId="{5DE2E8D5-FD3E-4E51-9766-DBC22ABEC1C9}" destId="{8118EECB-35C9-4646-8E97-FFC23A2F408E}" srcOrd="2" destOrd="0" presId="urn:microsoft.com/office/officeart/2005/8/layout/lProcess1#1"/>
    <dgm:cxn modelId="{0D52B5D2-5480-448E-B9FB-00F7DB1F702F}" type="presParOf" srcId="{5DE2E8D5-FD3E-4E51-9766-DBC22ABEC1C9}" destId="{EC430576-2A20-4948-824A-63C94BD04391}" srcOrd="3" destOrd="0" presId="urn:microsoft.com/office/officeart/2005/8/layout/lProcess1#1"/>
    <dgm:cxn modelId="{DD8F2213-1A5B-4E3D-A29E-CAC6ADB7DA70}" type="presParOf" srcId="{5DE2E8D5-FD3E-4E51-9766-DBC22ABEC1C9}" destId="{70EACBB0-0088-47F7-8D42-67603F016466}" srcOrd="4" destOrd="0" presId="urn:microsoft.com/office/officeart/2005/8/layout/lProcess1#1"/>
    <dgm:cxn modelId="{D5B198F3-E193-4478-B896-A77999794067}" type="presParOf" srcId="{5DE2E8D5-FD3E-4E51-9766-DBC22ABEC1C9}" destId="{EB5156EC-4084-475F-9D52-C2CFA620B12F}" srcOrd="5" destOrd="0" presId="urn:microsoft.com/office/officeart/2005/8/layout/lProcess1#1"/>
    <dgm:cxn modelId="{F511E345-E202-4646-BB10-24D69527EBAE}" type="presParOf" srcId="{5DE2E8D5-FD3E-4E51-9766-DBC22ABEC1C9}" destId="{1B4264DC-119A-48ED-9D68-B7C2DE70F7B4}" srcOrd="6" destOrd="0" presId="urn:microsoft.com/office/officeart/2005/8/layout/lProcess1#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47"/>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B418C7-56C6-4E3F-A9B4-2288F3C6FCA7}">
      <dsp:nvSpPr>
        <dsp:cNvPr id="0" name=""/>
        <dsp:cNvSpPr/>
      </dsp:nvSpPr>
      <dsp:spPr>
        <a:xfrm>
          <a:off x="12149" y="1034"/>
          <a:ext cx="5366850" cy="677352"/>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rtl="1">
            <a:lnSpc>
              <a:spcPct val="90000"/>
            </a:lnSpc>
            <a:spcBef>
              <a:spcPct val="0"/>
            </a:spcBef>
            <a:spcAft>
              <a:spcPct val="35000"/>
            </a:spcAft>
            <a:buNone/>
          </a:pPr>
          <a:r>
            <a:rPr lang="he-IL" sz="1400" b="1" kern="1200">
              <a:solidFill>
                <a:sysClr val="window" lastClr="FFFFFF"/>
              </a:solidFill>
              <a:latin typeface="David" panose="020E0502060401010101" pitchFamily="34" charset="-79"/>
              <a:ea typeface="+mn-ea"/>
              <a:cs typeface="David" panose="020E0502060401010101" pitchFamily="34" charset="-79"/>
            </a:rPr>
            <a:t>הצגה כללית של הסביבה</a:t>
          </a:r>
          <a:endParaRPr lang="he-IL" sz="1400" kern="1200">
            <a:solidFill>
              <a:sysClr val="window" lastClr="FFFFFF"/>
            </a:solidFill>
            <a:latin typeface="Calibri"/>
            <a:ea typeface="+mn-ea"/>
            <a:cs typeface="Arial" panose="020B0604020202020204" pitchFamily="34" charset="0"/>
          </a:endParaRPr>
        </a:p>
      </dsp:txBody>
      <dsp:txXfrm>
        <a:off x="31988" y="20873"/>
        <a:ext cx="5327172" cy="637674"/>
      </dsp:txXfrm>
    </dsp:sp>
    <dsp:sp modelId="{3FA65463-9A6F-46C2-B43E-D711126AD58B}">
      <dsp:nvSpPr>
        <dsp:cNvPr id="0" name=""/>
        <dsp:cNvSpPr/>
      </dsp:nvSpPr>
      <dsp:spPr>
        <a:xfrm rot="5400000">
          <a:off x="2568571" y="695320"/>
          <a:ext cx="254007" cy="304808"/>
        </a:xfrm>
        <a:prstGeom prst="rightArrow">
          <a:avLst>
            <a:gd name="adj1" fmla="val 60000"/>
            <a:gd name="adj2" fmla="val 50000"/>
          </a:avLst>
        </a:prstGeom>
        <a:gradFill rotWithShape="0">
          <a:gsLst>
            <a:gs pos="0">
              <a:srgbClr val="1F497D">
                <a:tint val="60000"/>
                <a:hueOff val="0"/>
                <a:satOff val="0"/>
                <a:lumOff val="0"/>
                <a:alphaOff val="0"/>
                <a:shade val="51000"/>
                <a:satMod val="130000"/>
              </a:srgbClr>
            </a:gs>
            <a:gs pos="80000">
              <a:srgbClr val="1F497D">
                <a:tint val="60000"/>
                <a:hueOff val="0"/>
                <a:satOff val="0"/>
                <a:lumOff val="0"/>
                <a:alphaOff val="0"/>
                <a:shade val="93000"/>
                <a:satMod val="130000"/>
              </a:srgbClr>
            </a:gs>
            <a:gs pos="100000">
              <a:srgbClr val="1F497D">
                <a:tint val="60000"/>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lstStyle/>
        <a:p>
          <a:pPr marL="0" lvl="0" indent="0" algn="ctr" defTabSz="577850" rtl="1">
            <a:lnSpc>
              <a:spcPct val="90000"/>
            </a:lnSpc>
            <a:spcBef>
              <a:spcPct val="0"/>
            </a:spcBef>
            <a:spcAft>
              <a:spcPct val="35000"/>
            </a:spcAft>
            <a:buNone/>
          </a:pPr>
          <a:endParaRPr lang="he-IL" sz="1300" kern="1200">
            <a:solidFill>
              <a:sysClr val="window" lastClr="FFFFFF"/>
            </a:solidFill>
            <a:latin typeface="Calibri"/>
            <a:ea typeface="+mn-ea"/>
            <a:cs typeface="Arial" panose="020B0604020202020204" pitchFamily="34" charset="0"/>
          </a:endParaRPr>
        </a:p>
      </dsp:txBody>
      <dsp:txXfrm rot="16200000">
        <a:off x="2604133" y="720720"/>
        <a:ext cx="182884" cy="177805"/>
      </dsp:txXfrm>
    </dsp:sp>
    <dsp:sp modelId="{C47E0BCC-1692-4418-A44A-0B2EA5A22672}">
      <dsp:nvSpPr>
        <dsp:cNvPr id="0" name=""/>
        <dsp:cNvSpPr/>
      </dsp:nvSpPr>
      <dsp:spPr>
        <a:xfrm>
          <a:off x="2631" y="1017063"/>
          <a:ext cx="5385887" cy="677352"/>
        </a:xfrm>
        <a:prstGeom prst="roundRect">
          <a:avLst>
            <a:gd name="adj" fmla="val 10000"/>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rtl="1">
            <a:lnSpc>
              <a:spcPct val="90000"/>
            </a:lnSpc>
            <a:spcBef>
              <a:spcPct val="0"/>
            </a:spcBef>
            <a:spcAft>
              <a:spcPct val="35000"/>
            </a:spcAft>
            <a:buNone/>
          </a:pPr>
          <a:r>
            <a:rPr lang="he-IL" sz="1400" b="1" kern="1200">
              <a:solidFill>
                <a:sysClr val="window" lastClr="FFFFFF"/>
              </a:solidFill>
              <a:latin typeface="David" panose="020E0502060401010101" pitchFamily="34" charset="-79"/>
              <a:ea typeface="+mn-ea"/>
              <a:cs typeface="David" panose="020E0502060401010101" pitchFamily="34" charset="-79"/>
            </a:rPr>
            <a:t>תשאול לגבי מרכיבי ההגנה בסייבר המוטמעים בסביבה</a:t>
          </a:r>
          <a:endParaRPr lang="he-IL" sz="1400" kern="1200">
            <a:solidFill>
              <a:sysClr val="window" lastClr="FFFFFF"/>
            </a:solidFill>
            <a:latin typeface="Calibri"/>
            <a:ea typeface="+mn-ea"/>
            <a:cs typeface="Arial" panose="020B0604020202020204" pitchFamily="34" charset="0"/>
          </a:endParaRPr>
        </a:p>
      </dsp:txBody>
      <dsp:txXfrm>
        <a:off x="22470" y="1036902"/>
        <a:ext cx="5346209" cy="6376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9AD2F2-277E-44E4-BF99-8396F4ABD779}">
      <dsp:nvSpPr>
        <dsp:cNvPr id="0" name=""/>
        <dsp:cNvSpPr/>
      </dsp:nvSpPr>
      <dsp:spPr>
        <a:xfrm>
          <a:off x="2846479" y="229413"/>
          <a:ext cx="2495959" cy="623989"/>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lstStyle/>
        <a:p>
          <a:pPr marL="0" lvl="0" indent="0" algn="ctr" defTabSz="889000" rtl="1">
            <a:lnSpc>
              <a:spcPct val="90000"/>
            </a:lnSpc>
            <a:spcBef>
              <a:spcPct val="0"/>
            </a:spcBef>
            <a:spcAft>
              <a:spcPct val="35000"/>
            </a:spcAft>
            <a:buNone/>
          </a:pPr>
          <a:r>
            <a:rPr lang="he-IL" sz="2000" kern="1200">
              <a:solidFill>
                <a:sysClr val="window" lastClr="FFFFFF"/>
              </a:solidFill>
              <a:latin typeface="David" panose="020E0502060401010101" pitchFamily="34" charset="-79"/>
              <a:ea typeface="+mn-ea"/>
              <a:cs typeface="David" panose="020E0502060401010101" pitchFamily="34" charset="-79"/>
            </a:rPr>
            <a:t>סקר הערכת פגיעויות</a:t>
          </a:r>
        </a:p>
      </dsp:txBody>
      <dsp:txXfrm>
        <a:off x="2864755" y="247689"/>
        <a:ext cx="2459407" cy="587437"/>
      </dsp:txXfrm>
    </dsp:sp>
    <dsp:sp modelId="{237E7141-A712-43DE-B084-4F849905D2AB}">
      <dsp:nvSpPr>
        <dsp:cNvPr id="0" name=""/>
        <dsp:cNvSpPr/>
      </dsp:nvSpPr>
      <dsp:spPr>
        <a:xfrm rot="5400000">
          <a:off x="4039860" y="908002"/>
          <a:ext cx="109198" cy="109198"/>
        </a:xfrm>
        <a:prstGeom prst="rightArrow">
          <a:avLst>
            <a:gd name="adj1" fmla="val 66700"/>
            <a:gd name="adj2" fmla="val 5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sp>
    <dsp:sp modelId="{55FED551-E1F2-487F-9CC6-CD14B925AC9D}">
      <dsp:nvSpPr>
        <dsp:cNvPr id="0" name=""/>
        <dsp:cNvSpPr/>
      </dsp:nvSpPr>
      <dsp:spPr>
        <a:xfrm>
          <a:off x="2846479" y="1071799"/>
          <a:ext cx="2495959" cy="623989"/>
        </a:xfrm>
        <a:prstGeom prst="roundRect">
          <a:avLst>
            <a:gd name="adj" fmla="val 10000"/>
          </a:avLst>
        </a:prstGeom>
        <a:solidFill>
          <a:srgbClr val="8064A2">
            <a:tint val="40000"/>
            <a:alpha val="90000"/>
            <a:hueOff val="0"/>
            <a:satOff val="0"/>
            <a:lumOff val="0"/>
            <a:alphaOff val="0"/>
          </a:srgbClr>
        </a:solidFill>
        <a:ln w="9525">
          <a:solidFill>
            <a:srgbClr val="8064A2">
              <a:tint val="40000"/>
              <a:alpha val="90000"/>
              <a:hueOff val="0"/>
              <a:satOff val="0"/>
              <a:lumOff val="0"/>
              <a:alphaOff val="0"/>
            </a:srgbClr>
          </a:solidFill>
          <a:prstDash val="solid"/>
        </a:ln>
        <a:effectLst>
          <a:outerShdw blurRad="40000" dist="23000" dir="5400000" sx="100000" sy="100000" kx="0" ky="0" algn="b"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6510" tIns="16510" rIns="16510" bIns="16510" numCol="1" spcCol="1270" anchor="ctr" anchorCtr="0"/>
        <a:lstStyle/>
        <a:p>
          <a:pPr marL="0" lvl="0" indent="0" algn="ctr" defTabSz="577850" rtl="1">
            <a:lnSpc>
              <a:spcPct val="90000"/>
            </a:lnSpc>
            <a:spcBef>
              <a:spcPct val="0"/>
            </a:spcBef>
            <a:spcAft>
              <a:spcPct val="35000"/>
            </a:spcAft>
            <a:buNone/>
          </a:pPr>
          <a:r>
            <a:rPr lang="he-IL" sz="1300" b="1"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הפקת דוחות וקובצי הגדרות תצורה של מרכיבים שונים ברשת</a:t>
          </a:r>
          <a:endParaRPr lang="he-IL" sz="13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sp:txBody>
      <dsp:txXfrm>
        <a:off x="2864755" y="1090075"/>
        <a:ext cx="2459407" cy="587437"/>
      </dsp:txXfrm>
    </dsp:sp>
    <dsp:sp modelId="{B14FA955-E097-4EB9-B6E2-6A3B0658135B}">
      <dsp:nvSpPr>
        <dsp:cNvPr id="0" name=""/>
        <dsp:cNvSpPr/>
      </dsp:nvSpPr>
      <dsp:spPr>
        <a:xfrm rot="5400000">
          <a:off x="4039860" y="1750388"/>
          <a:ext cx="109198" cy="109198"/>
        </a:xfrm>
        <a:prstGeom prst="rightArrow">
          <a:avLst>
            <a:gd name="adj1" fmla="val 66700"/>
            <a:gd name="adj2" fmla="val 50000"/>
          </a:avLst>
        </a:prstGeom>
        <a:gradFill rotWithShape="0">
          <a:gsLst>
            <a:gs pos="0">
              <a:srgbClr val="8064A2">
                <a:hueOff val="-892954"/>
                <a:satOff val="5380"/>
                <a:lumOff val="431"/>
                <a:alphaOff val="0"/>
                <a:shade val="51000"/>
                <a:satMod val="130000"/>
              </a:srgbClr>
            </a:gs>
            <a:gs pos="80000">
              <a:srgbClr val="8064A2">
                <a:hueOff val="-892954"/>
                <a:satOff val="5380"/>
                <a:lumOff val="431"/>
                <a:alphaOff val="0"/>
                <a:shade val="93000"/>
                <a:satMod val="130000"/>
              </a:srgbClr>
            </a:gs>
            <a:gs pos="100000">
              <a:srgbClr val="8064A2">
                <a:hueOff val="-892954"/>
                <a:satOff val="5380"/>
                <a:lumOff val="431"/>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sp>
    <dsp:sp modelId="{F4FAB6E6-8E64-4E01-8C58-DA23C0BC6BBB}">
      <dsp:nvSpPr>
        <dsp:cNvPr id="0" name=""/>
        <dsp:cNvSpPr/>
      </dsp:nvSpPr>
      <dsp:spPr>
        <a:xfrm>
          <a:off x="2846479" y="1914185"/>
          <a:ext cx="2495959" cy="623989"/>
        </a:xfrm>
        <a:prstGeom prst="roundRect">
          <a:avLst>
            <a:gd name="adj" fmla="val 10000"/>
          </a:avLst>
        </a:prstGeom>
        <a:solidFill>
          <a:srgbClr val="8064A2">
            <a:tint val="40000"/>
            <a:alpha val="90000"/>
            <a:hueOff val="-789142"/>
            <a:satOff val="4431"/>
            <a:lumOff val="282"/>
            <a:alphaOff val="0"/>
          </a:srgbClr>
        </a:solidFill>
        <a:ln w="9525">
          <a:solidFill>
            <a:srgbClr val="8064A2">
              <a:tint val="40000"/>
              <a:alpha val="90000"/>
              <a:hueOff val="-789142"/>
              <a:satOff val="4431"/>
              <a:lumOff val="282"/>
              <a:alphaOff val="0"/>
            </a:srgbClr>
          </a:solidFill>
          <a:prstDash val="solid"/>
        </a:ln>
        <a:effectLst>
          <a:outerShdw blurRad="40000" dist="23000" dir="5400000" sx="100000" sy="100000" kx="0" ky="0" algn="b"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6510" tIns="16510" rIns="16510" bIns="16510" numCol="1" spcCol="1270" anchor="ctr" anchorCtr="0"/>
        <a:lstStyle/>
        <a:p>
          <a:pPr marL="0" lvl="0" indent="0" algn="ctr" defTabSz="577850" rtl="0">
            <a:lnSpc>
              <a:spcPct val="90000"/>
            </a:lnSpc>
            <a:spcBef>
              <a:spcPct val="0"/>
            </a:spcBef>
            <a:spcAft>
              <a:spcPct val="35000"/>
            </a:spcAft>
            <a:buNone/>
          </a:pPr>
          <a:r>
            <a:rPr lang="he-IL" sz="1300" b="1"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סריקה מדגמית של רכיבים תשתיתיים בסביבה באמצעות כלי בדיקה ייעודיים לשם זיהוי חולשות אבטחה</a:t>
          </a:r>
          <a:endParaRPr lang="he-IL" sz="1300" kern="1200">
            <a:solidFill>
              <a:sysClr val="windowText" lastClr="000000">
                <a:hueOff val="0"/>
                <a:satOff val="0"/>
                <a:lumOff val="0"/>
                <a:alphaOff val="0"/>
              </a:sysClr>
            </a:solidFill>
            <a:highlight>
              <a:srgbClr val="FFFF00"/>
            </a:highlight>
            <a:latin typeface="David" panose="020E0502060401010101" pitchFamily="34" charset="-79"/>
            <a:ea typeface="+mn-ea"/>
            <a:cs typeface="David" panose="020E0502060401010101" pitchFamily="34" charset="-79"/>
          </a:endParaRPr>
        </a:p>
      </dsp:txBody>
      <dsp:txXfrm>
        <a:off x="2864755" y="1932461"/>
        <a:ext cx="2459407" cy="587437"/>
      </dsp:txXfrm>
    </dsp:sp>
    <dsp:sp modelId="{605AF294-57F1-4417-92E9-5B631D6A46B9}">
      <dsp:nvSpPr>
        <dsp:cNvPr id="0" name=""/>
        <dsp:cNvSpPr/>
      </dsp:nvSpPr>
      <dsp:spPr>
        <a:xfrm rot="5400000">
          <a:off x="4039860" y="2592774"/>
          <a:ext cx="109198" cy="109198"/>
        </a:xfrm>
        <a:prstGeom prst="rightArrow">
          <a:avLst>
            <a:gd name="adj1" fmla="val 66700"/>
            <a:gd name="adj2" fmla="val 50000"/>
          </a:avLst>
        </a:prstGeom>
        <a:gradFill rotWithShape="0">
          <a:gsLst>
            <a:gs pos="0">
              <a:srgbClr val="8064A2">
                <a:hueOff val="-1785908"/>
                <a:satOff val="10760"/>
                <a:lumOff val="862"/>
                <a:alphaOff val="0"/>
                <a:shade val="51000"/>
                <a:satMod val="130000"/>
              </a:srgbClr>
            </a:gs>
            <a:gs pos="80000">
              <a:srgbClr val="8064A2">
                <a:hueOff val="-1785908"/>
                <a:satOff val="10760"/>
                <a:lumOff val="862"/>
                <a:alphaOff val="0"/>
                <a:shade val="93000"/>
                <a:satMod val="130000"/>
              </a:srgbClr>
            </a:gs>
            <a:gs pos="100000">
              <a:srgbClr val="8064A2">
                <a:hueOff val="-1785908"/>
                <a:satOff val="10760"/>
                <a:lumOff val="862"/>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sp>
    <dsp:sp modelId="{5C4F018F-488B-42C1-B90E-58993BD3088C}">
      <dsp:nvSpPr>
        <dsp:cNvPr id="0" name=""/>
        <dsp:cNvSpPr/>
      </dsp:nvSpPr>
      <dsp:spPr>
        <a:xfrm>
          <a:off x="2846479" y="2756571"/>
          <a:ext cx="2495959" cy="623989"/>
        </a:xfrm>
        <a:prstGeom prst="roundRect">
          <a:avLst>
            <a:gd name="adj" fmla="val 10000"/>
          </a:avLst>
        </a:prstGeom>
        <a:solidFill>
          <a:srgbClr val="8064A2">
            <a:tint val="40000"/>
            <a:alpha val="90000"/>
            <a:hueOff val="-1578284"/>
            <a:satOff val="8863"/>
            <a:lumOff val="563"/>
            <a:alphaOff val="0"/>
          </a:srgbClr>
        </a:solidFill>
        <a:ln w="9525">
          <a:solidFill>
            <a:srgbClr val="8064A2">
              <a:tint val="40000"/>
              <a:alpha val="90000"/>
              <a:hueOff val="-1578284"/>
              <a:satOff val="8863"/>
              <a:lumOff val="563"/>
              <a:alphaOff val="0"/>
            </a:srgbClr>
          </a:solidFill>
          <a:prstDash val="solid"/>
        </a:ln>
        <a:effectLst>
          <a:outerShdw blurRad="40000" dist="23000" dir="5400000" sx="100000" sy="100000" kx="0" ky="0" algn="b"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6510" tIns="16510" rIns="16510" bIns="16510" numCol="1" spcCol="1270" anchor="ctr" anchorCtr="0"/>
        <a:lstStyle/>
        <a:p>
          <a:pPr marL="0" lvl="0" indent="0" algn="ctr" defTabSz="577850" rtl="0">
            <a:lnSpc>
              <a:spcPct val="90000"/>
            </a:lnSpc>
            <a:spcBef>
              <a:spcPct val="0"/>
            </a:spcBef>
            <a:spcAft>
              <a:spcPct val="35000"/>
            </a:spcAft>
            <a:buNone/>
          </a:pPr>
          <a:r>
            <a:rPr lang="he-IL" sz="1300" b="1"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בדיקת הגדרות התצורה אל מול המלצות היצרן והפרקטיקה המקובלת</a:t>
          </a:r>
          <a:endParaRPr lang="he-IL" sz="1300" kern="1200">
            <a:solidFill>
              <a:sysClr val="windowText" lastClr="000000">
                <a:hueOff val="0"/>
                <a:satOff val="0"/>
                <a:lumOff val="0"/>
                <a:alphaOff val="0"/>
              </a:sysClr>
            </a:solidFill>
            <a:latin typeface="Calibri"/>
            <a:ea typeface="+mn-ea"/>
            <a:cs typeface="Arial" panose="020B0604020202020204" pitchFamily="34" charset="0"/>
          </a:endParaRPr>
        </a:p>
      </dsp:txBody>
      <dsp:txXfrm>
        <a:off x="2864755" y="2774847"/>
        <a:ext cx="2459407" cy="587437"/>
      </dsp:txXfrm>
    </dsp:sp>
    <dsp:sp modelId="{8316D1F9-EBFC-46F9-B540-A3E027449869}">
      <dsp:nvSpPr>
        <dsp:cNvPr id="0" name=""/>
        <dsp:cNvSpPr/>
      </dsp:nvSpPr>
      <dsp:spPr>
        <a:xfrm>
          <a:off x="1086" y="229413"/>
          <a:ext cx="2495959" cy="623989"/>
        </a:xfrm>
        <a:prstGeom prst="roundRect">
          <a:avLst>
            <a:gd name="adj" fmla="val 10000"/>
          </a:avLst>
        </a:prstGeom>
        <a:gradFill rotWithShape="0">
          <a:gsLst>
            <a:gs pos="0">
              <a:srgbClr val="8064A2">
                <a:hueOff val="-4464770"/>
                <a:satOff val="26899"/>
                <a:lumOff val="2156"/>
                <a:alphaOff val="0"/>
                <a:shade val="51000"/>
                <a:satMod val="130000"/>
              </a:srgbClr>
            </a:gs>
            <a:gs pos="80000">
              <a:srgbClr val="8064A2">
                <a:hueOff val="-4464770"/>
                <a:satOff val="26899"/>
                <a:lumOff val="2156"/>
                <a:alphaOff val="0"/>
                <a:shade val="93000"/>
                <a:satMod val="130000"/>
              </a:srgbClr>
            </a:gs>
            <a:gs pos="100000">
              <a:srgbClr val="8064A2">
                <a:hueOff val="-4464770"/>
                <a:satOff val="26899"/>
                <a:lumOff val="2156"/>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lstStyle/>
        <a:p>
          <a:pPr marL="0" lvl="0" indent="0" algn="ctr" defTabSz="889000" rtl="1">
            <a:lnSpc>
              <a:spcPct val="90000"/>
            </a:lnSpc>
            <a:spcBef>
              <a:spcPct val="0"/>
            </a:spcBef>
            <a:spcAft>
              <a:spcPct val="35000"/>
            </a:spcAft>
            <a:buNone/>
          </a:pPr>
          <a:r>
            <a:rPr lang="he-IL" sz="2000" kern="1200">
              <a:solidFill>
                <a:sysClr val="window" lastClr="FFFFFF"/>
              </a:solidFill>
              <a:latin typeface="David" panose="020E0502060401010101" pitchFamily="34" charset="-79"/>
              <a:ea typeface="+mn-ea"/>
              <a:cs typeface="David" panose="020E0502060401010101" pitchFamily="34" charset="-79"/>
            </a:rPr>
            <a:t>מבדק חדירות</a:t>
          </a:r>
        </a:p>
      </dsp:txBody>
      <dsp:txXfrm>
        <a:off x="19362" y="247689"/>
        <a:ext cx="2459407" cy="587437"/>
      </dsp:txXfrm>
    </dsp:sp>
    <dsp:sp modelId="{DE9C30B8-4617-4935-B20A-03D97D9AE439}">
      <dsp:nvSpPr>
        <dsp:cNvPr id="0" name=""/>
        <dsp:cNvSpPr/>
      </dsp:nvSpPr>
      <dsp:spPr>
        <a:xfrm rot="5400000">
          <a:off x="1194466" y="908002"/>
          <a:ext cx="109198" cy="109198"/>
        </a:xfrm>
        <a:prstGeom prst="rightArrow">
          <a:avLst>
            <a:gd name="adj1" fmla="val 66700"/>
            <a:gd name="adj2" fmla="val 50000"/>
          </a:avLst>
        </a:prstGeom>
        <a:gradFill rotWithShape="0">
          <a:gsLst>
            <a:gs pos="0">
              <a:srgbClr val="8064A2">
                <a:hueOff val="-2678862"/>
                <a:satOff val="16139"/>
                <a:lumOff val="1294"/>
                <a:alphaOff val="0"/>
                <a:shade val="51000"/>
                <a:satMod val="130000"/>
              </a:srgbClr>
            </a:gs>
            <a:gs pos="80000">
              <a:srgbClr val="8064A2">
                <a:hueOff val="-2678862"/>
                <a:satOff val="16139"/>
                <a:lumOff val="1294"/>
                <a:alphaOff val="0"/>
                <a:shade val="93000"/>
                <a:satMod val="130000"/>
              </a:srgbClr>
            </a:gs>
            <a:gs pos="100000">
              <a:srgbClr val="8064A2">
                <a:hueOff val="-2678862"/>
                <a:satOff val="16139"/>
                <a:lumOff val="1294"/>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sp>
    <dsp:sp modelId="{8118EECB-35C9-4646-8E97-FFC23A2F408E}">
      <dsp:nvSpPr>
        <dsp:cNvPr id="0" name=""/>
        <dsp:cNvSpPr/>
      </dsp:nvSpPr>
      <dsp:spPr>
        <a:xfrm>
          <a:off x="1086" y="1071799"/>
          <a:ext cx="2495959" cy="623989"/>
        </a:xfrm>
        <a:prstGeom prst="roundRect">
          <a:avLst>
            <a:gd name="adj" fmla="val 10000"/>
          </a:avLst>
        </a:prstGeom>
        <a:solidFill>
          <a:srgbClr val="8064A2">
            <a:tint val="40000"/>
            <a:alpha val="90000"/>
            <a:hueOff val="-2367426"/>
            <a:satOff val="13294"/>
            <a:lumOff val="845"/>
            <a:alphaOff val="0"/>
          </a:srgbClr>
        </a:solidFill>
        <a:ln w="9525">
          <a:solidFill>
            <a:srgbClr val="8064A2">
              <a:tint val="40000"/>
              <a:alpha val="90000"/>
              <a:hueOff val="-2367426"/>
              <a:satOff val="13294"/>
              <a:lumOff val="845"/>
              <a:alphaOff val="0"/>
            </a:srgbClr>
          </a:solidFill>
          <a:prstDash val="solid"/>
        </a:ln>
        <a:effectLst>
          <a:outerShdw blurRad="40000" dist="23000" dir="5400000" sx="100000" sy="100000" kx="0" ky="0" algn="b"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6510" tIns="16510" rIns="16510" bIns="16510" numCol="1" spcCol="1270" anchor="ctr" anchorCtr="0"/>
        <a:lstStyle/>
        <a:p>
          <a:pPr marL="0" lvl="0" indent="0" algn="ctr" defTabSz="577850" rtl="1">
            <a:lnSpc>
              <a:spcPct val="90000"/>
            </a:lnSpc>
            <a:spcBef>
              <a:spcPct val="0"/>
            </a:spcBef>
            <a:spcAft>
              <a:spcPct val="35000"/>
            </a:spcAft>
            <a:buNone/>
          </a:pPr>
          <a:r>
            <a:rPr lang="he-IL" sz="1300" b="1"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קביעת תרחישים לבדיקה אל מול איום הייחוס</a:t>
          </a:r>
        </a:p>
      </dsp:txBody>
      <dsp:txXfrm>
        <a:off x="19362" y="1090075"/>
        <a:ext cx="2459407" cy="587437"/>
      </dsp:txXfrm>
    </dsp:sp>
    <dsp:sp modelId="{EC430576-2A20-4948-824A-63C94BD04391}">
      <dsp:nvSpPr>
        <dsp:cNvPr id="0" name=""/>
        <dsp:cNvSpPr/>
      </dsp:nvSpPr>
      <dsp:spPr>
        <a:xfrm rot="5400000">
          <a:off x="1194466" y="1750388"/>
          <a:ext cx="109198" cy="109198"/>
        </a:xfrm>
        <a:prstGeom prst="rightArrow">
          <a:avLst>
            <a:gd name="adj1" fmla="val 66700"/>
            <a:gd name="adj2" fmla="val 50000"/>
          </a:avLst>
        </a:prstGeom>
        <a:gradFill rotWithShape="0">
          <a:gsLst>
            <a:gs pos="0">
              <a:srgbClr val="8064A2">
                <a:hueOff val="-3571816"/>
                <a:satOff val="21519"/>
                <a:lumOff val="1725"/>
                <a:alphaOff val="0"/>
                <a:shade val="51000"/>
                <a:satMod val="130000"/>
              </a:srgbClr>
            </a:gs>
            <a:gs pos="80000">
              <a:srgbClr val="8064A2">
                <a:hueOff val="-3571816"/>
                <a:satOff val="21519"/>
                <a:lumOff val="1725"/>
                <a:alphaOff val="0"/>
                <a:shade val="93000"/>
                <a:satMod val="130000"/>
              </a:srgbClr>
            </a:gs>
            <a:gs pos="100000">
              <a:srgbClr val="8064A2">
                <a:hueOff val="-3571816"/>
                <a:satOff val="21519"/>
                <a:lumOff val="1725"/>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sp>
    <dsp:sp modelId="{70EACBB0-0088-47F7-8D42-67603F016466}">
      <dsp:nvSpPr>
        <dsp:cNvPr id="0" name=""/>
        <dsp:cNvSpPr/>
      </dsp:nvSpPr>
      <dsp:spPr>
        <a:xfrm>
          <a:off x="1086" y="1914185"/>
          <a:ext cx="2495959" cy="623989"/>
        </a:xfrm>
        <a:prstGeom prst="roundRect">
          <a:avLst>
            <a:gd name="adj" fmla="val 10000"/>
          </a:avLst>
        </a:prstGeom>
        <a:solidFill>
          <a:srgbClr val="8064A2">
            <a:tint val="40000"/>
            <a:alpha val="90000"/>
            <a:hueOff val="-3156568"/>
            <a:satOff val="17726"/>
            <a:lumOff val="1126"/>
            <a:alphaOff val="0"/>
          </a:srgbClr>
        </a:solidFill>
        <a:ln w="9525">
          <a:solidFill>
            <a:srgbClr val="8064A2">
              <a:tint val="40000"/>
              <a:alpha val="90000"/>
              <a:hueOff val="-3156568"/>
              <a:satOff val="17726"/>
              <a:lumOff val="1126"/>
              <a:alphaOff val="0"/>
            </a:srgbClr>
          </a:solidFill>
          <a:prstDash val="solid"/>
        </a:ln>
        <a:effectLst>
          <a:outerShdw blurRad="40000" dist="23000" dir="5400000" sx="100000" sy="100000" kx="0" ky="0" algn="b"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6510" tIns="16510" rIns="16510" bIns="16510" numCol="1" spcCol="1270" anchor="ctr" anchorCtr="0"/>
        <a:lstStyle/>
        <a:p>
          <a:pPr marL="0" lvl="0" indent="0" algn="ctr" defTabSz="577850" rtl="1">
            <a:lnSpc>
              <a:spcPct val="90000"/>
            </a:lnSpc>
            <a:spcBef>
              <a:spcPct val="0"/>
            </a:spcBef>
            <a:spcAft>
              <a:spcPct val="35000"/>
            </a:spcAft>
            <a:buNone/>
          </a:pPr>
          <a:r>
            <a:rPr lang="he-IL" sz="1300" b="1"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זיהוי חולשות אבטחה העשויות לאפשר את מימוש התרחישים שהוגדרו</a:t>
          </a:r>
        </a:p>
      </dsp:txBody>
      <dsp:txXfrm>
        <a:off x="19362" y="1932461"/>
        <a:ext cx="2459407" cy="587437"/>
      </dsp:txXfrm>
    </dsp:sp>
    <dsp:sp modelId="{EB5156EC-4084-475F-9D52-C2CFA620B12F}">
      <dsp:nvSpPr>
        <dsp:cNvPr id="0" name=""/>
        <dsp:cNvSpPr/>
      </dsp:nvSpPr>
      <dsp:spPr>
        <a:xfrm rot="5400000">
          <a:off x="1194466" y="2592774"/>
          <a:ext cx="109198" cy="109198"/>
        </a:xfrm>
        <a:prstGeom prst="rightArrow">
          <a:avLst>
            <a:gd name="adj1" fmla="val 66700"/>
            <a:gd name="adj2" fmla="val 50000"/>
          </a:avLst>
        </a:prstGeom>
        <a:gradFill rotWithShape="0">
          <a:gsLst>
            <a:gs pos="0">
              <a:srgbClr val="8064A2">
                <a:hueOff val="-4464770"/>
                <a:satOff val="26899"/>
                <a:lumOff val="2156"/>
                <a:alphaOff val="0"/>
                <a:shade val="51000"/>
                <a:satMod val="130000"/>
              </a:srgbClr>
            </a:gs>
            <a:gs pos="80000">
              <a:srgbClr val="8064A2">
                <a:hueOff val="-4464770"/>
                <a:satOff val="26899"/>
                <a:lumOff val="2156"/>
                <a:alphaOff val="0"/>
                <a:shade val="93000"/>
                <a:satMod val="130000"/>
              </a:srgbClr>
            </a:gs>
            <a:gs pos="100000">
              <a:srgbClr val="8064A2">
                <a:hueOff val="-4464770"/>
                <a:satOff val="26899"/>
                <a:lumOff val="2156"/>
                <a:alphaOff val="0"/>
                <a:shade val="94000"/>
                <a:satMod val="135000"/>
              </a:srgb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dsp:spPr>
      <dsp:style>
        <a:lnRef idx="0">
          <a:scrgbClr r="0" g="0" b="0"/>
        </a:lnRef>
        <a:fillRef idx="3">
          <a:scrgbClr r="0" g="0" b="0"/>
        </a:fillRef>
        <a:effectRef idx="3">
          <a:scrgbClr r="0" g="0" b="0"/>
        </a:effectRef>
        <a:fontRef idx="minor">
          <a:schemeClr val="lt1"/>
        </a:fontRef>
      </dsp:style>
    </dsp:sp>
    <dsp:sp modelId="{1B4264DC-119A-48ED-9D68-B7C2DE70F7B4}">
      <dsp:nvSpPr>
        <dsp:cNvPr id="0" name=""/>
        <dsp:cNvSpPr/>
      </dsp:nvSpPr>
      <dsp:spPr>
        <a:xfrm>
          <a:off x="1086" y="2756571"/>
          <a:ext cx="2495959" cy="623989"/>
        </a:xfrm>
        <a:prstGeom prst="roundRect">
          <a:avLst>
            <a:gd name="adj" fmla="val 10000"/>
          </a:avLst>
        </a:prstGeom>
        <a:solidFill>
          <a:srgbClr val="8064A2">
            <a:tint val="40000"/>
            <a:alpha val="90000"/>
            <a:hueOff val="-3945710"/>
            <a:satOff val="22157"/>
            <a:lumOff val="1408"/>
            <a:alphaOff val="0"/>
          </a:srgbClr>
        </a:solidFill>
        <a:ln w="9525">
          <a:solidFill>
            <a:srgbClr val="8064A2">
              <a:tint val="40000"/>
              <a:alpha val="90000"/>
              <a:hueOff val="-3945710"/>
              <a:satOff val="22157"/>
              <a:lumOff val="1408"/>
              <a:alphaOff val="0"/>
            </a:srgbClr>
          </a:solidFill>
          <a:prstDash val="solid"/>
        </a:ln>
        <a:effectLst>
          <a:outerShdw blurRad="40000" dist="23000" dir="5400000" sx="100000" sy="100000" kx="0" ky="0" algn="b"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6510" tIns="16510" rIns="16510" bIns="16510" numCol="1" spcCol="1270" anchor="ctr" anchorCtr="0"/>
        <a:lstStyle/>
        <a:p>
          <a:pPr marL="0" lvl="0" indent="0" algn="ctr" defTabSz="577850" rtl="1">
            <a:lnSpc>
              <a:spcPct val="90000"/>
            </a:lnSpc>
            <a:spcBef>
              <a:spcPct val="0"/>
            </a:spcBef>
            <a:spcAft>
              <a:spcPct val="35000"/>
            </a:spcAft>
            <a:buNone/>
          </a:pPr>
          <a:r>
            <a:rPr lang="he-IL" sz="1300" b="1"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ניסיון מימוש בפועל של התרחישים שהוגדרו</a:t>
          </a:r>
        </a:p>
      </dsp:txBody>
      <dsp:txXfrm>
        <a:off x="19362" y="2774847"/>
        <a:ext cx="2459407" cy="5874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arg="none"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val="norm"/>
      <dgm:animLvl val="lvl"/>
      <dgm:resizeHandles val="exact"/>
    </dgm:varLst>
    <dgm:choose name="Name1">
      <dgm:if name="Name2" func="var" arg="dir" op="equ" val="norm">
        <dgm:alg type="lin">
          <dgm:param type="fallback" val="2D"/>
          <dgm:param type="linDir" val="fromL"/>
          <dgm:param type="nodeHorzAlign" val="l"/>
          <dgm:param type="nodeVertAlign" val="t"/>
          <dgm:param type="vertAlign" val="mid"/>
        </dgm:alg>
      </dgm:if>
      <dgm:else name="Name3">
        <dgm:alg type="lin">
          <dgm:param type="fallback" val="2D"/>
          <dgm:param type="linDir" val="fromR"/>
          <dgm:param type="nodeHorzAlign" val="r"/>
          <dgm:param type="nodeVertAlign" val="t"/>
          <dgm:param type="vertAlign" val="mi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fallback" val="2D"/>
              <dgm:param type="linDir" val="fromT"/>
              <dgm:param type="nodeHorzAlign" val="ctr"/>
              <dgm:param type="nodeVertAlign" val="t"/>
            </dgm:alg>
          </dgm:if>
          <dgm:else name="Name7">
            <dgm:alg type="lin">
              <dgm:param type="fallback" val="2D"/>
              <dgm:param type="linDir" val="fromT"/>
              <dgm:param type="nodeHorzAlign" val="ctr"/>
              <dgm:param type="nodeVertAlign" val="t"/>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arg="none"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A134F08-A046-42C9-8CB1-08F7D652810A}">
  <ds:schemaRefs>
    <ds:schemaRef ds:uri="http://schemas.openxmlformats.org/officeDocument/2006/bibliography"/>
  </ds:schemaRefs>
</ds:datastoreItem>
</file>

<file path=customXml/itemProps2.xml><?xml version="1.0" encoding="utf-8"?>
<ds:datastoreItem xmlns:ds="http://schemas.openxmlformats.org/officeDocument/2006/customXml" ds:itemID="{4B03AA9B-F7CA-4528-A8DA-0F95387B18AC}"/>
</file>

<file path=customXml/itemProps3.xml><?xml version="1.0" encoding="utf-8"?>
<ds:datastoreItem xmlns:ds="http://schemas.openxmlformats.org/officeDocument/2006/customXml" ds:itemID="{6A31D671-0A96-46FF-9DC0-5A2E4FCBED77}"/>
</file>

<file path=customXml/itemProps4.xml><?xml version="1.0" encoding="utf-8"?>
<ds:datastoreItem xmlns:ds="http://schemas.openxmlformats.org/officeDocument/2006/customXml" ds:itemID="{CA129B38-FDEF-4208-8E54-117660F0E898}"/>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