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pPr>
        <w:spacing w:before="3480" w:after="2040" w:line="800" w:lineRule="exact"/>
        <w:jc w:val="center"/>
        <w:rPr>
          <w:rFonts w:ascii="Calibri" w:hAnsi="Calibri" w:cs="Calibri"/>
          <w:b/>
          <w:bCs/>
          <w:color w:val="002060"/>
          <w:sz w:val="80"/>
          <w:szCs w:val="80"/>
          <w:rtl/>
        </w:rPr>
      </w:pPr>
      <w:bookmarkStart w:id="0" w:name="_Hlk228949355"/>
      <w:bookmarkStart w:id="1" w:name="_GoBack"/>
      <w:bookmarkEnd w:id="1"/>
      <w:r w:rsidRPr="004477CC">
        <w:rPr>
          <w:rFonts w:ascii="Calibri" w:hAnsi="Calibri" w:cs="Calibri"/>
          <w:b/>
          <w:bCs/>
          <w:color w:val="002060"/>
          <w:sz w:val="80"/>
          <w:szCs w:val="80"/>
          <w:rtl/>
        </w:rPr>
        <w:t>אבטחת קבוצות ספורט ישראליות ואוהדים ישראלים בחו"ל</w:t>
      </w:r>
      <w:bookmarkEnd w:id="0"/>
    </w:p>
    <w:p w:rsidR="00991226" w:rsidP="00354F9A">
      <w:pPr>
        <w:spacing w:before="3480" w:after="2040" w:line="800" w:lineRule="exact"/>
        <w:jc w:val="center"/>
        <w:rPr>
          <w:rFonts w:ascii="Calibri" w:hAnsi="Calibri" w:cs="Calibri"/>
          <w:b/>
          <w:bCs/>
          <w:color w:val="002060"/>
          <w:sz w:val="80"/>
          <w:szCs w:val="80"/>
          <w:rtl/>
        </w:r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4477CC" w:rsidRPr="004477CC" w:rsidP="004477CC">
      <w:pPr>
        <w:spacing w:line="269" w:lineRule="auto"/>
        <w:jc w:val="right"/>
        <w:rPr>
          <w:rFonts w:eastAsia="Calibri"/>
          <w:rtl/>
        </w:rPr>
      </w:pPr>
      <w:bookmarkStart w:id="2" w:name="_Hlk200266104"/>
    </w:p>
    <w:p w:rsidR="004477CC" w:rsidRPr="004477CC" w:rsidP="00D47AD6">
      <w:pPr>
        <w:pStyle w:val="Heading1"/>
        <w:rPr>
          <w:rFonts w:eastAsia="Times New Roman"/>
        </w:rPr>
      </w:pPr>
      <w:r w:rsidRPr="004477CC">
        <w:rPr>
          <w:rFonts w:eastAsia="Times New Roman" w:hint="cs"/>
          <w:rtl/>
        </w:rPr>
        <w:t>אבטחת קבוצות ספורט ישראליות ואוהדים ישראלים בחו"ל</w:t>
      </w:r>
    </w:p>
    <w:p w:rsidR="004477CC" w:rsidRPr="004477CC" w:rsidP="004477CC">
      <w:pPr>
        <w:spacing w:line="269" w:lineRule="auto"/>
        <w:rPr>
          <w:rFonts w:eastAsia="Calibri"/>
          <w:rtl/>
        </w:rPr>
      </w:pPr>
    </w:p>
    <w:p w:rsidR="004477CC" w:rsidRPr="004477CC" w:rsidP="00D47AD6">
      <w:pPr>
        <w:pStyle w:val="Heading3"/>
        <w:rPr>
          <w:rFonts w:eastAsia="Times New Roman"/>
          <w:rtl/>
        </w:rPr>
      </w:pPr>
      <w:r w:rsidRPr="004477CC">
        <w:rPr>
          <w:rFonts w:eastAsia="Times New Roman" w:hint="cs"/>
          <w:rtl/>
        </w:rPr>
        <w:t>מבוא</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המלחמה המתמשכת ברצועת עזה (להלן - מלחמת חרבות ברזל) הביאה לעלייה ניכרת בביקורת הבין-לאומית כלפי מדינת ישראל ולעלייה במספר האירועים האנטישמיים ובאירועי אלימות וטרור המופנים כלפי ישראלים בחו"ל. לפי הודעה מטעם המטה לביטחון לאומי (להלן - מל"ל), החל מאוקטובר 2023 זוהתה עלייה חדה במוטיבציה ובמאמצים מצד גורמי טרור לבצע פיגועים נגד יעדים ישראליים ויהודיים בעולם</w:t>
      </w:r>
      <w:r>
        <w:rPr>
          <w:rFonts w:eastAsia="Calibri"/>
          <w:vertAlign w:val="superscript"/>
          <w:rtl/>
        </w:rPr>
        <w:footnoteReference w:id="2"/>
      </w:r>
      <w:r w:rsidRPr="004477CC">
        <w:rPr>
          <w:rFonts w:eastAsia="Calibri" w:hint="cs"/>
          <w:rtl/>
        </w:rPr>
        <w:t xml:space="preserve">.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דוח מצב האנטישמיות לשנת 2024 של משרד התפוצות והמאבק באנטישמיות (להלן - משרד התפוצות)</w:t>
      </w:r>
      <w:r>
        <w:rPr>
          <w:rFonts w:eastAsia="Calibri"/>
          <w:vertAlign w:val="superscript"/>
          <w:rtl/>
        </w:rPr>
        <w:footnoteReference w:id="3"/>
      </w:r>
      <w:r w:rsidRPr="004477CC">
        <w:rPr>
          <w:rFonts w:eastAsia="Calibri" w:hint="cs"/>
          <w:rtl/>
        </w:rPr>
        <w:t xml:space="preserve"> מצביע על נקודת מפנה משמעותית בהתפרצויות האנטישמיות נגד יהודים בעולם שהחלה בשבעה באוקטובר 2023, הבאה לידי ביטוי בעלייה חדה בהיקף התקריות האנטישמיות ברחבי העולם. לדברי המשרד, לצד העלייה המשמעותית במספרם של מקרים אלו מאז אוקטובר 2023 ובמהלך שנת 2024, האנטישמיות כיום היא תופעה מדאיגה הרבה יותר מבעבר ועלולה לגבות מחירים גבוהים יותר ויותר מיהודים ומישראלים ברחבי העולם.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bookmarkStart w:id="3" w:name="_Hlk206582028"/>
      <w:r w:rsidRPr="004477CC">
        <w:rPr>
          <w:rFonts w:eastAsia="Calibri" w:hint="cs"/>
          <w:rtl/>
        </w:rPr>
        <w:t>כך למשל, בשנים 2023 - 2024 חל גידול של פי כ-2.5 במספר האירועים האנטישמיים בארה"ב לעומת שנת 2022; ופי כ-3.8 בצרפת. באוסטרליה חל גידול של פי 4.2 במספרם של אירועי אנטישמיות בשנת 2024 לעומת שנת 2023</w:t>
      </w:r>
      <w:r>
        <w:rPr>
          <w:rFonts w:eastAsia="Calibri"/>
          <w:vertAlign w:val="superscript"/>
          <w:rtl/>
        </w:rPr>
        <w:footnoteReference w:id="4"/>
      </w:r>
      <w:r w:rsidRPr="004477CC">
        <w:rPr>
          <w:rFonts w:eastAsia="Calibri" w:hint="cs"/>
          <w:rtl/>
        </w:rPr>
        <w:t>. בתרשים שלהלן יוצג היקף האירועים האנטישמיים בארה"ב, בבריטניה, בצרפת ובאוסטרליה בשנים 2019 - 2024</w:t>
      </w:r>
      <w:bookmarkEnd w:id="3"/>
      <w:r w:rsidRPr="004477CC">
        <w:rPr>
          <w:rFonts w:eastAsia="Calibri" w:hint="cs"/>
          <w:rtl/>
        </w:rPr>
        <w:t xml:space="preserve">. </w:t>
      </w:r>
    </w:p>
    <w:p w:rsidR="004477CC" w:rsidRPr="004477CC" w:rsidP="004477CC">
      <w:pPr>
        <w:spacing w:line="269" w:lineRule="auto"/>
        <w:rPr>
          <w:rFonts w:eastAsia="Calibri"/>
          <w:rtl/>
        </w:rPr>
      </w:pPr>
    </w:p>
    <w:p w:rsidR="004477CC" w:rsidRPr="004477CC" w:rsidP="004477CC">
      <w:pPr>
        <w:spacing w:line="269" w:lineRule="auto"/>
        <w:jc w:val="center"/>
        <w:rPr>
          <w:rFonts w:eastAsia="Calibri"/>
          <w:b/>
          <w:bCs/>
          <w:rtl/>
        </w:rPr>
      </w:pPr>
      <w:r w:rsidRPr="004477CC">
        <w:rPr>
          <w:rFonts w:eastAsia="Calibri"/>
          <w:rtl/>
        </w:rPr>
        <w:t>תרשים</w:t>
      </w:r>
      <w:r w:rsidRPr="004477CC">
        <w:rPr>
          <w:rFonts w:eastAsia="Calibri" w:hint="cs"/>
          <w:rtl/>
        </w:rPr>
        <w:t xml:space="preserve"> 1: </w:t>
      </w:r>
      <w:r w:rsidRPr="004477CC">
        <w:rPr>
          <w:rFonts w:eastAsia="Calibri" w:hint="eastAsia"/>
          <w:b/>
          <w:bCs/>
          <w:rtl/>
        </w:rPr>
        <w:t>היקף</w:t>
      </w:r>
      <w:r w:rsidRPr="004477CC">
        <w:rPr>
          <w:rFonts w:eastAsia="Calibri"/>
          <w:b/>
          <w:bCs/>
          <w:rtl/>
        </w:rPr>
        <w:t xml:space="preserve"> </w:t>
      </w:r>
      <w:r w:rsidRPr="004477CC">
        <w:rPr>
          <w:rFonts w:eastAsia="Calibri" w:hint="cs"/>
          <w:b/>
          <w:bCs/>
          <w:rtl/>
        </w:rPr>
        <w:t>ה</w:t>
      </w:r>
      <w:r w:rsidRPr="004477CC">
        <w:rPr>
          <w:rFonts w:eastAsia="Calibri" w:hint="eastAsia"/>
          <w:b/>
          <w:bCs/>
          <w:rtl/>
        </w:rPr>
        <w:t>אירועים</w:t>
      </w:r>
      <w:r w:rsidRPr="004477CC">
        <w:rPr>
          <w:rFonts w:eastAsia="Calibri"/>
          <w:b/>
          <w:bCs/>
          <w:rtl/>
        </w:rPr>
        <w:t xml:space="preserve"> </w:t>
      </w:r>
      <w:r w:rsidRPr="004477CC">
        <w:rPr>
          <w:rFonts w:eastAsia="Calibri" w:hint="cs"/>
          <w:b/>
          <w:bCs/>
          <w:rtl/>
        </w:rPr>
        <w:t>ה</w:t>
      </w:r>
      <w:r w:rsidRPr="004477CC">
        <w:rPr>
          <w:rFonts w:eastAsia="Calibri" w:hint="eastAsia"/>
          <w:b/>
          <w:bCs/>
          <w:rtl/>
        </w:rPr>
        <w:t>אנטישמיים</w:t>
      </w:r>
      <w:r w:rsidRPr="004477CC">
        <w:rPr>
          <w:rFonts w:eastAsia="Calibri"/>
          <w:b/>
          <w:bCs/>
          <w:rtl/>
        </w:rPr>
        <w:t xml:space="preserve"> </w:t>
      </w:r>
      <w:r w:rsidRPr="004477CC">
        <w:rPr>
          <w:rFonts w:eastAsia="Calibri" w:hint="cs"/>
          <w:b/>
          <w:bCs/>
          <w:rtl/>
        </w:rPr>
        <w:t>בארה"ב, בבריטניה, בצרפת ובאוסטרליה,</w:t>
      </w:r>
      <w:r w:rsidRPr="004477CC">
        <w:rPr>
          <w:rFonts w:eastAsia="Calibri"/>
          <w:b/>
          <w:bCs/>
          <w:rtl/>
        </w:rPr>
        <w:t xml:space="preserve"> </w:t>
      </w:r>
      <w:r w:rsidRPr="004477CC">
        <w:rPr>
          <w:rFonts w:eastAsia="Calibri"/>
          <w:b/>
          <w:bCs/>
          <w:rtl/>
        </w:rPr>
        <w:br/>
        <w:t xml:space="preserve">2019 </w:t>
      </w:r>
      <w:r w:rsidRPr="004477CC">
        <w:rPr>
          <w:rFonts w:eastAsia="Calibri" w:hint="cs"/>
          <w:b/>
          <w:bCs/>
          <w:rtl/>
        </w:rPr>
        <w:t xml:space="preserve">- </w:t>
      </w:r>
      <w:r w:rsidRPr="004477CC">
        <w:rPr>
          <w:rFonts w:eastAsia="Calibri"/>
          <w:b/>
          <w:bCs/>
          <w:rtl/>
        </w:rPr>
        <w:t>2024</w:t>
      </w:r>
    </w:p>
    <w:p w:rsidR="004477CC" w:rsidRPr="004477CC" w:rsidP="004477CC">
      <w:pPr>
        <w:spacing w:line="269" w:lineRule="auto"/>
        <w:jc w:val="center"/>
        <w:rPr>
          <w:rFonts w:eastAsia="Calibri"/>
          <w:b/>
          <w:bCs/>
          <w:rtl/>
        </w:rPr>
      </w:pPr>
      <w:r w:rsidRPr="004477CC">
        <w:rPr>
          <w:rFonts w:eastAsia="Calibri"/>
          <w:noProof/>
        </w:rPr>
        <w:drawing>
          <wp:inline distT="0" distB="0" distL="0" distR="0">
            <wp:extent cx="4915316" cy="2765392"/>
            <wp:effectExtent l="0" t="0" r="0" b="0"/>
            <wp:docPr id="5" name="תמונה 5" descr="התרשים מציג את היקף האירועים האנטישמיים בשנים 2019 - 2024 בארה&quot;ב, בריטניה, צרפת ואוסטרלי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17670" cy="2766716"/>
                    </a:xfrm>
                    <a:prstGeom prst="rect">
                      <a:avLst/>
                    </a:prstGeom>
                    <a:noFill/>
                    <a:ln>
                      <a:noFill/>
                    </a:ln>
                  </pic:spPr>
                </pic:pic>
              </a:graphicData>
            </a:graphic>
          </wp:inline>
        </w:drawing>
      </w:r>
    </w:p>
    <w:p w:rsidR="004477CC" w:rsidRPr="004477CC" w:rsidP="004477CC">
      <w:pPr>
        <w:spacing w:line="269" w:lineRule="auto"/>
        <w:rPr>
          <w:rFonts w:eastAsia="Calibri"/>
          <w:szCs w:val="20"/>
          <w:rtl/>
        </w:rPr>
      </w:pPr>
      <w:r w:rsidRPr="004477CC">
        <w:rPr>
          <w:rFonts w:eastAsia="Calibri" w:hint="cs"/>
          <w:szCs w:val="20"/>
          <w:rtl/>
        </w:rPr>
        <w:t xml:space="preserve">על פי נתוני משרד התפוצות, בעיבוד משרד מבקר המדינה.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 xml:space="preserve">עוד נכתב בדוח מצב האנטישמיות כי מאז שבעה באוקטובר 2023 האנטישמיות הפכה לאלימה ומסוכנת יותר. בשנת 2024 האנטישמיות כללה אירועים חמורים של רצח, ונדליזם, השחתת מונומנטים יהודיים והצתת מוסדות יהודים.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להלן בתרשים יוצג הגידול במספר אירועי האנטישמיות הכוללים אלימות פיזית באוסטרליה, בצרפת ובבריטניה בשנים 2022 - 2024.</w:t>
      </w:r>
    </w:p>
    <w:p w:rsidR="004477CC" w:rsidRPr="004477CC" w:rsidP="004477CC">
      <w:pPr>
        <w:spacing w:line="269" w:lineRule="auto"/>
        <w:rPr>
          <w:rFonts w:eastAsia="Calibri"/>
          <w:rtl/>
        </w:rPr>
      </w:pPr>
    </w:p>
    <w:p w:rsidR="004477CC" w:rsidRPr="004477CC" w:rsidP="004477CC">
      <w:pPr>
        <w:spacing w:line="269" w:lineRule="auto"/>
        <w:jc w:val="center"/>
        <w:rPr>
          <w:rFonts w:eastAsia="Calibri"/>
          <w:b/>
          <w:bCs/>
          <w:i/>
          <w:iCs/>
          <w:rtl/>
        </w:rPr>
      </w:pPr>
      <w:r w:rsidRPr="004477CC">
        <w:rPr>
          <w:rFonts w:eastAsia="Calibri"/>
          <w:rtl/>
        </w:rPr>
        <w:t>תרשים</w:t>
      </w:r>
      <w:r w:rsidRPr="004477CC">
        <w:rPr>
          <w:rFonts w:eastAsia="Calibri" w:hint="cs"/>
          <w:rtl/>
        </w:rPr>
        <w:t xml:space="preserve"> 2</w:t>
      </w:r>
      <w:r w:rsidRPr="004477CC">
        <w:rPr>
          <w:rFonts w:eastAsia="Calibri"/>
          <w:rtl/>
        </w:rPr>
        <w:t xml:space="preserve">: </w:t>
      </w:r>
      <w:r w:rsidRPr="004477CC">
        <w:rPr>
          <w:rFonts w:eastAsia="Calibri" w:hint="cs"/>
          <w:b/>
          <w:bCs/>
          <w:rtl/>
        </w:rPr>
        <w:t>הגידול</w:t>
      </w:r>
      <w:r w:rsidRPr="004477CC">
        <w:rPr>
          <w:rFonts w:eastAsia="Calibri"/>
          <w:b/>
          <w:bCs/>
          <w:rtl/>
        </w:rPr>
        <w:t xml:space="preserve"> ב</w:t>
      </w:r>
      <w:r w:rsidRPr="004477CC">
        <w:rPr>
          <w:rFonts w:eastAsia="Calibri" w:hint="cs"/>
          <w:b/>
          <w:bCs/>
          <w:rtl/>
        </w:rPr>
        <w:t xml:space="preserve">מספר </w:t>
      </w:r>
      <w:r w:rsidRPr="004477CC">
        <w:rPr>
          <w:rFonts w:eastAsia="Calibri"/>
          <w:b/>
          <w:bCs/>
          <w:rtl/>
        </w:rPr>
        <w:t xml:space="preserve">אירועי </w:t>
      </w:r>
      <w:r w:rsidRPr="004477CC">
        <w:rPr>
          <w:rFonts w:eastAsia="Calibri" w:hint="cs"/>
          <w:b/>
          <w:bCs/>
          <w:rtl/>
        </w:rPr>
        <w:t>ה</w:t>
      </w:r>
      <w:r w:rsidRPr="004477CC">
        <w:rPr>
          <w:rFonts w:eastAsia="Calibri"/>
          <w:b/>
          <w:bCs/>
          <w:rtl/>
        </w:rPr>
        <w:t xml:space="preserve">אנטישמיות הכוללים אלימות פיזית </w:t>
      </w:r>
      <w:r w:rsidRPr="004477CC">
        <w:rPr>
          <w:rFonts w:eastAsia="Calibri" w:hint="eastAsia"/>
          <w:b/>
          <w:bCs/>
          <w:rtl/>
        </w:rPr>
        <w:t>באוסטרליה</w:t>
      </w:r>
      <w:r w:rsidRPr="004477CC">
        <w:rPr>
          <w:rFonts w:eastAsia="Calibri"/>
          <w:b/>
          <w:bCs/>
          <w:rtl/>
        </w:rPr>
        <w:t xml:space="preserve">, </w:t>
      </w:r>
      <w:r w:rsidRPr="004477CC">
        <w:rPr>
          <w:rFonts w:eastAsia="Calibri" w:hint="eastAsia"/>
          <w:b/>
          <w:bCs/>
          <w:rtl/>
        </w:rPr>
        <w:t>בצרפת</w:t>
      </w:r>
      <w:r w:rsidRPr="004477CC">
        <w:rPr>
          <w:rFonts w:eastAsia="Calibri"/>
          <w:b/>
          <w:bCs/>
          <w:rtl/>
        </w:rPr>
        <w:t xml:space="preserve"> </w:t>
      </w:r>
      <w:r w:rsidRPr="004477CC">
        <w:rPr>
          <w:rFonts w:eastAsia="Calibri" w:hint="eastAsia"/>
          <w:b/>
          <w:bCs/>
          <w:rtl/>
        </w:rPr>
        <w:t>ובבריטניה</w:t>
      </w:r>
      <w:r w:rsidRPr="004477CC">
        <w:rPr>
          <w:rFonts w:eastAsia="Calibri"/>
          <w:b/>
          <w:bCs/>
          <w:rtl/>
        </w:rPr>
        <w:t xml:space="preserve">, 2022 </w:t>
      </w:r>
      <w:r w:rsidRPr="004477CC">
        <w:rPr>
          <w:rFonts w:eastAsia="Calibri" w:hint="cs"/>
          <w:b/>
          <w:bCs/>
          <w:rtl/>
        </w:rPr>
        <w:t>-</w:t>
      </w:r>
      <w:r w:rsidRPr="004477CC">
        <w:rPr>
          <w:rFonts w:eastAsia="Calibri"/>
          <w:b/>
          <w:bCs/>
          <w:rtl/>
        </w:rPr>
        <w:t xml:space="preserve"> 2024</w:t>
      </w:r>
    </w:p>
    <w:p w:rsidR="004477CC" w:rsidRPr="004477CC" w:rsidP="004477CC">
      <w:pPr>
        <w:spacing w:line="269" w:lineRule="auto"/>
        <w:jc w:val="center"/>
        <w:rPr>
          <w:rFonts w:eastAsia="Calibri"/>
          <w:szCs w:val="20"/>
          <w:rtl/>
        </w:rPr>
      </w:pPr>
      <w:r w:rsidRPr="004477CC">
        <w:rPr>
          <w:rFonts w:eastAsia="Calibri"/>
          <w:noProof/>
        </w:rPr>
        <w:drawing>
          <wp:inline distT="0" distB="0" distL="0" distR="0">
            <wp:extent cx="4686300" cy="2368550"/>
            <wp:effectExtent l="0" t="0" r="0" b="0"/>
            <wp:docPr id="2" name="תמונה 2" descr="התרשים מציג את הגידול במספר האירועים האנטישמיים בשנים 2022 וב-2024 באוסטרליה, בצרפת ובבריט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6944" b="6713"/>
                    <a:stretch>
                      <a:fillRect/>
                    </a:stretch>
                  </pic:blipFill>
                  <pic:spPr bwMode="auto">
                    <a:xfrm>
                      <a:off x="0" y="0"/>
                      <a:ext cx="4686300" cy="23685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477CC" w:rsidRPr="004477CC" w:rsidP="004477CC">
      <w:pPr>
        <w:spacing w:line="269" w:lineRule="auto"/>
        <w:jc w:val="left"/>
        <w:rPr>
          <w:rFonts w:eastAsia="Calibri"/>
          <w:szCs w:val="20"/>
          <w:rtl/>
        </w:rPr>
      </w:pPr>
      <w:r w:rsidRPr="004477CC">
        <w:rPr>
          <w:rFonts w:eastAsia="Calibri" w:hint="cs"/>
          <w:szCs w:val="20"/>
          <w:rtl/>
        </w:rPr>
        <w:t>על פי נתוני משרד התפוצות, בעיבוד משרד מבקר המדינה.</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 xml:space="preserve">ב-7.11.24 התקיים באמסטרדם שבהולנד במסגרת הליגה האירופית משחק כדורגל בין קבוצת מכבי תל אביב לבין קבוצת איאקס ההולנדית, והגיעו אליו כ-2,700 אוהדים מישראל (להלן - "אירוע אמסטרדם"). בסיום המשחק, לאחר שעזבו האוהדים את מתחם האצטדיון, החלו קבוצות מוסלמיות בכמה נקודות ברחבי העיר לנסות לפגוע פיזית באוהדי מכבי תל אביב וגרמו לפציעות רבות. לפי משרד החוץ, ההערכה היא כי המתקפה בוצעה על רקע מלחמת חרבות ברזל, והשתתפו בה עשרות מתושבי העיר שפעלו באופן מתואם. לפי נתוני משרד הספורט, במהלך אותו הלילה עד שעות הבוקר המאוחרות יותר מ-30 פצועים ישראלים התפנו לבתי חולים לקבלת טיפול רפואי והיו עוד פצועים רבים שפחדו להתפנות למוקדי הרפואה והסתגרו במלונות. התקיפות כללו דקירה, דריסה ואלימות פיזית. "אירוע אמסטרדם" הוא אירוע מכונן בהיבט של תקיפת אוהדי ספורט ישראלים. לפי תחקיר של משרד החוץ מ-13.11.24 בנוגע ל"אירוע אמסטרדם", הצפי הוא כי קצב האירועים האנטישמיים בחו"ל יגבר.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Times New Roman"/>
          <w:sz w:val="24"/>
          <w:rtl/>
          <w:lang w:eastAsia="he-IL"/>
        </w:rPr>
      </w:pPr>
      <w:r w:rsidRPr="004477CC">
        <w:rPr>
          <w:rFonts w:eastAsia="Calibri" w:hint="cs"/>
          <w:rtl/>
        </w:rPr>
        <w:t>האחריות לביטחונם של משלחות ספורט ממלכתיות ואוהדים ישראלים בחו"ל נחלקת בין כמה גופים</w:t>
      </w:r>
      <w:r w:rsidRPr="004477CC">
        <w:rPr>
          <w:rFonts w:eastAsia="Calibri" w:hint="cs"/>
          <w:rtl/>
          <w:lang w:eastAsia="he-IL"/>
        </w:rPr>
        <w:t>.</w:t>
      </w:r>
    </w:p>
    <w:p w:rsidR="004477CC" w:rsidRPr="004477CC" w:rsidP="004477CC">
      <w:pPr>
        <w:spacing w:line="269" w:lineRule="auto"/>
        <w:rPr>
          <w:rFonts w:eastAsia="Times New Roman"/>
          <w:sz w:val="24"/>
          <w:rtl/>
          <w:lang w:eastAsia="he-IL"/>
        </w:rPr>
      </w:pPr>
    </w:p>
    <w:p w:rsidR="004477CC" w:rsidRPr="004477CC" w:rsidP="00D47AD6">
      <w:pPr>
        <w:pStyle w:val="Heading3"/>
        <w:rPr>
          <w:rFonts w:eastAsia="Times New Roman"/>
          <w:rtl/>
        </w:rPr>
      </w:pPr>
      <w:r w:rsidRPr="004477CC">
        <w:rPr>
          <w:rFonts w:eastAsia="Times New Roman" w:hint="cs"/>
          <w:rtl/>
        </w:rPr>
        <w:t>פעולות הביקורת</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 xml:space="preserve">בעקבות "אירוע אמסטרדם" ונוכח הסיכונים הגוברים לישראלים בחו"ל והשתתפות קבוצות ספורט באירועי ספורט בחו"ל באופן תדיר, בחן משרד מבקר המדינה בחודשים ינואר עד מאי 2025 את המענה שניתן לאבטחה של קבוצות ספורט ישראליות בחו"ל ושל אוהדים ישראלים המשתתפים באירועי הספורט בחו"ל כקהל. כמו כן, בחן משרד מבקר המדינה את </w:t>
      </w:r>
      <w:r w:rsidRPr="004477CC">
        <w:rPr>
          <w:rFonts w:eastAsia="Calibri"/>
          <w:rtl/>
        </w:rPr>
        <w:t>הפקת הלקחים מהמענה הממשלתי שניתן לאוהדים הישראלים ב</w:t>
      </w:r>
      <w:r w:rsidRPr="004477CC">
        <w:rPr>
          <w:rFonts w:eastAsia="Calibri" w:hint="cs"/>
          <w:rtl/>
        </w:rPr>
        <w:t>"</w:t>
      </w:r>
      <w:r w:rsidRPr="004477CC">
        <w:rPr>
          <w:rFonts w:eastAsia="Calibri"/>
          <w:rtl/>
        </w:rPr>
        <w:t>אירוע אמסטרדם</w:t>
      </w:r>
      <w:r w:rsidRPr="004477CC">
        <w:rPr>
          <w:rFonts w:eastAsia="Calibri" w:hint="cs"/>
          <w:rtl/>
        </w:rPr>
        <w:t xml:space="preserve">". </w:t>
      </w:r>
    </w:p>
    <w:p w:rsidR="004477CC" w:rsidRPr="004477CC" w:rsidP="004477CC">
      <w:pPr>
        <w:spacing w:line="269" w:lineRule="auto"/>
        <w:rPr>
          <w:rFonts w:eastAsia="Calibri"/>
          <w:rtl/>
        </w:rPr>
      </w:pPr>
    </w:p>
    <w:p w:rsidR="004477CC" w:rsidRPr="004477CC" w:rsidP="004477CC">
      <w:pPr>
        <w:spacing w:line="269" w:lineRule="auto"/>
        <w:rPr>
          <w:rFonts w:eastAsia="Calibri"/>
          <w:rtl/>
        </w:rPr>
      </w:pPr>
      <w:bookmarkStart w:id="4" w:name="_Hlk228725531"/>
      <w:r w:rsidRPr="004477CC">
        <w:rPr>
          <w:rFonts w:eastAsia="Calibri" w:hint="cs"/>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התשי"ח-1958[נוסח משולב].</w:t>
      </w:r>
      <w:bookmarkEnd w:id="4"/>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b/>
          <w:bCs/>
          <w:rtl/>
        </w:rPr>
      </w:pPr>
      <w:r w:rsidRPr="004477CC">
        <w:rPr>
          <w:rFonts w:eastAsia="Calibri"/>
          <w:b/>
          <w:bCs/>
          <w:rtl/>
        </w:rPr>
        <w:t xml:space="preserve">יצוין כי </w:t>
      </w:r>
      <w:r w:rsidRPr="004477CC">
        <w:rPr>
          <w:rFonts w:eastAsia="Calibri" w:hint="cs"/>
          <w:b/>
          <w:bCs/>
          <w:rtl/>
        </w:rPr>
        <w:t>הביקורת</w:t>
      </w:r>
      <w:r w:rsidRPr="004477CC">
        <w:rPr>
          <w:rFonts w:eastAsia="Calibri"/>
          <w:b/>
          <w:bCs/>
          <w:rtl/>
        </w:rPr>
        <w:t xml:space="preserve"> </w:t>
      </w:r>
      <w:r w:rsidRPr="004477CC">
        <w:rPr>
          <w:rFonts w:eastAsia="Calibri" w:hint="cs"/>
          <w:b/>
          <w:bCs/>
          <w:rtl/>
        </w:rPr>
        <w:t>התמקדה בהיבטים מסוימים של אבטחת קבוצות ספורט ישראליות ושל אוהדי ספורט ישראלים.</w:t>
      </w:r>
    </w:p>
    <w:p w:rsidR="004477CC" w:rsidRPr="004477CC" w:rsidP="004477CC">
      <w:pPr>
        <w:spacing w:line="269" w:lineRule="auto"/>
        <w:rPr>
          <w:rFonts w:eastAsia="Calibri"/>
          <w:b/>
          <w:bCs/>
          <w:rtl/>
        </w:rPr>
      </w:pPr>
    </w:p>
    <w:p w:rsidR="004477CC" w:rsidRPr="004477CC" w:rsidP="0093554A">
      <w:pPr>
        <w:pStyle w:val="Heading3"/>
        <w:rPr>
          <w:rFonts w:eastAsia="Times New Roman"/>
        </w:rPr>
      </w:pPr>
      <w:r w:rsidRPr="004477CC">
        <w:rPr>
          <w:rFonts w:eastAsia="Times New Roman" w:hint="cs"/>
          <w:rtl/>
        </w:rPr>
        <w:t>הפקת הלקחים מהמענה הממשלתי שניתן לאוהדים הישראלים ב"אירוע אמסטרדם"</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 xml:space="preserve">לפי הנוהל הבין-משרדי לפינוי ישראלים בחו"ל ממרץ 2024, הגורם המוביל והמתכלל האחראי לפינוי ולהשבה של ישראלים במהירות לארץ בהתרחש אירוע חירום בחו"ל (אירוע פח"ע, אסון טבע, מגפות וכיו"ב) הוא משרד החוץ, למעט במקרים חריגים שבהם ראש הממשלה או הדרג המדיני מחליט כי האחריות לכך תוטל על המל"ל.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בעקבות "אירוע אמסטרדם" בוצעו כמה תחקירים על ידי המל"ל, משרד החוץ ומשרד הספורט. מהתחקירים עלו כמה פערים והמלצות מהותיות.</w:t>
      </w:r>
      <w:r w:rsidRPr="004477CC">
        <w:rPr>
          <w:rFonts w:eastAsia="Calibri"/>
          <w:rtl/>
        </w:rPr>
        <w:t xml:space="preserve">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כדי לתת מענה על הפערים שעלו חשוב לתרגל את הנהלים הרלוונטיים. הנוהל הבין-משרדי לפינוי ישראלים בחו"ל ממרץ 2024 ממסד הליך בין-משרדי</w:t>
      </w:r>
      <w:r w:rsidRPr="004477CC">
        <w:rPr>
          <w:rFonts w:eastAsia="Calibri"/>
          <w:rtl/>
        </w:rPr>
        <w:t xml:space="preserve"> </w:t>
      </w:r>
      <w:r w:rsidRPr="004477CC">
        <w:rPr>
          <w:rFonts w:eastAsia="Calibri" w:hint="cs"/>
          <w:rtl/>
        </w:rPr>
        <w:t>לשיתוף פעולה בין גופים שונים כדי שבתרחישים שונים יהיה אפשר להשיב ארצה ישראלים השוהים בחו"ל בתוך פרקי זמן קצרים. הוא קובע כי הוא יתורגל אחת לשנה באחריות משרד החוץ יחד עם המל"ל. נוהל זה היה רלוונטי גם בעת "אירועי אמסטרדם", כיוון שעלה הצורך להחזיר במהירות את האוהדים לישראל.</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b/>
          <w:bCs/>
          <w:rtl/>
        </w:rPr>
      </w:pPr>
      <w:r w:rsidRPr="004477CC">
        <w:rPr>
          <w:rFonts w:eastAsia="Calibri" w:hint="cs"/>
          <w:b/>
          <w:bCs/>
          <w:rtl/>
        </w:rPr>
        <w:t>בביקורת עלה כי באוגוסט 2025 משרד החוץ והמל"ל עדיין לא תרגלו את הנוהל הבין-משרדי לפינוי ישראלים ממרץ 2024, זאת על אף שהוגדר בנוהל כי הוא יתורגל אחת לשנה.</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מל"ל מסר בתשובתו כי הוא אינו גוף אופרטיבי ואינו אמון על השבה ופינוי של ישראלים מחו"ל אלא במקרים חריגים שבהם ראש הממשלה או הדרג המדיני מינו אותו כאחראי לכך. קרי, תרגול יישומו של הנוהל אינו באחריותו. עוד מסר המל"ל כי הנוהל הבין-ארגוני "אכן תורגל (בהצלחה) הן בחודש נובמבר 2024 במהלך "אירועי אמסטרדם", והן בחודש יוני 2025 במהלך מבצע 'עם כלביא'".</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b/>
          <w:bCs/>
          <w:rtl/>
        </w:rPr>
      </w:pPr>
      <w:r w:rsidRPr="004477CC">
        <w:rPr>
          <w:rFonts w:eastAsia="Calibri" w:hint="cs"/>
          <w:b/>
          <w:bCs/>
          <w:rtl/>
        </w:rPr>
        <w:t xml:space="preserve">משרד מבקר המדינה מעיר כי תחקירי "אירוע אמסטרדם" מעידים על פערים רבים שנדרש לתקן בתחומים שונים כאמור. עוד יוער כי לא ניתן לקבל את עמדת המל"ל, שכן לפי הנוהל, המשימה </w:t>
      </w:r>
      <w:bookmarkStart w:id="5" w:name="_Hlk220833706"/>
      <w:r w:rsidRPr="004477CC">
        <w:rPr>
          <w:rFonts w:eastAsia="Calibri" w:hint="cs"/>
          <w:b/>
          <w:bCs/>
          <w:rtl/>
        </w:rPr>
        <w:t>עשויה</w:t>
      </w:r>
      <w:bookmarkEnd w:id="5"/>
      <w:r w:rsidRPr="004477CC">
        <w:rPr>
          <w:rFonts w:eastAsia="Calibri" w:hint="cs"/>
          <w:b/>
          <w:bCs/>
          <w:rtl/>
        </w:rPr>
        <w:t xml:space="preserve"> להיות מוטלת עליו, כפי שאכן התרחש למשך כמה שעות "באירוע אמסטרדם". אשר על כן, עליו גם לתרגל את מוכנותו בהתאם לאחריותו לפי הנוהל. </w:t>
      </w:r>
    </w:p>
    <w:p w:rsidR="004477CC" w:rsidRPr="004477CC" w:rsidP="004477CC">
      <w:pPr>
        <w:spacing w:line="269" w:lineRule="auto"/>
        <w:ind w:left="-567"/>
        <w:rPr>
          <w:rFonts w:eastAsia="Calibri"/>
          <w:szCs w:val="20"/>
          <w:rtl/>
        </w:rPr>
      </w:pPr>
    </w:p>
    <w:p w:rsidR="004477CC" w:rsidRPr="004477CC" w:rsidP="004477CC">
      <w:pPr>
        <w:spacing w:line="269" w:lineRule="auto"/>
        <w:ind w:left="-1"/>
        <w:rPr>
          <w:rFonts w:eastAsia="Calibri"/>
          <w:b/>
          <w:bCs/>
          <w:rtl/>
        </w:rPr>
      </w:pPr>
      <w:r w:rsidRPr="004477CC">
        <w:rPr>
          <w:rFonts w:eastAsia="Calibri" w:hint="cs"/>
          <w:b/>
          <w:bCs/>
          <w:rtl/>
        </w:rPr>
        <w:t>"אירוע אמסטרדם" הוא מקרה בוחן למוכנות הלאומית לטיפול במצוקת ישראלים בחו"ל במקרי קיצון. מתחקיר משרד החוץ עולה שהתפקוד ב"אירוע אמסטרדם" היה לקוי, והדבר מעלה חשש למוכנותו של משרד החוץ לאירועים בסדרי גודל משמעותיים רבי נפגעים (מגה-אר"ן).</w:t>
      </w:r>
    </w:p>
    <w:p w:rsidR="004477CC" w:rsidRPr="004477CC" w:rsidP="004477CC">
      <w:pPr>
        <w:spacing w:line="269" w:lineRule="auto"/>
        <w:ind w:left="-567"/>
        <w:rPr>
          <w:rFonts w:eastAsia="Calibri"/>
          <w:szCs w:val="20"/>
          <w:rtl/>
        </w:rPr>
      </w:pPr>
    </w:p>
    <w:p w:rsidR="004477CC" w:rsidRPr="004477CC" w:rsidP="004477CC">
      <w:pPr>
        <w:spacing w:line="269" w:lineRule="auto"/>
        <w:ind w:left="-1"/>
        <w:rPr>
          <w:rFonts w:eastAsia="Calibri"/>
          <w:b/>
          <w:bCs/>
          <w:rtl/>
        </w:rPr>
      </w:pPr>
      <w:r w:rsidRPr="004477CC">
        <w:rPr>
          <w:rFonts w:eastAsia="Calibri" w:hint="cs"/>
          <w:b/>
          <w:bCs/>
          <w:rtl/>
        </w:rPr>
        <w:t xml:space="preserve">על משרד החוץ והמל"ל לוודא כי הם ערוכים לטפל באירועי חירום של ישראלים בחו"ל, לרבות אירועים שהם מגה-אר"ן, תוך התייחסות ספציפית לסיכונים הנשקפים לקבוצות ספורט ישראליות המשתתפות בתחרויות ספורט בחו"ל ולאוהדים ישראלים בחו"ל. על הגופים האמורים להפיק לקחים מ"אירוע אמסטרדם" ולפעול לתיקון הליקויים שעלו בתחקירים שהם ביצעו.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rtl/>
        </w:rPr>
      </w:pPr>
      <w:r w:rsidRPr="004477CC">
        <w:rPr>
          <w:rFonts w:eastAsia="Calibri" w:hint="cs"/>
          <w:rtl/>
        </w:rPr>
        <w:t>משרד החוץ מסר בתשובתו למשרד מבקר המדינה בנובמבר 2025 כי הסנטימנט האנטישמי והאנטי-ישראלי והדה-לגיטימיזצ</w:t>
      </w:r>
      <w:r w:rsidRPr="004477CC">
        <w:rPr>
          <w:rFonts w:eastAsia="Calibri" w:hint="eastAsia"/>
          <w:rtl/>
        </w:rPr>
        <w:t>יה</w:t>
      </w:r>
      <w:r w:rsidRPr="004477CC">
        <w:rPr>
          <w:rFonts w:eastAsia="Calibri" w:hint="cs"/>
          <w:rtl/>
        </w:rPr>
        <w:t xml:space="preserve"> של ישראל בתחומי החיים השונים בחו"ל מדאיגה ביותר, וכי הם פועלים רבות בתחום. לצערם הנושא לא פסח על תחום הספורט בכלל ועל ענף הכדורגל בפרט. "אירוע אמסטרדם" הוא דוגמה לא פשוטה לכך. משרד החוץ מסר כי בחודשים האחרונים הוטמעה בו מערכת מסוימת המשרד הוסיף כי הוא פועל להשלמת הטמעה של מערכות נוספות בתוך המערכת האמורה. </w:t>
      </w:r>
    </w:p>
    <w:p w:rsidR="004477CC" w:rsidRPr="004477CC" w:rsidP="004477CC">
      <w:pPr>
        <w:spacing w:line="269" w:lineRule="auto"/>
        <w:rPr>
          <w:rFonts w:eastAsia="Calibri"/>
          <w:rtl/>
        </w:rPr>
      </w:pPr>
    </w:p>
    <w:p w:rsidR="004477CC" w:rsidRPr="004477CC" w:rsidP="0093554A">
      <w:pPr>
        <w:pStyle w:val="Heading3"/>
        <w:rPr>
          <w:rFonts w:eastAsia="Times New Roman"/>
          <w:rtl/>
          <w:lang w:eastAsia="he-IL"/>
        </w:rPr>
      </w:pPr>
      <w:r w:rsidRPr="004477CC">
        <w:rPr>
          <w:rFonts w:eastAsia="Times New Roman" w:hint="eastAsia"/>
          <w:rtl/>
          <w:lang w:eastAsia="he-IL"/>
        </w:rPr>
        <w:t>סיכום</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b/>
          <w:bCs/>
          <w:rtl/>
        </w:rPr>
      </w:pPr>
      <w:r w:rsidRPr="004477CC">
        <w:rPr>
          <w:rFonts w:eastAsia="Calibri"/>
          <w:b/>
          <w:bCs/>
          <w:rtl/>
        </w:rPr>
        <w:t xml:space="preserve">הסיכונים </w:t>
      </w:r>
      <w:r w:rsidRPr="004477CC">
        <w:rPr>
          <w:rFonts w:eastAsia="Calibri" w:hint="cs"/>
          <w:b/>
          <w:bCs/>
          <w:rtl/>
        </w:rPr>
        <w:t>הנשקפים ל</w:t>
      </w:r>
      <w:r w:rsidRPr="004477CC">
        <w:rPr>
          <w:rFonts w:eastAsia="Calibri"/>
          <w:b/>
          <w:bCs/>
          <w:rtl/>
        </w:rPr>
        <w:t>אוהדים ישראלים בחו"ל הולכים ומתגברים</w:t>
      </w:r>
      <w:r w:rsidRPr="004477CC">
        <w:rPr>
          <w:rFonts w:eastAsia="Calibri" w:hint="cs"/>
          <w:b/>
          <w:bCs/>
          <w:rtl/>
        </w:rPr>
        <w:t>.</w:t>
      </w:r>
      <w:r w:rsidRPr="004477CC">
        <w:rPr>
          <w:rFonts w:eastAsia="Calibri"/>
          <w:b/>
          <w:bCs/>
          <w:rtl/>
        </w:rPr>
        <w:t xml:space="preserve"> </w:t>
      </w:r>
    </w:p>
    <w:p w:rsidR="004477CC" w:rsidRPr="004477CC" w:rsidP="004477CC">
      <w:pPr>
        <w:spacing w:line="269" w:lineRule="auto"/>
        <w:ind w:left="-567"/>
        <w:rPr>
          <w:rFonts w:eastAsia="Calibri"/>
          <w:szCs w:val="20"/>
          <w:rtl/>
        </w:rPr>
      </w:pPr>
    </w:p>
    <w:p w:rsidR="004477CC" w:rsidRPr="004477CC" w:rsidP="004477CC">
      <w:pPr>
        <w:spacing w:line="269" w:lineRule="auto"/>
        <w:rPr>
          <w:rFonts w:eastAsia="Calibri"/>
          <w:b/>
          <w:bCs/>
          <w:lang w:eastAsia="he-IL"/>
        </w:rPr>
      </w:pPr>
      <w:r w:rsidRPr="004477CC">
        <w:rPr>
          <w:rFonts w:eastAsia="Calibri" w:hint="cs"/>
          <w:b/>
          <w:bCs/>
          <w:rtl/>
        </w:rPr>
        <w:t xml:space="preserve">"אירוע אמסטרדם" הוא מקרה בוחן למוכנות הלאומית לטיפול במצוקת ישראלים בחו"ל במקרי קיצון. מתחקיר משרד החוץ עולה שהתפקוד ב"אירוע אמסטרדם" היה לקוי, והדבר מעלה חשש למוכנותו של משרד החוץ להתמודד עם אירועים בסדרי גודל משמעותיים רבי נפגעים (מגה-אר"ן). </w:t>
      </w:r>
      <w:r w:rsidRPr="004477CC">
        <w:rPr>
          <w:rFonts w:eastAsia="Times New Roman" w:hint="cs"/>
          <w:b/>
          <w:bCs/>
          <w:sz w:val="24"/>
          <w:rtl/>
          <w:lang w:eastAsia="he-IL"/>
        </w:rPr>
        <w:t xml:space="preserve">נוכח המצב הביטחוני והאיומים על ישראלים בחו"ל, מומלץ למשרד החוץ לבחון בהקשר זה גם את המוכנות הלאומית לאירוע מגה-אר"ן של ישראלים בחו"ל. מומלץ למל"ל לבחון את מוכנותו </w:t>
      </w:r>
      <w:r w:rsidRPr="004477CC">
        <w:rPr>
          <w:rFonts w:eastAsia="Times New Roman"/>
          <w:b/>
          <w:bCs/>
          <w:sz w:val="24"/>
          <w:rtl/>
          <w:lang w:eastAsia="he-IL"/>
        </w:rPr>
        <w:t xml:space="preserve">לפינוי ולהשבה של ישראלים במהירות לארץ בהתרחש אירוע חירום בחו"ל </w:t>
      </w:r>
      <w:r w:rsidRPr="004477CC">
        <w:rPr>
          <w:rFonts w:eastAsia="Times New Roman" w:hint="cs"/>
          <w:b/>
          <w:bCs/>
          <w:sz w:val="24"/>
          <w:rtl/>
          <w:lang w:eastAsia="he-IL"/>
        </w:rPr>
        <w:t xml:space="preserve">שכן </w:t>
      </w:r>
      <w:r w:rsidRPr="004477CC">
        <w:rPr>
          <w:rFonts w:eastAsia="Times New Roman"/>
          <w:b/>
          <w:bCs/>
          <w:sz w:val="24"/>
          <w:rtl/>
          <w:lang w:eastAsia="he-IL"/>
        </w:rPr>
        <w:t>לפי הנוהל הבין-משרדי</w:t>
      </w:r>
      <w:r w:rsidRPr="004477CC">
        <w:rPr>
          <w:rFonts w:eastAsia="Times New Roman" w:hint="cs"/>
          <w:b/>
          <w:bCs/>
          <w:sz w:val="24"/>
          <w:rtl/>
          <w:lang w:eastAsia="he-IL"/>
        </w:rPr>
        <w:t>,</w:t>
      </w:r>
      <w:r w:rsidRPr="004477CC">
        <w:rPr>
          <w:rFonts w:eastAsia="Times New Roman"/>
          <w:b/>
          <w:bCs/>
          <w:sz w:val="24"/>
          <w:rtl/>
          <w:lang w:eastAsia="he-IL"/>
        </w:rPr>
        <w:t xml:space="preserve"> במקרים חריגים </w:t>
      </w:r>
      <w:r w:rsidRPr="004477CC">
        <w:rPr>
          <w:rFonts w:eastAsia="Times New Roman" w:hint="cs"/>
          <w:b/>
          <w:bCs/>
          <w:sz w:val="24"/>
          <w:rtl/>
          <w:lang w:eastAsia="he-IL"/>
        </w:rPr>
        <w:t>עשוי</w:t>
      </w:r>
      <w:r w:rsidRPr="004477CC">
        <w:rPr>
          <w:rFonts w:eastAsia="Times New Roman"/>
          <w:b/>
          <w:bCs/>
          <w:sz w:val="24"/>
          <w:rtl/>
          <w:lang w:eastAsia="he-IL"/>
        </w:rPr>
        <w:t xml:space="preserve"> </w:t>
      </w:r>
      <w:r w:rsidRPr="004477CC">
        <w:rPr>
          <w:rFonts w:eastAsia="Times New Roman" w:hint="cs"/>
          <w:b/>
          <w:bCs/>
          <w:sz w:val="24"/>
          <w:rtl/>
          <w:lang w:eastAsia="he-IL"/>
        </w:rPr>
        <w:t>ראש הממשלה</w:t>
      </w:r>
      <w:r w:rsidRPr="004477CC">
        <w:rPr>
          <w:rFonts w:eastAsia="Times New Roman"/>
          <w:b/>
          <w:bCs/>
          <w:sz w:val="24"/>
          <w:rtl/>
          <w:lang w:eastAsia="he-IL"/>
        </w:rPr>
        <w:t xml:space="preserve"> או הדרג המדיני </w:t>
      </w:r>
      <w:r w:rsidRPr="004477CC">
        <w:rPr>
          <w:rFonts w:eastAsia="Times New Roman" w:hint="cs"/>
          <w:b/>
          <w:bCs/>
          <w:sz w:val="24"/>
          <w:rtl/>
          <w:lang w:eastAsia="he-IL"/>
        </w:rPr>
        <w:t>לה</w:t>
      </w:r>
      <w:r w:rsidRPr="004477CC">
        <w:rPr>
          <w:rFonts w:eastAsia="Times New Roman"/>
          <w:b/>
          <w:bCs/>
          <w:sz w:val="24"/>
          <w:rtl/>
          <w:lang w:eastAsia="he-IL"/>
        </w:rPr>
        <w:t xml:space="preserve">חליט כי האחריות </w:t>
      </w:r>
      <w:r w:rsidRPr="004477CC">
        <w:rPr>
          <w:rFonts w:eastAsia="Times New Roman" w:hint="cs"/>
          <w:b/>
          <w:bCs/>
          <w:sz w:val="24"/>
          <w:rtl/>
          <w:lang w:eastAsia="he-IL"/>
        </w:rPr>
        <w:t xml:space="preserve">לתכלול האירוע ולניהולו </w:t>
      </w:r>
      <w:r w:rsidRPr="004477CC">
        <w:rPr>
          <w:rFonts w:eastAsia="Times New Roman"/>
          <w:b/>
          <w:bCs/>
          <w:sz w:val="24"/>
          <w:rtl/>
          <w:lang w:eastAsia="he-IL"/>
        </w:rPr>
        <w:t>תוטל על המל"ל.</w:t>
      </w:r>
      <w:bookmarkEnd w:id="2"/>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p w:rsidR="00F954E4" w:rsidP="00F954E4">
      <w:pPr>
        <w:bidi w:val="0"/>
        <w:spacing w:after="200" w:line="276" w:lineRule="auto"/>
        <w:rPr>
          <w:rFonts w:ascii="Calibri" w:hAnsi="Calibri" w:cs="Calibri"/>
          <w:b/>
          <w:bCs/>
          <w:color w:val="002060"/>
          <w:sz w:val="80"/>
          <w:szCs w:val="80"/>
        </w:rPr>
      </w:pPr>
    </w:p>
    <w:sectPr w:rsidSect="006C2C6D">
      <w:headerReference w:type="first" r:id="rId1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2199057</wp:posOffset>
              </wp:positionH>
              <wp:positionV relativeFrom="paragraph">
                <wp:posOffset>-866830</wp:posOffset>
              </wp:positionV>
              <wp:extent cx="2959100" cy="273050"/>
              <wp:effectExtent l="0" t="0" r="0" b="0"/>
              <wp:wrapNone/>
              <wp:docPr id="1" name="תיבת טקסט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3D18F4" w:rsidRPr="00A222E2" w:rsidP="003D18F4">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 o:spid="_x0000_s2063" type="#_x0000_t202" style="width:233pt;height:21.5pt;margin-top:-68.25pt;margin-left:173.15pt;mso-position-horizontal-relative:page;mso-wrap-distance-bottom:0;mso-wrap-distance-left:9pt;mso-wrap-distance-right:9pt;mso-wrap-distance-top:0;mso-wrap-style:square;position:absolute;visibility:visible;v-text-anchor:top;z-index:251661312" filled="f" stroked="f" strokeweight="0.5pt">
              <v:textbox>
                <w:txbxContent>
                  <w:p w:rsidR="003D18F4" w:rsidRPr="00A222E2" w:rsidP="003D18F4">
                    <w:pPr>
                      <w:jc w:val="center"/>
                      <w:rPr>
                        <w:rFonts w:ascii="Calibri" w:hAnsi="Calibri" w:cs="Calibri"/>
                        <w:color w:val="FFFFFF" w:themeColor="background1"/>
                        <w:spacing w:val="80"/>
                      </w:rPr>
                    </w:pPr>
                  </w:p>
                </w:txbxContent>
              </v:textbox>
            </v:shape>
          </w:pict>
        </mc:Fallback>
      </mc:AlternateContent>
    </w:r>
    <w:r w:rsidR="00A222E2">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0" o:spid="_x0000_s2064"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4477CC" w:rsidP="004477CC">
      <w:pPr>
        <w:pStyle w:val="FootnoteText"/>
      </w:pPr>
      <w:r>
        <w:rPr>
          <w:rStyle w:val="FootnoteReference1"/>
        </w:rPr>
        <w:footnoteRef/>
      </w:r>
      <w:r>
        <w:rPr>
          <w:rtl/>
        </w:rPr>
        <w:t xml:space="preserve"> </w:t>
      </w:r>
      <w:r>
        <w:rPr>
          <w:rtl/>
        </w:rPr>
        <w:tab/>
      </w:r>
      <w:r>
        <w:rPr>
          <w:rFonts w:hint="cs"/>
          <w:rtl/>
        </w:rPr>
        <w:t xml:space="preserve">הודעה מטעם המטה לביטחון לאומי: </w:t>
      </w:r>
      <w:r w:rsidRPr="00471A30">
        <w:rPr>
          <w:rFonts w:hint="eastAsia"/>
          <w:b/>
          <w:bCs/>
          <w:rtl/>
        </w:rPr>
        <w:t>עדכון</w:t>
      </w:r>
      <w:r w:rsidRPr="00471A30">
        <w:rPr>
          <w:b/>
          <w:bCs/>
          <w:rtl/>
        </w:rPr>
        <w:t xml:space="preserve"> לציבור </w:t>
      </w:r>
      <w:r>
        <w:rPr>
          <w:rFonts w:hint="cs"/>
          <w:b/>
          <w:bCs/>
          <w:rtl/>
        </w:rPr>
        <w:t>אודות</w:t>
      </w:r>
      <w:r w:rsidRPr="00471A30">
        <w:rPr>
          <w:b/>
          <w:bCs/>
          <w:rtl/>
        </w:rPr>
        <w:t xml:space="preserve"> </w:t>
      </w:r>
      <w:r w:rsidRPr="00471A30">
        <w:rPr>
          <w:rFonts w:hint="eastAsia"/>
          <w:b/>
          <w:bCs/>
          <w:rtl/>
        </w:rPr>
        <w:t>איומי</w:t>
      </w:r>
      <w:r w:rsidRPr="00471A30">
        <w:rPr>
          <w:b/>
          <w:bCs/>
          <w:rtl/>
        </w:rPr>
        <w:t xml:space="preserve"> </w:t>
      </w:r>
      <w:r w:rsidRPr="00471A30">
        <w:rPr>
          <w:rFonts w:hint="eastAsia"/>
          <w:b/>
          <w:bCs/>
          <w:rtl/>
        </w:rPr>
        <w:t>הטרור</w:t>
      </w:r>
      <w:r w:rsidRPr="00471A30">
        <w:rPr>
          <w:b/>
          <w:bCs/>
          <w:rtl/>
        </w:rPr>
        <w:t xml:space="preserve"> </w:t>
      </w:r>
      <w:r w:rsidRPr="00471A30">
        <w:rPr>
          <w:rFonts w:hint="eastAsia"/>
          <w:b/>
          <w:bCs/>
          <w:rtl/>
        </w:rPr>
        <w:t>כלפי</w:t>
      </w:r>
      <w:r w:rsidRPr="00471A30">
        <w:rPr>
          <w:b/>
          <w:bCs/>
          <w:rtl/>
        </w:rPr>
        <w:t xml:space="preserve"> </w:t>
      </w:r>
      <w:r w:rsidRPr="00471A30">
        <w:rPr>
          <w:rFonts w:hint="eastAsia"/>
          <w:b/>
          <w:bCs/>
          <w:rtl/>
        </w:rPr>
        <w:t>ישראלים</w:t>
      </w:r>
      <w:r w:rsidRPr="00471A30">
        <w:rPr>
          <w:b/>
          <w:bCs/>
          <w:rtl/>
        </w:rPr>
        <w:t xml:space="preserve"> </w:t>
      </w:r>
      <w:r w:rsidRPr="00471A30">
        <w:rPr>
          <w:rFonts w:hint="eastAsia"/>
          <w:b/>
          <w:bCs/>
          <w:rtl/>
        </w:rPr>
        <w:t>בחו</w:t>
      </w:r>
      <w:r w:rsidRPr="00471A30">
        <w:rPr>
          <w:b/>
          <w:bCs/>
          <w:rtl/>
        </w:rPr>
        <w:t>"</w:t>
      </w:r>
      <w:r w:rsidRPr="00471A30">
        <w:rPr>
          <w:rFonts w:hint="eastAsia"/>
          <w:b/>
          <w:bCs/>
          <w:rtl/>
        </w:rPr>
        <w:t>ל</w:t>
      </w:r>
      <w:r w:rsidRPr="00471A30">
        <w:rPr>
          <w:b/>
          <w:bCs/>
          <w:rtl/>
        </w:rPr>
        <w:t xml:space="preserve"> </w:t>
      </w:r>
      <w:r w:rsidRPr="00471A30">
        <w:rPr>
          <w:rFonts w:hint="eastAsia"/>
          <w:b/>
          <w:bCs/>
          <w:rtl/>
        </w:rPr>
        <w:t>לקראת</w:t>
      </w:r>
      <w:r w:rsidRPr="00471A30">
        <w:rPr>
          <w:b/>
          <w:bCs/>
          <w:rtl/>
        </w:rPr>
        <w:t xml:space="preserve"> </w:t>
      </w:r>
      <w:r w:rsidRPr="00471A30">
        <w:rPr>
          <w:rFonts w:hint="eastAsia"/>
          <w:b/>
          <w:bCs/>
          <w:rtl/>
        </w:rPr>
        <w:t>חגי</w:t>
      </w:r>
      <w:r w:rsidRPr="00471A30">
        <w:rPr>
          <w:b/>
          <w:bCs/>
          <w:rtl/>
        </w:rPr>
        <w:t xml:space="preserve"> </w:t>
      </w:r>
      <w:r w:rsidRPr="00471A30">
        <w:rPr>
          <w:rFonts w:hint="eastAsia"/>
          <w:b/>
          <w:bCs/>
          <w:rtl/>
        </w:rPr>
        <w:t>תשרי</w:t>
      </w:r>
      <w:r w:rsidRPr="00471A30">
        <w:rPr>
          <w:b/>
          <w:bCs/>
          <w:rtl/>
        </w:rPr>
        <w:t>, 2024</w:t>
      </w:r>
      <w:r>
        <w:rPr>
          <w:rFonts w:hint="cs"/>
          <w:rtl/>
        </w:rPr>
        <w:t xml:space="preserve"> (25.9.24).</w:t>
      </w:r>
    </w:p>
  </w:footnote>
  <w:footnote w:id="3">
    <w:p w:rsidR="004477CC" w:rsidP="004477CC">
      <w:pPr>
        <w:pStyle w:val="FootnoteText"/>
        <w:rPr>
          <w:rtl/>
        </w:rPr>
      </w:pPr>
      <w:r>
        <w:rPr>
          <w:rStyle w:val="FootnoteReference1"/>
        </w:rPr>
        <w:footnoteRef/>
      </w:r>
      <w:r>
        <w:rPr>
          <w:rtl/>
        </w:rPr>
        <w:t xml:space="preserve"> </w:t>
      </w:r>
      <w:r>
        <w:rPr>
          <w:rtl/>
        </w:rPr>
        <w:tab/>
      </w:r>
      <w:r>
        <w:rPr>
          <w:rFonts w:hint="cs"/>
          <w:rtl/>
        </w:rPr>
        <w:t xml:space="preserve">משרד התפוצות, </w:t>
      </w:r>
      <w:r w:rsidRPr="00471A30">
        <w:rPr>
          <w:rFonts w:hint="eastAsia"/>
          <w:b/>
          <w:bCs/>
          <w:rtl/>
        </w:rPr>
        <w:t>דוח</w:t>
      </w:r>
      <w:r>
        <w:rPr>
          <w:rFonts w:hint="cs"/>
          <w:b/>
          <w:bCs/>
          <w:rtl/>
        </w:rPr>
        <w:t xml:space="preserve"> על</w:t>
      </w:r>
      <w:r w:rsidRPr="00471A30">
        <w:rPr>
          <w:b/>
          <w:bCs/>
          <w:rtl/>
        </w:rPr>
        <w:t xml:space="preserve"> מצב האנטישמיות (דוח מסכם לשנת 2024)</w:t>
      </w:r>
      <w:r>
        <w:rPr>
          <w:rFonts w:hint="cs"/>
          <w:rtl/>
        </w:rPr>
        <w:t xml:space="preserve"> (אפריל 2025). </w:t>
      </w:r>
    </w:p>
  </w:footnote>
  <w:footnote w:id="4">
    <w:p w:rsidR="004477CC" w:rsidP="004477CC">
      <w:pPr>
        <w:pStyle w:val="FootnoteText"/>
        <w:rPr>
          <w:rtl/>
        </w:rPr>
      </w:pPr>
      <w:r>
        <w:rPr>
          <w:rStyle w:val="FootnoteReference1"/>
        </w:rPr>
        <w:footnoteRef/>
      </w:r>
      <w:r>
        <w:rPr>
          <w:rtl/>
        </w:rPr>
        <w:t xml:space="preserve"> </w:t>
      </w:r>
      <w:r>
        <w:rPr>
          <w:rtl/>
        </w:rPr>
        <w:tab/>
      </w:r>
      <w:r>
        <w:rPr>
          <w:rFonts w:hint="cs"/>
          <w:rtl/>
        </w:rPr>
        <w:t>שם.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2598420</wp:posOffset>
              </wp:positionH>
              <wp:positionV relativeFrom="paragraph">
                <wp:posOffset>216535</wp:posOffset>
              </wp:positionV>
              <wp:extent cx="342582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425825"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4477CC">
                            <w:rPr>
                              <w:rFonts w:ascii="Calibri" w:hAnsi="Calibri" w:cs="Calibri"/>
                              <w:color w:val="002060"/>
                              <w:szCs w:val="20"/>
                              <w:rtl/>
                            </w:rPr>
                            <w:t>אבטחת קבוצות ספורט ישראליות ואוהדים ישראלים בחו"ל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269.75pt;height:22.5pt;margin-top:17.05pt;margin-left:204.6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4477CC">
                      <w:rPr>
                        <w:rFonts w:ascii="Calibri" w:hAnsi="Calibri" w:cs="Calibri"/>
                        <w:color w:val="002060"/>
                        <w:szCs w:val="20"/>
                        <w:rtl/>
                      </w:rPr>
                      <w:t>אבטחת קבוצות ספורט ישראליות ואוהדים ישראלים בחו"ל</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sidRPr="00083922">
                            <w:rPr>
                              <w:rFonts w:ascii="Calibri" w:hAnsi="Calibri" w:cs="Calibri" w:hint="cs"/>
                              <w:color w:val="002060"/>
                              <w:szCs w:val="20"/>
                              <w:rtl/>
                            </w:rPr>
                            <w:t>אייר</w:t>
                          </w:r>
                          <w:r w:rsidRPr="00083922" w:rsidR="00B4321D">
                            <w:rPr>
                              <w:rFonts w:ascii="Calibri" w:hAnsi="Calibri" w:cs="Calibri" w:hint="cs"/>
                              <w:color w:val="002060"/>
                              <w:szCs w:val="20"/>
                              <w:rtl/>
                            </w:rPr>
                            <w:t xml:space="preserve"> התשפ"</w:t>
                          </w:r>
                          <w:r w:rsidRPr="00083922" w:rsidR="00D05C85">
                            <w:rPr>
                              <w:rFonts w:ascii="Calibri" w:hAnsi="Calibri" w:cs="Calibri" w:hint="cs"/>
                              <w:color w:val="002060"/>
                              <w:szCs w:val="20"/>
                              <w:rtl/>
                            </w:rPr>
                            <w:t>ו</w:t>
                          </w:r>
                          <w:r w:rsidRPr="00083922">
                            <w:rPr>
                              <w:rFonts w:ascii="Calibri" w:hAnsi="Calibri" w:cs="Calibri" w:hint="cs"/>
                              <w:color w:val="002060"/>
                              <w:szCs w:val="20"/>
                              <w:rtl/>
                            </w:rPr>
                            <w:t xml:space="preserve"> </w:t>
                          </w:r>
                          <w:r w:rsidRPr="00083922" w:rsidR="001E204F">
                            <w:rPr>
                              <w:rFonts w:asciiTheme="minorHAnsi" w:hAnsiTheme="minorHAnsi" w:cstheme="minorHAnsi"/>
                              <w:color w:val="002060"/>
                              <w:spacing w:val="20"/>
                              <w:sz w:val="22"/>
                              <w:szCs w:val="22"/>
                            </w:rPr>
                            <w:t xml:space="preserve"> </w:t>
                          </w:r>
                          <w:r w:rsidRPr="00083922" w:rsidR="001E204F">
                            <w:rPr>
                              <w:rFonts w:ascii="Wingdings" w:hAnsi="Wingdings" w:cstheme="minorHAnsi"/>
                              <w:color w:val="002060"/>
                              <w:spacing w:val="20"/>
                              <w:sz w:val="22"/>
                              <w:szCs w:val="22"/>
                            </w:rPr>
                            <w:sym w:font="Wingdings" w:char="F0A7"/>
                          </w:r>
                          <w:r w:rsidRPr="00083922">
                            <w:rPr>
                              <w:rFonts w:ascii="Calibri" w:hAnsi="Calibri" w:cs="Calibri" w:hint="cs"/>
                              <w:color w:val="002060"/>
                              <w:szCs w:val="20"/>
                              <w:rtl/>
                            </w:rPr>
                            <w:t>מאי</w:t>
                          </w:r>
                          <w:r w:rsidRPr="00083922" w:rsidR="0039415D">
                            <w:rPr>
                              <w:rFonts w:ascii="Calibri" w:hAnsi="Calibri" w:cs="Calibri" w:hint="cs"/>
                              <w:color w:val="002060"/>
                              <w:szCs w:val="20"/>
                              <w:rtl/>
                            </w:rPr>
                            <w:t xml:space="preserve"> 202</w:t>
                          </w:r>
                          <w:r w:rsidRP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sidRPr="00083922">
                      <w:rPr>
                        <w:rFonts w:ascii="Calibri" w:hAnsi="Calibri" w:cs="Calibri" w:hint="cs"/>
                        <w:color w:val="002060"/>
                        <w:szCs w:val="20"/>
                        <w:rtl/>
                      </w:rPr>
                      <w:t>אייר</w:t>
                    </w:r>
                    <w:r w:rsidRPr="00083922" w:rsidR="00B4321D">
                      <w:rPr>
                        <w:rFonts w:ascii="Calibri" w:hAnsi="Calibri" w:cs="Calibri" w:hint="cs"/>
                        <w:color w:val="002060"/>
                        <w:szCs w:val="20"/>
                        <w:rtl/>
                      </w:rPr>
                      <w:t xml:space="preserve"> התשפ"</w:t>
                    </w:r>
                    <w:r w:rsidRPr="00083922" w:rsidR="00D05C85">
                      <w:rPr>
                        <w:rFonts w:ascii="Calibri" w:hAnsi="Calibri" w:cs="Calibri" w:hint="cs"/>
                        <w:color w:val="002060"/>
                        <w:szCs w:val="20"/>
                        <w:rtl/>
                      </w:rPr>
                      <w:t>ו</w:t>
                    </w:r>
                    <w:r w:rsidRPr="00083922">
                      <w:rPr>
                        <w:rFonts w:ascii="Calibri" w:hAnsi="Calibri" w:cs="Calibri" w:hint="cs"/>
                        <w:color w:val="002060"/>
                        <w:szCs w:val="20"/>
                        <w:rtl/>
                      </w:rPr>
                      <w:t xml:space="preserve"> </w:t>
                    </w:r>
                    <w:r w:rsidRPr="00083922" w:rsidR="001E204F">
                      <w:rPr>
                        <w:rFonts w:asciiTheme="minorHAnsi" w:hAnsiTheme="minorHAnsi" w:cstheme="minorHAnsi"/>
                        <w:color w:val="002060"/>
                        <w:spacing w:val="20"/>
                        <w:sz w:val="22"/>
                        <w:szCs w:val="22"/>
                      </w:rPr>
                      <w:t xml:space="preserve"> </w:t>
                    </w:r>
                    <w:r w:rsidRPr="00083922" w:rsidR="001E204F">
                      <w:rPr>
                        <w:rFonts w:ascii="Wingdings" w:hAnsi="Wingdings" w:cstheme="minorHAnsi"/>
                        <w:color w:val="002060"/>
                        <w:spacing w:val="20"/>
                        <w:sz w:val="22"/>
                        <w:szCs w:val="22"/>
                      </w:rPr>
                      <w:sym w:font="Wingdings" w:char="F0A7"/>
                    </w:r>
                    <w:r w:rsidRPr="00083922">
                      <w:rPr>
                        <w:rFonts w:ascii="Calibri" w:hAnsi="Calibri" w:cs="Calibri" w:hint="cs"/>
                        <w:color w:val="002060"/>
                        <w:szCs w:val="20"/>
                        <w:rtl/>
                      </w:rPr>
                      <w:t>מאי</w:t>
                    </w:r>
                    <w:r w:rsidRPr="00083922" w:rsidR="0039415D">
                      <w:rPr>
                        <w:rFonts w:ascii="Calibri" w:hAnsi="Calibri" w:cs="Calibri" w:hint="cs"/>
                        <w:color w:val="002060"/>
                        <w:szCs w:val="20"/>
                        <w:rtl/>
                      </w:rPr>
                      <w:t xml:space="preserve"> 202</w:t>
                    </w:r>
                    <w:r w:rsidRP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sidR="001F4412">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sidRPr="0070296C" w:rsidR="0070296C">
                                <w:rPr>
                                  <w:rFonts w:asciiTheme="minorHAnsi" w:hAnsiTheme="minorHAnsi" w:cstheme="minorHAnsi" w:hint="cs"/>
                                  <w:color w:val="002060"/>
                                  <w:spacing w:val="20"/>
                                  <w:sz w:val="22"/>
                                  <w:szCs w:val="22"/>
                                  <w:rtl/>
                                </w:rPr>
                                <w:t>אייר</w:t>
                              </w:r>
                              <w:r w:rsidRPr="0070296C">
                                <w:rPr>
                                  <w:rFonts w:asciiTheme="minorHAnsi" w:hAnsiTheme="minorHAnsi" w:cstheme="minorHAnsi"/>
                                  <w:color w:val="002060"/>
                                  <w:spacing w:val="20"/>
                                  <w:sz w:val="22"/>
                                  <w:szCs w:val="22"/>
                                  <w:rtl/>
                                </w:rPr>
                                <w:t xml:space="preserve"> התשפ"</w:t>
                              </w:r>
                              <w:r w:rsidRPr="0070296C" w:rsidR="00D05C85">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sidR="00083922">
                                <w:rPr>
                                  <w:rFonts w:asciiTheme="minorHAnsi" w:hAnsiTheme="minorHAnsi" w:cstheme="minorHAnsi" w:hint="cs"/>
                                  <w:color w:val="002060"/>
                                  <w:spacing w:val="20"/>
                                  <w:sz w:val="22"/>
                                  <w:szCs w:val="22"/>
                                  <w:rtl/>
                                </w:rPr>
                                <w:t>מאי</w:t>
                              </w:r>
                              <w:r w:rsidRPr="0070296C" w:rsidR="00EE57E1">
                                <w:rPr>
                                  <w:rFonts w:asciiTheme="minorHAnsi" w:hAnsiTheme="minorHAnsi" w:cstheme="minorHAnsi" w:hint="cs"/>
                                  <w:color w:val="002060"/>
                                  <w:spacing w:val="20"/>
                                  <w:sz w:val="22"/>
                                  <w:szCs w:val="22"/>
                                  <w:rtl/>
                                </w:rPr>
                                <w:t xml:space="preserve"> </w:t>
                              </w:r>
                              <w:r w:rsidRPr="0070296C">
                                <w:rPr>
                                  <w:rFonts w:asciiTheme="minorHAnsi" w:hAnsiTheme="minorHAnsi" w:cstheme="minorHAnsi" w:hint="cs"/>
                                  <w:color w:val="002060"/>
                                  <w:spacing w:val="20"/>
                                  <w:sz w:val="22"/>
                                  <w:szCs w:val="22"/>
                                  <w:rtl/>
                                </w:rPr>
                                <w:t>202</w:t>
                              </w:r>
                              <w:r w:rsidRPr="0070296C" w:rsidR="0070296C">
                                <w:rPr>
                                  <w:rFonts w:asciiTheme="minorHAnsi" w:hAnsiTheme="minorHAnsi" w:cstheme="minorHAnsi" w:hint="cs"/>
                                  <w:color w:val="002060"/>
                                  <w:spacing w:val="20"/>
                                  <w:sz w:val="22"/>
                                  <w:szCs w:val="22"/>
                                  <w:rtl/>
                                </w:rPr>
                                <w:t>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tl/>
                          </w:rPr>
                          <w:t xml:space="preserve"> </w:t>
                        </w:r>
                        <w:r w:rsidRPr="0070296C" w:rsidR="0070296C">
                          <w:rPr>
                            <w:rFonts w:asciiTheme="minorHAnsi" w:hAnsiTheme="minorHAnsi" w:cstheme="minorHAnsi" w:hint="cs"/>
                            <w:color w:val="002060"/>
                            <w:spacing w:val="20"/>
                            <w:sz w:val="22"/>
                            <w:szCs w:val="22"/>
                            <w:rtl/>
                          </w:rPr>
                          <w:t>אייר</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tl/>
                          </w:rPr>
                          <w:t>התשפ"</w:t>
                        </w:r>
                        <w:r w:rsidRPr="0070296C" w:rsidR="00D05C85">
                          <w:rPr>
                            <w:rFonts w:asciiTheme="minorHAnsi" w:hAnsiTheme="minorHAnsi" w:cstheme="minorHAnsi" w:hint="cs"/>
                            <w:color w:val="002060"/>
                            <w:spacing w:val="20"/>
                            <w:sz w:val="22"/>
                            <w:szCs w:val="22"/>
                            <w:rtl/>
                          </w:rPr>
                          <w:t>ו</w:t>
                        </w:r>
                        <w:r w:rsidRPr="0070296C">
                          <w:rPr>
                            <w:rFonts w:asciiTheme="minorHAnsi" w:hAnsiTheme="minorHAnsi" w:cstheme="minorHAnsi"/>
                            <w:color w:val="002060"/>
                            <w:spacing w:val="20"/>
                            <w:sz w:val="22"/>
                            <w:szCs w:val="22"/>
                            <w:rtl/>
                          </w:rPr>
                          <w:t xml:space="preserve"> </w:t>
                        </w:r>
                        <w:r w:rsidRPr="0070296C">
                          <w:rPr>
                            <w:rFonts w:asciiTheme="minorHAnsi" w:hAnsiTheme="minorHAnsi" w:cstheme="minorHAnsi"/>
                            <w:color w:val="002060"/>
                            <w:spacing w:val="20"/>
                            <w:sz w:val="22"/>
                            <w:szCs w:val="22"/>
                          </w:rPr>
                          <w:t xml:space="preserve"> </w:t>
                        </w:r>
                        <w:r w:rsidRPr="0070296C">
                          <w:rPr>
                            <w:rFonts w:ascii="Wingdings" w:hAnsi="Wingdings" w:cstheme="minorHAnsi"/>
                            <w:color w:val="002060"/>
                            <w:spacing w:val="20"/>
                            <w:sz w:val="22"/>
                            <w:szCs w:val="22"/>
                          </w:rPr>
                          <w:sym w:font="Wingdings" w:char="F0A7"/>
                        </w:r>
                        <w:r w:rsidR="00083922">
                          <w:rPr>
                            <w:rFonts w:asciiTheme="minorHAnsi" w:hAnsiTheme="minorHAnsi" w:cstheme="minorHAnsi" w:hint="cs"/>
                            <w:color w:val="002060"/>
                            <w:spacing w:val="20"/>
                            <w:sz w:val="22"/>
                            <w:szCs w:val="22"/>
                            <w:rtl/>
                          </w:rPr>
                          <w:t>מאי</w:t>
                        </w:r>
                        <w:r w:rsidRPr="0070296C" w:rsidR="00EE57E1">
                          <w:rPr>
                            <w:rFonts w:asciiTheme="minorHAnsi" w:hAnsiTheme="minorHAnsi" w:cstheme="minorHAnsi" w:hint="cs"/>
                            <w:color w:val="002060"/>
                            <w:spacing w:val="20"/>
                            <w:sz w:val="22"/>
                            <w:szCs w:val="22"/>
                            <w:rtl/>
                          </w:rPr>
                          <w:t xml:space="preserve"> </w:t>
                        </w:r>
                        <w:r w:rsidRPr="0070296C">
                          <w:rPr>
                            <w:rFonts w:asciiTheme="minorHAnsi" w:hAnsiTheme="minorHAnsi" w:cstheme="minorHAnsi" w:hint="cs"/>
                            <w:color w:val="002060"/>
                            <w:spacing w:val="20"/>
                            <w:sz w:val="22"/>
                            <w:szCs w:val="22"/>
                            <w:rtl/>
                          </w:rPr>
                          <w:t>202</w:t>
                        </w:r>
                        <w:r w:rsidRPr="0070296C" w:rsidR="0070296C">
                          <w:rPr>
                            <w:rFonts w:asciiTheme="minorHAnsi" w:hAnsiTheme="minorHAnsi" w:cstheme="minorHAnsi" w:hint="cs"/>
                            <w:color w:val="002060"/>
                            <w:spacing w:val="20"/>
                            <w:sz w:val="22"/>
                            <w:szCs w:val="22"/>
                            <w:rtl/>
                          </w:rPr>
                          <w:t>6</w:t>
                        </w:r>
                        <w:r w:rsidRPr="0070296C">
                          <w:rPr>
                            <w:rFonts w:asciiTheme="minorHAnsi" w:hAnsiTheme="minorHAnsi" w:cstheme="minorHAnsi"/>
                            <w:color w:val="002060"/>
                            <w:spacing w:val="20"/>
                            <w:sz w:val="22"/>
                            <w:szCs w:val="22"/>
                            <w:rtl/>
                          </w:rPr>
                          <w:t xml:space="preserve"> </w:t>
                        </w:r>
                        <w:r w:rsidRPr="0070296C">
                          <w:rPr>
                            <w:rFonts w:ascii="Wingdings" w:hAnsi="Wingdings" w:cstheme="minorHAnsi"/>
                            <w:color w:val="002060"/>
                            <w:spacing w:val="20"/>
                            <w:sz w:val="22"/>
                            <w:szCs w:val="22"/>
                          </w:rPr>
                          <w:sym w:font="Wingdings" w:char="F0A7"/>
                        </w:r>
                        <w:r w:rsidRPr="0070296C">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4477CC" w:rsidP="00EF4539">
    <w:pPr>
      <w:pStyle w:val="Header"/>
      <w:tabs>
        <w:tab w:val="clear" w:pos="8306"/>
        <w:tab w:val="right" w:pos="8504"/>
      </w:tabs>
      <w:ind w:right="-709"/>
      <w:jc w:val="right"/>
      <w:rPr>
        <w:rFonts w:ascii="Calibri" w:hAnsi="Calibri" w:cs="Calibri"/>
        <w:color w:val="002060"/>
        <w:szCs w:val="20"/>
      </w:rPr>
    </w:pPr>
    <w:r w:rsidRPr="004477CC">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4477CC">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sidRPr="002D331E">
                            <w:rPr>
                              <w:rFonts w:ascii="Calibri" w:hAnsi="Calibri" w:cs="Calibri" w:hint="cs"/>
                              <w:color w:val="002060"/>
                              <w:szCs w:val="20"/>
                              <w:rtl/>
                            </w:rPr>
                            <w:t>אייר</w:t>
                          </w:r>
                          <w:r w:rsidRPr="002D331E">
                            <w:rPr>
                              <w:rFonts w:ascii="Calibri" w:hAnsi="Calibri" w:cs="Calibri" w:hint="cs"/>
                              <w:color w:val="002060"/>
                              <w:szCs w:val="20"/>
                              <w:rtl/>
                            </w:rPr>
                            <w:t xml:space="preserve"> התשפ"</w:t>
                          </w:r>
                          <w:r w:rsidRPr="002D331E" w:rsidR="00D05C85">
                            <w:rPr>
                              <w:rFonts w:ascii="Calibri" w:hAnsi="Calibri" w:cs="Calibri" w:hint="cs"/>
                              <w:color w:val="002060"/>
                              <w:szCs w:val="20"/>
                              <w:rtl/>
                            </w:rPr>
                            <w:t>ו</w:t>
                          </w:r>
                          <w:r w:rsidRPr="002D331E">
                            <w:rPr>
                              <w:rFonts w:ascii="Calibri" w:hAnsi="Calibri" w:cs="Calibri" w:hint="cs"/>
                              <w:color w:val="002060"/>
                              <w:szCs w:val="20"/>
                              <w:rtl/>
                            </w:rPr>
                            <w:t xml:space="preserve"> </w:t>
                          </w:r>
                          <w:r w:rsidRPr="004477CC">
                            <w:rPr>
                              <w:rFonts w:ascii="Calibri" w:hAnsi="Calibri" w:cs="Calibri"/>
                              <w:color w:val="002060"/>
                              <w:spacing w:val="20"/>
                              <w:sz w:val="22"/>
                              <w:szCs w:val="22"/>
                            </w:rPr>
                            <w:t xml:space="preserve"> </w:t>
                          </w:r>
                          <w:r w:rsidRPr="004477CC">
                            <w:rPr>
                              <w:rFonts w:ascii="Wingdings" w:hAnsi="Wingdings" w:cs="Calibri"/>
                              <w:color w:val="002060"/>
                              <w:spacing w:val="20"/>
                              <w:sz w:val="22"/>
                              <w:szCs w:val="22"/>
                            </w:rPr>
                            <w:sym w:font="Wingdings" w:char="F0A7"/>
                          </w:r>
                          <w:r w:rsidR="00083922">
                            <w:rPr>
                              <w:rFonts w:ascii="Calibri" w:hAnsi="Calibri" w:cs="Calibri" w:hint="cs"/>
                              <w:color w:val="002060"/>
                              <w:szCs w:val="20"/>
                              <w:rtl/>
                            </w:rPr>
                            <w:t>מאי</w:t>
                          </w:r>
                          <w:r w:rsidRPr="002D331E">
                            <w:rPr>
                              <w:rFonts w:ascii="Calibri" w:hAnsi="Calibri" w:cs="Calibri" w:hint="cs"/>
                              <w:color w:val="002060"/>
                              <w:szCs w:val="20"/>
                              <w:rtl/>
                            </w:rPr>
                            <w:t xml:space="preserve"> 202</w:t>
                          </w:r>
                          <w:r w:rsid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sidRPr="002D331E">
                      <w:rPr>
                        <w:rFonts w:ascii="Calibri" w:hAnsi="Calibri" w:cs="Calibri" w:hint="cs"/>
                        <w:color w:val="002060"/>
                        <w:szCs w:val="20"/>
                        <w:rtl/>
                      </w:rPr>
                      <w:t>אייר</w:t>
                    </w:r>
                    <w:r w:rsidRPr="002D331E">
                      <w:rPr>
                        <w:rFonts w:ascii="Calibri" w:hAnsi="Calibri" w:cs="Calibri" w:hint="cs"/>
                        <w:color w:val="002060"/>
                        <w:szCs w:val="20"/>
                        <w:rtl/>
                      </w:rPr>
                      <w:t xml:space="preserve"> התשפ"</w:t>
                    </w:r>
                    <w:r w:rsidRPr="002D331E" w:rsidR="00D05C85">
                      <w:rPr>
                        <w:rFonts w:ascii="Calibri" w:hAnsi="Calibri" w:cs="Calibri" w:hint="cs"/>
                        <w:color w:val="002060"/>
                        <w:szCs w:val="20"/>
                        <w:rtl/>
                      </w:rPr>
                      <w:t>ו</w:t>
                    </w:r>
                    <w:r w:rsidRPr="002D331E">
                      <w:rPr>
                        <w:rFonts w:ascii="Calibri" w:hAnsi="Calibri" w:cs="Calibri" w:hint="cs"/>
                        <w:color w:val="002060"/>
                        <w:szCs w:val="20"/>
                        <w:rtl/>
                      </w:rPr>
                      <w:t xml:space="preserve"> </w:t>
                    </w:r>
                    <w:r w:rsidRPr="004477CC">
                      <w:rPr>
                        <w:rFonts w:ascii="Calibri" w:hAnsi="Calibri" w:cs="Calibri"/>
                        <w:color w:val="002060"/>
                        <w:spacing w:val="20"/>
                        <w:sz w:val="22"/>
                        <w:szCs w:val="22"/>
                      </w:rPr>
                      <w:t xml:space="preserve"> </w:t>
                    </w:r>
                    <w:r w:rsidRPr="004477CC">
                      <w:rPr>
                        <w:rFonts w:ascii="Wingdings" w:hAnsi="Wingdings" w:cs="Calibri"/>
                        <w:color w:val="002060"/>
                        <w:spacing w:val="20"/>
                        <w:sz w:val="22"/>
                        <w:szCs w:val="22"/>
                      </w:rPr>
                      <w:sym w:font="Wingdings" w:char="F0A7"/>
                    </w:r>
                    <w:r w:rsidR="00083922">
                      <w:rPr>
                        <w:rFonts w:ascii="Calibri" w:hAnsi="Calibri" w:cs="Calibri" w:hint="cs"/>
                        <w:color w:val="002060"/>
                        <w:szCs w:val="20"/>
                        <w:rtl/>
                      </w:rPr>
                      <w:t>מאי</w:t>
                    </w:r>
                    <w:r w:rsidRPr="002D331E">
                      <w:rPr>
                        <w:rFonts w:ascii="Calibri" w:hAnsi="Calibri" w:cs="Calibri" w:hint="cs"/>
                        <w:color w:val="002060"/>
                        <w:szCs w:val="20"/>
                        <w:rtl/>
                      </w:rPr>
                      <w:t xml:space="preserve"> 202</w:t>
                    </w:r>
                    <w:r w:rsidR="0008392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4477CC">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p>
                </w:txbxContent>
              </v:textbox>
              <w10:wrap type="square"/>
            </v:shape>
          </w:pict>
        </mc:Fallback>
      </mc:AlternateContent>
    </w:r>
    <w:r w:rsidRPr="004477CC">
      <w:rPr>
        <w:rFonts w:ascii="Calibri" w:hAnsi="Calibri" w:cs="Calibri"/>
        <w:color w:val="002060"/>
        <w:szCs w:val="20"/>
        <w:rtl/>
      </w:rPr>
      <w:fldChar w:fldCharType="begin"/>
    </w:r>
    <w:r w:rsidRPr="004477CC">
      <w:rPr>
        <w:rFonts w:ascii="Calibri" w:hAnsi="Calibri" w:cs="Calibri"/>
        <w:color w:val="002060"/>
        <w:szCs w:val="20"/>
        <w:rtl/>
      </w:rPr>
      <w:instrText xml:space="preserve"> </w:instrText>
    </w:r>
    <w:r w:rsidRPr="004477CC">
      <w:rPr>
        <w:rFonts w:ascii="Calibri" w:hAnsi="Calibri" w:cs="Calibri"/>
        <w:color w:val="002060"/>
        <w:szCs w:val="20"/>
      </w:rPr>
      <w:instrText>PAGE</w:instrText>
    </w:r>
    <w:r w:rsidRPr="004477CC">
      <w:rPr>
        <w:rFonts w:ascii="Calibri" w:hAnsi="Calibri" w:cs="Calibri"/>
        <w:color w:val="002060"/>
        <w:szCs w:val="20"/>
        <w:rtl/>
      </w:rPr>
      <w:instrText xml:space="preserve">  \* </w:instrText>
    </w:r>
    <w:r w:rsidRPr="004477CC">
      <w:rPr>
        <w:rFonts w:ascii="Calibri" w:hAnsi="Calibri" w:cs="Calibri"/>
        <w:color w:val="002060"/>
        <w:szCs w:val="20"/>
      </w:rPr>
      <w:instrText>MERGEFORMAT</w:instrText>
    </w:r>
    <w:r w:rsidRPr="004477CC">
      <w:rPr>
        <w:rFonts w:ascii="Calibri" w:hAnsi="Calibri" w:cs="Calibri"/>
        <w:color w:val="002060"/>
        <w:szCs w:val="20"/>
        <w:rtl/>
      </w:rPr>
      <w:instrText xml:space="preserve"> </w:instrText>
    </w:r>
    <w:r w:rsidRPr="004477CC">
      <w:rPr>
        <w:rFonts w:ascii="Calibri" w:hAnsi="Calibri" w:cs="Calibri"/>
        <w:color w:val="002060"/>
        <w:szCs w:val="20"/>
        <w:rtl/>
      </w:rPr>
      <w:fldChar w:fldCharType="separate"/>
    </w:r>
    <w:r w:rsidRPr="004477CC">
      <w:rPr>
        <w:rFonts w:ascii="Calibri" w:hAnsi="Calibri" w:cs="Calibri"/>
        <w:color w:val="002060"/>
        <w:szCs w:val="20"/>
        <w:rtl/>
      </w:rPr>
      <w:t>3</w:t>
    </w:r>
    <w:r w:rsidRPr="004477CC">
      <w:rPr>
        <w:rFonts w:ascii="Calibri" w:hAnsi="Calibri" w:cs="Calibri"/>
        <w:color w:val="002060"/>
        <w:szCs w:val="20"/>
        <w:rtl/>
      </w:rPr>
      <w:fldChar w:fldCharType="end"/>
    </w:r>
    <w:r w:rsidRPr="004477CC">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2"/>
  </w:num>
  <w:num w:numId="5">
    <w:abstractNumId w:val="8"/>
  </w:num>
  <w:num w:numId="6">
    <w:abstractNumId w:val="10"/>
  </w:num>
  <w:num w:numId="7">
    <w:abstractNumId w:val="6"/>
  </w:num>
  <w:num w:numId="8">
    <w:abstractNumId w:val="4"/>
  </w:num>
  <w:num w:numId="9">
    <w:abstractNumId w:val="3"/>
  </w:num>
  <w:num w:numId="10">
    <w:abstractNumId w:val="5"/>
  </w:num>
  <w:num w:numId="11">
    <w:abstractNumId w:val="12"/>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2FBE"/>
    <w:rsid w:val="00003B77"/>
    <w:rsid w:val="00013880"/>
    <w:rsid w:val="0001735B"/>
    <w:rsid w:val="00042837"/>
    <w:rsid w:val="000501A4"/>
    <w:rsid w:val="000532AA"/>
    <w:rsid w:val="00083922"/>
    <w:rsid w:val="000B1102"/>
    <w:rsid w:val="000C7459"/>
    <w:rsid w:val="000E013E"/>
    <w:rsid w:val="000F7725"/>
    <w:rsid w:val="00101D0F"/>
    <w:rsid w:val="00113E28"/>
    <w:rsid w:val="00114325"/>
    <w:rsid w:val="00166477"/>
    <w:rsid w:val="001730B0"/>
    <w:rsid w:val="001960B4"/>
    <w:rsid w:val="001A613C"/>
    <w:rsid w:val="001B2821"/>
    <w:rsid w:val="001C057E"/>
    <w:rsid w:val="001C6185"/>
    <w:rsid w:val="001E204F"/>
    <w:rsid w:val="001F4412"/>
    <w:rsid w:val="00203604"/>
    <w:rsid w:val="002064F7"/>
    <w:rsid w:val="00240887"/>
    <w:rsid w:val="00263521"/>
    <w:rsid w:val="002A7D21"/>
    <w:rsid w:val="002C0FD0"/>
    <w:rsid w:val="002C1EE0"/>
    <w:rsid w:val="002C4139"/>
    <w:rsid w:val="002D331E"/>
    <w:rsid w:val="00301153"/>
    <w:rsid w:val="00306BF4"/>
    <w:rsid w:val="003079D5"/>
    <w:rsid w:val="00315B1D"/>
    <w:rsid w:val="00323027"/>
    <w:rsid w:val="00354F9A"/>
    <w:rsid w:val="0037370B"/>
    <w:rsid w:val="0037752E"/>
    <w:rsid w:val="00380052"/>
    <w:rsid w:val="0039415D"/>
    <w:rsid w:val="003D18F4"/>
    <w:rsid w:val="003D61C6"/>
    <w:rsid w:val="003E58C2"/>
    <w:rsid w:val="003F11C3"/>
    <w:rsid w:val="004477CC"/>
    <w:rsid w:val="00471A30"/>
    <w:rsid w:val="004779AA"/>
    <w:rsid w:val="00496F3E"/>
    <w:rsid w:val="004A0385"/>
    <w:rsid w:val="004C7D9F"/>
    <w:rsid w:val="005006C5"/>
    <w:rsid w:val="00551B42"/>
    <w:rsid w:val="00551FF7"/>
    <w:rsid w:val="005543BE"/>
    <w:rsid w:val="00574579"/>
    <w:rsid w:val="00580C5C"/>
    <w:rsid w:val="005A021D"/>
    <w:rsid w:val="0062451B"/>
    <w:rsid w:val="00634DAD"/>
    <w:rsid w:val="00640B60"/>
    <w:rsid w:val="006457EB"/>
    <w:rsid w:val="006531CB"/>
    <w:rsid w:val="006C2C6D"/>
    <w:rsid w:val="006D4161"/>
    <w:rsid w:val="006D786C"/>
    <w:rsid w:val="006E1414"/>
    <w:rsid w:val="006F285F"/>
    <w:rsid w:val="0070296C"/>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C6F75"/>
    <w:rsid w:val="009015B2"/>
    <w:rsid w:val="00906E90"/>
    <w:rsid w:val="00906FB1"/>
    <w:rsid w:val="0091051D"/>
    <w:rsid w:val="00933E1C"/>
    <w:rsid w:val="0093554A"/>
    <w:rsid w:val="00936F84"/>
    <w:rsid w:val="00940851"/>
    <w:rsid w:val="009679D9"/>
    <w:rsid w:val="00991226"/>
    <w:rsid w:val="009B464C"/>
    <w:rsid w:val="009B757F"/>
    <w:rsid w:val="009C6066"/>
    <w:rsid w:val="009D73F5"/>
    <w:rsid w:val="009E1A3F"/>
    <w:rsid w:val="009E53CF"/>
    <w:rsid w:val="009F0BD3"/>
    <w:rsid w:val="00A0080F"/>
    <w:rsid w:val="00A222E2"/>
    <w:rsid w:val="00A61AD5"/>
    <w:rsid w:val="00A73038"/>
    <w:rsid w:val="00A76C99"/>
    <w:rsid w:val="00A81EBE"/>
    <w:rsid w:val="00A8672E"/>
    <w:rsid w:val="00AC6B95"/>
    <w:rsid w:val="00B00E5C"/>
    <w:rsid w:val="00B13773"/>
    <w:rsid w:val="00B4321D"/>
    <w:rsid w:val="00B666B9"/>
    <w:rsid w:val="00B76DC1"/>
    <w:rsid w:val="00B862C0"/>
    <w:rsid w:val="00BA6944"/>
    <w:rsid w:val="00BE2DD8"/>
    <w:rsid w:val="00C2305A"/>
    <w:rsid w:val="00C23CC9"/>
    <w:rsid w:val="00C30B3D"/>
    <w:rsid w:val="00C33AE2"/>
    <w:rsid w:val="00C8096C"/>
    <w:rsid w:val="00C8100B"/>
    <w:rsid w:val="00C85B62"/>
    <w:rsid w:val="00CA41D2"/>
    <w:rsid w:val="00CA4F20"/>
    <w:rsid w:val="00CB65FE"/>
    <w:rsid w:val="00CC712C"/>
    <w:rsid w:val="00CD28D9"/>
    <w:rsid w:val="00D05C85"/>
    <w:rsid w:val="00D22748"/>
    <w:rsid w:val="00D26918"/>
    <w:rsid w:val="00D37121"/>
    <w:rsid w:val="00D47AD6"/>
    <w:rsid w:val="00D62BA5"/>
    <w:rsid w:val="00D779F7"/>
    <w:rsid w:val="00D87542"/>
    <w:rsid w:val="00D95C20"/>
    <w:rsid w:val="00D97C16"/>
    <w:rsid w:val="00DE1DAB"/>
    <w:rsid w:val="00DE20A2"/>
    <w:rsid w:val="00DF0B89"/>
    <w:rsid w:val="00E122EE"/>
    <w:rsid w:val="00E35682"/>
    <w:rsid w:val="00E46EA3"/>
    <w:rsid w:val="00E51C1B"/>
    <w:rsid w:val="00E53DA7"/>
    <w:rsid w:val="00EC6B44"/>
    <w:rsid w:val="00EE37A3"/>
    <w:rsid w:val="00EE57E1"/>
    <w:rsid w:val="00EF4539"/>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theme" Target="theme/theme1.xml"/><Relationship Id="rId7"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header" Target="header3.xml"/><Relationship Id="rId6" Type="http://schemas.openxmlformats.org/officeDocument/2006/relationships/header" Target="header1.xml"/><Relationship Id="rId5" Type="http://schemas.openxmlformats.org/officeDocument/2006/relationships/customXml" Target="../customXml/item1.xml"/><Relationship Id="rId15" Type="http://schemas.openxmlformats.org/officeDocument/2006/relationships/customXml" Target="../customXml/item2.xml"/><Relationship Id="rId10" Type="http://schemas.openxmlformats.org/officeDocument/2006/relationships/image" Target="media/image5.jpeg"/><Relationship Id="rId14"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image" Target="media/image4.jpeg"/></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6321BF-0C79-4111-8ADC-A607BDB43C77}">
  <ds:schemaRefs>
    <ds:schemaRef ds:uri="http://schemas.openxmlformats.org/officeDocument/2006/bibliography"/>
  </ds:schemaRefs>
</ds:datastoreItem>
</file>

<file path=customXml/itemProps2.xml><?xml version="1.0" encoding="utf-8"?>
<ds:datastoreItem xmlns:ds="http://schemas.openxmlformats.org/officeDocument/2006/customXml" ds:itemID="{F72F4814-9BAC-42F7-A8F7-DB9D4D3B1D92}"/>
</file>

<file path=customXml/itemProps3.xml><?xml version="1.0" encoding="utf-8"?>
<ds:datastoreItem xmlns:ds="http://schemas.openxmlformats.org/officeDocument/2006/customXml" ds:itemID="{F007763A-28D8-4D28-8DE3-1FF977CE96A9}"/>
</file>

<file path=customXml/itemProps4.xml><?xml version="1.0" encoding="utf-8"?>
<ds:datastoreItem xmlns:ds="http://schemas.openxmlformats.org/officeDocument/2006/customXml" ds:itemID="{3369C042-9BCA-479D-909C-8EC346B3DE4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