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6E1414" w:rsidP="00A65E62">
      <w:pPr>
        <w:spacing w:line="269" w:lineRule="auto"/>
        <w:ind w:left="-285"/>
        <w:jc w:val="center"/>
        <w:rPr>
          <w:rFonts w:ascii="Calibri" w:hAnsi="Calibri" w:cs="Calibri"/>
          <w:b/>
          <w:bCs/>
          <w:color w:val="002060"/>
          <w:sz w:val="80"/>
          <w:szCs w:val="80"/>
          <w:rtl/>
        </w:rPr>
      </w:pPr>
      <w:r w:rsidRPr="006D5A95">
        <w:rPr>
          <w:rFonts w:ascii="Calibri" w:hAnsi="Calibri" w:cs="Calibri"/>
          <w:b/>
          <w:bCs/>
          <w:color w:val="002060"/>
          <w:sz w:val="80"/>
          <w:szCs w:val="80"/>
          <w:rtl/>
        </w:rPr>
        <w:t xml:space="preserve">ניהול מערך הגמלאות של עובדי המדינה - </w:t>
      </w:r>
      <w:r>
        <w:rPr>
          <w:rFonts w:ascii="Calibri" w:hAnsi="Calibri" w:cs="Calibri"/>
          <w:b/>
          <w:bCs/>
          <w:color w:val="002060"/>
          <w:sz w:val="80"/>
          <w:szCs w:val="80"/>
          <w:rtl/>
        </w:rPr>
        <w:br/>
      </w:r>
      <w:r w:rsidRPr="006D5A95">
        <w:rPr>
          <w:rFonts w:ascii="Calibri" w:hAnsi="Calibri" w:cs="Calibri"/>
          <w:b/>
          <w:bCs/>
          <w:color w:val="002060"/>
          <w:sz w:val="80"/>
          <w:szCs w:val="80"/>
          <w:rtl/>
        </w:rPr>
        <w:t>ביקורת מעקב</w:t>
      </w:r>
    </w:p>
    <w:p w:rsidR="00D125D2" w:rsidRPr="00A65E62" w:rsidP="00A65E62">
      <w:pPr>
        <w:spacing w:line="269" w:lineRule="auto"/>
        <w:ind w:left="-285"/>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p w:rsidR="00230B10" w:rsidRPr="00230B10" w:rsidP="00230B10">
      <w:pPr>
        <w:spacing w:line="288" w:lineRule="auto"/>
        <w:rPr>
          <w:rFonts w:ascii="Tahoma" w:eastAsia="Calibri" w:hAnsi="Tahoma" w:cs="Tahoma"/>
        </w:rPr>
      </w:pPr>
    </w:p>
    <w:tbl>
      <w:tblPr>
        <w:tblStyle w:val="TableGrid"/>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F65329">
        <w:tblPrEx>
          <w:tblW w:w="9783" w:type="dxa"/>
          <w:tblLook w:val="04A0"/>
        </w:tblPrEx>
        <w:tc>
          <w:tcPr>
            <w:tcW w:w="9783" w:type="dxa"/>
          </w:tcPr>
          <w:p w:rsidR="00230B10" w:rsidRPr="00230B10" w:rsidP="00273393">
            <w:pPr>
              <w:spacing w:after="240" w:line="288" w:lineRule="auto"/>
              <w:rPr>
                <w:rFonts w:ascii="Tahoma" w:eastAsia="Calibri" w:hAnsi="Tahoma" w:cs="Tahoma"/>
                <w:b/>
                <w:bCs/>
                <w:sz w:val="40"/>
                <w:szCs w:val="40"/>
                <w:rtl/>
              </w:rPr>
            </w:pPr>
            <w:bookmarkStart w:id="0" w:name="_Hlk223585078"/>
            <w:r w:rsidRPr="00230B10">
              <w:rPr>
                <w:rFonts w:ascii="Tahoma" w:eastAsia="Calibri" w:hAnsi="Tahoma" w:cs="Tahoma" w:hint="cs"/>
                <w:b/>
                <w:bCs/>
                <w:sz w:val="40"/>
                <w:szCs w:val="40"/>
                <w:rtl/>
              </w:rPr>
              <w:t>ניהול מערך הגמלאות של עובדי המדינה</w:t>
            </w:r>
            <w:r w:rsidRPr="00230B10">
              <w:rPr>
                <w:rFonts w:ascii="Tahoma" w:eastAsia="Calibri" w:hAnsi="Tahoma" w:cs="Tahoma"/>
                <w:b/>
                <w:bCs/>
                <w:sz w:val="40"/>
                <w:szCs w:val="40"/>
                <w:rtl/>
              </w:rPr>
              <w:t xml:space="preserve"> - ביקורת מעקב </w:t>
            </w:r>
          </w:p>
          <w:bookmarkEnd w:id="0"/>
          <w:p w:rsidR="00230B10" w:rsidRPr="00230B10" w:rsidP="00230B10">
            <w:pPr>
              <w:spacing w:line="288" w:lineRule="auto"/>
              <w:rPr>
                <w:rFonts w:ascii="Tahoma" w:eastAsia="Calibri" w:hAnsi="Tahoma" w:cs="Tahoma"/>
                <w:rtl/>
              </w:rPr>
            </w:pPr>
            <w:r w:rsidRPr="00230B10">
              <w:rPr>
                <w:rFonts w:ascii="Tahoma" w:eastAsia="Calibri" w:hAnsi="Tahoma" w:cs="Tahoma"/>
                <w:sz w:val="36"/>
                <w:szCs w:val="36"/>
                <w:rtl/>
              </w:rPr>
              <w:t>תקציר</w:t>
            </w:r>
          </w:p>
          <w:p w:rsidR="00230B10" w:rsidRPr="00230B10" w:rsidP="00230B10">
            <w:pPr>
              <w:spacing w:line="288" w:lineRule="auto"/>
              <w:ind w:left="-851"/>
              <w:rPr>
                <w:rFonts w:ascii="Tahoma" w:eastAsia="Calibri" w:hAnsi="Tahoma" w:cs="Tahoma"/>
                <w:rtl/>
              </w:rPr>
            </w:pPr>
          </w:p>
        </w:tc>
      </w:tr>
    </w:tbl>
    <w:p w:rsidR="00230B10" w:rsidRPr="00230B10" w:rsidP="00230B10">
      <w:pPr>
        <w:spacing w:line="288" w:lineRule="auto"/>
        <w:ind w:left="-851"/>
        <w:rPr>
          <w:rFonts w:ascii="Tahoma" w:eastAsia="Calibri" w:hAnsi="Tahoma" w:cs="Tahoma"/>
          <w:rtl/>
        </w:rPr>
      </w:pPr>
    </w:p>
    <w:p w:rsidR="00230B10" w:rsidRPr="00230B10" w:rsidP="00230B10">
      <w:pPr>
        <w:spacing w:line="288" w:lineRule="auto"/>
        <w:ind w:left="-851"/>
        <w:rPr>
          <w:rFonts w:ascii="Tahoma" w:eastAsia="Calibri" w:hAnsi="Tahoma" w:cs="Tahoma"/>
          <w:rtl/>
        </w:rPr>
      </w:pPr>
      <w:r w:rsidRPr="00230B10">
        <w:rPr>
          <w:rFonts w:ascii="Tahoma" w:eastAsia="Calibri" w:hAnsi="Tahoma" w:cs="Tahoma"/>
          <w:noProof/>
          <w:rtl/>
        </w:rPr>
        <w:drawing>
          <wp:inline distT="0" distB="0" distL="0" distR="0">
            <wp:extent cx="1638300" cy="411480"/>
            <wp:effectExtent l="0" t="0" r="0" b="7620"/>
            <wp:docPr id="33" name="תמונה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230B10" w:rsidRPr="00230B10" w:rsidP="00A9248F">
      <w:pPr>
        <w:spacing w:after="120" w:line="288" w:lineRule="auto"/>
        <w:ind w:left="-709" w:right="-851"/>
        <w:rPr>
          <w:rFonts w:ascii="Tahoma" w:eastAsia="Calibri" w:hAnsi="Tahoma" w:cs="Tahoma"/>
          <w:sz w:val="19"/>
          <w:szCs w:val="19"/>
          <w:rtl/>
        </w:rPr>
      </w:pPr>
      <w:r w:rsidRPr="00230B10">
        <w:rPr>
          <w:rFonts w:ascii="Tahoma" w:eastAsia="Calibri" w:hAnsi="Tahoma" w:cs="Tahoma"/>
          <w:sz w:val="19"/>
          <w:szCs w:val="19"/>
          <w:rtl/>
        </w:rPr>
        <w:t>פנסיה תקציבית משולמת בישראל מתוקף חוק שירות המדינה (גמלאות) [נוסח משולב], התש"ל-1970</w:t>
      </w:r>
      <w:r w:rsidR="00EF64B0">
        <w:rPr>
          <w:rFonts w:ascii="Tahoma" w:eastAsia="Calibri" w:hAnsi="Tahoma" w:cs="Tahoma" w:hint="cs"/>
          <w:sz w:val="19"/>
          <w:szCs w:val="19"/>
          <w:rtl/>
        </w:rPr>
        <w:t>.</w:t>
      </w:r>
      <w:r w:rsidRPr="00230B10">
        <w:rPr>
          <w:rFonts w:ascii="Tahoma" w:eastAsia="Calibri" w:hAnsi="Tahoma" w:cs="Tahoma"/>
          <w:sz w:val="19"/>
          <w:szCs w:val="19"/>
          <w:rtl/>
        </w:rPr>
        <w:t xml:space="preserve"> חוקים נוספים מסדירים את תשלום הפנסיה התקציבית מטעם המדינה: חוק שירות הקבע בצבא-הגנה לישראל (גמלאות) [נוסח משולב], התשמ"ה-1985; חוק גמלאות לנושאי משרה ברשויות השלטון, התשכ"ט-1969, שעניינו גמלאות לבעלי תפקידים שפורטו בחוק.</w:t>
      </w:r>
    </w:p>
    <w:p w:rsidR="00230B10" w:rsidRPr="00230B10" w:rsidP="00A9248F">
      <w:pPr>
        <w:spacing w:after="120" w:line="288" w:lineRule="auto"/>
        <w:ind w:left="-709" w:right="-851"/>
        <w:rPr>
          <w:rFonts w:ascii="Tahoma" w:eastAsia="Calibri" w:hAnsi="Tahoma" w:cs="Tahoma"/>
          <w:rtl/>
        </w:rPr>
      </w:pPr>
      <w:r w:rsidRPr="00230B10">
        <w:rPr>
          <w:rFonts w:ascii="Tahoma" w:eastAsia="Calibri" w:hAnsi="Tahoma" w:cs="Tahoma"/>
          <w:sz w:val="19"/>
          <w:szCs w:val="19"/>
          <w:rtl/>
        </w:rPr>
        <w:t>שר האוצר ממונה על יישום חוק הגמלאות. מינהלת הגמלאות (גם - המינהלת) היא חלק ממטה השכר באגף החשב הכללי במשרד האוצר (החשכ"ל) וכפופה לסגן לענייני שכר וגמלאות. המינהלת היא הגוף האחראי מטעם שר האוצר והחשב הכללי לתשלומי הפנסיה התקציבית לעובדי מדינה אשר פרשו לגמלאות. תפקידיה העיקריים של מינהלת הגמלאות הם קביעת הזכאות לקצבה, אחוזי הזכאות לקצבה וסכום המשכורת הקובעת לקצבה וכן ביצוע תשלום הקצבה בפועל לגמלאי שירות המדינה הזכאים לפנסיה תקציבית לפי חוק הגמלאות - הן תשלומי הקצבה החודשיים והן תשלום מענקי פרישה ומענקי שנים עודפות מתוקף חוק הגמלאות. נוסף על כך, מינהלת הגמלאות ממונה על יישום הסכם רציפות זכויות (הסכם הרציפות), היוון קצבאות, עריכת התחשבנויות מול הגופים האחרים הכלולים בהסכם הרציפות ומתן שירות לגמלאי שירות המדינה. מינהלת הגמלאות משלמת את גמלת הפנסיה התקציבית לגמלאים של מרבית משרדי הממשלה, למעט חלק מגמלאי מערכת הביטחון, משטרת ישראל ושירות בתי הסוהר. התשלומים מבוצעים בהתאם לחוק הגמלאות ועל פי הסכמי השכר וכללי המיסוי. כמו כן, מינהלת הגמלאות משמשת זרוע של משרד האוצר והחשב הכללי לביצוע תשלומי הסיוע השונים לקרנות הפנסיה הוותיקות, ליישום הסכמי השכר הרלוונטיים לגמלאים ולניהול מערך הסליקה של ניכויי השכר, כל זאת לפי מדיניות הממשלה.</w:t>
      </w:r>
    </w:p>
    <w:p w:rsidR="00230B10" w:rsidRPr="00230B10" w:rsidP="00230B10">
      <w:pPr>
        <w:spacing w:line="288" w:lineRule="auto"/>
        <w:ind w:left="-710" w:right="-851"/>
        <w:rPr>
          <w:rFonts w:ascii="Tahoma" w:eastAsia="Calibri" w:hAnsi="Tahoma" w:cs="Tahoma"/>
          <w:sz w:val="19"/>
          <w:szCs w:val="19"/>
          <w:rtl/>
        </w:rPr>
      </w:pPr>
      <w:r w:rsidRPr="00230B10">
        <w:rPr>
          <w:rFonts w:ascii="Tahoma" w:eastAsia="Calibri" w:hAnsi="Tahoma" w:cs="Tahoma"/>
          <w:sz w:val="19"/>
          <w:szCs w:val="19"/>
          <w:rtl/>
        </w:rPr>
        <w:t>בשנת 2024 שילמה מינהלת הגמלאות כ-15 מיליארד ש"ח לכ-120,000 גמלאים ושאירים. בסוף שנת 2024 העסיקה המינהלת 69 עובדים, מתוכם 21 סטודנטים המועסקים במשרת סטודנט.</w:t>
      </w:r>
    </w:p>
    <w:p w:rsidR="00230B10" w:rsidP="00230B10">
      <w:pPr>
        <w:spacing w:line="288" w:lineRule="auto"/>
        <w:ind w:left="-710"/>
        <w:rPr>
          <w:rFonts w:ascii="Tahoma" w:eastAsia="Calibri" w:hAnsi="Tahoma" w:cs="Tahoma"/>
          <w:rtl/>
        </w:rPr>
      </w:pPr>
    </w:p>
    <w:p w:rsidR="006D5A95" w:rsidRPr="00230B10" w:rsidP="00230B10">
      <w:pPr>
        <w:spacing w:line="288" w:lineRule="auto"/>
        <w:ind w:left="-710"/>
        <w:rPr>
          <w:rFonts w:ascii="Tahoma" w:eastAsia="Calibri" w:hAnsi="Tahoma" w:cs="Tahoma"/>
          <w:rtl/>
        </w:rPr>
      </w:pPr>
    </w:p>
    <w:p w:rsidR="00230B10" w:rsidRPr="00230B10" w:rsidP="00230B10">
      <w:pPr>
        <w:spacing w:line="288" w:lineRule="auto"/>
        <w:ind w:left="-851"/>
        <w:rPr>
          <w:rFonts w:ascii="Tahoma" w:eastAsia="Calibri" w:hAnsi="Tahoma" w:cs="Tahoma"/>
          <w:rtl/>
        </w:rPr>
      </w:pPr>
      <w:r w:rsidRPr="00230B10">
        <w:rPr>
          <w:rFonts w:ascii="Tahoma" w:eastAsia="Calibri" w:hAnsi="Tahoma" w:cs="Tahoma"/>
          <w:noProof/>
          <w:rtl/>
        </w:rPr>
        <w:drawing>
          <wp:inline distT="0" distB="0" distL="0" distR="0">
            <wp:extent cx="1674111" cy="381000"/>
            <wp:effectExtent l="0" t="0" r="2540" b="0"/>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230B10" w:rsidRPr="00230B10" w:rsidP="00230B10">
      <w:pPr>
        <w:spacing w:line="288" w:lineRule="auto"/>
        <w:ind w:left="-710"/>
        <w:rPr>
          <w:rFonts w:ascii="Tahoma" w:eastAsia="Calibri" w:hAnsi="Tahoma" w:cs="Tahoma"/>
          <w:sz w:val="12"/>
          <w:szCs w:val="16"/>
          <w:rtl/>
        </w:rPr>
      </w:pPr>
    </w:p>
    <w:tbl>
      <w:tblPr>
        <w:tblStyle w:val="TableGrid"/>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1"/>
        <w:gridCol w:w="277"/>
        <w:gridCol w:w="2274"/>
        <w:gridCol w:w="278"/>
        <w:gridCol w:w="2135"/>
        <w:gridCol w:w="280"/>
        <w:gridCol w:w="2127"/>
      </w:tblGrid>
      <w:tr w:rsidTr="00F65329">
        <w:tblPrEx>
          <w:tblW w:w="9642" w:type="dxa"/>
          <w:tblLook w:val="04A0"/>
        </w:tblPrEx>
        <w:trPr>
          <w:trHeight w:val="283"/>
        </w:trPr>
        <w:tc>
          <w:tcPr>
            <w:tcW w:w="2271" w:type="dxa"/>
            <w:tcBorders>
              <w:bottom w:val="single" w:sz="12" w:space="0" w:color="auto"/>
            </w:tcBorders>
            <w:shd w:val="clear" w:color="auto" w:fill="auto"/>
            <w:vAlign w:val="bottom"/>
          </w:tcPr>
          <w:p w:rsidR="00230B10" w:rsidRPr="00230B10" w:rsidP="00230B10">
            <w:pPr>
              <w:spacing w:after="60" w:line="240" w:lineRule="auto"/>
              <w:rPr>
                <w:rFonts w:ascii="Tahoma" w:eastAsia="Calibri" w:hAnsi="Tahoma" w:cs="Tahoma"/>
                <w:spacing w:val="-10"/>
                <w:sz w:val="36"/>
                <w:szCs w:val="36"/>
                <w:rtl/>
              </w:rPr>
            </w:pPr>
            <w:r w:rsidRPr="00230B10">
              <w:rPr>
                <w:rFonts w:ascii="Tahoma" w:eastAsia="Calibri" w:hAnsi="Tahoma" w:cs="Tahoma"/>
                <w:spacing w:val="-10"/>
                <w:sz w:val="36"/>
                <w:szCs w:val="36"/>
                <w:rtl/>
              </w:rPr>
              <w:t xml:space="preserve">15 </w:t>
            </w:r>
            <w:r w:rsidRPr="00230B10">
              <w:rPr>
                <w:rFonts w:ascii="Tahoma" w:eastAsia="Calibri" w:hAnsi="Tahoma" w:cs="Tahoma"/>
                <w:spacing w:val="-10"/>
                <w:sz w:val="36"/>
                <w:szCs w:val="36"/>
                <w:rtl/>
              </w:rPr>
              <w:br/>
            </w:r>
            <w:r w:rsidRPr="00230B10">
              <w:rPr>
                <w:rFonts w:ascii="Tahoma" w:eastAsia="Calibri" w:hAnsi="Tahoma" w:cs="Tahoma"/>
                <w:spacing w:val="-10"/>
                <w:sz w:val="26"/>
                <w:szCs w:val="26"/>
                <w:rtl/>
              </w:rPr>
              <w:t>מיליארד ש"ח</w:t>
            </w:r>
            <w:r w:rsidRPr="00230B10">
              <w:rPr>
                <w:rFonts w:ascii="Tahoma" w:eastAsia="Calibri" w:hAnsi="Tahoma" w:cs="Tahoma"/>
                <w:spacing w:val="-10"/>
                <w:sz w:val="36"/>
                <w:szCs w:val="36"/>
                <w:rtl/>
              </w:rPr>
              <w:t xml:space="preserve"> </w:t>
            </w:r>
          </w:p>
        </w:tc>
        <w:tc>
          <w:tcPr>
            <w:tcW w:w="277" w:type="dxa"/>
            <w:vAlign w:val="bottom"/>
          </w:tcPr>
          <w:p w:rsidR="00230B10" w:rsidRPr="00230B10" w:rsidP="00230B10">
            <w:pPr>
              <w:spacing w:line="240" w:lineRule="auto"/>
              <w:rPr>
                <w:rFonts w:ascii="Tahoma" w:eastAsia="Calibri" w:hAnsi="Tahoma" w:cs="Tahoma"/>
                <w:spacing w:val="-10"/>
              </w:rPr>
            </w:pPr>
          </w:p>
        </w:tc>
        <w:tc>
          <w:tcPr>
            <w:tcW w:w="2274" w:type="dxa"/>
            <w:tcBorders>
              <w:bottom w:val="single" w:sz="12" w:space="0" w:color="auto"/>
            </w:tcBorders>
            <w:vAlign w:val="bottom"/>
          </w:tcPr>
          <w:p w:rsidR="00230B10" w:rsidRPr="00230B10" w:rsidP="00230B10">
            <w:pPr>
              <w:spacing w:after="60" w:line="240" w:lineRule="auto"/>
              <w:rPr>
                <w:rFonts w:ascii="Tahoma" w:eastAsia="Calibri" w:hAnsi="Tahoma" w:cs="Tahoma"/>
                <w:spacing w:val="-10"/>
                <w:sz w:val="36"/>
                <w:szCs w:val="36"/>
                <w:rtl/>
              </w:rPr>
            </w:pPr>
            <w:r w:rsidRPr="00230B10">
              <w:rPr>
                <w:rFonts w:ascii="Tahoma" w:eastAsia="Calibri" w:hAnsi="Tahoma" w:cs="Tahoma"/>
                <w:spacing w:val="-10"/>
                <w:sz w:val="36"/>
                <w:szCs w:val="36"/>
              </w:rPr>
              <w:t>374</w:t>
            </w:r>
            <w:r w:rsidRPr="00230B10">
              <w:rPr>
                <w:rFonts w:ascii="Tahoma" w:eastAsia="Calibri" w:hAnsi="Tahoma" w:cs="Tahoma"/>
                <w:spacing w:val="-10"/>
                <w:sz w:val="36"/>
                <w:szCs w:val="36"/>
                <w:rtl/>
              </w:rPr>
              <w:t xml:space="preserve"> </w:t>
            </w:r>
            <w:r w:rsidRPr="00230B10">
              <w:rPr>
                <w:rFonts w:ascii="Tahoma" w:eastAsia="Calibri" w:hAnsi="Tahoma" w:cs="Tahoma"/>
                <w:spacing w:val="-10"/>
                <w:sz w:val="26"/>
                <w:szCs w:val="26"/>
                <w:rtl/>
              </w:rPr>
              <w:br/>
              <w:t>מיליארד ש"ח</w:t>
            </w:r>
          </w:p>
        </w:tc>
        <w:tc>
          <w:tcPr>
            <w:tcW w:w="278" w:type="dxa"/>
            <w:vAlign w:val="bottom"/>
          </w:tcPr>
          <w:p w:rsidR="00230B10" w:rsidRPr="00230B10" w:rsidP="00230B10">
            <w:pPr>
              <w:spacing w:line="240" w:lineRule="auto"/>
              <w:rPr>
                <w:rFonts w:ascii="Tahoma" w:eastAsia="Calibri" w:hAnsi="Tahoma" w:cs="Tahoma"/>
                <w:spacing w:val="-10"/>
              </w:rPr>
            </w:pPr>
          </w:p>
        </w:tc>
        <w:tc>
          <w:tcPr>
            <w:tcW w:w="2135" w:type="dxa"/>
            <w:tcBorders>
              <w:bottom w:val="single" w:sz="12" w:space="0" w:color="auto"/>
            </w:tcBorders>
            <w:vAlign w:val="bottom"/>
          </w:tcPr>
          <w:p w:rsidR="00230B10" w:rsidRPr="00230B10" w:rsidP="00230B10">
            <w:pPr>
              <w:spacing w:after="60" w:line="240" w:lineRule="auto"/>
              <w:rPr>
                <w:rFonts w:ascii="Tahoma" w:eastAsia="Calibri" w:hAnsi="Tahoma" w:cs="Tahoma"/>
                <w:spacing w:val="-10"/>
                <w:sz w:val="36"/>
                <w:szCs w:val="36"/>
              </w:rPr>
            </w:pPr>
            <w:r w:rsidRPr="00230B10">
              <w:rPr>
                <w:rFonts w:ascii="Tahoma" w:eastAsia="Calibri" w:hAnsi="Tahoma" w:cs="Tahoma"/>
                <w:spacing w:val="-10"/>
                <w:sz w:val="36"/>
                <w:szCs w:val="36"/>
                <w:rtl/>
              </w:rPr>
              <w:t xml:space="preserve">41.73 </w:t>
            </w:r>
            <w:r w:rsidRPr="00230B10">
              <w:rPr>
                <w:rFonts w:ascii="Tahoma" w:eastAsia="Calibri" w:hAnsi="Tahoma" w:cs="Tahoma"/>
                <w:spacing w:val="-10"/>
                <w:sz w:val="36"/>
                <w:szCs w:val="36"/>
                <w:rtl/>
              </w:rPr>
              <w:br/>
            </w:r>
            <w:r w:rsidRPr="00230B10">
              <w:rPr>
                <w:rFonts w:ascii="Tahoma" w:eastAsia="Calibri" w:hAnsi="Tahoma" w:cs="Tahoma"/>
                <w:spacing w:val="-10"/>
                <w:sz w:val="26"/>
                <w:szCs w:val="26"/>
                <w:rtl/>
              </w:rPr>
              <w:t>מיליארד ש"ח</w:t>
            </w:r>
          </w:p>
        </w:tc>
        <w:tc>
          <w:tcPr>
            <w:tcW w:w="280" w:type="dxa"/>
            <w:vAlign w:val="bottom"/>
          </w:tcPr>
          <w:p w:rsidR="00230B10" w:rsidRPr="00230B10" w:rsidP="00230B10">
            <w:pPr>
              <w:spacing w:line="240" w:lineRule="auto"/>
              <w:rPr>
                <w:rFonts w:ascii="Tahoma" w:eastAsia="Calibri" w:hAnsi="Tahoma" w:cs="Tahoma"/>
                <w:spacing w:val="-10"/>
              </w:rPr>
            </w:pPr>
          </w:p>
        </w:tc>
        <w:tc>
          <w:tcPr>
            <w:tcW w:w="2127" w:type="dxa"/>
            <w:tcBorders>
              <w:bottom w:val="single" w:sz="12" w:space="0" w:color="auto"/>
            </w:tcBorders>
            <w:shd w:val="clear" w:color="auto" w:fill="auto"/>
            <w:vAlign w:val="bottom"/>
          </w:tcPr>
          <w:p w:rsidR="00230B10" w:rsidRPr="00230B10" w:rsidP="00230B10">
            <w:pPr>
              <w:spacing w:after="60" w:line="240" w:lineRule="auto"/>
              <w:rPr>
                <w:rFonts w:ascii="Tahoma" w:eastAsia="Calibri" w:hAnsi="Tahoma" w:cs="Tahoma"/>
                <w:spacing w:val="-10"/>
                <w:sz w:val="36"/>
                <w:szCs w:val="36"/>
                <w:highlight w:val="cyan"/>
                <w:rtl/>
              </w:rPr>
            </w:pPr>
            <w:r w:rsidRPr="00230B10">
              <w:rPr>
                <w:rFonts w:ascii="Tahoma" w:eastAsia="Calibri" w:hAnsi="Tahoma" w:cs="Tahoma"/>
                <w:spacing w:val="-10"/>
                <w:sz w:val="36"/>
                <w:szCs w:val="36"/>
                <w:rtl/>
              </w:rPr>
              <w:t>0</w:t>
            </w:r>
          </w:p>
        </w:tc>
      </w:tr>
      <w:tr w:rsidTr="00F65329">
        <w:tblPrEx>
          <w:tblW w:w="9642" w:type="dxa"/>
          <w:tblLook w:val="04A0"/>
        </w:tblPrEx>
        <w:trPr>
          <w:trHeight w:val="85"/>
        </w:trPr>
        <w:tc>
          <w:tcPr>
            <w:tcW w:w="9642" w:type="dxa"/>
            <w:gridSpan w:val="7"/>
            <w:shd w:val="clear" w:color="auto" w:fill="auto"/>
            <w:vAlign w:val="center"/>
          </w:tcPr>
          <w:p w:rsidR="00230B10" w:rsidRPr="00230B10" w:rsidP="00230B10">
            <w:pPr>
              <w:spacing w:line="288" w:lineRule="auto"/>
              <w:rPr>
                <w:rFonts w:ascii="Tahoma" w:eastAsia="Calibri" w:hAnsi="Tahoma" w:cs="Tahoma"/>
                <w:spacing w:val="-10"/>
                <w:sz w:val="6"/>
                <w:szCs w:val="6"/>
                <w:highlight w:val="cyan"/>
                <w:rtl/>
              </w:rPr>
            </w:pPr>
          </w:p>
        </w:tc>
      </w:tr>
      <w:tr w:rsidTr="00F65329">
        <w:tblPrEx>
          <w:tblW w:w="9642" w:type="dxa"/>
          <w:tblLook w:val="04A0"/>
        </w:tblPrEx>
        <w:trPr>
          <w:trHeight w:val="1155"/>
        </w:trPr>
        <w:tc>
          <w:tcPr>
            <w:tcW w:w="2271" w:type="dxa"/>
          </w:tcPr>
          <w:p w:rsidR="00230B10" w:rsidRPr="00230B10" w:rsidP="00A9248F">
            <w:pPr>
              <w:spacing w:line="240" w:lineRule="auto"/>
              <w:ind w:right="23"/>
              <w:jc w:val="left"/>
              <w:rPr>
                <w:rFonts w:ascii="Tahoma" w:eastAsia="Calibri" w:hAnsi="Tahoma" w:cs="Tahoma"/>
                <w:b/>
                <w:bCs/>
                <w:sz w:val="19"/>
                <w:szCs w:val="19"/>
                <w:rtl/>
              </w:rPr>
            </w:pPr>
            <w:r w:rsidRPr="00230B10">
              <w:rPr>
                <w:rFonts w:ascii="Tahoma" w:eastAsia="Calibri" w:hAnsi="Tahoma" w:cs="Tahoma"/>
                <w:sz w:val="19"/>
                <w:szCs w:val="19"/>
                <w:rtl/>
              </w:rPr>
              <w:t>תשלום המינהלת בשנת 2024 לכ-120,000 גמלאים ושאירים</w:t>
            </w:r>
          </w:p>
        </w:tc>
        <w:tc>
          <w:tcPr>
            <w:tcW w:w="277" w:type="dxa"/>
          </w:tcPr>
          <w:p w:rsidR="00230B10" w:rsidRPr="00230B10" w:rsidP="00A9248F">
            <w:pPr>
              <w:spacing w:line="240" w:lineRule="auto"/>
              <w:jc w:val="left"/>
              <w:rPr>
                <w:rFonts w:ascii="Tahoma" w:eastAsia="Calibri" w:hAnsi="Tahoma" w:cs="Tahoma"/>
                <w:rtl/>
              </w:rPr>
            </w:pPr>
          </w:p>
        </w:tc>
        <w:tc>
          <w:tcPr>
            <w:tcW w:w="2274" w:type="dxa"/>
          </w:tcPr>
          <w:p w:rsidR="00230B10" w:rsidRPr="00230B10" w:rsidP="00A9248F">
            <w:pPr>
              <w:spacing w:line="240" w:lineRule="auto"/>
              <w:ind w:right="23"/>
              <w:jc w:val="left"/>
              <w:rPr>
                <w:rFonts w:ascii="Tahoma" w:eastAsia="Calibri" w:hAnsi="Tahoma" w:cs="Tahoma"/>
                <w:sz w:val="19"/>
                <w:szCs w:val="19"/>
                <w:rtl/>
              </w:rPr>
            </w:pPr>
            <w:r w:rsidRPr="00230B10">
              <w:rPr>
                <w:rFonts w:ascii="Tahoma" w:eastAsia="Calibri" w:hAnsi="Tahoma" w:cs="Tahoma"/>
                <w:sz w:val="19"/>
                <w:szCs w:val="19"/>
                <w:rtl/>
              </w:rPr>
              <w:t>היקף התחייבויות המצוי בטיפול מינהלת הגמלאות מתוך סך התחייבויות המדינה בגין פנסיה תקציבית בסוף שנת 2024</w:t>
            </w:r>
          </w:p>
        </w:tc>
        <w:tc>
          <w:tcPr>
            <w:tcW w:w="278" w:type="dxa"/>
          </w:tcPr>
          <w:p w:rsidR="00230B10" w:rsidRPr="00230B10" w:rsidP="00A9248F">
            <w:pPr>
              <w:spacing w:line="240" w:lineRule="auto"/>
              <w:jc w:val="left"/>
              <w:rPr>
                <w:rFonts w:ascii="Tahoma" w:eastAsia="Calibri" w:hAnsi="Tahoma" w:cs="Tahoma"/>
                <w:sz w:val="19"/>
                <w:szCs w:val="19"/>
                <w:rtl/>
              </w:rPr>
            </w:pPr>
          </w:p>
        </w:tc>
        <w:tc>
          <w:tcPr>
            <w:tcW w:w="2135" w:type="dxa"/>
          </w:tcPr>
          <w:p w:rsidR="00230B10" w:rsidRPr="00230B10" w:rsidP="00A9248F">
            <w:pPr>
              <w:spacing w:line="240" w:lineRule="auto"/>
              <w:ind w:right="23"/>
              <w:jc w:val="left"/>
              <w:rPr>
                <w:rFonts w:ascii="Tahoma" w:eastAsia="Calibri" w:hAnsi="Tahoma" w:cs="Tahoma"/>
                <w:sz w:val="19"/>
                <w:szCs w:val="19"/>
                <w:rtl/>
              </w:rPr>
            </w:pPr>
            <w:r w:rsidRPr="00230B10">
              <w:rPr>
                <w:rFonts w:ascii="Tahoma" w:eastAsia="Calibri" w:hAnsi="Tahoma" w:cs="Tahoma"/>
                <w:sz w:val="19"/>
                <w:szCs w:val="19"/>
                <w:rtl/>
              </w:rPr>
              <w:t>סך התשלומים הצפויים בגין פנסיה תקציבית בשנת 2039</w:t>
            </w:r>
          </w:p>
        </w:tc>
        <w:tc>
          <w:tcPr>
            <w:tcW w:w="280" w:type="dxa"/>
          </w:tcPr>
          <w:p w:rsidR="00230B10" w:rsidRPr="00230B10" w:rsidP="00A9248F">
            <w:pPr>
              <w:spacing w:line="240" w:lineRule="auto"/>
              <w:jc w:val="left"/>
              <w:rPr>
                <w:rFonts w:ascii="Tahoma" w:eastAsia="Calibri" w:hAnsi="Tahoma" w:cs="Tahoma"/>
                <w:sz w:val="19"/>
                <w:szCs w:val="19"/>
                <w:rtl/>
              </w:rPr>
            </w:pPr>
          </w:p>
        </w:tc>
        <w:tc>
          <w:tcPr>
            <w:tcW w:w="2127" w:type="dxa"/>
            <w:shd w:val="clear" w:color="auto" w:fill="auto"/>
          </w:tcPr>
          <w:p w:rsidR="00230B10" w:rsidRPr="00230B10" w:rsidP="00A9248F">
            <w:pPr>
              <w:spacing w:line="240" w:lineRule="auto"/>
              <w:ind w:right="23"/>
              <w:jc w:val="left"/>
              <w:rPr>
                <w:rFonts w:ascii="Tahoma" w:eastAsia="Calibri" w:hAnsi="Tahoma" w:cs="Tahoma"/>
                <w:sz w:val="19"/>
                <w:szCs w:val="19"/>
                <w:highlight w:val="cyan"/>
                <w:rtl/>
              </w:rPr>
            </w:pPr>
            <w:r w:rsidRPr="00230B10">
              <w:rPr>
                <w:rFonts w:ascii="Tahoma" w:eastAsia="Calibri" w:hAnsi="Tahoma" w:cs="Tahoma"/>
                <w:sz w:val="19"/>
                <w:szCs w:val="19"/>
                <w:rtl/>
              </w:rPr>
              <w:t xml:space="preserve">מספר הליקויים מדוח ביקורת קודם שמינהלת הגמלאות והחשב הכללי במשרד האוצר דיווחו על תיקונם </w:t>
            </w:r>
          </w:p>
        </w:tc>
      </w:tr>
    </w:tbl>
    <w:p w:rsidR="006D5A95"/>
    <w:tbl>
      <w:tblPr>
        <w:tblStyle w:val="TableGrid"/>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1"/>
        <w:gridCol w:w="277"/>
        <w:gridCol w:w="2274"/>
        <w:gridCol w:w="278"/>
        <w:gridCol w:w="2135"/>
        <w:gridCol w:w="280"/>
        <w:gridCol w:w="2127"/>
      </w:tblGrid>
      <w:tr w:rsidTr="00F65329">
        <w:tblPrEx>
          <w:tblW w:w="9642" w:type="dxa"/>
          <w:tblLook w:val="04A0"/>
        </w:tblPrEx>
        <w:trPr>
          <w:trHeight w:val="227"/>
        </w:trPr>
        <w:tc>
          <w:tcPr>
            <w:tcW w:w="2271" w:type="dxa"/>
            <w:tcBorders>
              <w:bottom w:val="single" w:sz="12" w:space="0" w:color="auto"/>
            </w:tcBorders>
            <w:vAlign w:val="center"/>
          </w:tcPr>
          <w:p w:rsidR="00230B10" w:rsidRPr="00230B10" w:rsidP="00230B10">
            <w:pPr>
              <w:spacing w:after="60" w:line="240" w:lineRule="auto"/>
              <w:rPr>
                <w:rFonts w:ascii="Tahoma" w:eastAsia="Calibri" w:hAnsi="Tahoma" w:cs="Tahoma"/>
                <w:spacing w:val="-10"/>
                <w:sz w:val="36"/>
                <w:szCs w:val="36"/>
              </w:rPr>
            </w:pPr>
            <w:r w:rsidRPr="00230B10">
              <w:rPr>
                <w:rFonts w:ascii="Tahoma" w:eastAsia="Calibri" w:hAnsi="Tahoma" w:cs="Tahoma"/>
                <w:spacing w:val="-10"/>
                <w:sz w:val="36"/>
                <w:szCs w:val="36"/>
                <w:rtl/>
              </w:rPr>
              <w:t>14,001</w:t>
            </w:r>
          </w:p>
        </w:tc>
        <w:tc>
          <w:tcPr>
            <w:tcW w:w="277" w:type="dxa"/>
          </w:tcPr>
          <w:p w:rsidR="00230B10" w:rsidRPr="00230B10" w:rsidP="00230B10">
            <w:pPr>
              <w:spacing w:line="240" w:lineRule="auto"/>
              <w:rPr>
                <w:rFonts w:ascii="Tahoma" w:eastAsia="Calibri" w:hAnsi="Tahoma" w:cs="Tahoma"/>
                <w:spacing w:val="-10"/>
              </w:rPr>
            </w:pPr>
          </w:p>
        </w:tc>
        <w:tc>
          <w:tcPr>
            <w:tcW w:w="2274" w:type="dxa"/>
            <w:tcBorders>
              <w:bottom w:val="single" w:sz="12" w:space="0" w:color="auto"/>
            </w:tcBorders>
            <w:vAlign w:val="center"/>
          </w:tcPr>
          <w:p w:rsidR="00230B10" w:rsidRPr="00230B10" w:rsidP="00230B10">
            <w:pPr>
              <w:spacing w:after="60" w:line="240" w:lineRule="auto"/>
              <w:rPr>
                <w:rFonts w:ascii="Tahoma" w:eastAsia="Calibri" w:hAnsi="Tahoma" w:cs="Tahoma"/>
                <w:spacing w:val="-10"/>
                <w:sz w:val="36"/>
                <w:szCs w:val="36"/>
              </w:rPr>
            </w:pPr>
            <w:r w:rsidRPr="00230B10">
              <w:rPr>
                <w:rFonts w:ascii="Tahoma" w:eastAsia="Calibri" w:hAnsi="Tahoma" w:cs="Tahoma"/>
                <w:spacing w:val="-10"/>
                <w:sz w:val="36"/>
                <w:szCs w:val="36"/>
                <w:rtl/>
              </w:rPr>
              <w:t>23</w:t>
            </w:r>
          </w:p>
        </w:tc>
        <w:tc>
          <w:tcPr>
            <w:tcW w:w="278" w:type="dxa"/>
          </w:tcPr>
          <w:p w:rsidR="00230B10" w:rsidRPr="00230B10" w:rsidP="00230B10">
            <w:pPr>
              <w:spacing w:line="240" w:lineRule="auto"/>
              <w:rPr>
                <w:rFonts w:ascii="Tahoma" w:eastAsia="Calibri" w:hAnsi="Tahoma" w:cs="Tahoma"/>
                <w:spacing w:val="-10"/>
              </w:rPr>
            </w:pPr>
          </w:p>
        </w:tc>
        <w:tc>
          <w:tcPr>
            <w:tcW w:w="2135" w:type="dxa"/>
            <w:tcBorders>
              <w:bottom w:val="single" w:sz="12" w:space="0" w:color="auto"/>
            </w:tcBorders>
          </w:tcPr>
          <w:p w:rsidR="00230B10" w:rsidRPr="00230B10" w:rsidP="00230B10">
            <w:pPr>
              <w:spacing w:after="60" w:line="240" w:lineRule="auto"/>
              <w:rPr>
                <w:rFonts w:ascii="Tahoma" w:eastAsia="Calibri" w:hAnsi="Tahoma" w:cs="Tahoma"/>
                <w:spacing w:val="-10"/>
                <w:sz w:val="36"/>
                <w:szCs w:val="36"/>
              </w:rPr>
            </w:pPr>
            <w:r w:rsidRPr="00230B10">
              <w:rPr>
                <w:rFonts w:ascii="Tahoma" w:eastAsia="Calibri" w:hAnsi="Tahoma" w:cs="Tahoma"/>
                <w:spacing w:val="-10"/>
                <w:sz w:val="36"/>
                <w:szCs w:val="36"/>
                <w:rtl/>
              </w:rPr>
              <w:t xml:space="preserve">77% </w:t>
            </w:r>
            <w:r w:rsidRPr="00230B10">
              <w:rPr>
                <w:rFonts w:ascii="Tahoma" w:eastAsia="Calibri" w:hAnsi="Tahoma" w:cs="Tahoma"/>
                <w:spacing w:val="-10"/>
                <w:sz w:val="26"/>
                <w:szCs w:val="26"/>
                <w:rtl/>
              </w:rPr>
              <w:t>בלבד</w:t>
            </w:r>
          </w:p>
        </w:tc>
        <w:tc>
          <w:tcPr>
            <w:tcW w:w="280" w:type="dxa"/>
          </w:tcPr>
          <w:p w:rsidR="00230B10" w:rsidRPr="00230B10" w:rsidP="00230B10">
            <w:pPr>
              <w:spacing w:line="240" w:lineRule="auto"/>
              <w:rPr>
                <w:rFonts w:ascii="Tahoma" w:eastAsia="Calibri" w:hAnsi="Tahoma" w:cs="Tahoma"/>
                <w:spacing w:val="-10"/>
              </w:rPr>
            </w:pPr>
          </w:p>
        </w:tc>
        <w:tc>
          <w:tcPr>
            <w:tcW w:w="2127" w:type="dxa"/>
            <w:tcBorders>
              <w:bottom w:val="single" w:sz="12" w:space="0" w:color="auto"/>
            </w:tcBorders>
            <w:vAlign w:val="center"/>
          </w:tcPr>
          <w:p w:rsidR="00230B10" w:rsidRPr="00230B10" w:rsidP="00230B10">
            <w:pPr>
              <w:spacing w:after="60" w:line="240" w:lineRule="auto"/>
              <w:rPr>
                <w:rFonts w:ascii="Tahoma" w:eastAsia="Calibri" w:hAnsi="Tahoma" w:cs="Tahoma"/>
                <w:spacing w:val="-10"/>
                <w:sz w:val="36"/>
                <w:szCs w:val="36"/>
              </w:rPr>
            </w:pPr>
            <w:r w:rsidRPr="00230B10">
              <w:rPr>
                <w:rFonts w:ascii="Tahoma" w:eastAsia="Calibri" w:hAnsi="Tahoma" w:cs="Tahoma"/>
                <w:spacing w:val="-10"/>
                <w:sz w:val="36"/>
                <w:szCs w:val="36"/>
                <w:rtl/>
              </w:rPr>
              <w:t xml:space="preserve">25 </w:t>
            </w:r>
            <w:r w:rsidRPr="00230B10">
              <w:rPr>
                <w:rFonts w:ascii="Tahoma" w:eastAsia="Calibri" w:hAnsi="Tahoma" w:cs="Tahoma"/>
                <w:spacing w:val="-10"/>
                <w:sz w:val="26"/>
                <w:szCs w:val="26"/>
                <w:rtl/>
              </w:rPr>
              <w:t>מיליון ש"ח</w:t>
            </w:r>
          </w:p>
        </w:tc>
      </w:tr>
      <w:tr w:rsidTr="00F65329">
        <w:tblPrEx>
          <w:tblW w:w="9642" w:type="dxa"/>
          <w:tblLook w:val="04A0"/>
        </w:tblPrEx>
        <w:trPr>
          <w:trHeight w:val="70"/>
        </w:trPr>
        <w:tc>
          <w:tcPr>
            <w:tcW w:w="9642" w:type="dxa"/>
            <w:gridSpan w:val="7"/>
            <w:vAlign w:val="center"/>
          </w:tcPr>
          <w:p w:rsidR="00230B10" w:rsidRPr="00230B10" w:rsidP="00230B10">
            <w:pPr>
              <w:spacing w:line="288" w:lineRule="auto"/>
              <w:rPr>
                <w:rFonts w:ascii="Tahoma" w:eastAsia="Calibri" w:hAnsi="Tahoma" w:cs="Tahoma"/>
                <w:spacing w:val="-10"/>
                <w:sz w:val="6"/>
                <w:szCs w:val="6"/>
                <w:rtl/>
              </w:rPr>
            </w:pPr>
          </w:p>
        </w:tc>
      </w:tr>
      <w:tr w:rsidTr="00F65329">
        <w:tblPrEx>
          <w:tblW w:w="9642" w:type="dxa"/>
          <w:tblLook w:val="04A0"/>
        </w:tblPrEx>
        <w:trPr>
          <w:trHeight w:val="1153"/>
        </w:trPr>
        <w:tc>
          <w:tcPr>
            <w:tcW w:w="2271" w:type="dxa"/>
          </w:tcPr>
          <w:p w:rsidR="00230B10" w:rsidRPr="00230B10" w:rsidP="00A9248F">
            <w:pPr>
              <w:spacing w:line="240" w:lineRule="auto"/>
              <w:ind w:right="23"/>
              <w:jc w:val="left"/>
              <w:rPr>
                <w:rFonts w:ascii="Tahoma" w:eastAsia="Calibri" w:hAnsi="Tahoma" w:cs="Tahoma"/>
                <w:sz w:val="19"/>
                <w:szCs w:val="19"/>
                <w:rtl/>
              </w:rPr>
            </w:pPr>
            <w:r w:rsidRPr="00230B10">
              <w:rPr>
                <w:rFonts w:ascii="Tahoma" w:eastAsia="Calibri" w:hAnsi="Tahoma" w:cs="Tahoma"/>
                <w:sz w:val="19"/>
                <w:szCs w:val="19"/>
                <w:rtl/>
              </w:rPr>
              <w:t>גמלאים אשר לא נוכה להם מס מרבי, על אף שלא המציאו טופס 101 (עד אמצע ספטמבר 2025)</w:t>
            </w:r>
          </w:p>
        </w:tc>
        <w:tc>
          <w:tcPr>
            <w:tcW w:w="277" w:type="dxa"/>
          </w:tcPr>
          <w:p w:rsidR="00230B10" w:rsidRPr="00230B10" w:rsidP="00A9248F">
            <w:pPr>
              <w:spacing w:line="240" w:lineRule="auto"/>
              <w:jc w:val="left"/>
              <w:rPr>
                <w:rFonts w:ascii="Tahoma" w:eastAsia="Calibri" w:hAnsi="Tahoma" w:cs="Tahoma"/>
                <w:sz w:val="19"/>
                <w:szCs w:val="19"/>
                <w:rtl/>
              </w:rPr>
            </w:pPr>
          </w:p>
        </w:tc>
        <w:tc>
          <w:tcPr>
            <w:tcW w:w="2274" w:type="dxa"/>
          </w:tcPr>
          <w:p w:rsidR="00230B10" w:rsidRPr="00230B10" w:rsidP="00A9248F">
            <w:pPr>
              <w:spacing w:line="240" w:lineRule="auto"/>
              <w:ind w:right="23"/>
              <w:jc w:val="left"/>
              <w:rPr>
                <w:rFonts w:ascii="Tahoma" w:eastAsia="Calibri" w:hAnsi="Tahoma" w:cs="Tahoma"/>
                <w:sz w:val="19"/>
                <w:szCs w:val="19"/>
                <w:rtl/>
              </w:rPr>
            </w:pPr>
            <w:r w:rsidRPr="00230B10">
              <w:rPr>
                <w:rFonts w:ascii="Tahoma" w:eastAsia="Calibri" w:hAnsi="Tahoma" w:cs="Tahoma"/>
                <w:sz w:val="19"/>
                <w:szCs w:val="19"/>
                <w:rtl/>
              </w:rPr>
              <w:t>שארים יתומים (מסך של 186) אשר לגביהם פנתה המינהלת לצורך בדיקת זכאותם לקבצה</w:t>
            </w:r>
          </w:p>
        </w:tc>
        <w:tc>
          <w:tcPr>
            <w:tcW w:w="278" w:type="dxa"/>
          </w:tcPr>
          <w:p w:rsidR="00230B10" w:rsidRPr="00230B10" w:rsidP="00A9248F">
            <w:pPr>
              <w:spacing w:line="240" w:lineRule="auto"/>
              <w:jc w:val="left"/>
              <w:rPr>
                <w:rFonts w:ascii="Tahoma" w:eastAsia="Calibri" w:hAnsi="Tahoma" w:cs="Tahoma"/>
                <w:sz w:val="19"/>
                <w:szCs w:val="19"/>
                <w:rtl/>
              </w:rPr>
            </w:pPr>
          </w:p>
        </w:tc>
        <w:tc>
          <w:tcPr>
            <w:tcW w:w="2135" w:type="dxa"/>
          </w:tcPr>
          <w:p w:rsidR="00230B10" w:rsidRPr="00230B10" w:rsidP="00A9248F">
            <w:pPr>
              <w:spacing w:line="240" w:lineRule="auto"/>
              <w:ind w:right="23"/>
              <w:jc w:val="left"/>
              <w:rPr>
                <w:rFonts w:ascii="Tahoma" w:eastAsia="Calibri" w:hAnsi="Tahoma" w:cs="Tahoma"/>
                <w:sz w:val="19"/>
                <w:szCs w:val="19"/>
                <w:rtl/>
              </w:rPr>
            </w:pPr>
            <w:r w:rsidRPr="00230B10">
              <w:rPr>
                <w:rFonts w:ascii="Tahoma" w:eastAsia="Calibri" w:hAnsi="Tahoma" w:cs="Tahoma"/>
                <w:sz w:val="19"/>
                <w:szCs w:val="19"/>
                <w:rtl/>
              </w:rPr>
              <w:t>שיעור המענה בתוך 180 שניות בשירות הלקוחות של מינהלת הגמלאות בחודשים ינואר עד יולי 2025</w:t>
            </w:r>
          </w:p>
        </w:tc>
        <w:tc>
          <w:tcPr>
            <w:tcW w:w="280" w:type="dxa"/>
          </w:tcPr>
          <w:p w:rsidR="00230B10" w:rsidRPr="00230B10" w:rsidP="00A9248F">
            <w:pPr>
              <w:spacing w:line="240" w:lineRule="auto"/>
              <w:jc w:val="left"/>
              <w:rPr>
                <w:rFonts w:ascii="Tahoma" w:eastAsia="Calibri" w:hAnsi="Tahoma" w:cs="Tahoma"/>
                <w:sz w:val="19"/>
                <w:szCs w:val="19"/>
                <w:rtl/>
              </w:rPr>
            </w:pPr>
          </w:p>
        </w:tc>
        <w:tc>
          <w:tcPr>
            <w:tcW w:w="2127" w:type="dxa"/>
          </w:tcPr>
          <w:p w:rsidR="00230B10" w:rsidRPr="00230B10" w:rsidP="00A9248F">
            <w:pPr>
              <w:spacing w:line="240" w:lineRule="auto"/>
              <w:ind w:right="23"/>
              <w:jc w:val="left"/>
              <w:rPr>
                <w:rFonts w:ascii="Tahoma" w:eastAsia="Calibri" w:hAnsi="Tahoma" w:cs="Tahoma"/>
                <w:sz w:val="19"/>
                <w:szCs w:val="19"/>
                <w:rtl/>
              </w:rPr>
            </w:pPr>
            <w:r w:rsidRPr="00230B10">
              <w:rPr>
                <w:rFonts w:ascii="Tahoma" w:eastAsia="Calibri" w:hAnsi="Tahoma" w:cs="Tahoma"/>
                <w:sz w:val="19"/>
                <w:szCs w:val="19"/>
                <w:rtl/>
              </w:rPr>
              <w:t>החיסכון השנתי המוערך מהקמת מערך גמלאות אחוד, שהקמתו טרם קודמה למרות החלטת הממשלה מאוקטובר 2024</w:t>
            </w:r>
          </w:p>
        </w:tc>
      </w:tr>
    </w:tbl>
    <w:p w:rsidR="00230B10" w:rsidRPr="00230B10" w:rsidP="00230B10">
      <w:pPr>
        <w:spacing w:line="288" w:lineRule="auto"/>
        <w:ind w:left="-710"/>
        <w:rPr>
          <w:rFonts w:ascii="Tahoma" w:eastAsia="Calibri" w:hAnsi="Tahoma" w:cs="Tahoma"/>
          <w:rtl/>
        </w:rPr>
      </w:pPr>
    </w:p>
    <w:p w:rsidR="00230B10" w:rsidRPr="00230B10" w:rsidP="00230B10">
      <w:pPr>
        <w:spacing w:line="288" w:lineRule="auto"/>
        <w:ind w:left="-710"/>
        <w:rPr>
          <w:rFonts w:ascii="Tahoma" w:eastAsia="Calibri" w:hAnsi="Tahoma" w:cs="Tahoma"/>
          <w:rtl/>
        </w:rPr>
      </w:pPr>
    </w:p>
    <w:tbl>
      <w:tblPr>
        <w:tblStyle w:val="TableGrid"/>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F65329">
        <w:tblPrEx>
          <w:tblW w:w="9617" w:type="dxa"/>
          <w:tblLook w:val="04A0"/>
        </w:tblPrEx>
        <w:trPr>
          <w:trHeight w:val="495"/>
        </w:trPr>
        <w:tc>
          <w:tcPr>
            <w:tcW w:w="9617" w:type="dxa"/>
            <w:gridSpan w:val="2"/>
            <w:vAlign w:val="center"/>
          </w:tcPr>
          <w:p w:rsidR="00230B10" w:rsidRPr="00230B10" w:rsidP="00230B10">
            <w:pPr>
              <w:spacing w:line="288" w:lineRule="auto"/>
              <w:rPr>
                <w:rFonts w:ascii="Tahoma" w:eastAsia="Calibri" w:hAnsi="Tahoma" w:cs="Tahoma"/>
                <w:sz w:val="17"/>
                <w:szCs w:val="17"/>
                <w:rtl/>
              </w:rPr>
            </w:pPr>
            <w:r w:rsidRPr="00230B10">
              <w:rPr>
                <w:rFonts w:ascii="Tahoma" w:eastAsia="Calibri" w:hAnsi="Tahoma" w:cs="Tahoma"/>
                <w:noProof/>
              </w:rPr>
              <w:drawing>
                <wp:inline distT="0" distB="0" distL="0" distR="0">
                  <wp:extent cx="5969635" cy="498472"/>
                  <wp:effectExtent l="0" t="0" r="0" b="0"/>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F65329">
        <w:tblPrEx>
          <w:tblW w:w="9617" w:type="dxa"/>
          <w:tblLook w:val="04A0"/>
        </w:tblPrEx>
        <w:trPr>
          <w:trHeight w:val="1019"/>
        </w:trPr>
        <w:tc>
          <w:tcPr>
            <w:tcW w:w="1237" w:type="dxa"/>
            <w:vAlign w:val="center"/>
          </w:tcPr>
          <w:p w:rsidR="00230B10" w:rsidRPr="00230B10" w:rsidP="00230B10">
            <w:pPr>
              <w:spacing w:line="288" w:lineRule="auto"/>
              <w:rPr>
                <w:rFonts w:ascii="Tahoma" w:eastAsia="Calibri" w:hAnsi="Tahoma" w:cs="Tahoma"/>
                <w:sz w:val="17"/>
                <w:szCs w:val="17"/>
                <w:rtl/>
              </w:rPr>
            </w:pPr>
            <w:r w:rsidRPr="00230B10">
              <w:rPr>
                <w:rFonts w:ascii="Tahoma" w:eastAsia="Calibri" w:hAnsi="Tahoma" w:cs="Tahoma"/>
                <w:noProof/>
              </w:rPr>
              <w:drawing>
                <wp:anchor distT="0" distB="0" distL="114300" distR="114300" simplePos="0" relativeHeight="251659264" behindDoc="0" locked="0" layoutInCell="1" allowOverlap="1">
                  <wp:simplePos x="0" y="0"/>
                  <wp:positionH relativeFrom="column">
                    <wp:posOffset>106680</wp:posOffset>
                  </wp:positionH>
                  <wp:positionV relativeFrom="paragraph">
                    <wp:posOffset>-650875</wp:posOffset>
                  </wp:positionV>
                  <wp:extent cx="445135" cy="445135"/>
                  <wp:effectExtent l="0" t="0" r="0" b="0"/>
                  <wp:wrapNone/>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0B10">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37" name="תמונה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shd w:val="clear" w:color="auto" w:fill="auto"/>
            <w:vAlign w:val="center"/>
          </w:tcPr>
          <w:p w:rsidR="00230B10" w:rsidP="00230B10">
            <w:pPr>
              <w:spacing w:line="288" w:lineRule="auto"/>
              <w:rPr>
                <w:rFonts w:ascii="Tahoma" w:eastAsia="Calibri" w:hAnsi="Tahoma" w:cs="Tahoma"/>
                <w:sz w:val="19"/>
                <w:szCs w:val="19"/>
                <w:rtl/>
              </w:rPr>
            </w:pPr>
            <w:r w:rsidRPr="00230B10">
              <w:rPr>
                <w:rFonts w:ascii="Tahoma" w:eastAsia="Calibri" w:hAnsi="Tahoma" w:cs="Tahoma"/>
                <w:sz w:val="19"/>
                <w:szCs w:val="19"/>
                <w:rtl/>
              </w:rPr>
              <w:t>בשנת 2020 פרסם משרד מבקר המדינה דוח בנושא "ניהול מערך הגמלאות של עובדי המדינה" (הדוח הקודם או הביקורת הקודמת). בחודשים יוני עד נובמבר 2025 בדק משרד מבקר המדינה את תיקון חלק מהליקויים ואת יישום ההמלצות שהועלו בדוח הקודם, בין היתר בנושאים האלה: דיווח למינהלת הגמלאות על הכנסות או קצבאות, יישום תקנות מס הכנסה - ניכוי מס, קיום בקרות על תשלום קצבה, התמודדות המינהלת עם סוגיות מקצועיות ושמירת ידע ארגוני. הביקורת נעשתה בעיקרה במינהלת הגמלאות, והשלמות לביקורת נעשו במשרד האוצר, ברשות המיסים בישראל ובעמיתים - הגוף המאחד את שמונה קרנות הפנסיה הוותיקות שבהסדר (הקרנות הוותיקות).</w:t>
            </w:r>
          </w:p>
          <w:p w:rsidR="00273393" w:rsidP="00230B10">
            <w:pPr>
              <w:spacing w:line="288" w:lineRule="auto"/>
              <w:rPr>
                <w:rFonts w:ascii="Tahoma" w:eastAsia="Calibri" w:hAnsi="Tahoma" w:cs="Tahoma"/>
                <w:sz w:val="19"/>
                <w:szCs w:val="19"/>
                <w:rtl/>
              </w:rPr>
            </w:pPr>
          </w:p>
          <w:p w:rsidR="00273393" w:rsidRPr="00230B10" w:rsidP="00230B10">
            <w:pPr>
              <w:spacing w:line="288" w:lineRule="auto"/>
              <w:rPr>
                <w:rFonts w:ascii="Tahoma" w:eastAsia="Calibri" w:hAnsi="Tahoma" w:cs="Tahoma"/>
                <w:sz w:val="19"/>
                <w:szCs w:val="19"/>
                <w:rtl/>
              </w:rPr>
            </w:pPr>
          </w:p>
        </w:tc>
      </w:tr>
    </w:tbl>
    <w:p w:rsidR="00230B10" w:rsidRPr="00230B10" w:rsidP="00230B10">
      <w:pPr>
        <w:spacing w:line="288" w:lineRule="auto"/>
        <w:ind w:left="-710"/>
        <w:rPr>
          <w:rFonts w:ascii="Tahoma" w:eastAsia="Calibri" w:hAnsi="Tahoma" w:cs="Tahoma"/>
          <w:noProof/>
        </w:rPr>
      </w:pPr>
    </w:p>
    <w:p w:rsidR="00230B10" w:rsidRPr="00230B10" w:rsidP="00230B10">
      <w:pPr>
        <w:spacing w:line="288" w:lineRule="auto"/>
        <w:ind w:left="-710"/>
        <w:rPr>
          <w:rFonts w:ascii="Tahoma" w:eastAsia="Calibri" w:hAnsi="Tahoma" w:cs="Tahoma"/>
          <w:noProof/>
          <w:rtl/>
        </w:rPr>
      </w:pPr>
      <w:r w:rsidRPr="00230B10">
        <w:rPr>
          <w:rFonts w:ascii="Tahoma" w:eastAsia="Calibri" w:hAnsi="Tahoma" w:cs="Tahoma"/>
          <w:noProof/>
        </w:rPr>
        <w:drawing>
          <wp:inline distT="0" distB="0" distL="0" distR="0">
            <wp:extent cx="6104255" cy="438829"/>
            <wp:effectExtent l="0" t="0" r="0" b="0"/>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230B10" w:rsidRPr="00230B10" w:rsidP="00230B10">
      <w:pPr>
        <w:spacing w:line="288" w:lineRule="auto"/>
        <w:ind w:left="-710"/>
        <w:rPr>
          <w:rFonts w:ascii="Tahoma" w:eastAsia="Calibri" w:hAnsi="Tahoma" w:cs="Tahoma"/>
          <w:noProof/>
          <w:rtl/>
        </w:rPr>
      </w:pPr>
    </w:p>
    <w:p w:rsidR="00230B10" w:rsidRPr="00230B10" w:rsidP="00230B10">
      <w:pPr>
        <w:spacing w:line="288" w:lineRule="auto"/>
        <w:ind w:left="-710" w:right="-567"/>
        <w:rPr>
          <w:rFonts w:ascii="Tahoma" w:eastAsia="Calibri" w:hAnsi="Tahoma" w:cs="Tahoma"/>
          <w:rtl/>
        </w:rPr>
      </w:pPr>
      <w:r w:rsidRPr="00230B10">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230B10" w:rsidRPr="00230B10" w:rsidP="00230B10">
      <w:pPr>
        <w:spacing w:line="288" w:lineRule="auto"/>
        <w:ind w:left="-710" w:right="-567"/>
        <w:rPr>
          <w:rFonts w:ascii="Tahoma" w:eastAsia="Calibri" w:hAnsi="Tahoma" w:cs="Tahoma"/>
          <w:rtl/>
        </w:rPr>
      </w:pPr>
    </w:p>
    <w:p w:rsidR="00230B10" w:rsidRPr="00230B10" w:rsidP="006D5A95">
      <w:pPr>
        <w:numPr>
          <w:ilvl w:val="0"/>
          <w:numId w:val="14"/>
        </w:numPr>
        <w:spacing w:after="240" w:line="288" w:lineRule="auto"/>
        <w:ind w:left="-142" w:right="-567" w:hanging="595"/>
        <w:rPr>
          <w:rFonts w:ascii="Tahoma" w:eastAsia="Calibri" w:hAnsi="Tahoma" w:cs="Tahoma"/>
          <w:sz w:val="19"/>
          <w:szCs w:val="19"/>
        </w:rPr>
      </w:pPr>
      <w:r w:rsidRPr="00230B10">
        <w:rPr>
          <w:rFonts w:ascii="Tahoma" w:eastAsia="Calibri" w:hAnsi="Tahoma" w:cs="Tahoma"/>
          <w:b/>
          <w:bCs/>
          <w:sz w:val="19"/>
          <w:szCs w:val="19"/>
          <w:rtl/>
        </w:rPr>
        <w:t>דיווח על תיקון הליקויים במינהלת הגמלאות ובחשב הכללי מדוח מבקר המדינה הקודם</w:t>
      </w:r>
      <w:r w:rsidRPr="00230B10">
        <w:rPr>
          <w:rFonts w:ascii="Tahoma" w:eastAsia="Calibri" w:hAnsi="Tahoma" w:cs="Tahoma"/>
          <w:sz w:val="19"/>
          <w:szCs w:val="19"/>
          <w:rtl/>
        </w:rPr>
        <w:t xml:space="preserve"> - מינהלת הגמלאות והחשב הכללי לא נקטו את ההליך הקבוע בדין לתיקון הליקויים ולא דיווחו על תיקון הליקויים שעלו בדוח הקודם; זאת שלא בהתאם לסעיפי החוק, הקובעים כי על ראש הגוף המבוקר לדווח למבקר המדינה על החלטות צוותי תיקון הליקויים בתוך 105 ימים ‏ממועד פרסום דוח הביקורת. </w:t>
      </w:r>
    </w:p>
    <w:p w:rsidR="00230B10" w:rsidP="00230B10">
      <w:pPr>
        <w:numPr>
          <w:ilvl w:val="0"/>
          <w:numId w:val="14"/>
        </w:numPr>
        <w:spacing w:after="240" w:line="288" w:lineRule="auto"/>
        <w:ind w:left="-143" w:right="-567" w:hanging="595"/>
        <w:rPr>
          <w:rFonts w:ascii="Tahoma" w:eastAsia="Calibri" w:hAnsi="Tahoma" w:cs="Tahoma"/>
          <w:sz w:val="19"/>
          <w:szCs w:val="19"/>
        </w:rPr>
      </w:pPr>
      <w:r w:rsidRPr="00230B10">
        <w:rPr>
          <w:rFonts w:ascii="Tahoma" w:eastAsia="Calibri" w:hAnsi="Tahoma" w:cs="Tahoma"/>
          <w:b/>
          <w:bCs/>
          <w:sz w:val="19"/>
          <w:szCs w:val="19"/>
          <w:rtl/>
        </w:rPr>
        <w:t>הצלבת נתונים עם נתוני המוסד לביטוח לאומי</w:t>
      </w:r>
      <w:r w:rsidRPr="00230B10">
        <w:rPr>
          <w:rFonts w:ascii="Tahoma" w:eastAsia="Calibri" w:hAnsi="Tahoma" w:cs="Tahoma"/>
          <w:sz w:val="19"/>
          <w:szCs w:val="19"/>
          <w:rtl/>
        </w:rPr>
        <w:t xml:space="preserve"> - בביקורת הקודמת עלה כי מינהלת הגמלאות ביקשה מהמוסד לביטוח לאומי (בט"ל) בשנת 2018 נתונים לשם ביצוע הצלבה נוספת (מאז שנת 2014), אולם גם לאחר שהנתונים נמסרו לידיה, לא ביקשה מבט"ל נתונים בדבר ההכנסה החייבת, לא פנתה לגמלאים ולא פעלה לבדיקת ההכנסות הנוספות של הגמלאים. בביקורת המעקב נמצא כי הליקוי</w:t>
      </w:r>
      <w:r w:rsidRPr="00230B10">
        <w:rPr>
          <w:rFonts w:ascii="Tahoma" w:eastAsia="Calibri" w:hAnsi="Tahoma" w:cs="Tahoma"/>
          <w:b/>
          <w:bCs/>
          <w:sz w:val="19"/>
          <w:szCs w:val="19"/>
          <w:rtl/>
        </w:rPr>
        <w:t xml:space="preserve"> תוקן במידה מועטה</w:t>
      </w:r>
      <w:r w:rsidRPr="00230B10">
        <w:rPr>
          <w:rFonts w:ascii="Tahoma" w:eastAsia="Calibri" w:hAnsi="Tahoma" w:cs="Tahoma"/>
          <w:sz w:val="19"/>
          <w:szCs w:val="19"/>
          <w:rtl/>
        </w:rPr>
        <w:t>. מינהלת הגמלאות לא יישמה את האמור בנוהל הצלבות קופה ציבורית ולא ביצעה במהלך השנים הצלבות מלאות מול בט"ל והגמלאים בהקשר לתקבולים המתקבלים מגופים שהוגדרו כקופה ציבורית. מינהלת הגמלאות לא בחנה את הנתונים שהעביר בט"ל בשנת 2018 ולא פעלה לבדיקת ההכנסות הנוספות של הגמלאים. לצד האמור, בסוף שנת 2021 פנתה מינהלת הגמלאות לבט"ל וקיבלה ממנו קובץ נתונים. ואולם גם נתונים אלה לא נבדקו, והמינהלת לא פעלה לבדיקת ההכנסות הנוספות של הגמלאים ולקבלת נתונים בדבר ההכנסה החייבת.</w:t>
      </w:r>
    </w:p>
    <w:p w:rsidR="00122463" w:rsidRPr="00230B10" w:rsidP="00122463">
      <w:pPr>
        <w:spacing w:after="240" w:line="288" w:lineRule="auto"/>
        <w:ind w:left="-143" w:right="-567"/>
        <w:rPr>
          <w:rFonts w:ascii="Tahoma" w:eastAsia="Calibri" w:hAnsi="Tahoma" w:cs="Tahoma"/>
          <w:sz w:val="19"/>
          <w:szCs w:val="19"/>
        </w:rPr>
      </w:pPr>
    </w:p>
    <w:p w:rsidR="00230B10" w:rsidRPr="00230B10" w:rsidP="00230B10">
      <w:pPr>
        <w:numPr>
          <w:ilvl w:val="0"/>
          <w:numId w:val="14"/>
        </w:numPr>
        <w:spacing w:after="240" w:line="288" w:lineRule="auto"/>
        <w:ind w:left="-143" w:right="-567" w:hanging="595"/>
        <w:rPr>
          <w:rFonts w:ascii="Tahoma" w:eastAsia="Calibri" w:hAnsi="Tahoma" w:cs="Tahoma"/>
          <w:sz w:val="19"/>
          <w:szCs w:val="19"/>
        </w:rPr>
      </w:pPr>
      <w:r w:rsidRPr="00230B10">
        <w:rPr>
          <w:rFonts w:ascii="Tahoma" w:eastAsia="Calibri" w:hAnsi="Tahoma" w:cs="Tahoma"/>
          <w:b/>
          <w:bCs/>
          <w:sz w:val="19"/>
          <w:szCs w:val="19"/>
          <w:rtl/>
        </w:rPr>
        <w:t>יישום תקנות מס הכנסה - ניכוי מס</w:t>
      </w:r>
      <w:r w:rsidRPr="00230B10">
        <w:rPr>
          <w:rFonts w:ascii="Tahoma" w:eastAsia="Calibri" w:hAnsi="Tahoma" w:cs="Tahoma"/>
          <w:sz w:val="19"/>
          <w:szCs w:val="19"/>
          <w:rtl/>
        </w:rPr>
        <w:t xml:space="preserve"> - בביקורת הקודמת עלה כי מינהלת הגמלאות לא ניכתה מס מרבי לגמלאים שלא הגישו טופס 101 ובכך פעלה שלא על פי תקנות מס הכנסה. בביקורת המעקב נמצא כי הליקוי</w:t>
      </w:r>
      <w:r w:rsidRPr="00230B10">
        <w:rPr>
          <w:rFonts w:ascii="Tahoma" w:eastAsia="Calibri" w:hAnsi="Tahoma" w:cs="Tahoma"/>
          <w:b/>
          <w:bCs/>
          <w:sz w:val="19"/>
          <w:szCs w:val="19"/>
          <w:rtl/>
        </w:rPr>
        <w:t xml:space="preserve"> תוקן במידה מועטה</w:t>
      </w:r>
      <w:r w:rsidRPr="00230B10">
        <w:rPr>
          <w:rFonts w:ascii="Tahoma" w:eastAsia="Calibri" w:hAnsi="Tahoma" w:cs="Tahoma"/>
          <w:sz w:val="19"/>
          <w:szCs w:val="19"/>
          <w:rtl/>
        </w:rPr>
        <w:t>. המינהלת פועלת מאז שנת 2022 במטרה להעלות את המודעות למילוי טופס 101 ולהגדיל את שיעור הגמלאים הממלאים אותו. בשנים 2021 - 2023 חלה ירידה ניכרת בשיעור הגמלאים אשר לא המציאו טופס 101 (61% ו-48% בשנים 2019 ו-2020, בהתאמה לעומת 19%, 23% ו-7% בשנים 2021 - 2023, בהתאמה). עם זאת, מינהלת הגמלאות לא ניכתה מס מרבי לגמלאים שלא המציאו טופס 101 בשנים 2020,2022, 2023 ו-2025. אי-ניכוי מס מרבי במקרים שבהם הגמלאי לא הגיש טופס 101 עלול להביא לחישוב מס שגוי מצד מינהלת הגמלאות ולגרום לחיסרון מס למדינה.</w:t>
      </w:r>
    </w:p>
    <w:p w:rsidR="00230B10" w:rsidRPr="00230B10" w:rsidP="00230B10">
      <w:pPr>
        <w:numPr>
          <w:ilvl w:val="0"/>
          <w:numId w:val="14"/>
        </w:numPr>
        <w:spacing w:after="120" w:line="288" w:lineRule="auto"/>
        <w:ind w:left="-142" w:right="-567" w:hanging="595"/>
        <w:rPr>
          <w:rFonts w:ascii="Tahoma" w:eastAsia="Calibri" w:hAnsi="Tahoma" w:cs="Tahoma"/>
          <w:sz w:val="19"/>
          <w:szCs w:val="19"/>
        </w:rPr>
      </w:pPr>
      <w:r w:rsidRPr="00230B10">
        <w:rPr>
          <w:rFonts w:ascii="Tahoma" w:eastAsia="Calibri" w:hAnsi="Tahoma" w:cs="Tahoma"/>
          <w:b/>
          <w:bCs/>
          <w:sz w:val="19"/>
          <w:szCs w:val="19"/>
          <w:rtl/>
        </w:rPr>
        <w:t xml:space="preserve">נשואים המקבלים קצבת שאירים </w:t>
      </w:r>
      <w:r w:rsidRPr="00230B10">
        <w:rPr>
          <w:rFonts w:ascii="Tahoma" w:eastAsia="Calibri" w:hAnsi="Tahoma" w:cs="Tahoma"/>
          <w:sz w:val="19"/>
          <w:szCs w:val="19"/>
          <w:rtl/>
        </w:rPr>
        <w:t>- בביקורת הקודמת נמצאו שלושה מקרים של שאירים שנישאו מחדש אך המשיכו לקבל קצבת שאירים בניגוד להוראות החוק. בביקורת המעקב עלה כי הליקוי</w:t>
      </w:r>
      <w:r w:rsidRPr="00230B10">
        <w:rPr>
          <w:rFonts w:ascii="Tahoma" w:eastAsia="Calibri" w:hAnsi="Tahoma" w:cs="Tahoma"/>
          <w:b/>
          <w:bCs/>
          <w:sz w:val="19"/>
          <w:szCs w:val="19"/>
          <w:rtl/>
        </w:rPr>
        <w:t xml:space="preserve"> לא תוקן</w:t>
      </w:r>
      <w:r w:rsidRPr="00230B10">
        <w:rPr>
          <w:rFonts w:ascii="Tahoma" w:eastAsia="Calibri" w:hAnsi="Tahoma" w:cs="Tahoma"/>
          <w:sz w:val="19"/>
          <w:szCs w:val="19"/>
          <w:rtl/>
        </w:rPr>
        <w:t>, שכן נמצאו 50 שאירים המופיעים במערכת המידע של המינהלת כנשואים ועדיין מקבלים קצבה. עולה כי לגבי 31 מקבלי קצבת שאירים, הסטטוס המשפחתי במערכת השכר לא היה מעודכן; חמישה שאירים הם ידועים בציבור; לגבי חמישה שאירים, סטטוס משרד הפנים לא היה מעודכן; לשישה שאירים נדרש היה לשלם קצבה על אף היות השאיר נשוי (תלויים/גמלת חסד); ובשלושה מקרים שולמה קצבה על אף היות השאיר נשוי. הקצבה הופסקה לאחר בדיקת צוות הביקורת. כמו כן, בביקורת הקודמת עלה כי מינהלת הגמלאות אינה מבצעת בדיקות לאיתור שאירים הזכאים לחידוש קצבתם בעקבות פטירת בן הזוג החדש או גירושים. בביקורת המעקב נמצא כי</w:t>
      </w:r>
      <w:r w:rsidRPr="00230B10">
        <w:rPr>
          <w:rFonts w:ascii="Tahoma" w:eastAsia="Calibri" w:hAnsi="Tahoma" w:cs="Tahoma"/>
          <w:b/>
          <w:bCs/>
          <w:sz w:val="19"/>
          <w:szCs w:val="19"/>
          <w:rtl/>
        </w:rPr>
        <w:t xml:space="preserve"> </w:t>
      </w:r>
      <w:r w:rsidRPr="00230B10">
        <w:rPr>
          <w:rFonts w:ascii="Tahoma" w:eastAsia="Calibri" w:hAnsi="Tahoma" w:cs="Tahoma"/>
          <w:sz w:val="19"/>
          <w:szCs w:val="19"/>
          <w:rtl/>
        </w:rPr>
        <w:t>על אף שהמידע נמצא בידיה, המינהלת אינה עוקבת אחר מצבם המשפחתי של שאירים שקצבתם הופסקה, לצורך איתור זכאותם לחידוש הקצבה בעקבות שינוי במעמדם המשפחתי. בדיקה כאמור בוצעה במהלך הביקורת על ידי צוות הביקורת ואף העלתה ממצאים בדבר 33 שאירים אשר ייתכן שהם זכאים לחידוש קצבתם.</w:t>
      </w:r>
      <w:r w:rsidRPr="00230B10">
        <w:rPr>
          <w:rFonts w:ascii="Tahoma" w:eastAsia="Calibri" w:hAnsi="Tahoma" w:cs="Tahoma"/>
          <w:rtl/>
        </w:rPr>
        <w:t xml:space="preserve"> </w:t>
      </w:r>
    </w:p>
    <w:p w:rsidR="00230B10" w:rsidRPr="00230B10" w:rsidP="006D5A95">
      <w:pPr>
        <w:spacing w:after="240" w:line="288" w:lineRule="auto"/>
        <w:ind w:left="-142" w:right="-567"/>
        <w:rPr>
          <w:rFonts w:ascii="Tahoma" w:eastAsia="Calibri" w:hAnsi="Tahoma" w:cs="Tahoma"/>
          <w:b/>
          <w:bCs/>
          <w:sz w:val="19"/>
          <w:szCs w:val="19"/>
        </w:rPr>
      </w:pPr>
      <w:r w:rsidRPr="00230B10">
        <w:rPr>
          <w:rFonts w:ascii="Tahoma" w:eastAsia="Calibri" w:hAnsi="Tahoma" w:cs="Tahoma"/>
          <w:b/>
          <w:bCs/>
          <w:sz w:val="19"/>
          <w:szCs w:val="19"/>
          <w:rtl/>
        </w:rPr>
        <w:t>יצוין כי ב-18.1.26, לאחר סיום ביקורת המעקב, תוקן חוק הגמלאות (תיקון 68). תיקון זה נכנס לתוקף ב-1.2.26 ומשנה מהותית את אופן הטיפול במקרים של נישואין מחדש. בתיקון נקבע בין היתר, כי קצבת השאירים לא תופסק או תחדל במקרה של נישואין מחדש או חיים כידועים בציבור.</w:t>
      </w:r>
    </w:p>
    <w:p w:rsidR="00230B10" w:rsidRPr="00230B10" w:rsidP="00230B10">
      <w:pPr>
        <w:numPr>
          <w:ilvl w:val="0"/>
          <w:numId w:val="14"/>
        </w:numPr>
        <w:spacing w:after="120" w:line="288" w:lineRule="auto"/>
        <w:ind w:left="-142" w:right="-567" w:hanging="567"/>
        <w:contextualSpacing/>
        <w:rPr>
          <w:rFonts w:ascii="Tahoma" w:eastAsia="Calibri" w:hAnsi="Tahoma" w:cs="Tahoma"/>
          <w:sz w:val="19"/>
          <w:szCs w:val="19"/>
        </w:rPr>
      </w:pPr>
      <w:r w:rsidRPr="00230B10">
        <w:rPr>
          <w:rFonts w:ascii="Tahoma" w:eastAsia="Calibri" w:hAnsi="Tahoma" w:cs="Tahoma"/>
          <w:b/>
          <w:bCs/>
          <w:sz w:val="19"/>
          <w:szCs w:val="19"/>
          <w:rtl/>
        </w:rPr>
        <w:t>תשלומי גמלת שאירים ליתומים שאינם עומדים ברשות עצמם</w:t>
      </w:r>
      <w:r w:rsidRPr="00230B10">
        <w:rPr>
          <w:rFonts w:ascii="Tahoma" w:eastAsia="Calibri" w:hAnsi="Tahoma" w:cs="Tahoma"/>
          <w:sz w:val="19"/>
          <w:szCs w:val="19"/>
          <w:rtl/>
        </w:rPr>
        <w:t xml:space="preserve"> -</w:t>
      </w:r>
      <w:r w:rsidRPr="00230B10">
        <w:rPr>
          <w:rFonts w:ascii="Tahoma" w:eastAsia="Calibri" w:hAnsi="Tahoma" w:cs="Tahoma"/>
          <w:rtl/>
        </w:rPr>
        <w:t xml:space="preserve"> </w:t>
      </w:r>
      <w:r w:rsidRPr="00230B10">
        <w:rPr>
          <w:rFonts w:ascii="Tahoma" w:eastAsia="Calibri" w:hAnsi="Tahoma" w:cs="Tahoma"/>
          <w:sz w:val="19"/>
          <w:szCs w:val="19"/>
          <w:rtl/>
        </w:rPr>
        <w:t>בחוק הגמלאות נקבע כי יתומים של עובד או של זכאי לקצבת פרישה שנפטר זכאים לקצבת שאירים כל עוד הם אינם עומדים ברשות עצמם. יתום שאינו עומד ברשות עצמו הוא מי שטרם הגיע לגיל 20 אם אינו משרת בצה"ל או בשירות לאומי או בהתנדבות קהילתית, או עד גיל 21 אם הוא משרת בצה"ל או בשירות לאומי או בהתנדבות קהילתית, וכן יתום שאין לו הכנסה כדי מחייתו ואינו מסוגל לכלכל את עצמו.</w:t>
      </w:r>
      <w:r w:rsidRPr="00230B10">
        <w:rPr>
          <w:rFonts w:ascii="Tahoma" w:eastAsia="Calibri" w:hAnsi="Tahoma" w:cs="Tahoma"/>
          <w:rtl/>
        </w:rPr>
        <w:t xml:space="preserve"> </w:t>
      </w:r>
      <w:r w:rsidRPr="00230B10">
        <w:rPr>
          <w:rFonts w:ascii="Tahoma" w:eastAsia="Calibri" w:hAnsi="Tahoma" w:cs="Tahoma"/>
          <w:sz w:val="19"/>
          <w:szCs w:val="19"/>
          <w:rtl/>
        </w:rPr>
        <w:t>בחוק לא הוגדרו תנאים בנוגע ל"הכנסה כדי מחיה" או ל"יכולת לכלכל את עצמו". במרץ 2012 קבעה מינהלת הגמלאות נוהל ובו תנאים להכרה בהורה, בנכד ובילד שאינו עומד ברשות עצמו. בין היתר, נקבע כי הכרה בילד, בילד חורג או בילד מאומץ כמי שאינו עומד ברשות עצמו תהיה בהתקיים שני מבחנים מצטברים: (א) ועדה רפואית קבעה כי הוא אינו מסוגל לעבוד; (ב) אין לו הכנסה כדי מחייתו.</w:t>
      </w:r>
    </w:p>
    <w:p w:rsidR="00230B10" w:rsidRPr="00230B10" w:rsidP="00230B10">
      <w:pPr>
        <w:spacing w:after="120" w:line="288" w:lineRule="auto"/>
        <w:ind w:left="-142" w:right="-567"/>
        <w:contextualSpacing/>
        <w:rPr>
          <w:rFonts w:ascii="Tahoma" w:eastAsia="Calibri" w:hAnsi="Tahoma" w:cs="Tahoma"/>
          <w:sz w:val="8"/>
          <w:szCs w:val="8"/>
        </w:rPr>
      </w:pPr>
    </w:p>
    <w:p w:rsidR="00230B10" w:rsidRPr="00230B10" w:rsidP="00230B10">
      <w:pPr>
        <w:numPr>
          <w:ilvl w:val="0"/>
          <w:numId w:val="16"/>
        </w:numPr>
        <w:spacing w:line="288" w:lineRule="auto"/>
        <w:ind w:left="283" w:right="-567"/>
        <w:contextualSpacing/>
        <w:rPr>
          <w:rFonts w:ascii="Tahoma" w:eastAsia="Calibri" w:hAnsi="Tahoma" w:cs="Tahoma"/>
          <w:sz w:val="19"/>
          <w:szCs w:val="19"/>
        </w:rPr>
      </w:pPr>
      <w:r w:rsidRPr="00230B10">
        <w:rPr>
          <w:rFonts w:ascii="Tahoma" w:eastAsia="Calibri" w:hAnsi="Tahoma" w:cs="Tahoma"/>
          <w:sz w:val="19"/>
          <w:szCs w:val="19"/>
          <w:rtl/>
        </w:rPr>
        <w:t>בביקורת הקודמת עלה כי שלושה יתומים שאינם מוגדרים "יתום שאינו עומד ברשות עצמו" ממשיכים לקבל קצבת שאירים אף על פי שעברו את הגיל המזכה בקצבה. בביקורת המעקב נמצא כי הליקוי</w:t>
      </w:r>
      <w:r w:rsidRPr="00230B10">
        <w:rPr>
          <w:rFonts w:ascii="Tahoma" w:eastAsia="Calibri" w:hAnsi="Tahoma" w:cs="Tahoma"/>
          <w:b/>
          <w:bCs/>
          <w:sz w:val="19"/>
          <w:szCs w:val="19"/>
          <w:rtl/>
        </w:rPr>
        <w:t xml:space="preserve"> תוקן במידה מועטה</w:t>
      </w:r>
      <w:r w:rsidRPr="00230B10">
        <w:rPr>
          <w:rFonts w:ascii="Tahoma" w:eastAsia="Calibri" w:hAnsi="Tahoma" w:cs="Tahoma"/>
          <w:sz w:val="19"/>
          <w:szCs w:val="19"/>
          <w:rtl/>
        </w:rPr>
        <w:t>, שכן בבדיקת המינהלת אותרו שבעה שאירים ששולמה להם קצבה ביתר.</w:t>
      </w:r>
    </w:p>
    <w:p w:rsidR="00230B10" w:rsidRPr="00230B10" w:rsidP="00230B10">
      <w:pPr>
        <w:spacing w:after="120" w:line="288" w:lineRule="auto"/>
        <w:ind w:left="1077"/>
        <w:contextualSpacing/>
        <w:rPr>
          <w:rFonts w:ascii="Tahoma" w:eastAsia="Calibri" w:hAnsi="Tahoma" w:cs="Tahoma"/>
          <w:sz w:val="8"/>
          <w:szCs w:val="8"/>
        </w:rPr>
      </w:pPr>
    </w:p>
    <w:p w:rsidR="00230B10" w:rsidP="00230B10">
      <w:pPr>
        <w:numPr>
          <w:ilvl w:val="0"/>
          <w:numId w:val="16"/>
        </w:numPr>
        <w:spacing w:line="288" w:lineRule="auto"/>
        <w:ind w:left="283" w:right="-567"/>
        <w:contextualSpacing/>
        <w:rPr>
          <w:rFonts w:ascii="Tahoma" w:eastAsia="Calibri" w:hAnsi="Tahoma" w:cs="Tahoma"/>
          <w:sz w:val="19"/>
          <w:szCs w:val="19"/>
        </w:rPr>
      </w:pPr>
      <w:r w:rsidRPr="00230B10">
        <w:rPr>
          <w:rFonts w:ascii="Tahoma" w:eastAsia="Calibri" w:hAnsi="Tahoma" w:cs="Tahoma"/>
          <w:sz w:val="19"/>
          <w:szCs w:val="19"/>
          <w:rtl/>
        </w:rPr>
        <w:t>בביקורת הקודמת נמצא כי מינהלת הגמלאות לא הצליבה מידע עם בט"ל בנוגע לשאירים יתומים שהם מעל לגיל הזכאות ומוגדרים כמי שאינם עומדים ברשות עצמם לבחינת הכנסה נוספת ומגבלת ההשתכרות על פי הנוהל. כמו כן, בביקורת הקודמת נמצאו תשעה שאירים שאין מתועדים לגביהם אישורי ועדות רפואיות או אישורים המעידים על הכנסה מעבודה שיקומית. בביקורת המעקב נמצא כי ליקויים אלה</w:t>
      </w:r>
      <w:r w:rsidRPr="00230B10">
        <w:rPr>
          <w:rFonts w:ascii="Tahoma" w:eastAsia="Calibri" w:hAnsi="Tahoma" w:cs="Tahoma"/>
          <w:b/>
          <w:bCs/>
          <w:sz w:val="19"/>
          <w:szCs w:val="19"/>
          <w:rtl/>
        </w:rPr>
        <w:t xml:space="preserve"> תוקנו במידה מועטה</w:t>
      </w:r>
      <w:r w:rsidRPr="00230B10">
        <w:rPr>
          <w:rFonts w:ascii="Tahoma" w:eastAsia="Calibri" w:hAnsi="Tahoma" w:cs="Tahoma"/>
          <w:sz w:val="19"/>
          <w:szCs w:val="19"/>
          <w:rtl/>
        </w:rPr>
        <w:t xml:space="preserve">, על אף השלכתם על תשלום קצבאות ביתר על ידי מינהלת הגמלאות לשאירים יתומים המוגדרים אצלה כיתומים שאינם עומדים ברשות עצמם. המינהלת לא הסדירה את נושא ההצלבות מול בט"ל, היא אינה פועלת על פי נהליה לבחינה מחודשת של הזכאות אחת לשלוש שנים, ואין בידיה את מלוא האסמכתאות הנדרשות לביסוס זכאותם של חלק מהשאירים. </w:t>
      </w:r>
      <w:r w:rsidRPr="00230B10">
        <w:rPr>
          <w:rFonts w:ascii="Tahoma" w:eastAsia="Calibri" w:hAnsi="Tahoma" w:cs="Tahoma"/>
          <w:sz w:val="19"/>
          <w:szCs w:val="19"/>
          <w:rtl/>
        </w:rPr>
        <w:t>עם זאת, מינהלת הגמלאות פנתה לשארים לצורך בדיקת זכאותם לקצבה, אך הבדיקה נעשתה ל-23 שאירים בלבד מתוך 186 שאירים.</w:t>
      </w:r>
    </w:p>
    <w:p w:rsidR="006D5A95" w:rsidP="006D5A95">
      <w:pPr>
        <w:pStyle w:val="ListParagraph"/>
        <w:rPr>
          <w:rFonts w:ascii="Tahoma" w:eastAsia="Calibri" w:hAnsi="Tahoma" w:cs="Tahoma"/>
          <w:sz w:val="19"/>
          <w:szCs w:val="19"/>
          <w:rtl/>
        </w:rPr>
      </w:pPr>
    </w:p>
    <w:p w:rsidR="00230B10" w:rsidRPr="00230B10" w:rsidP="006D5A95">
      <w:pPr>
        <w:numPr>
          <w:ilvl w:val="0"/>
          <w:numId w:val="14"/>
        </w:numPr>
        <w:spacing w:after="120" w:line="288" w:lineRule="auto"/>
        <w:ind w:left="-142" w:right="-567" w:hanging="595"/>
        <w:rPr>
          <w:rFonts w:ascii="Tahoma" w:eastAsia="Calibri" w:hAnsi="Tahoma" w:cs="Tahoma"/>
          <w:sz w:val="19"/>
          <w:szCs w:val="19"/>
        </w:rPr>
      </w:pPr>
      <w:r w:rsidRPr="00230B10">
        <w:rPr>
          <w:rFonts w:ascii="Tahoma" w:eastAsia="Calibri" w:hAnsi="Tahoma" w:cs="Tahoma"/>
          <w:b/>
          <w:bCs/>
          <w:sz w:val="19"/>
          <w:szCs w:val="19"/>
          <w:rtl/>
        </w:rPr>
        <w:t>טיפול המינהלת בידועים בציבור</w:t>
      </w:r>
      <w:r w:rsidRPr="00230B10">
        <w:rPr>
          <w:rFonts w:ascii="Tahoma" w:eastAsia="Calibri" w:hAnsi="Tahoma" w:cs="Tahoma"/>
          <w:sz w:val="19"/>
          <w:szCs w:val="19"/>
          <w:rtl/>
        </w:rPr>
        <w:t xml:space="preserve"> - בביקורת הקודמת נמצא כי משנת 2015 לא עסקה מינהלת הגמלאות בנושא זה ולא פעלה לקבלת מענה מכ-14,000 שאירים שלא השיבו לפנייתה. בביקורת המעקב נמצא כי</w:t>
      </w:r>
      <w:r w:rsidRPr="00230B10">
        <w:rPr>
          <w:rFonts w:ascii="Tahoma" w:eastAsia="Calibri" w:hAnsi="Tahoma" w:cs="Tahoma"/>
          <w:b/>
          <w:bCs/>
          <w:sz w:val="19"/>
          <w:szCs w:val="19"/>
          <w:rtl/>
        </w:rPr>
        <w:t xml:space="preserve"> </w:t>
      </w:r>
      <w:r w:rsidRPr="00230B10">
        <w:rPr>
          <w:rFonts w:ascii="Tahoma" w:eastAsia="Calibri" w:hAnsi="Tahoma" w:cs="Tahoma"/>
          <w:sz w:val="19"/>
          <w:szCs w:val="19"/>
          <w:rtl/>
        </w:rPr>
        <w:t>בשנת 2021 שוב שלחה מינהלת הגמלאות בשתי פעימות טופסי הצהרה על חיים עם ידוע בציבור לכ-2,100 שאירים. רק 15 שאירים הצהירו כי הם חיים עם ידוע בציבור וקצבתם הופסקה לאחר הטיפול בהצהרה. מאז לא בוצעו ניסיונות נוספים לאיתור השאירים שלא השיבו ולא נשלחו שוב טופסי הצהרה לכלל השאירים לבחינת שינוי במצבם המשפחתי. קצבתם של הגמלאים שלא השיבו על פניית המינהלת לא הופסקה. עוד נמצא כי מינהלת הגמלאות לא פעלה לפיתוח פתרון יעיל לאיתור שאירים החיים עם ידוע בציבור, למעט שליחת טופסי הצהרה לגמלאים.</w:t>
      </w:r>
      <w:r w:rsidRPr="00230B10">
        <w:rPr>
          <w:rFonts w:ascii="Tahoma" w:eastAsia="Calibri" w:hAnsi="Tahoma" w:cs="Tahoma"/>
          <w:rtl/>
        </w:rPr>
        <w:t xml:space="preserve"> </w:t>
      </w:r>
    </w:p>
    <w:p w:rsidR="00230B10" w:rsidRPr="00230B10" w:rsidP="00230B10">
      <w:pPr>
        <w:spacing w:line="288" w:lineRule="auto"/>
        <w:ind w:left="-143" w:right="-567"/>
        <w:rPr>
          <w:rFonts w:ascii="Tahoma" w:eastAsia="Calibri" w:hAnsi="Tahoma" w:cs="Tahoma"/>
          <w:sz w:val="19"/>
          <w:szCs w:val="19"/>
        </w:rPr>
      </w:pPr>
      <w:r w:rsidRPr="00230B10">
        <w:rPr>
          <w:rFonts w:ascii="Tahoma" w:eastAsia="Calibri" w:hAnsi="Tahoma" w:cs="Tahoma"/>
          <w:sz w:val="19"/>
          <w:szCs w:val="19"/>
          <w:rtl/>
        </w:rPr>
        <w:t>עם זאת, כאמור בתיקון 68 לחוק ה</w:t>
      </w:r>
      <w:r w:rsidR="00EF64B0">
        <w:rPr>
          <w:rFonts w:ascii="Tahoma" w:eastAsia="Calibri" w:hAnsi="Tahoma" w:cs="Tahoma" w:hint="cs"/>
          <w:sz w:val="19"/>
          <w:szCs w:val="19"/>
          <w:rtl/>
        </w:rPr>
        <w:t>ג</w:t>
      </w:r>
      <w:r w:rsidRPr="00230B10">
        <w:rPr>
          <w:rFonts w:ascii="Tahoma" w:eastAsia="Calibri" w:hAnsi="Tahoma" w:cs="Tahoma"/>
          <w:sz w:val="19"/>
          <w:szCs w:val="19"/>
          <w:rtl/>
        </w:rPr>
        <w:t xml:space="preserve">מלאות נקבע כי קצבת השאירים לא תופסק או תחדל במקרה של נישואים מחדש. </w:t>
      </w:r>
    </w:p>
    <w:p w:rsidR="00230B10" w:rsidRPr="00230B10" w:rsidP="00230B10">
      <w:pPr>
        <w:numPr>
          <w:ilvl w:val="0"/>
          <w:numId w:val="14"/>
        </w:numPr>
        <w:spacing w:after="240" w:line="288" w:lineRule="auto"/>
        <w:ind w:left="-143" w:right="-567" w:hanging="595"/>
        <w:rPr>
          <w:rFonts w:ascii="Tahoma" w:eastAsia="Calibri" w:hAnsi="Tahoma" w:cs="Tahoma"/>
          <w:sz w:val="19"/>
          <w:szCs w:val="19"/>
        </w:rPr>
      </w:pPr>
      <w:bookmarkStart w:id="1" w:name="_Hlk231298275"/>
      <w:r w:rsidRPr="00230B10">
        <w:rPr>
          <w:rFonts w:ascii="Tahoma" w:eastAsia="Calibri" w:hAnsi="Tahoma" w:cs="Tahoma"/>
          <w:b/>
          <w:bCs/>
          <w:sz w:val="19"/>
          <w:szCs w:val="19"/>
          <w:rtl/>
        </w:rPr>
        <w:t>הפחתת הקצבה כאשר שיעור הקצבה עולה על 70%</w:t>
      </w:r>
      <w:bookmarkEnd w:id="1"/>
      <w:r w:rsidRPr="00230B10">
        <w:rPr>
          <w:rFonts w:ascii="Tahoma" w:eastAsia="Calibri" w:hAnsi="Tahoma" w:cs="Tahoma"/>
          <w:sz w:val="19"/>
          <w:szCs w:val="19"/>
          <w:rtl/>
        </w:rPr>
        <w:t xml:space="preserve"> - בהסכם הרציפות נקבע כי בכל מקרה לא יעלה שיעור הקצבה על 70% מהמשכורת הקובעת הגבוהה ביותר כפי שנקבעה בגין שירותו במדינה או בקרן שלפיה משולמת הקצבה. במקרה שבו עולה שיעור הקצבה על 70% מהמשכורת הקובעת, יופחת השיעור העודף מהקצבה המשולמת על ידי המדינה. באוקטובר 2022 ניתן בבית הדין לעבודה פסק הדין יחזקאל סידי (פס"ד סידי). פסק דין זה עסק ביישום הסכם הרציפות. בפסק הדין נפסק כי ההפחתה שבוצעה אינה תואמת לקבוע בהסכם הרציפות</w:t>
      </w:r>
      <w:r>
        <w:rPr>
          <w:rFonts w:ascii="Tahoma" w:eastAsia="Calibri" w:hAnsi="Tahoma" w:cs="Tahoma"/>
          <w:sz w:val="19"/>
          <w:szCs w:val="19"/>
          <w:vertAlign w:val="superscript"/>
          <w:rtl/>
        </w:rPr>
        <w:footnoteReference w:id="2"/>
      </w:r>
      <w:r w:rsidRPr="00230B10">
        <w:rPr>
          <w:rFonts w:ascii="Tahoma" w:eastAsia="Calibri" w:hAnsi="Tahoma" w:cs="Tahoma"/>
          <w:sz w:val="19"/>
          <w:szCs w:val="19"/>
          <w:rtl/>
        </w:rPr>
        <w:t>. במשך שנים, ועד ליישום פס"ד סידי החל מפברואר 2024, היו הקרנות הוותיקות משלימות את האחוזים אך ורק בפער שבין שיעור הזכאות של הגמלאי בשירות המדינה לבין 70% מהמשכורת הקובעת בקרן. התנהלות זו יצרה במקרים מסוימים חיסרון כיס אצל מקבלי הקצבה. בפברואר 2024 החלו הקרנות הוותיקות ביישום פס"ד סידי לגבי עובדים שפרשו מינואר 2024. עד למועד סיום ביקורת המעקב טרם הסדירו הקרנות הוותיקות ומינהלת הגמלאות את ההתחשבנות בנוגע להפרשי הקצבה לגמלאים שפרשו לפני ינואר 2024. נוסף על כך, הן הקרנות הוותיקות והן מינהלת הגמלאות לא גיבשו אומדן לנזק המצטבר שנגרם לגמלאים לאורך השנים.</w:t>
      </w:r>
    </w:p>
    <w:p w:rsidR="00230B10" w:rsidRPr="00230B10" w:rsidP="00230B10">
      <w:pPr>
        <w:numPr>
          <w:ilvl w:val="0"/>
          <w:numId w:val="14"/>
        </w:numPr>
        <w:spacing w:after="240" w:line="288" w:lineRule="auto"/>
        <w:ind w:left="-143" w:right="-567" w:hanging="595"/>
        <w:rPr>
          <w:rFonts w:ascii="Tahoma" w:eastAsia="Calibri" w:hAnsi="Tahoma" w:cs="Tahoma"/>
          <w:sz w:val="19"/>
          <w:szCs w:val="19"/>
          <w:rtl/>
        </w:rPr>
      </w:pPr>
      <w:r w:rsidRPr="00230B10">
        <w:rPr>
          <w:rFonts w:ascii="Tahoma" w:eastAsia="Calibri" w:hAnsi="Tahoma" w:cs="Tahoma"/>
          <w:b/>
          <w:bCs/>
          <w:sz w:val="19"/>
          <w:szCs w:val="19"/>
          <w:rtl/>
        </w:rPr>
        <w:t>ה</w:t>
      </w:r>
      <w:r w:rsidRPr="00230B10">
        <w:rPr>
          <w:rFonts w:ascii="Tahoma" w:eastAsia="Calibri" w:hAnsi="Tahoma" w:cs="Tahoma" w:hint="cs"/>
          <w:b/>
          <w:bCs/>
          <w:sz w:val="19"/>
          <w:szCs w:val="19"/>
          <w:rtl/>
        </w:rPr>
        <w:t>י</w:t>
      </w:r>
      <w:r w:rsidRPr="00230B10">
        <w:rPr>
          <w:rFonts w:ascii="Tahoma" w:eastAsia="Calibri" w:hAnsi="Tahoma" w:cs="Tahoma"/>
          <w:b/>
          <w:bCs/>
          <w:sz w:val="19"/>
          <w:szCs w:val="19"/>
          <w:rtl/>
        </w:rPr>
        <w:t>עדר מחולל שכר מתקדם</w:t>
      </w:r>
      <w:r w:rsidRPr="00230B10">
        <w:rPr>
          <w:rFonts w:ascii="Tahoma" w:eastAsia="Calibri" w:hAnsi="Tahoma" w:cs="Tahoma"/>
          <w:sz w:val="19"/>
          <w:szCs w:val="19"/>
          <w:rtl/>
        </w:rPr>
        <w:t xml:space="preserve"> - </w:t>
      </w:r>
      <w:bookmarkStart w:id="2" w:name="_Hlk220844543"/>
      <w:r w:rsidRPr="00230B10">
        <w:rPr>
          <w:rFonts w:ascii="Tahoma" w:eastAsia="Calibri" w:hAnsi="Tahoma" w:cs="Tahoma"/>
          <w:b/>
          <w:bCs/>
          <w:sz w:val="19"/>
          <w:szCs w:val="19"/>
          <w:rtl/>
        </w:rPr>
        <w:t>הנושא המפורט להלן נבדק לראשונה במסגרת ביקורת זו.</w:t>
      </w:r>
      <w:r w:rsidRPr="00230B10">
        <w:rPr>
          <w:rFonts w:ascii="Tahoma" w:eastAsia="Calibri" w:hAnsi="Tahoma" w:cs="Tahoma"/>
          <w:sz w:val="19"/>
          <w:szCs w:val="19"/>
          <w:rtl/>
        </w:rPr>
        <w:t xml:space="preserve"> </w:t>
      </w:r>
      <w:bookmarkEnd w:id="2"/>
      <w:r w:rsidRPr="00230B10">
        <w:rPr>
          <w:rFonts w:ascii="Tahoma" w:eastAsia="Calibri" w:hAnsi="Tahoma" w:cs="Tahoma"/>
          <w:sz w:val="19"/>
          <w:szCs w:val="19"/>
          <w:rtl/>
        </w:rPr>
        <w:t>נמצא כי אף שהמעבר לספק שכר ב' כלל מרכיב של חיסכון כספי ביחס לספקי שכר אחרים שלהם מחולל שכר מתקדם, נפגעה יכולתה של מינהלת הגמלאות ליישם שינויים בשכר בשל הסכמים או טעויות וכן לאמוד שינויים בשכר לטווח רחוק בה</w:t>
      </w:r>
      <w:r w:rsidRPr="00230B10">
        <w:rPr>
          <w:rFonts w:ascii="Tahoma" w:eastAsia="Calibri" w:hAnsi="Tahoma" w:cs="Tahoma" w:hint="cs"/>
          <w:sz w:val="19"/>
          <w:szCs w:val="19"/>
          <w:rtl/>
        </w:rPr>
        <w:t>י</w:t>
      </w:r>
      <w:r w:rsidRPr="00230B10">
        <w:rPr>
          <w:rFonts w:ascii="Tahoma" w:eastAsia="Calibri" w:hAnsi="Tahoma" w:cs="Tahoma"/>
          <w:sz w:val="19"/>
          <w:szCs w:val="19"/>
          <w:rtl/>
        </w:rPr>
        <w:t>עדר מחולל שכר מתקדם במסגרת ההתקשרות הנוכחית של המינהלת עם ספק שכר ב'. לצורך כך נאלצה המינהלת למצוא חלופות כגון יצירת ממשק בין המערכות, ואף עבודה עם גיליונות אלקטרוניים וחישובים ידניים. להיעדר מחולל שכר מתקדם במינהלת יש עלות כספית, ואף קיימת פגיעה אפשרית במיצוי הזכויות של הגמלאים ובמשך השירות הניתן להם בעת החלת הסכמי שכר חדשים, דבר שעלול לעכב את תשלום שכרם. כמו כן, פתרונות ידניים, כגון חישוב פרטני בגיליונות אלקטרוניים לכל גמלאי, עלולים להוביל לטעויות בחישוב שכרם, ובפרט בהיעדר בקרה ממוחשבת על חישוב השכר הסופי.</w:t>
      </w:r>
    </w:p>
    <w:p w:rsidR="00230B10" w:rsidRPr="00230B10" w:rsidP="00230B10">
      <w:pPr>
        <w:numPr>
          <w:ilvl w:val="0"/>
          <w:numId w:val="14"/>
        </w:numPr>
        <w:spacing w:after="240" w:line="288" w:lineRule="auto"/>
        <w:ind w:left="-143" w:right="-567" w:hanging="595"/>
        <w:rPr>
          <w:rFonts w:ascii="Tahoma" w:eastAsia="Calibri" w:hAnsi="Tahoma" w:cs="Tahoma"/>
          <w:sz w:val="19"/>
          <w:szCs w:val="19"/>
        </w:rPr>
      </w:pPr>
      <w:r w:rsidRPr="00230B10">
        <w:rPr>
          <w:rFonts w:ascii="Tahoma" w:eastAsia="Calibri" w:hAnsi="Tahoma" w:cs="Tahoma"/>
          <w:b/>
          <w:bCs/>
          <w:sz w:val="19"/>
          <w:szCs w:val="19"/>
          <w:rtl/>
        </w:rPr>
        <w:t>שירות הלקוחות של מוקד פניות הציבור</w:t>
      </w:r>
      <w:r w:rsidRPr="00230B10">
        <w:rPr>
          <w:rFonts w:ascii="Tahoma" w:eastAsia="Calibri" w:hAnsi="Tahoma" w:cs="Tahoma"/>
          <w:sz w:val="19"/>
          <w:szCs w:val="19"/>
          <w:rtl/>
        </w:rPr>
        <w:t xml:space="preserve"> - </w:t>
      </w:r>
      <w:r w:rsidRPr="00230B10">
        <w:rPr>
          <w:rFonts w:ascii="Tahoma" w:eastAsia="Calibri" w:hAnsi="Tahoma" w:cs="Tahoma"/>
          <w:b/>
          <w:bCs/>
          <w:sz w:val="19"/>
          <w:szCs w:val="19"/>
          <w:rtl/>
        </w:rPr>
        <w:t>הנושא המפורט להלן נבדק לראשונה במסגרת ביקורת זו.</w:t>
      </w:r>
      <w:r w:rsidRPr="00230B10">
        <w:rPr>
          <w:rFonts w:ascii="Tahoma" w:eastAsia="Calibri" w:hAnsi="Tahoma" w:cs="Tahoma"/>
          <w:sz w:val="19"/>
          <w:szCs w:val="19"/>
          <w:rtl/>
        </w:rPr>
        <w:t xml:space="preserve"> המינהלת מקבלת כ 130,000 פניות בשנה. נמצא כי אף שהמדד באמנת השירות קובע מתן מענה במוקד בתוך 120 שניות, הרי בפועל המדידה של חריגה מזמן מענה רצוי מתבצעת רק במקרים של אחוז מענה בתוך 180 שניות, דהיינו 50% תוספת ביחס לנקבע באמנת השירות. עוד נמצא כי קיימת עלייה עקבית במשך השנים בשיעור השיחות הננטשות.</w:t>
      </w:r>
    </w:p>
    <w:p w:rsidR="00230B10" w:rsidRPr="00230B10" w:rsidP="00230B10">
      <w:pPr>
        <w:numPr>
          <w:ilvl w:val="0"/>
          <w:numId w:val="14"/>
        </w:numPr>
        <w:spacing w:after="240" w:line="288" w:lineRule="auto"/>
        <w:ind w:left="-143" w:right="-567" w:hanging="595"/>
        <w:rPr>
          <w:rFonts w:ascii="Tahoma" w:eastAsia="Calibri" w:hAnsi="Tahoma" w:cs="Tahoma"/>
          <w:sz w:val="19"/>
          <w:szCs w:val="19"/>
        </w:rPr>
      </w:pPr>
      <w:r w:rsidRPr="00230B10">
        <w:rPr>
          <w:rFonts w:ascii="Tahoma" w:eastAsia="Calibri" w:hAnsi="Tahoma" w:cs="Tahoma"/>
          <w:b/>
          <w:bCs/>
          <w:sz w:val="19"/>
          <w:szCs w:val="19"/>
          <w:rtl/>
        </w:rPr>
        <w:t>מערכת פרישה דיגיטלית</w:t>
      </w:r>
      <w:r w:rsidRPr="00230B10">
        <w:rPr>
          <w:rFonts w:ascii="Tahoma" w:eastAsia="Calibri" w:hAnsi="Tahoma" w:cs="Tahoma"/>
          <w:sz w:val="19"/>
          <w:szCs w:val="19"/>
          <w:rtl/>
        </w:rPr>
        <w:t xml:space="preserve"> - </w:t>
      </w:r>
      <w:r w:rsidRPr="00230B10">
        <w:rPr>
          <w:rFonts w:ascii="Tahoma" w:eastAsia="Calibri" w:hAnsi="Tahoma" w:cs="Tahoma"/>
          <w:b/>
          <w:bCs/>
          <w:sz w:val="19"/>
          <w:szCs w:val="19"/>
          <w:rtl/>
        </w:rPr>
        <w:t>הנושא המפורט להלן נבדק לראשונה במסגרת ביקורת זו.</w:t>
      </w:r>
      <w:r w:rsidRPr="00230B10">
        <w:rPr>
          <w:rFonts w:ascii="Tahoma" w:eastAsia="Calibri" w:hAnsi="Tahoma" w:cs="Tahoma"/>
          <w:sz w:val="19"/>
          <w:szCs w:val="19"/>
          <w:rtl/>
        </w:rPr>
        <w:t xml:space="preserve"> נמצא כי על אף מרכזיותו של תהליך הפרישה והשלכותיו הישירות על זכויותיהם של אלפי עובדים בכל שנה, אין כיום בידי המדינה מערכת ממוחשבת מתכללת לניהול תהליך זה. התהליך כולו נעשה באמצעים ידניים באמצעות מסמכים מודפסים שנסרקים למערכות, ובהיעדר תשתית מקוונת הוא נעשה באמצעות העברה פיזית של המסמכים בין הגופים המעורבים. נמצא כי עד למועד סיום הביקורת טרם החלו בפיתוח מערכת פרישה דיגיטלית ובפיתוח חתימה דיגיטלית על מסמכי הפרישה. כמו כן, בתוכנית העבודה השנתית של מינהלת הגמלאות לשנים 2025 ו-2026 פרויקט זה מופיע אך ללא ציון יעדים ולוחות זמנים לביצועו.</w:t>
      </w:r>
    </w:p>
    <w:p w:rsidR="00230B10" w:rsidRPr="00230B10" w:rsidP="00230B10">
      <w:pPr>
        <w:numPr>
          <w:ilvl w:val="0"/>
          <w:numId w:val="14"/>
        </w:numPr>
        <w:spacing w:after="240" w:line="288" w:lineRule="auto"/>
        <w:ind w:left="-143" w:right="-567" w:hanging="595"/>
        <w:rPr>
          <w:rFonts w:ascii="Tahoma" w:eastAsia="Calibri" w:hAnsi="Tahoma" w:cs="Tahoma"/>
          <w:sz w:val="19"/>
          <w:szCs w:val="19"/>
        </w:rPr>
      </w:pPr>
      <w:r w:rsidRPr="00230B10">
        <w:rPr>
          <w:rFonts w:ascii="Tahoma" w:eastAsia="Calibri" w:hAnsi="Tahoma" w:cs="Tahoma"/>
          <w:b/>
          <w:bCs/>
          <w:sz w:val="19"/>
          <w:szCs w:val="19"/>
          <w:rtl/>
        </w:rPr>
        <w:t xml:space="preserve">הקמת מינהל שכר וגמלאות ממשלתי </w:t>
      </w:r>
      <w:r w:rsidRPr="00230B10">
        <w:rPr>
          <w:rFonts w:ascii="Tahoma" w:eastAsia="Calibri" w:hAnsi="Tahoma" w:cs="Tahoma"/>
          <w:sz w:val="19"/>
          <w:szCs w:val="19"/>
          <w:rtl/>
        </w:rPr>
        <w:t xml:space="preserve">- </w:t>
      </w:r>
      <w:r w:rsidRPr="00230B10">
        <w:rPr>
          <w:rFonts w:ascii="Tahoma" w:eastAsia="Calibri" w:hAnsi="Tahoma" w:cs="Tahoma"/>
          <w:b/>
          <w:bCs/>
          <w:sz w:val="19"/>
          <w:szCs w:val="19"/>
          <w:rtl/>
        </w:rPr>
        <w:t>הנושא המפורט להלן נבדק לראשונה במסגרת ביקורת זו.</w:t>
      </w:r>
      <w:r w:rsidRPr="00230B10">
        <w:rPr>
          <w:rFonts w:ascii="Tahoma" w:eastAsia="Calibri" w:hAnsi="Tahoma" w:cs="Tahoma"/>
          <w:sz w:val="19"/>
          <w:szCs w:val="19"/>
          <w:rtl/>
        </w:rPr>
        <w:t xml:space="preserve"> מהביקורת עולה כי למרות האמור בהחלטות הממשלה 2293 ו-2270 מאוקטובר 2024 שלפיהן יוחל בהליך לקידום הקמתו של מינהל שכר וגמלאות ממשלתי והקמת מינהלת גמלאות אחודה עם כוחות הביטחון, לא חלה התקדמות מעשית בנושא הקמת מינהל שכר וגמלאות ממשלתי. כמו כן, בנושא מינהלת גמלאות אחודה עם כוחות הביטחון לא הגיש הצוות בראשות החשב הכללי את המלצותיו לשרי האוצר והביטחון בתוך 120 ימים כנדרש, עיכוב אשר עתיד לפגוע ביכולת ליישם את החלטת הממשלה בשנת 2026, וטרם גובשה התוכנית המפורטת אשר הוחלט כי תובא כבסיס להחלטה משלימה לאישור הממשלה.</w:t>
      </w:r>
    </w:p>
    <w:p w:rsidR="00230B10" w:rsidRPr="00230B10" w:rsidP="006D5A95">
      <w:pPr>
        <w:spacing w:before="240" w:after="160" w:line="288" w:lineRule="auto"/>
        <w:ind w:left="-283" w:right="-567" w:hanging="454"/>
        <w:rPr>
          <w:rFonts w:ascii="Tahoma" w:eastAsia="Calibri" w:hAnsi="Tahoma" w:cs="Tahoma"/>
          <w:sz w:val="19"/>
          <w:szCs w:val="19"/>
          <w:rtl/>
        </w:rPr>
      </w:pPr>
      <w:r w:rsidRPr="00230B10">
        <w:rPr>
          <w:rFonts w:ascii="Tahoma" w:eastAsia="Calibri" w:hAnsi="Tahoma" w:cs="Tahoma"/>
          <w:noProof/>
          <w:sz w:val="19"/>
          <w:szCs w:val="19"/>
          <w:rtl/>
        </w:rPr>
        <w:drawing>
          <wp:inline distT="0" distB="0" distL="0" distR="0">
            <wp:extent cx="2710450" cy="207831"/>
            <wp:effectExtent l="0" t="0" r="0" b="1905"/>
            <wp:docPr id="39" name="תמונה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230B10" w:rsidRPr="00230B10" w:rsidP="00230B10">
      <w:pPr>
        <w:spacing w:after="240" w:line="288" w:lineRule="auto"/>
        <w:ind w:left="-150" w:right="-567"/>
        <w:rPr>
          <w:rFonts w:ascii="Tahoma" w:eastAsia="Calibri" w:hAnsi="Tahoma" w:cs="Tahoma"/>
          <w:b/>
          <w:bCs/>
          <w:sz w:val="19"/>
          <w:szCs w:val="19"/>
          <w:rtl/>
        </w:rPr>
      </w:pPr>
      <w:r w:rsidRPr="00230B10">
        <w:rPr>
          <w:rFonts w:ascii="Tahoma" w:eastAsia="Calibri" w:hAnsi="Tahoma" w:cs="Tahoma"/>
          <w:b/>
          <w:bCs/>
          <w:sz w:val="19"/>
          <w:szCs w:val="19"/>
          <w:rtl/>
        </w:rPr>
        <w:t xml:space="preserve">שוהים בחו"ל - </w:t>
      </w:r>
      <w:r w:rsidRPr="00230B10">
        <w:rPr>
          <w:rFonts w:ascii="Tahoma" w:eastAsia="Calibri" w:hAnsi="Tahoma" w:cs="Tahoma"/>
          <w:sz w:val="19"/>
          <w:szCs w:val="19"/>
          <w:rtl/>
        </w:rPr>
        <w:t>בביקורת הקודמת נמצאו 149 מקבלי קצבה ששהו בחו"ל יותר מחצי שנה ולא היה להם אישור חיים במערכת שוהים בחו"ל. בביקורת המעקב נמצא כי הליקוי</w:t>
      </w:r>
      <w:r w:rsidRPr="00230B10">
        <w:rPr>
          <w:rFonts w:ascii="Tahoma" w:eastAsia="Calibri" w:hAnsi="Tahoma" w:cs="Tahoma"/>
          <w:b/>
          <w:bCs/>
          <w:sz w:val="19"/>
          <w:szCs w:val="19"/>
          <w:rtl/>
        </w:rPr>
        <w:t xml:space="preserve"> תוקן במידה רבה</w:t>
      </w:r>
      <w:r w:rsidRPr="00230B10">
        <w:rPr>
          <w:rFonts w:ascii="Tahoma" w:eastAsia="Calibri" w:hAnsi="Tahoma" w:cs="Tahoma"/>
          <w:sz w:val="19"/>
          <w:szCs w:val="19"/>
          <w:rtl/>
        </w:rPr>
        <w:t>, וכיום מופעל הליך אוטומטי המסנכרן בין נתוני הכניסה לארץ והיציאה ממנה לבין מצב אישורי החיים, לרבות הפקת תזכורת אוטומטית בעת הצורך. עם זאת, צוות ביקורת המעקב איתר חמישה מקרים חריגים המעידים על חולשת מערכת שוהים בחו"ל, ונדרש המשך חיזוק מנגנוני הבקרה נוכח המקרים שהתגלו, וזאת כדי למנוע תשלומי גמלאות ביתר לגמלאים שנפטרו.</w:t>
      </w:r>
    </w:p>
    <w:p w:rsidR="00230B10" w:rsidRPr="00230B10" w:rsidP="00230B10">
      <w:pPr>
        <w:spacing w:after="240" w:line="288" w:lineRule="auto"/>
        <w:ind w:left="-143" w:right="-567"/>
        <w:rPr>
          <w:rFonts w:ascii="Tahoma" w:eastAsia="Calibri" w:hAnsi="Tahoma" w:cs="Tahoma"/>
          <w:sz w:val="19"/>
          <w:szCs w:val="19"/>
          <w:rtl/>
        </w:rPr>
      </w:pPr>
      <w:r w:rsidRPr="00230B10">
        <w:rPr>
          <w:rFonts w:ascii="Tahoma" w:eastAsia="Calibri" w:hAnsi="Tahoma" w:cs="Tahoma"/>
          <w:b/>
          <w:bCs/>
          <w:sz w:val="19"/>
          <w:szCs w:val="19"/>
          <w:rtl/>
        </w:rPr>
        <w:t>יישום סעיף 32(ה)</w:t>
      </w:r>
      <w:r w:rsidRPr="00230B10">
        <w:rPr>
          <w:rFonts w:ascii="Tahoma" w:eastAsia="Calibri" w:hAnsi="Tahoma" w:cs="Tahoma"/>
          <w:sz w:val="19"/>
          <w:szCs w:val="19"/>
          <w:rtl/>
        </w:rPr>
        <w:t xml:space="preserve"> - סעיף 32(ה) מתייחס למקרה שבו עובד הועסק בעת ובעונה אחת בשירות המדינה ובגוף שקופתו נקבעה כקופה ציבורית. בסעיף זה נקבע כי אם סך כל הקצבאות המגיעות לו עקב שירות זה עודף על קצבה שהייתה מגיעה אילו היה מועסק בתקופה האמורה רק בשירות המדינה במשרה מלאה, קצבתו תופחת בעודף כאמור. בביקורת הקודמת נמצא שסעיף 32(ה) לחוק הגמלאות לא יושם עד שנת 2015, והוא כולל סוגיות מורכבות שדרשו הבהרות משפטיות. עד למועד סיום הביקורת הקודמת, כחמש שנים מאז הצהרת הכוונה להחיל את הסעיף, לא יצאה הנחיה סדורה לכלל היבטי היישום. בביקורת המעקב נמצא כי הליקוי</w:t>
      </w:r>
      <w:r w:rsidRPr="00230B10">
        <w:rPr>
          <w:rFonts w:ascii="Tahoma" w:eastAsia="Calibri" w:hAnsi="Tahoma" w:cs="Tahoma"/>
          <w:b/>
          <w:bCs/>
          <w:sz w:val="19"/>
          <w:szCs w:val="19"/>
          <w:rtl/>
        </w:rPr>
        <w:t xml:space="preserve"> תוקן במידה רבה</w:t>
      </w:r>
      <w:r w:rsidRPr="00230B10">
        <w:rPr>
          <w:rFonts w:ascii="Tahoma" w:eastAsia="Calibri" w:hAnsi="Tahoma" w:cs="Tahoma"/>
          <w:sz w:val="19"/>
          <w:szCs w:val="19"/>
          <w:rtl/>
        </w:rPr>
        <w:t xml:space="preserve">. נמצא כי במערכת הפרישה המרכזית (מפ"ם) אופיין חישוב בהסתמך על הוראות סעיף 32(ה); ובמחלקת השתתפויות ותשלומים מבוצעת בדיקה חוזרת של חישובי מפ"ם באמצעות גיליונות אלקטרוניים. עד כה יושם סעיף 32(ה) לגבי כ-500 גמלאים, וזאת החל משנת 2018. עם זאת נמצא כי במינהלת עדיין אין פרשנות או הנחיה משפטית כתובה בנוגע להחלת סעיף 32(ה), נוהל מחלקת השתתפויות ותשלומים טרם נחתם וטרם אושר, הוא אינו כולל הוראות מלאות ומפורטות ליישומו של הסעיף, ולא מפורט בו אופן חישוב ההפחתה בפועל. </w:t>
      </w:r>
    </w:p>
    <w:p w:rsidR="00230B10" w:rsidRPr="00230B10" w:rsidP="00230B10">
      <w:pPr>
        <w:spacing w:after="240" w:line="288" w:lineRule="auto"/>
        <w:ind w:left="-150" w:right="-567"/>
        <w:rPr>
          <w:rFonts w:ascii="Tahoma" w:eastAsia="Calibri" w:hAnsi="Tahoma" w:cs="Tahoma"/>
          <w:b/>
          <w:bCs/>
          <w:sz w:val="19"/>
          <w:szCs w:val="19"/>
          <w:rtl/>
        </w:rPr>
      </w:pPr>
      <w:r w:rsidRPr="00230B10">
        <w:rPr>
          <w:rFonts w:ascii="Tahoma" w:eastAsia="Calibri" w:hAnsi="Tahoma" w:cs="Tahoma"/>
          <w:b/>
          <w:bCs/>
          <w:sz w:val="19"/>
          <w:szCs w:val="19"/>
          <w:rtl/>
        </w:rPr>
        <w:t xml:space="preserve">חוב רשות העתיקות - </w:t>
      </w:r>
      <w:r w:rsidRPr="00230B10">
        <w:rPr>
          <w:rFonts w:ascii="Tahoma" w:eastAsia="Calibri" w:hAnsi="Tahoma" w:cs="Tahoma"/>
          <w:sz w:val="19"/>
          <w:szCs w:val="19"/>
          <w:rtl/>
        </w:rPr>
        <w:t>בביקורת הקודמת עלה כי קיימת מחלוקת בין המינהלת לרשות העתיקות בנוגע לחבות הרשות בגין תשלומי הקצבאות. בביקורת המעקב נמצא כי הליקוי</w:t>
      </w:r>
      <w:r w:rsidRPr="00230B10">
        <w:rPr>
          <w:rFonts w:ascii="Tahoma" w:eastAsia="Calibri" w:hAnsi="Tahoma" w:cs="Tahoma"/>
          <w:b/>
          <w:bCs/>
          <w:sz w:val="19"/>
          <w:szCs w:val="19"/>
          <w:rtl/>
        </w:rPr>
        <w:t xml:space="preserve"> תוקן באופן מלא</w:t>
      </w:r>
      <w:r w:rsidRPr="00230B10">
        <w:rPr>
          <w:rFonts w:ascii="Tahoma" w:eastAsia="Calibri" w:hAnsi="Tahoma" w:cs="Tahoma"/>
          <w:sz w:val="19"/>
          <w:szCs w:val="19"/>
          <w:rtl/>
        </w:rPr>
        <w:t>, ונחתם הסכם הסדרת חוב בין הגורמים הרלוונטיים המסדיר את תשלום החוב ואת התשלום לגמלאי רשות העתיקות עד סוף שנת 2031.</w:t>
      </w:r>
    </w:p>
    <w:p w:rsidR="00230B10" w:rsidRPr="00230B10" w:rsidP="006D5A95">
      <w:pPr>
        <w:bidi w:val="0"/>
        <w:spacing w:after="200" w:line="276" w:lineRule="auto"/>
        <w:rPr>
          <w:rFonts w:ascii="Tahoma" w:eastAsia="Calibri" w:hAnsi="Tahoma" w:cs="Tahoma"/>
        </w:rPr>
      </w:pPr>
      <w:r>
        <w:rPr>
          <w:rFonts w:ascii="Tahoma" w:eastAsia="Calibri" w:hAnsi="Tahoma" w:cs="Tahoma"/>
        </w:rPr>
        <w:br w:type="page"/>
      </w:r>
    </w:p>
    <w:tbl>
      <w:tblPr>
        <w:tblStyle w:val="TableGrid"/>
        <w:tblpPr w:leftFromText="180" w:rightFromText="180" w:vertAnchor="text" w:tblpXSpec="center" w:tblpY="1"/>
        <w:tblOverlap w:val="never"/>
        <w:bidiVisual/>
        <w:tblW w:w="9783" w:type="dxa"/>
        <w:tblLayout w:type="fixed"/>
        <w:tblLook w:val="04A0"/>
      </w:tblPr>
      <w:tblGrid>
        <w:gridCol w:w="9783"/>
      </w:tblGrid>
      <w:tr w:rsidTr="00F65329">
        <w:tblPrEx>
          <w:tblW w:w="9783" w:type="dxa"/>
          <w:tblLayout w:type="fixed"/>
          <w:tblLook w:val="04A0"/>
        </w:tblPrEx>
        <w:trPr>
          <w:trHeight w:val="851"/>
        </w:trPr>
        <w:tc>
          <w:tcPr>
            <w:tcW w:w="9783" w:type="dxa"/>
            <w:tcBorders>
              <w:top w:val="nil"/>
              <w:left w:val="nil"/>
              <w:bottom w:val="nil"/>
              <w:right w:val="nil"/>
            </w:tcBorders>
          </w:tcPr>
          <w:p w:rsidR="00230B10" w:rsidRPr="00230B10" w:rsidP="00230B10">
            <w:pPr>
              <w:spacing w:line="288" w:lineRule="auto"/>
              <w:rPr>
                <w:rFonts w:ascii="Tahoma" w:eastAsia="Calibri" w:hAnsi="Tahoma" w:cs="Tahoma"/>
                <w:rtl/>
              </w:rPr>
            </w:pPr>
            <w:r w:rsidRPr="00230B10">
              <w:rPr>
                <w:rFonts w:ascii="Tahoma" w:eastAsia="Calibri" w:hAnsi="Tahoma" w:cs="Tahoma"/>
                <w:noProof/>
                <w:rtl/>
              </w:rPr>
              <w:drawing>
                <wp:inline distT="0" distB="0" distL="0" distR="0">
                  <wp:extent cx="6091555" cy="439381"/>
                  <wp:effectExtent l="0" t="0" r="0" b="0"/>
                  <wp:docPr id="40" name="תמונה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תקציר תמונה 3.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F65329">
        <w:tblPrEx>
          <w:tblW w:w="9783" w:type="dxa"/>
          <w:tblLayout w:type="fixed"/>
          <w:tblLook w:val="04A0"/>
        </w:tblPrEx>
        <w:trPr>
          <w:trHeight w:val="2156"/>
        </w:trPr>
        <w:tc>
          <w:tcPr>
            <w:tcW w:w="9783" w:type="dxa"/>
            <w:tcBorders>
              <w:top w:val="nil"/>
              <w:left w:val="nil"/>
              <w:bottom w:val="nil"/>
              <w:right w:val="nil"/>
            </w:tcBorders>
            <w:shd w:val="clear" w:color="auto" w:fill="F1F5F9"/>
          </w:tcPr>
          <w:p w:rsidR="00230B10" w:rsidRPr="00122463" w:rsidP="00230B10">
            <w:pPr>
              <w:spacing w:line="288" w:lineRule="auto"/>
              <w:ind w:left="598" w:right="173" w:hanging="598"/>
              <w:contextualSpacing/>
              <w:rPr>
                <w:rFonts w:ascii="Tahoma" w:eastAsia="Calibri" w:hAnsi="Tahoma" w:cs="Tahoma"/>
                <w:sz w:val="24"/>
              </w:rPr>
            </w:pPr>
          </w:p>
          <w:p w:rsidR="00230B10" w:rsidRPr="00230B10" w:rsidP="006D5A95">
            <w:pPr>
              <w:numPr>
                <w:ilvl w:val="0"/>
                <w:numId w:val="15"/>
              </w:numPr>
              <w:spacing w:after="240" w:line="288" w:lineRule="auto"/>
              <w:ind w:left="515" w:right="322" w:hanging="515"/>
              <w:rPr>
                <w:rFonts w:ascii="Tahoma" w:eastAsia="Calibri" w:hAnsi="Tahoma" w:cs="Tahoma"/>
                <w:sz w:val="19"/>
                <w:szCs w:val="19"/>
              </w:rPr>
            </w:pPr>
            <w:r w:rsidRPr="00230B10">
              <w:rPr>
                <w:rFonts w:ascii="Tahoma" w:eastAsia="Calibri" w:hAnsi="Tahoma" w:cs="Tahoma"/>
                <w:sz w:val="19"/>
                <w:szCs w:val="19"/>
                <w:rtl/>
              </w:rPr>
              <w:t>על מינהלת הגמלאות לפעול ליישום מלא של תקנות מס הכנסה תוך ביצוע ניכוי מס מרבי על קצבאות של גמלאים שאינם ממלאים טופס 101.</w:t>
            </w:r>
          </w:p>
          <w:p w:rsidR="00230B10" w:rsidRPr="00230B10" w:rsidP="006D5A95">
            <w:pPr>
              <w:numPr>
                <w:ilvl w:val="0"/>
                <w:numId w:val="15"/>
              </w:numPr>
              <w:spacing w:after="240" w:line="288" w:lineRule="auto"/>
              <w:ind w:left="515" w:right="322" w:hanging="515"/>
              <w:rPr>
                <w:rFonts w:ascii="Tahoma" w:eastAsia="Calibri" w:hAnsi="Tahoma" w:cs="Tahoma"/>
                <w:sz w:val="19"/>
                <w:szCs w:val="19"/>
              </w:rPr>
            </w:pPr>
            <w:r w:rsidRPr="00230B10">
              <w:rPr>
                <w:rFonts w:ascii="Tahoma" w:eastAsia="Calibri" w:hAnsi="Tahoma" w:cs="Tahoma"/>
                <w:sz w:val="19"/>
                <w:szCs w:val="19"/>
                <w:rtl/>
              </w:rPr>
              <w:t>מומלץ כי מינהלת הגמלאות תשפר את הבקרות על התשלומים לשאירים יתומים, ובמסגרת זאת תבחן את יעילותה של המערכת המתריעה על הגיעו של שאיר יתום למועד שבו אמור להיפסק תשלום הקצבה.</w:t>
            </w:r>
            <w:r w:rsidRPr="00230B10">
              <w:rPr>
                <w:rFonts w:ascii="Tahoma" w:eastAsia="Calibri" w:hAnsi="Tahoma" w:cs="Tahoma"/>
                <w:rtl/>
              </w:rPr>
              <w:t xml:space="preserve"> </w:t>
            </w:r>
            <w:r w:rsidRPr="00230B10">
              <w:rPr>
                <w:rFonts w:ascii="Tahoma" w:eastAsia="Calibri" w:hAnsi="Tahoma" w:cs="Tahoma"/>
                <w:sz w:val="19"/>
                <w:szCs w:val="19"/>
                <w:rtl/>
              </w:rPr>
              <w:t>עוד מומלץ למינהלת הגמלאות ומשרד האוצר לבחון את הצורך בהסדרה משפטית או תיקון לחקיקה בנושא הגדרת "יתומים שאינם עומדים ברשות עצמם".</w:t>
            </w:r>
          </w:p>
          <w:p w:rsidR="00230B10" w:rsidRPr="00230B10" w:rsidP="006D5A95">
            <w:pPr>
              <w:numPr>
                <w:ilvl w:val="0"/>
                <w:numId w:val="15"/>
              </w:numPr>
              <w:spacing w:after="240" w:line="288" w:lineRule="auto"/>
              <w:ind w:left="515" w:right="322" w:hanging="515"/>
              <w:rPr>
                <w:rFonts w:ascii="Tahoma" w:eastAsia="Calibri" w:hAnsi="Tahoma" w:cs="Tahoma"/>
                <w:sz w:val="19"/>
                <w:szCs w:val="19"/>
              </w:rPr>
            </w:pPr>
            <w:r w:rsidRPr="00230B10">
              <w:rPr>
                <w:rFonts w:ascii="Tahoma" w:eastAsia="Calibri" w:hAnsi="Tahoma" w:cs="Tahoma"/>
                <w:sz w:val="19"/>
                <w:szCs w:val="19"/>
                <w:rtl/>
              </w:rPr>
              <w:t>על מינהלת הגמלאות והקרנות הוותיקות לפעול ללא דיחוי להסדרת ההתחשבנות הרטרואקטיבית עם הגמלאים ולתשלום מלוא ההפרשים שנצברו במשך השנים, תוך הקפדה על מיצוי זכויותיהם של כלל הגמלאים בעלי רצף זכויות.</w:t>
            </w:r>
          </w:p>
          <w:p w:rsidR="00230B10" w:rsidRPr="00230B10" w:rsidP="006D5A95">
            <w:pPr>
              <w:numPr>
                <w:ilvl w:val="0"/>
                <w:numId w:val="15"/>
              </w:numPr>
              <w:spacing w:after="240" w:line="288" w:lineRule="auto"/>
              <w:ind w:left="515" w:right="322" w:hanging="515"/>
              <w:rPr>
                <w:rFonts w:ascii="Tahoma" w:eastAsia="Calibri" w:hAnsi="Tahoma" w:cs="Tahoma"/>
                <w:sz w:val="19"/>
                <w:szCs w:val="19"/>
              </w:rPr>
            </w:pPr>
            <w:r w:rsidRPr="00230B10">
              <w:rPr>
                <w:rFonts w:ascii="Tahoma" w:eastAsia="Calibri" w:hAnsi="Tahoma" w:cs="Tahoma"/>
                <w:sz w:val="19"/>
                <w:szCs w:val="19"/>
                <w:rtl/>
              </w:rPr>
              <w:t>מומלץ כי מינהלת הגמלאות תבדוק את העלויות הנוספות המושתות על המינהלת בשל היעדר מחולל שכר מתקדם, ותקבע דרכים שיאפשרו למינהלת לבצע תיקונים, שינויים ואומדנים על כלל רכיבי הקצבה. כמו כן, מוצע למינהלת לשקלל עלויות אלו אל מול החיסכון הנובע משימוש במערכת ללא מחולל שכר במסגרת מכרז עתידי לבחירת ספק שכר או הארכת אופציה בהסכמים קיימים.</w:t>
            </w:r>
          </w:p>
          <w:p w:rsidR="00230B10" w:rsidRPr="00230B10" w:rsidP="006D5A95">
            <w:pPr>
              <w:numPr>
                <w:ilvl w:val="0"/>
                <w:numId w:val="15"/>
              </w:numPr>
              <w:spacing w:after="240" w:line="288" w:lineRule="auto"/>
              <w:ind w:left="515" w:right="322" w:hanging="515"/>
              <w:rPr>
                <w:rFonts w:ascii="Tahoma" w:eastAsia="Calibri" w:hAnsi="Tahoma" w:cs="Tahoma"/>
                <w:sz w:val="19"/>
                <w:szCs w:val="19"/>
              </w:rPr>
            </w:pPr>
            <w:r w:rsidRPr="00230B10">
              <w:rPr>
                <w:rFonts w:ascii="Tahoma" w:eastAsia="Calibri" w:hAnsi="Tahoma" w:cs="Tahoma"/>
                <w:sz w:val="19"/>
                <w:szCs w:val="19"/>
                <w:rtl/>
              </w:rPr>
              <w:t xml:space="preserve">מומלץ כי מינהלת הגמלאות תשפר את זמני המענה הטלפוני הניתן במוקד החיצוני, נוכח העלייה העקבית לאורך השנים באחוז השיחות הננטשות ונוכח הירידה העקבית לאורך השנים במענה האנושי בפרק הזמן שהוגדר, ובייחוד בשל חשיבותו הרבה עבור האוכלוסייה המבוגרת. </w:t>
            </w:r>
          </w:p>
          <w:p w:rsidR="00230B10" w:rsidRPr="00230B10" w:rsidP="006D5A95">
            <w:pPr>
              <w:numPr>
                <w:ilvl w:val="0"/>
                <w:numId w:val="15"/>
              </w:numPr>
              <w:spacing w:after="240" w:line="288" w:lineRule="auto"/>
              <w:ind w:left="515" w:right="322" w:hanging="515"/>
              <w:rPr>
                <w:rFonts w:ascii="Tahoma" w:eastAsia="Calibri" w:hAnsi="Tahoma" w:cs="Tahoma"/>
                <w:sz w:val="19"/>
                <w:szCs w:val="19"/>
              </w:rPr>
            </w:pPr>
            <w:r w:rsidRPr="00230B10">
              <w:rPr>
                <w:rFonts w:ascii="Tahoma" w:eastAsia="Calibri" w:hAnsi="Tahoma" w:cs="Tahoma"/>
                <w:sz w:val="19"/>
                <w:szCs w:val="19"/>
                <w:rtl/>
              </w:rPr>
              <w:t>מומלץ כי נציבות שירות המדינה ומשרד האוצר, בשיתוף מינהלת הגמלאות, יקימו מערכת ממוחשבת בין-משרדית שתבטיח תהליך פרישה יעיל, אמין ושקוף לכלל עובדי המדינה.</w:t>
            </w:r>
          </w:p>
          <w:p w:rsidR="00230B10" w:rsidRPr="00122463" w:rsidP="00122463">
            <w:pPr>
              <w:numPr>
                <w:ilvl w:val="0"/>
                <w:numId w:val="15"/>
              </w:numPr>
              <w:spacing w:after="360" w:line="288" w:lineRule="auto"/>
              <w:ind w:left="515" w:right="322" w:hanging="515"/>
              <w:rPr>
                <w:rFonts w:ascii="Tahoma" w:eastAsia="Calibri" w:hAnsi="Tahoma" w:cs="Tahoma"/>
                <w:sz w:val="19"/>
                <w:szCs w:val="19"/>
                <w:rtl/>
              </w:rPr>
            </w:pPr>
            <w:r w:rsidRPr="00230B10">
              <w:rPr>
                <w:rFonts w:ascii="Tahoma" w:eastAsia="Calibri" w:hAnsi="Tahoma" w:cs="Tahoma"/>
                <w:sz w:val="19"/>
                <w:szCs w:val="19"/>
                <w:rtl/>
              </w:rPr>
              <w:t>מומלץ כי החשב הכללי, בשיתוף הגופים הביטחוניים הרלוונטיים, יגבש תוכנית מפורטת להקמתה של מינהלת גמלאות אחודה אשר תובא כבסיס להחלטה משלימה לאישור הממשלה כנדרש.</w:t>
            </w:r>
          </w:p>
        </w:tc>
      </w:tr>
    </w:tbl>
    <w:p w:rsidR="006D5A95" w:rsidP="00230B10">
      <w:pPr>
        <w:spacing w:before="200" w:line="288" w:lineRule="auto"/>
        <w:ind w:left="-851"/>
        <w:rPr>
          <w:rFonts w:ascii="Tahoma" w:eastAsia="Calibri" w:hAnsi="Tahoma" w:cs="Tahoma"/>
          <w:rtl/>
        </w:rPr>
      </w:pPr>
    </w:p>
    <w:p w:rsidR="006D5A95">
      <w:pPr>
        <w:bidi w:val="0"/>
        <w:spacing w:after="200" w:line="276" w:lineRule="auto"/>
        <w:rPr>
          <w:rFonts w:ascii="Tahoma" w:eastAsia="Calibri" w:hAnsi="Tahoma" w:cs="Tahoma"/>
          <w:rtl/>
        </w:rPr>
      </w:pPr>
      <w:r>
        <w:rPr>
          <w:rFonts w:ascii="Tahoma" w:eastAsia="Calibri" w:hAnsi="Tahoma" w:cs="Tahoma"/>
          <w:rtl/>
        </w:rPr>
        <w:br w:type="page"/>
      </w:r>
    </w:p>
    <w:p w:rsidR="00674EF5" w:rsidRPr="00674EF5" w:rsidP="00230B10">
      <w:pPr>
        <w:spacing w:before="200" w:line="288" w:lineRule="auto"/>
        <w:ind w:left="-851"/>
        <w:rPr>
          <w:rFonts w:ascii="Tahoma" w:eastAsia="Calibri" w:hAnsi="Tahoma" w:cs="Tahoma"/>
          <w:b/>
          <w:bCs/>
          <w:noProof/>
          <w:color w:val="FFFFFF"/>
          <w:sz w:val="2"/>
          <w:szCs w:val="2"/>
          <w:rtl/>
        </w:rPr>
      </w:pPr>
    </w:p>
    <w:p w:rsidR="00230B10" w:rsidRPr="00230B10" w:rsidP="00230B10">
      <w:pPr>
        <w:spacing w:before="200" w:line="288" w:lineRule="auto"/>
        <w:ind w:left="-851"/>
        <w:rPr>
          <w:rFonts w:ascii="Tahoma" w:eastAsia="Calibri" w:hAnsi="Tahoma" w:cs="Tahoma"/>
          <w:b/>
          <w:bCs/>
          <w:noProof/>
          <w:color w:val="FFFFFF"/>
          <w:sz w:val="22"/>
          <w:szCs w:val="22"/>
          <w:rtl/>
        </w:rPr>
      </w:pPr>
      <w:r w:rsidRPr="00230B10">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column">
              <wp:posOffset>1647748</wp:posOffset>
            </wp:positionH>
            <wp:positionV relativeFrom="paragraph">
              <wp:posOffset>48115</wp:posOffset>
            </wp:positionV>
            <wp:extent cx="4209697" cy="499110"/>
            <wp:effectExtent l="0" t="0" r="635" b="0"/>
            <wp:wrapNone/>
            <wp:docPr id="41" name="תמונה 41"/>
            <wp:cNvGraphicFramePr/>
            <a:graphic xmlns:a="http://schemas.openxmlformats.org/drawingml/2006/main">
              <a:graphicData uri="http://schemas.openxmlformats.org/drawingml/2006/picture">
                <pic:pic xmlns:pic="http://schemas.openxmlformats.org/drawingml/2006/picture">
                  <pic:nvPicPr>
                    <pic:cNvPr id="41"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09697" cy="499110"/>
                    </a:xfrm>
                    <a:prstGeom prst="rect">
                      <a:avLst/>
                    </a:prstGeom>
                  </pic:spPr>
                </pic:pic>
              </a:graphicData>
            </a:graphic>
            <wp14:sizeRelH relativeFrom="page">
              <wp14:pctWidth>0</wp14:pctWidth>
            </wp14:sizeRelH>
            <wp14:sizeRelV relativeFrom="page">
              <wp14:pctHeight>0</wp14:pctHeight>
            </wp14:sizeRelV>
          </wp:anchor>
        </w:drawing>
      </w:r>
      <w:r w:rsidRPr="00230B10">
        <w:rPr>
          <w:rFonts w:ascii="Tahoma" w:eastAsia="Calibri" w:hAnsi="Tahoma" w:cs="Tahoma" w:hint="cs"/>
          <w:b/>
          <w:bCs/>
          <w:noProof/>
          <w:color w:val="FFFFFF"/>
          <w:sz w:val="22"/>
          <w:szCs w:val="22"/>
          <w:rtl/>
        </w:rPr>
        <w:t>ה</w:t>
      </w:r>
      <w:r w:rsidRPr="00230B10">
        <w:rPr>
          <w:rFonts w:ascii="Tahoma" w:eastAsia="Calibri" w:hAnsi="Tahoma" w:cs="Tahoma"/>
          <w:b/>
          <w:bCs/>
          <w:noProof/>
          <w:color w:val="FFFFFF"/>
          <w:sz w:val="22"/>
          <w:szCs w:val="22"/>
          <w:rtl/>
        </w:rPr>
        <w:t xml:space="preserve">תזרים </w:t>
      </w:r>
      <w:r w:rsidRPr="00230B10">
        <w:rPr>
          <w:rFonts w:ascii="Tahoma" w:eastAsia="Calibri" w:hAnsi="Tahoma" w:cs="Tahoma" w:hint="cs"/>
          <w:b/>
          <w:bCs/>
          <w:noProof/>
          <w:color w:val="FFFFFF"/>
          <w:sz w:val="22"/>
          <w:szCs w:val="22"/>
          <w:rtl/>
        </w:rPr>
        <w:t>ה</w:t>
      </w:r>
      <w:r w:rsidRPr="00230B10">
        <w:rPr>
          <w:rFonts w:ascii="Tahoma" w:eastAsia="Calibri" w:hAnsi="Tahoma" w:cs="Tahoma"/>
          <w:b/>
          <w:bCs/>
          <w:noProof/>
          <w:color w:val="FFFFFF"/>
          <w:sz w:val="22"/>
          <w:szCs w:val="22"/>
          <w:rtl/>
        </w:rPr>
        <w:t>צפוי לתשלום פנסיה תקציבית (במיליארדי ש"ח)</w:t>
      </w:r>
    </w:p>
    <w:p w:rsidR="00230B10" w:rsidRPr="00230B10" w:rsidP="00230B10">
      <w:pPr>
        <w:spacing w:line="288" w:lineRule="auto"/>
        <w:rPr>
          <w:rFonts w:ascii="Tahoma" w:eastAsia="Calibri" w:hAnsi="Tahoma" w:cs="Tahoma"/>
          <w:color w:val="FFFFFF"/>
          <w:rtl/>
        </w:rPr>
      </w:pPr>
    </w:p>
    <w:p w:rsidR="00230B10" w:rsidRPr="00230B10" w:rsidP="00230B10">
      <w:pPr>
        <w:spacing w:line="288" w:lineRule="auto"/>
        <w:ind w:left="-851"/>
        <w:jc w:val="center"/>
        <w:rPr>
          <w:rFonts w:ascii="Tahoma" w:eastAsia="Calibri" w:hAnsi="Tahoma" w:cs="Tahoma"/>
          <w:sz w:val="22"/>
          <w:szCs w:val="22"/>
          <w:rtl/>
        </w:rPr>
      </w:pPr>
      <w:bookmarkStart w:id="3" w:name="_GoBack"/>
      <w:r w:rsidRPr="00230B10">
        <w:rPr>
          <w:rFonts w:ascii="Tahoma" w:eastAsia="Calibri" w:hAnsi="Tahoma" w:cs="Tahoma"/>
          <w:noProof/>
        </w:rPr>
        <w:drawing>
          <wp:inline distT="0" distB="0" distL="0" distR="0">
            <wp:extent cx="5079841" cy="3075609"/>
            <wp:effectExtent l="0" t="0" r="6985" b="0"/>
            <wp:docPr id="42" name="תמונה 42" descr="בשנת 2039 סך התשלום הצפוי יעמוד על 41.73 מיליא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xmlns:r="http://schemas.openxmlformats.org/officeDocument/2006/relationships" r:embed="rId19"/>
                    <a:srcRect t="11757" b="4387"/>
                    <a:stretch>
                      <a:fillRect/>
                    </a:stretch>
                  </pic:blipFill>
                  <pic:spPr bwMode="auto">
                    <a:xfrm>
                      <a:off x="0" y="0"/>
                      <a:ext cx="5085864" cy="307925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bookmarkEnd w:id="3"/>
    </w:p>
    <w:p w:rsidR="00230B10" w:rsidRPr="00230B10" w:rsidP="00122463">
      <w:pPr>
        <w:spacing w:after="120" w:line="288" w:lineRule="auto"/>
        <w:ind w:left="-851"/>
        <w:rPr>
          <w:rFonts w:ascii="Tahoma" w:eastAsia="Calibri" w:hAnsi="Tahoma" w:cs="Tahoma"/>
          <w:sz w:val="16"/>
          <w:szCs w:val="16"/>
          <w:rtl/>
        </w:rPr>
      </w:pPr>
      <w:r w:rsidRPr="00230B10">
        <w:rPr>
          <w:rFonts w:ascii="Tahoma" w:eastAsia="Calibri" w:hAnsi="Tahoma" w:cs="Tahoma"/>
          <w:sz w:val="16"/>
          <w:szCs w:val="16"/>
          <w:rtl/>
        </w:rPr>
        <w:t>המקור: הדוחות הכספיים של מדינת ישראל ל-31.12.24.</w:t>
      </w:r>
    </w:p>
    <w:p w:rsidR="00230B10" w:rsidRPr="00230B10" w:rsidP="00230B10">
      <w:pPr>
        <w:spacing w:line="288" w:lineRule="auto"/>
        <w:ind w:left="-851"/>
        <w:rPr>
          <w:rFonts w:ascii="Tahoma" w:eastAsia="Calibri" w:hAnsi="Tahoma" w:cs="Tahoma"/>
          <w:sz w:val="22"/>
          <w:szCs w:val="22"/>
          <w:rtl/>
        </w:rPr>
      </w:pPr>
    </w:p>
    <w:p w:rsidR="00230B10" w:rsidRPr="00230B10" w:rsidP="00230B10">
      <w:pPr>
        <w:spacing w:line="288" w:lineRule="auto"/>
        <w:ind w:left="-851" w:right="-851"/>
        <w:rPr>
          <w:rFonts w:ascii="Tahoma" w:eastAsia="Calibri" w:hAnsi="Tahoma" w:cs="Tahoma"/>
          <w:sz w:val="22"/>
          <w:szCs w:val="22"/>
          <w:rtl/>
        </w:rPr>
      </w:pPr>
      <w:r w:rsidRPr="00230B10">
        <w:rPr>
          <w:rFonts w:ascii="Tahoma" w:eastAsia="Calibri" w:hAnsi="Tahoma" w:cs="Tahoma"/>
          <w:noProof/>
        </w:rPr>
        <w:drawing>
          <wp:inline distT="0" distB="0" distL="0" distR="0">
            <wp:extent cx="6256412" cy="310551"/>
            <wp:effectExtent l="0" t="0" r="0" b="0"/>
            <wp:docPr id="43" name="תמונה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4"/>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75087" cy="316442"/>
                    </a:xfrm>
                    <a:prstGeom prst="rect">
                      <a:avLst/>
                    </a:prstGeom>
                    <a:noFill/>
                    <a:ln>
                      <a:noFill/>
                    </a:ln>
                  </pic:spPr>
                </pic:pic>
              </a:graphicData>
            </a:graphic>
          </wp:inline>
        </w:drawing>
      </w:r>
    </w:p>
    <w:p w:rsidR="00230B10" w:rsidRPr="00230B10" w:rsidP="00230B10">
      <w:pPr>
        <w:spacing w:line="288" w:lineRule="auto"/>
        <w:ind w:left="-851"/>
        <w:rPr>
          <w:rFonts w:ascii="Tahoma" w:eastAsia="Calibri" w:hAnsi="Tahoma" w:cs="Tahoma"/>
          <w:sz w:val="12"/>
          <w:szCs w:val="12"/>
          <w:rtl/>
        </w:rPr>
      </w:pPr>
    </w:p>
    <w:p w:rsidR="00230B10" w:rsidRPr="00230B10" w:rsidP="00230B10">
      <w:pPr>
        <w:spacing w:after="120" w:line="288" w:lineRule="auto"/>
        <w:ind w:left="-851" w:right="-709"/>
        <w:rPr>
          <w:rFonts w:ascii="Tahoma" w:eastAsia="Calibri" w:hAnsi="Tahoma" w:cs="Tahoma"/>
          <w:sz w:val="19"/>
          <w:szCs w:val="19"/>
          <w:rtl/>
        </w:rPr>
      </w:pPr>
      <w:r w:rsidRPr="00230B10">
        <w:rPr>
          <w:rFonts w:ascii="Tahoma" w:eastAsia="Calibri" w:hAnsi="Tahoma" w:cs="Tahoma"/>
          <w:sz w:val="19"/>
          <w:szCs w:val="19"/>
          <w:rtl/>
        </w:rPr>
        <w:t>דוח ביקורת זה דן במכלול שירותים ותפקידים המוטלים על מינהלת הגמלאות כחלק ממחויבותה כלפי ציבור הגמלאים אשר פרשו משירות המדינה, ומנגד באכיפה וביישום הוראות החוק בנוגע לתשלומים שהיא משלמת, שחלקם אף מורכבים.</w:t>
      </w:r>
    </w:p>
    <w:p w:rsidR="00230B10" w:rsidRPr="00230B10" w:rsidP="00230B10">
      <w:pPr>
        <w:spacing w:after="120" w:line="288" w:lineRule="auto"/>
        <w:ind w:left="-851" w:right="-709"/>
        <w:rPr>
          <w:rFonts w:ascii="Tahoma" w:eastAsia="Calibri" w:hAnsi="Tahoma" w:cs="Tahoma"/>
          <w:sz w:val="19"/>
          <w:szCs w:val="19"/>
          <w:rtl/>
        </w:rPr>
      </w:pPr>
      <w:r w:rsidRPr="00230B10">
        <w:rPr>
          <w:rFonts w:ascii="Tahoma" w:eastAsia="Calibri" w:hAnsi="Tahoma" w:cs="Tahoma"/>
          <w:sz w:val="19"/>
          <w:szCs w:val="19"/>
          <w:rtl/>
        </w:rPr>
        <w:t>בדוח המעקב עלה כי תשעה מהליקויים שהועלו בדוח קודם ונבדקו בדוח המעקב (13 בסך הכ</w:t>
      </w:r>
      <w:r w:rsidR="00122463">
        <w:rPr>
          <w:rFonts w:ascii="Tahoma" w:eastAsia="Calibri" w:hAnsi="Tahoma" w:cs="Tahoma" w:hint="cs"/>
          <w:sz w:val="19"/>
          <w:szCs w:val="19"/>
          <w:rtl/>
        </w:rPr>
        <w:t>ו</w:t>
      </w:r>
      <w:r w:rsidRPr="00230B10">
        <w:rPr>
          <w:rFonts w:ascii="Tahoma" w:eastAsia="Calibri" w:hAnsi="Tahoma" w:cs="Tahoma"/>
          <w:sz w:val="19"/>
          <w:szCs w:val="19"/>
          <w:rtl/>
        </w:rPr>
        <w:t>ל) לא תוקנו או תוקנו במידה מועטה ורק ארבעה מהליקויים שהועלו בדוח קודם ונבדקו בדוח המעקב תוקנו במידה רבה או מלאה. כך למשל, הליקויים הבאים לא תוקנו או תוקנו במידה מועטה: אי-הצלבת הנתונים של המינהלת עם נתוני בט"ל ועם נתוני נציבות שירות המדינה, אי-ניכוי מס מרבי מגמלאים שלא מילאו טופס 101, תשלומי קצבאות לשאירים החיים עם ידועים בציבור, תשלום קצבה לשאירים יתומים שהם מעל לגיל הזכאות ומוגדרים כמי שאינם עומדים ברשות עצמם בלי שיהיו אסמכתאות מספיקות וללא בדיקות עמידה בתנאים לאורך השנים וכן קיומן של בקרות מעטות ולא מספיקות על תשלומי הקצבה. עם זאת, בעניין מקבלי קצבה ששהו בחו"ל יותר מחצי שנה ולא היה להם אישור חיים במערכת שוהים בחו"ל, בביקורת המעקב נמצא כי הליקוי תוקן במידה רבה, וכיום מופעל הליך אוטומטי המסנכרן בין נתוני הכניסה לארץ והיציאה ממנה לבין מצב אישורי החיים, לרבות הפקת תזכורת אוטומטית בעת הצורך. בנוסף, נחתם הסכם הסדרת חוב בין מינהלת הגמלאות לרשות העתיקות והליקוי בגינו תוקן באופן מלא.</w:t>
      </w:r>
    </w:p>
    <w:p w:rsidR="00230B10" w:rsidRPr="00230B10" w:rsidP="00230B10">
      <w:pPr>
        <w:spacing w:after="120" w:line="288" w:lineRule="auto"/>
        <w:ind w:left="-851" w:right="-709"/>
        <w:rPr>
          <w:rFonts w:ascii="Tahoma" w:eastAsia="Calibri" w:hAnsi="Tahoma" w:cs="Tahoma"/>
          <w:sz w:val="19"/>
          <w:szCs w:val="19"/>
          <w:rtl/>
        </w:rPr>
      </w:pPr>
      <w:r w:rsidRPr="00230B10">
        <w:rPr>
          <w:rFonts w:ascii="Tahoma" w:eastAsia="Calibri" w:hAnsi="Tahoma" w:cs="Tahoma"/>
          <w:sz w:val="19"/>
          <w:szCs w:val="19"/>
          <w:rtl/>
        </w:rPr>
        <w:t>בדוח זה הועלו ליקויים נוספים, למשל במשך שנים ועד לינואר 2024 היו הקרנות הוותיקות משלימות את האחוזים לקצבה לפי המשכורת הקובעת בקרן ולא לפי המשכורת הקובעת שהמדינה שילמה. כמו כן, אין כיום בידי המדינה מערכת ממוחשבת מתכללת לניהול תהליך זה. התהליך כולו מתבצע באמצעים ידניים באמצעות מסמכים מודפסים שנסרקים למערכות ובהיעדר תשתית מקוונת הוא נעשה באמצעות העברה פיזית של המסמכים בין הגופים המעורבים. בדוח זה הועלו גם ליקויים הנוגעים למערך שירות הלקוחות של המינהלת אשר מקבלים משנה חשיבות נוכח השתייכותו של קהל לקוחות זה לבני הגיל השלישי, ובשל העובדה שמדובר בבירורים אשר בעיקרם מהותיים וחשובים ביותר לקיומם ופרנסתם ולמידת האמון שהם רוחשים למוסדות המדינה.</w:t>
      </w:r>
    </w:p>
    <w:p w:rsidR="00230B10" w:rsidRPr="00230B10" w:rsidP="00230B10">
      <w:pPr>
        <w:spacing w:line="288" w:lineRule="auto"/>
        <w:ind w:left="-851" w:right="-709"/>
        <w:rPr>
          <w:rFonts w:ascii="Tahoma" w:eastAsia="Calibri" w:hAnsi="Tahoma" w:cs="Tahoma"/>
          <w:sz w:val="22"/>
          <w:szCs w:val="22"/>
          <w:rtl/>
        </w:rPr>
      </w:pPr>
      <w:r w:rsidRPr="00230B10">
        <w:rPr>
          <w:rFonts w:ascii="Tahoma" w:eastAsia="Calibri" w:hAnsi="Tahoma" w:cs="Tahoma"/>
          <w:sz w:val="19"/>
          <w:szCs w:val="19"/>
          <w:rtl/>
        </w:rPr>
        <w:t>משרד מבקר המדינה ממליץ למינהלת הגמלאות לפעול לתיקון הליקויים שהועלו בדוח זה במטרה להימנע מתשלומי יתר וחסר לגמלאים, לצמצם טעויות ולייעל את השירות לגמלאים.</w:t>
      </w:r>
    </w:p>
    <w:p w:rsidR="00674EF5" w:rsidRPr="00674EF5" w:rsidP="00230B10">
      <w:pPr>
        <w:spacing w:before="200" w:line="288" w:lineRule="auto"/>
        <w:ind w:left="-851"/>
        <w:rPr>
          <w:rFonts w:ascii="Tahoma" w:eastAsia="Calibri" w:hAnsi="Tahoma" w:cs="Tahoma"/>
          <w:b/>
          <w:bCs/>
          <w:noProof/>
          <w:color w:val="FFFFFF"/>
          <w:sz w:val="2"/>
          <w:szCs w:val="2"/>
          <w:rtl/>
        </w:rPr>
      </w:pPr>
    </w:p>
    <w:p w:rsidR="00230B10" w:rsidRPr="00230B10" w:rsidP="00122463">
      <w:pPr>
        <w:spacing w:before="200" w:line="288" w:lineRule="auto"/>
        <w:ind w:left="-711"/>
        <w:rPr>
          <w:rFonts w:ascii="Tahoma" w:eastAsia="Calibri" w:hAnsi="Tahoma" w:cs="Tahoma"/>
          <w:b/>
          <w:bCs/>
          <w:noProof/>
          <w:color w:val="FFFFFF"/>
          <w:rtl/>
        </w:rPr>
      </w:pPr>
      <w:r w:rsidRPr="00230B10">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column">
              <wp:posOffset>2287905</wp:posOffset>
            </wp:positionH>
            <wp:positionV relativeFrom="paragraph">
              <wp:posOffset>13970</wp:posOffset>
            </wp:positionV>
            <wp:extent cx="3534592" cy="579120"/>
            <wp:effectExtent l="0" t="0" r="8890" b="0"/>
            <wp:wrapNone/>
            <wp:docPr id="44" name="תמונה 44"/>
            <wp:cNvGraphicFramePr/>
            <a:graphic xmlns:a="http://schemas.openxmlformats.org/drawingml/2006/main">
              <a:graphicData uri="http://schemas.openxmlformats.org/drawingml/2006/picture">
                <pic:pic xmlns:pic="http://schemas.openxmlformats.org/drawingml/2006/picture">
                  <pic:nvPicPr>
                    <pic:cNvPr id="44"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40493" cy="580087"/>
                    </a:xfrm>
                    <a:prstGeom prst="rect">
                      <a:avLst/>
                    </a:prstGeom>
                  </pic:spPr>
                </pic:pic>
              </a:graphicData>
            </a:graphic>
            <wp14:sizeRelH relativeFrom="page">
              <wp14:pctWidth>0</wp14:pctWidth>
            </wp14:sizeRelH>
            <wp14:sizeRelV relativeFrom="page">
              <wp14:pctHeight>0</wp14:pctHeight>
            </wp14:sizeRelV>
          </wp:anchor>
        </w:drawing>
      </w:r>
      <w:r w:rsidRPr="00230B10">
        <w:rPr>
          <w:rFonts w:ascii="Tahoma" w:eastAsia="Calibri" w:hAnsi="Tahoma" w:cs="Tahoma"/>
          <w:b/>
          <w:bCs/>
          <w:noProof/>
          <w:color w:val="FFFFFF"/>
          <w:sz w:val="22"/>
          <w:szCs w:val="22"/>
          <w:rtl/>
        </w:rPr>
        <w:t xml:space="preserve">מידת תיקון עיקרי הליקויים שעלו בדוח הקודם </w:t>
      </w:r>
    </w:p>
    <w:p w:rsidR="00230B10" w:rsidRPr="00230B10" w:rsidP="00230B10">
      <w:pPr>
        <w:spacing w:line="288" w:lineRule="auto"/>
        <w:ind w:left="-851"/>
        <w:rPr>
          <w:rFonts w:ascii="Tahoma" w:eastAsia="Calibri" w:hAnsi="Tahoma" w:cs="Tahoma"/>
          <w:sz w:val="22"/>
          <w:szCs w:val="22"/>
          <w:rtl/>
        </w:rPr>
      </w:pPr>
    </w:p>
    <w:p w:rsidR="00230B10" w:rsidRPr="00230B10" w:rsidP="00230B10">
      <w:pPr>
        <w:spacing w:line="288" w:lineRule="auto"/>
        <w:ind w:left="-851"/>
        <w:rPr>
          <w:rFonts w:ascii="Tahoma" w:eastAsia="Calibri" w:hAnsi="Tahoma" w:cs="Tahoma"/>
          <w:sz w:val="22"/>
          <w:szCs w:val="22"/>
          <w:rtl/>
        </w:rPr>
      </w:pPr>
    </w:p>
    <w:tbl>
      <w:tblPr>
        <w:tblStyle w:val="TableGrid"/>
        <w:tblpPr w:leftFromText="180" w:rightFromText="180" w:vertAnchor="text" w:tblpXSpec="center" w:tblpY="1"/>
        <w:tblOverlap w:val="never"/>
        <w:bidiVisual/>
        <w:tblW w:w="9946" w:type="dxa"/>
        <w:tblLook w:val="04A0"/>
      </w:tblPr>
      <w:tblGrid>
        <w:gridCol w:w="2184"/>
        <w:gridCol w:w="999"/>
        <w:gridCol w:w="2877"/>
        <w:gridCol w:w="971"/>
        <w:gridCol w:w="972"/>
        <w:gridCol w:w="971"/>
        <w:gridCol w:w="972"/>
      </w:tblGrid>
      <w:tr w:rsidTr="00230B10">
        <w:tblPrEx>
          <w:tblW w:w="9946" w:type="dxa"/>
          <w:tblLook w:val="04A0"/>
        </w:tblPrEx>
        <w:trPr>
          <w:tblHeader/>
        </w:trPr>
        <w:tc>
          <w:tcPr>
            <w:tcW w:w="2184" w:type="dxa"/>
            <w:vMerge w:val="restart"/>
            <w:shd w:val="clear" w:color="auto" w:fill="C6D9F1"/>
            <w:vAlign w:val="center"/>
          </w:tcPr>
          <w:p w:rsidR="00230B10" w:rsidRPr="00230B10" w:rsidP="00230B10">
            <w:pPr>
              <w:spacing w:line="288" w:lineRule="auto"/>
              <w:jc w:val="center"/>
              <w:rPr>
                <w:rFonts w:ascii="Tahoma" w:eastAsia="Calibri" w:hAnsi="Tahoma" w:cs="Tahoma"/>
                <w:b/>
                <w:bCs/>
                <w:sz w:val="19"/>
                <w:szCs w:val="19"/>
                <w:rtl/>
              </w:rPr>
            </w:pPr>
            <w:r w:rsidRPr="00230B10">
              <w:rPr>
                <w:rFonts w:ascii="Tahoma" w:eastAsia="Calibri" w:hAnsi="Tahoma" w:cs="Tahoma"/>
                <w:b/>
                <w:bCs/>
                <w:sz w:val="19"/>
                <w:szCs w:val="19"/>
                <w:rtl/>
              </w:rPr>
              <w:t>פרק הביקורת</w:t>
            </w:r>
          </w:p>
        </w:tc>
        <w:tc>
          <w:tcPr>
            <w:tcW w:w="999" w:type="dxa"/>
            <w:vMerge w:val="restart"/>
            <w:shd w:val="clear" w:color="auto" w:fill="C6D9F1"/>
            <w:vAlign w:val="center"/>
          </w:tcPr>
          <w:p w:rsidR="00230B10" w:rsidRPr="00230B10" w:rsidP="00230B10">
            <w:pPr>
              <w:spacing w:line="288" w:lineRule="auto"/>
              <w:jc w:val="center"/>
              <w:rPr>
                <w:rFonts w:ascii="Tahoma" w:eastAsia="Calibri" w:hAnsi="Tahoma" w:cs="Tahoma"/>
                <w:b/>
                <w:bCs/>
                <w:sz w:val="19"/>
                <w:szCs w:val="19"/>
                <w:rtl/>
              </w:rPr>
            </w:pPr>
            <w:r w:rsidRPr="00230B10">
              <w:rPr>
                <w:rFonts w:ascii="Tahoma" w:eastAsia="Calibri" w:hAnsi="Tahoma" w:cs="Tahoma"/>
                <w:b/>
                <w:bCs/>
                <w:sz w:val="19"/>
                <w:szCs w:val="19"/>
                <w:rtl/>
              </w:rPr>
              <w:t>הגוף המבוקר</w:t>
            </w:r>
          </w:p>
        </w:tc>
        <w:tc>
          <w:tcPr>
            <w:tcW w:w="2877" w:type="dxa"/>
            <w:vMerge w:val="restart"/>
            <w:shd w:val="clear" w:color="auto" w:fill="C6D9F1"/>
            <w:vAlign w:val="center"/>
          </w:tcPr>
          <w:p w:rsidR="00230B10" w:rsidRPr="00230B10" w:rsidP="00230B10">
            <w:pPr>
              <w:spacing w:line="288" w:lineRule="auto"/>
              <w:jc w:val="center"/>
              <w:rPr>
                <w:rFonts w:ascii="Tahoma" w:eastAsia="Calibri" w:hAnsi="Tahoma" w:cs="Tahoma"/>
                <w:b/>
                <w:bCs/>
                <w:sz w:val="19"/>
                <w:szCs w:val="19"/>
                <w:rtl/>
              </w:rPr>
            </w:pPr>
            <w:r w:rsidRPr="00230B10">
              <w:rPr>
                <w:rFonts w:ascii="Tahoma" w:eastAsia="Calibri" w:hAnsi="Tahoma" w:cs="Tahoma"/>
                <w:b/>
                <w:bCs/>
                <w:sz w:val="19"/>
                <w:szCs w:val="19"/>
                <w:rtl/>
              </w:rPr>
              <w:t xml:space="preserve">הליקוי </w:t>
            </w:r>
          </w:p>
          <w:p w:rsidR="00230B10" w:rsidRPr="00230B10" w:rsidP="00230B10">
            <w:pPr>
              <w:spacing w:line="288" w:lineRule="auto"/>
              <w:jc w:val="center"/>
              <w:rPr>
                <w:rFonts w:ascii="Tahoma" w:eastAsia="Calibri" w:hAnsi="Tahoma" w:cs="Tahoma"/>
                <w:b/>
                <w:bCs/>
                <w:sz w:val="19"/>
                <w:szCs w:val="19"/>
                <w:rtl/>
              </w:rPr>
            </w:pPr>
            <w:r w:rsidRPr="00230B10">
              <w:rPr>
                <w:rFonts w:ascii="Tahoma" w:eastAsia="Calibri" w:hAnsi="Tahoma" w:cs="Tahoma"/>
                <w:b/>
                <w:bCs/>
                <w:sz w:val="19"/>
                <w:szCs w:val="19"/>
                <w:rtl/>
              </w:rPr>
              <w:t xml:space="preserve">בדוח הביקורת הקודם </w:t>
            </w:r>
          </w:p>
        </w:tc>
        <w:tc>
          <w:tcPr>
            <w:tcW w:w="3886" w:type="dxa"/>
            <w:gridSpan w:val="4"/>
            <w:shd w:val="clear" w:color="auto" w:fill="C6D9F1"/>
          </w:tcPr>
          <w:p w:rsidR="00230B10" w:rsidRPr="00230B10" w:rsidP="00230B10">
            <w:pPr>
              <w:spacing w:line="288" w:lineRule="auto"/>
              <w:jc w:val="center"/>
              <w:rPr>
                <w:rFonts w:ascii="Tahoma" w:eastAsia="Calibri" w:hAnsi="Tahoma" w:cs="Tahoma"/>
                <w:b/>
                <w:bCs/>
                <w:sz w:val="19"/>
                <w:szCs w:val="19"/>
                <w:rtl/>
              </w:rPr>
            </w:pPr>
            <w:r w:rsidRPr="00230B10">
              <w:rPr>
                <w:rFonts w:ascii="Tahoma" w:eastAsia="Calibri" w:hAnsi="Tahoma" w:cs="Tahoma"/>
                <w:b/>
                <w:bCs/>
                <w:sz w:val="19"/>
                <w:szCs w:val="19"/>
                <w:rtl/>
              </w:rPr>
              <w:t xml:space="preserve">מידת תיקון הליקוי </w:t>
            </w:r>
          </w:p>
          <w:p w:rsidR="00230B10" w:rsidRPr="00230B10" w:rsidP="00230B10">
            <w:pPr>
              <w:spacing w:line="288" w:lineRule="auto"/>
              <w:jc w:val="center"/>
              <w:rPr>
                <w:rFonts w:ascii="Tahoma" w:eastAsia="Calibri" w:hAnsi="Tahoma" w:cs="Tahoma"/>
                <w:b/>
                <w:bCs/>
                <w:sz w:val="19"/>
                <w:szCs w:val="19"/>
                <w:rtl/>
              </w:rPr>
            </w:pPr>
            <w:r w:rsidRPr="00230B10">
              <w:rPr>
                <w:rFonts w:ascii="Tahoma" w:eastAsia="Calibri" w:hAnsi="Tahoma" w:cs="Tahoma"/>
                <w:b/>
                <w:bCs/>
                <w:sz w:val="19"/>
                <w:szCs w:val="19"/>
                <w:rtl/>
              </w:rPr>
              <w:t>כפי שעלה בביקורת המעקב</w:t>
            </w:r>
          </w:p>
        </w:tc>
      </w:tr>
      <w:tr w:rsidTr="00F65329">
        <w:tblPrEx>
          <w:tblW w:w="9946" w:type="dxa"/>
          <w:tblLook w:val="04A0"/>
        </w:tblPrEx>
        <w:trPr>
          <w:tblHeader/>
        </w:trPr>
        <w:tc>
          <w:tcPr>
            <w:tcW w:w="2184" w:type="dxa"/>
            <w:vMerge/>
          </w:tcPr>
          <w:p w:rsidR="00230B10" w:rsidRPr="00230B10" w:rsidP="00230B10">
            <w:pPr>
              <w:spacing w:line="288" w:lineRule="auto"/>
              <w:jc w:val="center"/>
              <w:rPr>
                <w:rFonts w:ascii="Tahoma" w:eastAsia="Calibri" w:hAnsi="Tahoma" w:cs="Tahoma"/>
                <w:b/>
                <w:bCs/>
                <w:sz w:val="19"/>
                <w:szCs w:val="19"/>
                <w:rtl/>
              </w:rPr>
            </w:pPr>
          </w:p>
        </w:tc>
        <w:tc>
          <w:tcPr>
            <w:tcW w:w="999" w:type="dxa"/>
            <w:vMerge/>
          </w:tcPr>
          <w:p w:rsidR="00230B10" w:rsidRPr="00230B10" w:rsidP="00230B10">
            <w:pPr>
              <w:spacing w:line="288" w:lineRule="auto"/>
              <w:jc w:val="center"/>
              <w:rPr>
                <w:rFonts w:ascii="Tahoma" w:eastAsia="Calibri" w:hAnsi="Tahoma" w:cs="Tahoma"/>
                <w:b/>
                <w:bCs/>
                <w:sz w:val="19"/>
                <w:szCs w:val="19"/>
                <w:rtl/>
              </w:rPr>
            </w:pPr>
          </w:p>
        </w:tc>
        <w:tc>
          <w:tcPr>
            <w:tcW w:w="2877" w:type="dxa"/>
            <w:vMerge/>
          </w:tcPr>
          <w:p w:rsidR="00230B10" w:rsidRPr="00230B10" w:rsidP="00230B10">
            <w:pPr>
              <w:spacing w:line="288" w:lineRule="auto"/>
              <w:jc w:val="center"/>
              <w:rPr>
                <w:rFonts w:ascii="Tahoma" w:eastAsia="Calibri" w:hAnsi="Tahoma" w:cs="Tahoma"/>
                <w:b/>
                <w:bCs/>
                <w:sz w:val="19"/>
                <w:szCs w:val="19"/>
                <w:rtl/>
              </w:rPr>
            </w:pPr>
          </w:p>
        </w:tc>
        <w:tc>
          <w:tcPr>
            <w:tcW w:w="971" w:type="dxa"/>
            <w:shd w:val="clear" w:color="auto" w:fill="FF0000"/>
            <w:vAlign w:val="center"/>
          </w:tcPr>
          <w:p w:rsidR="00230B10" w:rsidRPr="00230B10" w:rsidP="00230B10">
            <w:pPr>
              <w:spacing w:line="288" w:lineRule="auto"/>
              <w:jc w:val="center"/>
              <w:rPr>
                <w:rFonts w:ascii="Tahoma" w:eastAsia="Calibri" w:hAnsi="Tahoma" w:cs="Tahoma"/>
                <w:b/>
                <w:bCs/>
                <w:sz w:val="19"/>
                <w:szCs w:val="19"/>
                <w:rtl/>
              </w:rPr>
            </w:pPr>
            <w:r w:rsidRPr="00230B10">
              <w:rPr>
                <w:rFonts w:ascii="Tahoma" w:eastAsia="Calibri" w:hAnsi="Tahoma" w:cs="Tahoma"/>
                <w:b/>
                <w:bCs/>
                <w:sz w:val="19"/>
                <w:szCs w:val="19"/>
                <w:rtl/>
              </w:rPr>
              <w:t>לא תוקן</w:t>
            </w:r>
          </w:p>
        </w:tc>
        <w:tc>
          <w:tcPr>
            <w:tcW w:w="972" w:type="dxa"/>
            <w:shd w:val="clear" w:color="auto" w:fill="FFC000"/>
            <w:vAlign w:val="center"/>
          </w:tcPr>
          <w:p w:rsidR="00230B10" w:rsidRPr="00230B10" w:rsidP="00230B10">
            <w:pPr>
              <w:spacing w:line="288" w:lineRule="auto"/>
              <w:jc w:val="center"/>
              <w:rPr>
                <w:rFonts w:ascii="Tahoma" w:eastAsia="Calibri" w:hAnsi="Tahoma" w:cs="Tahoma"/>
                <w:b/>
                <w:bCs/>
                <w:sz w:val="19"/>
                <w:szCs w:val="19"/>
                <w:rtl/>
              </w:rPr>
            </w:pPr>
            <w:r w:rsidRPr="00230B10">
              <w:rPr>
                <w:rFonts w:ascii="Tahoma" w:eastAsia="Calibri" w:hAnsi="Tahoma" w:cs="Tahoma"/>
                <w:b/>
                <w:bCs/>
                <w:sz w:val="19"/>
                <w:szCs w:val="19"/>
                <w:rtl/>
              </w:rPr>
              <w:t>תוקן במידה מועטה</w:t>
            </w:r>
          </w:p>
        </w:tc>
        <w:tc>
          <w:tcPr>
            <w:tcW w:w="971" w:type="dxa"/>
            <w:shd w:val="clear" w:color="auto" w:fill="FFFF00"/>
            <w:vAlign w:val="center"/>
          </w:tcPr>
          <w:p w:rsidR="00230B10" w:rsidRPr="00230B10" w:rsidP="00230B10">
            <w:pPr>
              <w:spacing w:line="288" w:lineRule="auto"/>
              <w:jc w:val="center"/>
              <w:rPr>
                <w:rFonts w:ascii="Tahoma" w:eastAsia="Calibri" w:hAnsi="Tahoma" w:cs="Tahoma"/>
                <w:b/>
                <w:bCs/>
                <w:sz w:val="19"/>
                <w:szCs w:val="19"/>
                <w:rtl/>
              </w:rPr>
            </w:pPr>
            <w:r w:rsidRPr="00230B10">
              <w:rPr>
                <w:rFonts w:ascii="Tahoma" w:eastAsia="Calibri" w:hAnsi="Tahoma" w:cs="Tahoma"/>
                <w:b/>
                <w:bCs/>
                <w:sz w:val="19"/>
                <w:szCs w:val="19"/>
                <w:rtl/>
              </w:rPr>
              <w:t>תוקן במידה רבה</w:t>
            </w:r>
          </w:p>
        </w:tc>
        <w:tc>
          <w:tcPr>
            <w:tcW w:w="972" w:type="dxa"/>
            <w:shd w:val="clear" w:color="auto" w:fill="00B050"/>
            <w:vAlign w:val="center"/>
          </w:tcPr>
          <w:p w:rsidR="00230B10" w:rsidRPr="00230B10" w:rsidP="00230B10">
            <w:pPr>
              <w:spacing w:line="288" w:lineRule="auto"/>
              <w:jc w:val="center"/>
              <w:rPr>
                <w:rFonts w:ascii="Tahoma" w:eastAsia="Calibri" w:hAnsi="Tahoma" w:cs="Tahoma"/>
                <w:b/>
                <w:bCs/>
                <w:sz w:val="19"/>
                <w:szCs w:val="19"/>
                <w:rtl/>
              </w:rPr>
            </w:pPr>
            <w:r w:rsidRPr="00230B10">
              <w:rPr>
                <w:rFonts w:ascii="Tahoma" w:eastAsia="Calibri" w:hAnsi="Tahoma" w:cs="Tahoma"/>
                <w:b/>
                <w:bCs/>
                <w:sz w:val="19"/>
                <w:szCs w:val="19"/>
                <w:rtl/>
              </w:rPr>
              <w:t>תוקן באופן מלא</w:t>
            </w:r>
          </w:p>
        </w:tc>
      </w:tr>
      <w:tr w:rsidTr="00F65329">
        <w:tblPrEx>
          <w:tblW w:w="9946" w:type="dxa"/>
          <w:tblLook w:val="04A0"/>
        </w:tblPrEx>
        <w:trPr>
          <w:trHeight w:val="1036"/>
        </w:trPr>
        <w:tc>
          <w:tcPr>
            <w:tcW w:w="2184" w:type="dxa"/>
            <w:vAlign w:val="center"/>
          </w:tcPr>
          <w:p w:rsidR="00230B10" w:rsidRPr="00230B10" w:rsidP="00230B10">
            <w:pPr>
              <w:spacing w:line="240" w:lineRule="auto"/>
              <w:jc w:val="left"/>
              <w:rPr>
                <w:rFonts w:ascii="Tahoma" w:eastAsia="Calibri" w:hAnsi="Tahoma" w:cs="Tahoma"/>
                <w:sz w:val="18"/>
                <w:szCs w:val="18"/>
                <w:rtl/>
              </w:rPr>
            </w:pPr>
            <w:r w:rsidRPr="00230B10">
              <w:rPr>
                <w:rFonts w:ascii="Tahoma" w:eastAsia="Calibri" w:hAnsi="Tahoma" w:cs="Tahoma"/>
                <w:b/>
                <w:bCs/>
                <w:sz w:val="18"/>
                <w:szCs w:val="18"/>
                <w:rtl/>
              </w:rPr>
              <w:t>הצלבת נתונים עם נתוני המוסד לביטוח לאומי</w:t>
            </w:r>
          </w:p>
        </w:tc>
        <w:tc>
          <w:tcPr>
            <w:tcW w:w="999" w:type="dxa"/>
            <w:vAlign w:val="center"/>
          </w:tcPr>
          <w:p w:rsidR="00230B10" w:rsidRPr="00230B10" w:rsidP="00230B10">
            <w:pPr>
              <w:spacing w:line="240" w:lineRule="auto"/>
              <w:jc w:val="center"/>
              <w:rPr>
                <w:rFonts w:ascii="Tahoma" w:eastAsia="Calibri" w:hAnsi="Tahoma" w:cs="Tahoma"/>
                <w:sz w:val="18"/>
                <w:szCs w:val="18"/>
                <w:rtl/>
              </w:rPr>
            </w:pPr>
            <w:r w:rsidRPr="00230B10">
              <w:rPr>
                <w:rFonts w:ascii="Tahoma" w:eastAsia="Calibri" w:hAnsi="Tahoma" w:cs="Tahoma"/>
                <w:sz w:val="18"/>
                <w:szCs w:val="18"/>
                <w:rtl/>
              </w:rPr>
              <w:t>מינהלת הגמלאות</w:t>
            </w:r>
          </w:p>
        </w:tc>
        <w:tc>
          <w:tcPr>
            <w:tcW w:w="2877" w:type="dxa"/>
            <w:vAlign w:val="center"/>
          </w:tcPr>
          <w:p w:rsidR="00230B10" w:rsidRPr="00230B10" w:rsidP="00230B10">
            <w:pPr>
              <w:spacing w:line="240" w:lineRule="auto"/>
              <w:jc w:val="left"/>
              <w:rPr>
                <w:rFonts w:ascii="Tahoma" w:eastAsia="Calibri" w:hAnsi="Tahoma" w:cs="Tahoma"/>
                <w:sz w:val="18"/>
                <w:szCs w:val="18"/>
                <w:rtl/>
              </w:rPr>
            </w:pPr>
            <w:r w:rsidRPr="00230B10">
              <w:rPr>
                <w:rFonts w:ascii="Tahoma" w:eastAsia="Calibri" w:hAnsi="Tahoma" w:cs="Tahoma"/>
                <w:sz w:val="18"/>
                <w:szCs w:val="18"/>
                <w:rtl/>
              </w:rPr>
              <w:t>לא נבחנו נתוני הכנסה חייבת ולא נערכה בדיקת הכנסות נוספות אל מול נתוני ביטוח לאומי</w:t>
            </w:r>
            <w:r w:rsidRPr="00230B10">
              <w:rPr>
                <w:rFonts w:ascii="Tahoma" w:eastAsia="Calibri" w:hAnsi="Tahoma" w:cs="Tahoma" w:hint="cs"/>
                <w:sz w:val="18"/>
                <w:szCs w:val="18"/>
                <w:rtl/>
              </w:rPr>
              <w:t>.</w:t>
            </w:r>
          </w:p>
        </w:tc>
        <w:tc>
          <w:tcPr>
            <w:tcW w:w="971" w:type="dxa"/>
          </w:tcPr>
          <w:p w:rsidR="00230B10" w:rsidRPr="00230B10" w:rsidP="00230B10">
            <w:pPr>
              <w:spacing w:line="288" w:lineRule="auto"/>
              <w:rPr>
                <w:rFonts w:ascii="Tahoma" w:eastAsia="Calibri" w:hAnsi="Tahoma" w:cs="Tahoma"/>
                <w:noProof/>
                <w:sz w:val="19"/>
                <w:szCs w:val="19"/>
                <w:rtl/>
              </w:rPr>
            </w:pPr>
          </w:p>
        </w:tc>
        <w:tc>
          <w:tcPr>
            <w:tcW w:w="972" w:type="dxa"/>
          </w:tcPr>
          <w:p w:rsidR="00230B10" w:rsidRPr="00230B10" w:rsidP="00230B10">
            <w:pPr>
              <w:spacing w:line="288" w:lineRule="auto"/>
              <w:rPr>
                <w:rFonts w:ascii="Tahoma" w:eastAsia="Calibri" w:hAnsi="Tahoma" w:cs="Tahoma"/>
                <w:sz w:val="19"/>
                <w:szCs w:val="19"/>
                <w:rtl/>
              </w:rPr>
            </w:pPr>
          </w:p>
        </w:tc>
        <w:tc>
          <w:tcPr>
            <w:tcW w:w="971" w:type="dxa"/>
          </w:tcPr>
          <w:p w:rsidR="00230B10" w:rsidRPr="00230B10" w:rsidP="00230B10">
            <w:pPr>
              <w:spacing w:line="288" w:lineRule="auto"/>
              <w:rPr>
                <w:rFonts w:ascii="Tahoma" w:eastAsia="Calibri" w:hAnsi="Tahoma" w:cs="Tahoma"/>
                <w:sz w:val="19"/>
                <w:szCs w:val="19"/>
                <w:rtl/>
              </w:rPr>
            </w:pPr>
          </w:p>
        </w:tc>
        <w:tc>
          <w:tcPr>
            <w:tcW w:w="972" w:type="dxa"/>
          </w:tcPr>
          <w:p w:rsidR="00230B10" w:rsidRPr="00230B10" w:rsidP="00230B10">
            <w:pPr>
              <w:spacing w:line="288" w:lineRule="auto"/>
              <w:rPr>
                <w:rFonts w:ascii="Tahoma" w:eastAsia="Calibri" w:hAnsi="Tahoma" w:cs="Tahoma"/>
                <w:sz w:val="19"/>
                <w:szCs w:val="19"/>
                <w:rtl/>
              </w:rPr>
            </w:pPr>
          </w:p>
        </w:tc>
      </w:tr>
      <w:tr w:rsidTr="00F65329">
        <w:tblPrEx>
          <w:tblW w:w="9946" w:type="dxa"/>
          <w:tblLook w:val="04A0"/>
        </w:tblPrEx>
        <w:trPr>
          <w:trHeight w:val="1036"/>
        </w:trPr>
        <w:tc>
          <w:tcPr>
            <w:tcW w:w="2184" w:type="dxa"/>
            <w:vAlign w:val="center"/>
          </w:tcPr>
          <w:p w:rsidR="00230B10" w:rsidRPr="00230B10" w:rsidP="00230B10">
            <w:pPr>
              <w:spacing w:line="240" w:lineRule="auto"/>
              <w:jc w:val="left"/>
              <w:rPr>
                <w:rFonts w:ascii="Tahoma" w:eastAsia="Calibri" w:hAnsi="Tahoma" w:cs="Tahoma"/>
                <w:sz w:val="18"/>
                <w:szCs w:val="18"/>
                <w:rtl/>
              </w:rPr>
            </w:pPr>
            <w:r w:rsidRPr="00230B10">
              <w:rPr>
                <w:rFonts w:ascii="Tahoma" w:eastAsia="Calibri" w:hAnsi="Tahoma" w:cs="Tahoma"/>
                <w:b/>
                <w:bCs/>
                <w:sz w:val="18"/>
                <w:szCs w:val="18"/>
                <w:rtl/>
              </w:rPr>
              <w:t>יישום סעיף 32(ה)</w:t>
            </w:r>
          </w:p>
        </w:tc>
        <w:tc>
          <w:tcPr>
            <w:tcW w:w="999" w:type="dxa"/>
            <w:vAlign w:val="center"/>
          </w:tcPr>
          <w:p w:rsidR="00230B10" w:rsidRPr="00230B10" w:rsidP="00230B10">
            <w:pPr>
              <w:spacing w:line="240" w:lineRule="auto"/>
              <w:jc w:val="center"/>
              <w:rPr>
                <w:rFonts w:ascii="Tahoma" w:eastAsia="Calibri" w:hAnsi="Tahoma" w:cs="Tahoma"/>
                <w:sz w:val="18"/>
                <w:szCs w:val="18"/>
                <w:rtl/>
              </w:rPr>
            </w:pPr>
            <w:r w:rsidRPr="00230B10">
              <w:rPr>
                <w:rFonts w:ascii="Tahoma" w:eastAsia="Calibri" w:hAnsi="Tahoma" w:cs="Tahoma"/>
                <w:sz w:val="18"/>
                <w:szCs w:val="18"/>
                <w:rtl/>
              </w:rPr>
              <w:t>מינהלת הגמלאות</w:t>
            </w:r>
          </w:p>
        </w:tc>
        <w:tc>
          <w:tcPr>
            <w:tcW w:w="2877" w:type="dxa"/>
            <w:vAlign w:val="center"/>
          </w:tcPr>
          <w:p w:rsidR="00230B10" w:rsidRPr="00230B10" w:rsidP="00230B10">
            <w:pPr>
              <w:spacing w:line="240" w:lineRule="auto"/>
              <w:jc w:val="left"/>
              <w:rPr>
                <w:rFonts w:ascii="Tahoma" w:eastAsia="Calibri" w:hAnsi="Tahoma" w:cs="Tahoma"/>
                <w:sz w:val="18"/>
                <w:szCs w:val="18"/>
                <w:rtl/>
              </w:rPr>
            </w:pPr>
            <w:r w:rsidRPr="00230B10">
              <w:rPr>
                <w:rFonts w:ascii="Tahoma" w:eastAsia="Calibri" w:hAnsi="Tahoma" w:cs="Tahoma"/>
                <w:sz w:val="18"/>
                <w:szCs w:val="18"/>
                <w:rtl/>
              </w:rPr>
              <w:t>לא יצאה הנחיה סדורה לכלל היבטי יישום הסעיף</w:t>
            </w:r>
            <w:r w:rsidRPr="00230B10">
              <w:rPr>
                <w:rFonts w:ascii="Tahoma" w:eastAsia="Calibri" w:hAnsi="Tahoma" w:cs="Tahoma" w:hint="cs"/>
                <w:sz w:val="18"/>
                <w:szCs w:val="18"/>
                <w:rtl/>
              </w:rPr>
              <w:t>.</w:t>
            </w:r>
          </w:p>
        </w:tc>
        <w:tc>
          <w:tcPr>
            <w:tcW w:w="971" w:type="dxa"/>
          </w:tcPr>
          <w:p w:rsidR="00230B10" w:rsidRPr="00230B10" w:rsidP="00230B10">
            <w:pPr>
              <w:spacing w:line="288" w:lineRule="auto"/>
              <w:jc w:val="center"/>
              <w:rPr>
                <w:rFonts w:ascii="Tahoma" w:eastAsia="Calibri" w:hAnsi="Tahoma" w:cs="Tahoma"/>
              </w:rPr>
            </w:pPr>
            <w:r w:rsidRPr="00230B10">
              <w:rPr>
                <w:rFonts w:ascii="Tahoma" w:eastAsia="Calibri" w:hAnsi="Tahoma" w:cs="Tahoma"/>
                <w:noProof/>
                <w:sz w:val="19"/>
                <w:szCs w:val="19"/>
                <w:rtl/>
              </w:rPr>
              <mc:AlternateContent>
                <mc:Choice Requires="wps">
                  <w:drawing>
                    <wp:anchor distT="0" distB="0" distL="114300" distR="114300" simplePos="0" relativeHeight="251674624" behindDoc="0" locked="0" layoutInCell="1" allowOverlap="1">
                      <wp:simplePos x="0" y="0"/>
                      <wp:positionH relativeFrom="column">
                        <wp:posOffset>-1281430</wp:posOffset>
                      </wp:positionH>
                      <wp:positionV relativeFrom="paragraph">
                        <wp:posOffset>168910</wp:posOffset>
                      </wp:positionV>
                      <wp:extent cx="1838325" cy="295275"/>
                      <wp:effectExtent l="0" t="0" r="28575" b="28575"/>
                      <wp:wrapNone/>
                      <wp:docPr id="46"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230B10" w:rsidP="00230B10">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 o:spid="_x0000_s1025" type="#_x0000_t66" style="width:144.75pt;height:23.25pt;margin-top:13.3pt;margin-left:-100.9pt;mso-height-percent:0;mso-height-relative:margin;mso-width-percent:0;mso-width-relative:margin;mso-wrap-distance-bottom:0;mso-wrap-distance-left:9pt;mso-wrap-distance-right:9pt;mso-wrap-distance-top:0;mso-wrap-style:square;position:absolute;visibility:visible;v-text-anchor:middle;z-index:251675648" adj="1735" fillcolor="yellow" strokecolor="black" strokeweight="0.25pt">
                      <v:textbox>
                        <w:txbxContent>
                          <w:p w:rsidR="00230B10" w:rsidP="00230B10">
                            <w:pPr>
                              <w:jc w:val="center"/>
                            </w:pPr>
                          </w:p>
                        </w:txbxContent>
                      </v:textbox>
                    </v:shape>
                  </w:pict>
                </mc:Fallback>
              </mc:AlternateContent>
            </w:r>
          </w:p>
          <w:p w:rsidR="00230B10" w:rsidRPr="00230B10" w:rsidP="00230B10">
            <w:pPr>
              <w:spacing w:line="288" w:lineRule="auto"/>
              <w:rPr>
                <w:rFonts w:ascii="Tahoma" w:eastAsia="Calibri" w:hAnsi="Tahoma" w:cs="Tahoma"/>
                <w:noProof/>
                <w:sz w:val="19"/>
                <w:szCs w:val="19"/>
                <w:rtl/>
              </w:rPr>
            </w:pPr>
          </w:p>
        </w:tc>
        <w:tc>
          <w:tcPr>
            <w:tcW w:w="972" w:type="dxa"/>
          </w:tcPr>
          <w:p w:rsidR="00230B10" w:rsidRPr="00230B10" w:rsidP="00230B10">
            <w:pPr>
              <w:spacing w:line="288" w:lineRule="auto"/>
              <w:rPr>
                <w:rFonts w:ascii="Tahoma" w:eastAsia="Calibri" w:hAnsi="Tahoma" w:cs="Tahoma"/>
                <w:sz w:val="19"/>
                <w:szCs w:val="19"/>
                <w:rtl/>
              </w:rPr>
            </w:pPr>
          </w:p>
        </w:tc>
        <w:tc>
          <w:tcPr>
            <w:tcW w:w="971" w:type="dxa"/>
          </w:tcPr>
          <w:p w:rsidR="00230B10" w:rsidRPr="00230B10" w:rsidP="00230B10">
            <w:pPr>
              <w:spacing w:line="288" w:lineRule="auto"/>
              <w:rPr>
                <w:rFonts w:ascii="Tahoma" w:eastAsia="Calibri" w:hAnsi="Tahoma" w:cs="Tahoma"/>
                <w:noProof/>
                <w:sz w:val="19"/>
                <w:szCs w:val="19"/>
                <w:rtl/>
              </w:rPr>
            </w:pPr>
          </w:p>
        </w:tc>
        <w:tc>
          <w:tcPr>
            <w:tcW w:w="972" w:type="dxa"/>
          </w:tcPr>
          <w:p w:rsidR="00230B10" w:rsidRPr="00230B10" w:rsidP="00230B10">
            <w:pPr>
              <w:spacing w:line="288" w:lineRule="auto"/>
              <w:rPr>
                <w:rFonts w:ascii="Tahoma" w:eastAsia="Calibri" w:hAnsi="Tahoma" w:cs="Tahoma"/>
                <w:sz w:val="19"/>
                <w:szCs w:val="19"/>
                <w:rtl/>
              </w:rPr>
            </w:pPr>
          </w:p>
        </w:tc>
      </w:tr>
      <w:tr w:rsidTr="00F65329">
        <w:tblPrEx>
          <w:tblW w:w="9946" w:type="dxa"/>
          <w:tblLook w:val="04A0"/>
        </w:tblPrEx>
        <w:trPr>
          <w:trHeight w:val="1036"/>
        </w:trPr>
        <w:tc>
          <w:tcPr>
            <w:tcW w:w="2184" w:type="dxa"/>
            <w:vAlign w:val="center"/>
          </w:tcPr>
          <w:p w:rsidR="00230B10" w:rsidRPr="00230B10" w:rsidP="00230B10">
            <w:pPr>
              <w:spacing w:line="240" w:lineRule="auto"/>
              <w:jc w:val="left"/>
              <w:rPr>
                <w:rFonts w:ascii="Tahoma" w:eastAsia="Calibri" w:hAnsi="Tahoma" w:cs="Tahoma"/>
                <w:sz w:val="18"/>
                <w:szCs w:val="18"/>
                <w:rtl/>
              </w:rPr>
            </w:pPr>
            <w:r w:rsidRPr="00230B10">
              <w:rPr>
                <w:rFonts w:ascii="Tahoma" w:eastAsia="Calibri" w:hAnsi="Tahoma" w:cs="Tahoma"/>
                <w:b/>
                <w:bCs/>
                <w:sz w:val="18"/>
                <w:szCs w:val="18"/>
                <w:rtl/>
              </w:rPr>
              <w:t>יישום תקנות מס הכנסה - ניכוי מס</w:t>
            </w:r>
          </w:p>
        </w:tc>
        <w:tc>
          <w:tcPr>
            <w:tcW w:w="999" w:type="dxa"/>
            <w:vAlign w:val="center"/>
          </w:tcPr>
          <w:p w:rsidR="00230B10" w:rsidRPr="00230B10" w:rsidP="00230B10">
            <w:pPr>
              <w:spacing w:line="240" w:lineRule="auto"/>
              <w:jc w:val="center"/>
              <w:rPr>
                <w:rFonts w:ascii="Tahoma" w:eastAsia="Calibri" w:hAnsi="Tahoma" w:cs="Tahoma"/>
                <w:sz w:val="18"/>
                <w:szCs w:val="18"/>
                <w:rtl/>
              </w:rPr>
            </w:pPr>
            <w:r w:rsidRPr="00230B10">
              <w:rPr>
                <w:rFonts w:ascii="Tahoma" w:eastAsia="Calibri" w:hAnsi="Tahoma" w:cs="Tahoma"/>
                <w:sz w:val="18"/>
                <w:szCs w:val="18"/>
                <w:rtl/>
              </w:rPr>
              <w:t>מינהלת הגמלאות</w:t>
            </w:r>
          </w:p>
        </w:tc>
        <w:tc>
          <w:tcPr>
            <w:tcW w:w="2877" w:type="dxa"/>
            <w:vAlign w:val="center"/>
          </w:tcPr>
          <w:p w:rsidR="00230B10" w:rsidRPr="00230B10" w:rsidP="00230B10">
            <w:pPr>
              <w:spacing w:line="240" w:lineRule="auto"/>
              <w:jc w:val="left"/>
              <w:rPr>
                <w:rFonts w:ascii="Tahoma" w:eastAsia="Calibri" w:hAnsi="Tahoma" w:cs="Tahoma"/>
                <w:sz w:val="18"/>
                <w:szCs w:val="18"/>
                <w:rtl/>
              </w:rPr>
            </w:pPr>
            <w:r w:rsidRPr="00230B10">
              <w:rPr>
                <w:rFonts w:ascii="Tahoma" w:eastAsia="Calibri" w:hAnsi="Tahoma" w:cs="Tahoma"/>
                <w:sz w:val="18"/>
                <w:szCs w:val="18"/>
                <w:rtl/>
              </w:rPr>
              <w:t>לא נוכה מס מרבי לגמלאים שלא הגישו טופס 101</w:t>
            </w:r>
            <w:r w:rsidRPr="00230B10">
              <w:rPr>
                <w:rFonts w:ascii="Tahoma" w:eastAsia="Calibri" w:hAnsi="Tahoma" w:cs="Tahoma" w:hint="cs"/>
                <w:sz w:val="18"/>
                <w:szCs w:val="18"/>
                <w:rtl/>
              </w:rPr>
              <w:t>.</w:t>
            </w:r>
          </w:p>
        </w:tc>
        <w:tc>
          <w:tcPr>
            <w:tcW w:w="971" w:type="dxa"/>
          </w:tcPr>
          <w:p w:rsidR="00230B10" w:rsidRPr="00230B10" w:rsidP="00230B10">
            <w:pPr>
              <w:spacing w:line="288" w:lineRule="auto"/>
              <w:rPr>
                <w:rFonts w:ascii="Tahoma" w:eastAsia="Calibri" w:hAnsi="Tahoma" w:cs="Tahoma"/>
                <w:noProof/>
                <w:sz w:val="19"/>
                <w:szCs w:val="19"/>
                <w:rtl/>
              </w:rPr>
            </w:pPr>
            <w:r w:rsidRPr="00230B10">
              <w:rPr>
                <w:rFonts w:ascii="Tahoma" w:eastAsia="Calibri" w:hAnsi="Tahoma" w:cs="Tahoma"/>
                <w:noProof/>
                <w:sz w:val="19"/>
                <w:szCs w:val="19"/>
                <w:rtl/>
              </w:rPr>
              <mc:AlternateContent>
                <mc:Choice Requires="wps">
                  <w:drawing>
                    <wp:anchor distT="0" distB="0" distL="114300" distR="114300" simplePos="0" relativeHeight="251662336" behindDoc="0" locked="0" layoutInCell="1" allowOverlap="1">
                      <wp:simplePos x="0" y="0"/>
                      <wp:positionH relativeFrom="column">
                        <wp:posOffset>-658495</wp:posOffset>
                      </wp:positionH>
                      <wp:positionV relativeFrom="paragraph">
                        <wp:posOffset>216535</wp:posOffset>
                      </wp:positionV>
                      <wp:extent cx="1209675" cy="295275"/>
                      <wp:effectExtent l="0" t="0" r="28575" b="28575"/>
                      <wp:wrapNone/>
                      <wp:docPr id="23"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230B10" w:rsidP="00230B10">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2" o:spid="_x0000_s1026" type="#_x0000_t66" style="width:95.25pt;height:23.25pt;margin-top:17.05pt;margin-left:-51.85pt;mso-height-percent:0;mso-height-relative:margin;mso-width-percent:0;mso-width-relative:margin;mso-wrap-distance-bottom:0;mso-wrap-distance-left:9pt;mso-wrap-distance-right:9pt;mso-wrap-distance-top:0;mso-wrap-style:square;position:absolute;visibility:visible;v-text-anchor:middle;z-index:251663360" adj="2636" fillcolor="#ffc000" strokecolor="black" strokeweight="0.25pt">
                      <v:textbox>
                        <w:txbxContent>
                          <w:p w:rsidR="00230B10" w:rsidP="00230B10">
                            <w:pPr>
                              <w:jc w:val="center"/>
                            </w:pPr>
                          </w:p>
                        </w:txbxContent>
                      </v:textbox>
                    </v:shape>
                  </w:pict>
                </mc:Fallback>
              </mc:AlternateContent>
            </w:r>
          </w:p>
        </w:tc>
        <w:tc>
          <w:tcPr>
            <w:tcW w:w="972" w:type="dxa"/>
          </w:tcPr>
          <w:p w:rsidR="00230B10" w:rsidRPr="00230B10" w:rsidP="00230B10">
            <w:pPr>
              <w:spacing w:line="288" w:lineRule="auto"/>
              <w:rPr>
                <w:rFonts w:ascii="Tahoma" w:eastAsia="Calibri" w:hAnsi="Tahoma" w:cs="Tahoma"/>
                <w:sz w:val="19"/>
                <w:szCs w:val="19"/>
                <w:rtl/>
              </w:rPr>
            </w:pPr>
          </w:p>
        </w:tc>
        <w:tc>
          <w:tcPr>
            <w:tcW w:w="971" w:type="dxa"/>
          </w:tcPr>
          <w:p w:rsidR="00230B10" w:rsidRPr="00230B10" w:rsidP="00230B10">
            <w:pPr>
              <w:spacing w:line="288" w:lineRule="auto"/>
              <w:rPr>
                <w:rFonts w:ascii="Tahoma" w:eastAsia="Calibri" w:hAnsi="Tahoma" w:cs="Tahoma"/>
                <w:sz w:val="19"/>
                <w:szCs w:val="19"/>
                <w:rtl/>
              </w:rPr>
            </w:pPr>
          </w:p>
        </w:tc>
        <w:tc>
          <w:tcPr>
            <w:tcW w:w="972" w:type="dxa"/>
          </w:tcPr>
          <w:p w:rsidR="00230B10" w:rsidRPr="00230B10" w:rsidP="00230B10">
            <w:pPr>
              <w:spacing w:line="288" w:lineRule="auto"/>
              <w:rPr>
                <w:rFonts w:ascii="Tahoma" w:eastAsia="Calibri" w:hAnsi="Tahoma" w:cs="Tahoma"/>
                <w:sz w:val="19"/>
                <w:szCs w:val="19"/>
                <w:rtl/>
              </w:rPr>
            </w:pPr>
          </w:p>
        </w:tc>
      </w:tr>
      <w:tr w:rsidTr="00F65329">
        <w:tblPrEx>
          <w:tblW w:w="9946" w:type="dxa"/>
          <w:tblLook w:val="04A0"/>
        </w:tblPrEx>
        <w:trPr>
          <w:trHeight w:val="1036"/>
        </w:trPr>
        <w:tc>
          <w:tcPr>
            <w:tcW w:w="2184" w:type="dxa"/>
            <w:vAlign w:val="center"/>
          </w:tcPr>
          <w:p w:rsidR="00230B10" w:rsidRPr="00230B10" w:rsidP="00230B10">
            <w:pPr>
              <w:spacing w:line="240" w:lineRule="auto"/>
              <w:jc w:val="left"/>
              <w:rPr>
                <w:rFonts w:ascii="Tahoma" w:eastAsia="Calibri" w:hAnsi="Tahoma" w:cs="Tahoma"/>
                <w:sz w:val="18"/>
                <w:szCs w:val="18"/>
                <w:rtl/>
              </w:rPr>
            </w:pPr>
            <w:r w:rsidRPr="00230B10">
              <w:rPr>
                <w:rFonts w:ascii="Tahoma" w:eastAsia="Calibri" w:hAnsi="Tahoma" w:cs="Tahoma"/>
                <w:b/>
                <w:bCs/>
                <w:sz w:val="18"/>
                <w:szCs w:val="18"/>
                <w:rtl/>
              </w:rPr>
              <w:t>נשואים המקבלים קצבת שאירים</w:t>
            </w:r>
          </w:p>
        </w:tc>
        <w:tc>
          <w:tcPr>
            <w:tcW w:w="999" w:type="dxa"/>
            <w:vAlign w:val="center"/>
          </w:tcPr>
          <w:p w:rsidR="00230B10" w:rsidRPr="00230B10" w:rsidP="00230B10">
            <w:pPr>
              <w:spacing w:line="240" w:lineRule="auto"/>
              <w:jc w:val="center"/>
              <w:rPr>
                <w:rFonts w:ascii="Tahoma" w:eastAsia="Calibri" w:hAnsi="Tahoma" w:cs="Tahoma"/>
                <w:sz w:val="18"/>
                <w:szCs w:val="18"/>
                <w:rtl/>
              </w:rPr>
            </w:pPr>
            <w:r w:rsidRPr="00230B10">
              <w:rPr>
                <w:rFonts w:ascii="Tahoma" w:eastAsia="Calibri" w:hAnsi="Tahoma" w:cs="Tahoma"/>
                <w:sz w:val="18"/>
                <w:szCs w:val="18"/>
                <w:rtl/>
              </w:rPr>
              <w:t>מינהלת הגמלאות</w:t>
            </w:r>
          </w:p>
        </w:tc>
        <w:tc>
          <w:tcPr>
            <w:tcW w:w="2877" w:type="dxa"/>
            <w:vAlign w:val="center"/>
          </w:tcPr>
          <w:p w:rsidR="00230B10" w:rsidRPr="00230B10" w:rsidP="00230B10">
            <w:pPr>
              <w:spacing w:line="240" w:lineRule="auto"/>
              <w:jc w:val="left"/>
              <w:rPr>
                <w:rFonts w:ascii="Tahoma" w:eastAsia="Calibri" w:hAnsi="Tahoma" w:cs="Tahoma"/>
                <w:sz w:val="18"/>
                <w:szCs w:val="18"/>
                <w:rtl/>
              </w:rPr>
            </w:pPr>
            <w:r w:rsidRPr="00230B10">
              <w:rPr>
                <w:rFonts w:ascii="Tahoma" w:eastAsia="Calibri" w:hAnsi="Tahoma" w:cs="Tahoma"/>
                <w:sz w:val="18"/>
                <w:szCs w:val="18"/>
                <w:rtl/>
              </w:rPr>
              <w:t>שלושה שאירים שנישאו מחדש המשיכו לקבל קצבת שאירים בניגוד להוראות החוק</w:t>
            </w:r>
            <w:r w:rsidRPr="00230B10">
              <w:rPr>
                <w:rFonts w:ascii="Tahoma" w:eastAsia="Calibri" w:hAnsi="Tahoma" w:cs="Tahoma" w:hint="cs"/>
                <w:sz w:val="18"/>
                <w:szCs w:val="18"/>
                <w:rtl/>
              </w:rPr>
              <w:t>.</w:t>
            </w:r>
          </w:p>
        </w:tc>
        <w:tc>
          <w:tcPr>
            <w:tcW w:w="971" w:type="dxa"/>
          </w:tcPr>
          <w:p w:rsidR="00230B10" w:rsidRPr="00230B10" w:rsidP="00230B10">
            <w:pPr>
              <w:spacing w:line="288" w:lineRule="auto"/>
              <w:rPr>
                <w:rFonts w:ascii="Tahoma" w:eastAsia="Calibri" w:hAnsi="Tahoma" w:cs="Tahoma"/>
                <w:sz w:val="19"/>
                <w:szCs w:val="19"/>
                <w:rtl/>
              </w:rPr>
            </w:pPr>
            <w:r w:rsidRPr="00230B10">
              <w:rPr>
                <w:rFonts w:ascii="Tahoma" w:eastAsia="Calibri" w:hAnsi="Tahoma" w:cs="Tahoma"/>
                <w:noProof/>
                <w:sz w:val="19"/>
                <w:szCs w:val="19"/>
                <w:rtl/>
              </w:rPr>
              <mc:AlternateContent>
                <mc:Choice Requires="wps">
                  <w:drawing>
                    <wp:anchor distT="0" distB="0" distL="114300" distR="114300" simplePos="0" relativeHeight="251666432" behindDoc="0" locked="0" layoutInCell="1" allowOverlap="1">
                      <wp:simplePos x="0" y="0"/>
                      <wp:positionH relativeFrom="column">
                        <wp:posOffset>-40005</wp:posOffset>
                      </wp:positionH>
                      <wp:positionV relativeFrom="paragraph">
                        <wp:posOffset>182880</wp:posOffset>
                      </wp:positionV>
                      <wp:extent cx="590550" cy="295275"/>
                      <wp:effectExtent l="0" t="0" r="19050" b="28575"/>
                      <wp:wrapNone/>
                      <wp:docPr id="24"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230B10" w:rsidP="00230B10">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3" o:spid="_x0000_s1027" type="#_x0000_t66" style="width:46.5pt;height:23.25pt;margin-top:14.4pt;margin-left:-3.15pt;mso-height-percent:0;mso-height-relative:margin;mso-width-percent:0;mso-width-relative:margin;mso-wrap-distance-bottom:0;mso-wrap-distance-left:9pt;mso-wrap-distance-right:9pt;mso-wrap-distance-top:0;mso-wrap-style:square;position:absolute;visibility:visible;v-text-anchor:middle;z-index:251667456" fillcolor="red" strokecolor="black" strokeweight="0.25pt">
                      <v:textbox>
                        <w:txbxContent>
                          <w:p w:rsidR="00230B10" w:rsidP="00230B10">
                            <w:pPr>
                              <w:jc w:val="center"/>
                            </w:pPr>
                          </w:p>
                        </w:txbxContent>
                      </v:textbox>
                    </v:shape>
                  </w:pict>
                </mc:Fallback>
              </mc:AlternateContent>
            </w:r>
          </w:p>
        </w:tc>
        <w:tc>
          <w:tcPr>
            <w:tcW w:w="972" w:type="dxa"/>
          </w:tcPr>
          <w:p w:rsidR="00230B10" w:rsidRPr="00230B10" w:rsidP="00230B10">
            <w:pPr>
              <w:spacing w:line="288" w:lineRule="auto"/>
              <w:rPr>
                <w:rFonts w:ascii="Tahoma" w:eastAsia="Calibri" w:hAnsi="Tahoma" w:cs="Tahoma"/>
                <w:sz w:val="19"/>
                <w:szCs w:val="19"/>
                <w:rtl/>
              </w:rPr>
            </w:pPr>
          </w:p>
        </w:tc>
        <w:tc>
          <w:tcPr>
            <w:tcW w:w="971" w:type="dxa"/>
          </w:tcPr>
          <w:p w:rsidR="00230B10" w:rsidRPr="00230B10" w:rsidP="00230B10">
            <w:pPr>
              <w:spacing w:line="288" w:lineRule="auto"/>
              <w:rPr>
                <w:rFonts w:ascii="Tahoma" w:eastAsia="Calibri" w:hAnsi="Tahoma" w:cs="Tahoma"/>
                <w:sz w:val="19"/>
                <w:szCs w:val="19"/>
                <w:rtl/>
              </w:rPr>
            </w:pPr>
          </w:p>
        </w:tc>
        <w:tc>
          <w:tcPr>
            <w:tcW w:w="972" w:type="dxa"/>
          </w:tcPr>
          <w:p w:rsidR="00230B10" w:rsidRPr="00230B10" w:rsidP="00230B10">
            <w:pPr>
              <w:spacing w:line="288" w:lineRule="auto"/>
              <w:rPr>
                <w:rFonts w:ascii="Tahoma" w:eastAsia="Calibri" w:hAnsi="Tahoma" w:cs="Tahoma"/>
                <w:sz w:val="19"/>
                <w:szCs w:val="19"/>
                <w:rtl/>
              </w:rPr>
            </w:pPr>
          </w:p>
        </w:tc>
      </w:tr>
      <w:tr w:rsidTr="00F65329">
        <w:tblPrEx>
          <w:tblW w:w="9946" w:type="dxa"/>
          <w:tblLook w:val="04A0"/>
        </w:tblPrEx>
        <w:trPr>
          <w:trHeight w:val="1036"/>
        </w:trPr>
        <w:tc>
          <w:tcPr>
            <w:tcW w:w="2184" w:type="dxa"/>
            <w:vAlign w:val="center"/>
          </w:tcPr>
          <w:p w:rsidR="00230B10" w:rsidRPr="00230B10" w:rsidP="00230B10">
            <w:pPr>
              <w:spacing w:line="240" w:lineRule="auto"/>
              <w:jc w:val="left"/>
              <w:rPr>
                <w:rFonts w:ascii="Tahoma" w:eastAsia="Calibri" w:hAnsi="Tahoma" w:cs="Tahoma"/>
                <w:b/>
                <w:bCs/>
                <w:sz w:val="18"/>
                <w:szCs w:val="18"/>
                <w:rtl/>
              </w:rPr>
            </w:pPr>
            <w:r w:rsidRPr="00230B10">
              <w:rPr>
                <w:rFonts w:ascii="Tahoma" w:eastAsia="Calibri" w:hAnsi="Tahoma" w:cs="Tahoma"/>
                <w:b/>
                <w:bCs/>
                <w:sz w:val="18"/>
                <w:szCs w:val="18"/>
                <w:rtl/>
              </w:rPr>
              <w:t>תשלומי גמלת שאירים ליתומים שאינם עומדים ברשות עצמם</w:t>
            </w:r>
          </w:p>
        </w:tc>
        <w:tc>
          <w:tcPr>
            <w:tcW w:w="999" w:type="dxa"/>
            <w:vAlign w:val="center"/>
          </w:tcPr>
          <w:p w:rsidR="00230B10" w:rsidRPr="00230B10" w:rsidP="00230B10">
            <w:pPr>
              <w:spacing w:line="240" w:lineRule="auto"/>
              <w:jc w:val="center"/>
              <w:rPr>
                <w:rFonts w:ascii="Tahoma" w:eastAsia="Calibri" w:hAnsi="Tahoma" w:cs="Tahoma"/>
                <w:sz w:val="18"/>
                <w:szCs w:val="18"/>
                <w:rtl/>
              </w:rPr>
            </w:pPr>
            <w:r w:rsidRPr="00230B10">
              <w:rPr>
                <w:rFonts w:ascii="Tahoma" w:eastAsia="Calibri" w:hAnsi="Tahoma" w:cs="Tahoma"/>
                <w:noProof/>
                <w:sz w:val="19"/>
                <w:szCs w:val="19"/>
                <w:rtl/>
              </w:rPr>
              <mc:AlternateContent>
                <mc:Choice Requires="wps">
                  <w:drawing>
                    <wp:anchor distT="0" distB="0" distL="114300" distR="114300" simplePos="0" relativeHeight="251676672" behindDoc="0" locked="0" layoutInCell="1" allowOverlap="1">
                      <wp:simplePos x="0" y="0"/>
                      <wp:positionH relativeFrom="column">
                        <wp:posOffset>-3102610</wp:posOffset>
                      </wp:positionH>
                      <wp:positionV relativeFrom="paragraph">
                        <wp:posOffset>-2665095</wp:posOffset>
                      </wp:positionV>
                      <wp:extent cx="1209675" cy="295275"/>
                      <wp:effectExtent l="0" t="0" r="28575" b="28575"/>
                      <wp:wrapNone/>
                      <wp:docPr id="49"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230B10" w:rsidP="00230B10">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66" style="width:95.25pt;height:23.25pt;margin-top:-209.85pt;margin-left:-244.3pt;mso-height-percent:0;mso-height-relative:margin;mso-width-percent:0;mso-width-relative:margin;mso-wrap-distance-bottom:0;mso-wrap-distance-left:9pt;mso-wrap-distance-right:9pt;mso-wrap-distance-top:0;mso-wrap-style:square;position:absolute;visibility:visible;v-text-anchor:middle;z-index:251677696" adj="2636" fillcolor="#ffc000" strokecolor="black" strokeweight="0.25pt">
                      <v:textbox>
                        <w:txbxContent>
                          <w:p w:rsidR="00230B10" w:rsidP="00230B10">
                            <w:pPr>
                              <w:jc w:val="center"/>
                            </w:pPr>
                          </w:p>
                        </w:txbxContent>
                      </v:textbox>
                    </v:shape>
                  </w:pict>
                </mc:Fallback>
              </mc:AlternateContent>
            </w:r>
            <w:r w:rsidRPr="00230B10">
              <w:rPr>
                <w:rFonts w:ascii="Tahoma" w:eastAsia="Calibri" w:hAnsi="Tahoma" w:cs="Tahoma"/>
                <w:sz w:val="18"/>
                <w:szCs w:val="18"/>
                <w:rtl/>
              </w:rPr>
              <w:t>מינהלת הגמלאות</w:t>
            </w:r>
          </w:p>
        </w:tc>
        <w:tc>
          <w:tcPr>
            <w:tcW w:w="2877" w:type="dxa"/>
            <w:vAlign w:val="center"/>
          </w:tcPr>
          <w:p w:rsidR="00230B10" w:rsidRPr="00230B10" w:rsidP="00230B10">
            <w:pPr>
              <w:spacing w:line="240" w:lineRule="auto"/>
              <w:jc w:val="left"/>
              <w:rPr>
                <w:rFonts w:ascii="Tahoma" w:eastAsia="Calibri" w:hAnsi="Tahoma" w:cs="Tahoma"/>
                <w:sz w:val="18"/>
                <w:szCs w:val="18"/>
                <w:rtl/>
              </w:rPr>
            </w:pPr>
            <w:r w:rsidRPr="00230B10">
              <w:rPr>
                <w:rFonts w:ascii="Tahoma" w:eastAsia="Calibri" w:hAnsi="Tahoma" w:cs="Tahoma"/>
                <w:sz w:val="18"/>
                <w:szCs w:val="18"/>
                <w:rtl/>
              </w:rPr>
              <w:t>נמצאו שאירים יתומים שאינם מוגדרים "יתומים שאינם עומדים ברשות עצמם" הממשיכים לקבל קצבת שאירים, אף על פי שעברו את הגיל המזכה בקצבה</w:t>
            </w:r>
            <w:r w:rsidRPr="00230B10">
              <w:rPr>
                <w:rFonts w:ascii="Tahoma" w:eastAsia="Calibri" w:hAnsi="Tahoma" w:cs="Tahoma" w:hint="cs"/>
                <w:sz w:val="18"/>
                <w:szCs w:val="18"/>
                <w:rtl/>
              </w:rPr>
              <w:t>.</w:t>
            </w:r>
          </w:p>
        </w:tc>
        <w:tc>
          <w:tcPr>
            <w:tcW w:w="971" w:type="dxa"/>
          </w:tcPr>
          <w:p w:rsidR="00230B10" w:rsidRPr="00230B10" w:rsidP="00230B10">
            <w:pPr>
              <w:spacing w:line="288" w:lineRule="auto"/>
              <w:rPr>
                <w:rFonts w:ascii="Tahoma" w:eastAsia="Calibri" w:hAnsi="Tahoma" w:cs="Tahoma"/>
                <w:noProof/>
                <w:sz w:val="19"/>
                <w:szCs w:val="19"/>
                <w:rtl/>
              </w:rPr>
            </w:pPr>
            <w:r w:rsidRPr="00230B10">
              <w:rPr>
                <w:rFonts w:ascii="Tahoma" w:eastAsia="Calibri" w:hAnsi="Tahoma" w:cs="Tahoma"/>
                <w:noProof/>
                <w:sz w:val="19"/>
                <w:szCs w:val="19"/>
                <w:rtl/>
              </w:rPr>
              <mc:AlternateContent>
                <mc:Choice Requires="wps">
                  <w:drawing>
                    <wp:anchor distT="0" distB="0" distL="114300" distR="114300" simplePos="0" relativeHeight="251672576" behindDoc="0" locked="0" layoutInCell="1" allowOverlap="1">
                      <wp:simplePos x="0" y="0"/>
                      <wp:positionH relativeFrom="column">
                        <wp:posOffset>-658495</wp:posOffset>
                      </wp:positionH>
                      <wp:positionV relativeFrom="paragraph">
                        <wp:posOffset>213995</wp:posOffset>
                      </wp:positionV>
                      <wp:extent cx="1209675" cy="295275"/>
                      <wp:effectExtent l="0" t="0" r="28575" b="28575"/>
                      <wp:wrapNone/>
                      <wp:docPr id="45"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230B10" w:rsidP="00230B10">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66" style="width:95.25pt;height:23.25pt;margin-top:16.85pt;margin-left:-51.85pt;mso-height-percent:0;mso-height-relative:margin;mso-width-percent:0;mso-width-relative:margin;mso-wrap-distance-bottom:0;mso-wrap-distance-left:9pt;mso-wrap-distance-right:9pt;mso-wrap-distance-top:0;mso-wrap-style:square;position:absolute;visibility:visible;v-text-anchor:middle;z-index:251673600" adj="2636" fillcolor="#ffc000" strokecolor="black" strokeweight="0.25pt">
                      <v:textbox>
                        <w:txbxContent>
                          <w:p w:rsidR="00230B10" w:rsidP="00230B10">
                            <w:pPr>
                              <w:jc w:val="center"/>
                            </w:pPr>
                          </w:p>
                        </w:txbxContent>
                      </v:textbox>
                    </v:shape>
                  </w:pict>
                </mc:Fallback>
              </mc:AlternateContent>
            </w:r>
          </w:p>
        </w:tc>
        <w:tc>
          <w:tcPr>
            <w:tcW w:w="972" w:type="dxa"/>
          </w:tcPr>
          <w:p w:rsidR="00230B10" w:rsidRPr="00230B10" w:rsidP="00230B10">
            <w:pPr>
              <w:spacing w:line="288" w:lineRule="auto"/>
              <w:rPr>
                <w:rFonts w:ascii="Tahoma" w:eastAsia="Calibri" w:hAnsi="Tahoma" w:cs="Tahoma"/>
                <w:sz w:val="19"/>
                <w:szCs w:val="19"/>
                <w:rtl/>
              </w:rPr>
            </w:pPr>
          </w:p>
        </w:tc>
        <w:tc>
          <w:tcPr>
            <w:tcW w:w="971" w:type="dxa"/>
          </w:tcPr>
          <w:p w:rsidR="00230B10" w:rsidRPr="00230B10" w:rsidP="00230B10">
            <w:pPr>
              <w:spacing w:line="288" w:lineRule="auto"/>
              <w:rPr>
                <w:rFonts w:ascii="Tahoma" w:eastAsia="Calibri" w:hAnsi="Tahoma" w:cs="Tahoma"/>
                <w:sz w:val="19"/>
                <w:szCs w:val="19"/>
                <w:rtl/>
              </w:rPr>
            </w:pPr>
          </w:p>
        </w:tc>
        <w:tc>
          <w:tcPr>
            <w:tcW w:w="972" w:type="dxa"/>
          </w:tcPr>
          <w:p w:rsidR="00230B10" w:rsidRPr="00230B10" w:rsidP="00230B10">
            <w:pPr>
              <w:spacing w:line="288" w:lineRule="auto"/>
              <w:rPr>
                <w:rFonts w:ascii="Tahoma" w:eastAsia="Calibri" w:hAnsi="Tahoma" w:cs="Tahoma"/>
                <w:sz w:val="19"/>
                <w:szCs w:val="19"/>
                <w:rtl/>
              </w:rPr>
            </w:pPr>
          </w:p>
        </w:tc>
      </w:tr>
      <w:tr w:rsidTr="00F65329">
        <w:tblPrEx>
          <w:tblW w:w="9946" w:type="dxa"/>
          <w:tblLook w:val="04A0"/>
        </w:tblPrEx>
        <w:trPr>
          <w:trHeight w:val="1036"/>
        </w:trPr>
        <w:tc>
          <w:tcPr>
            <w:tcW w:w="2184" w:type="dxa"/>
            <w:vAlign w:val="center"/>
          </w:tcPr>
          <w:p w:rsidR="00230B10" w:rsidRPr="00230B10" w:rsidP="00230B10">
            <w:pPr>
              <w:spacing w:line="240" w:lineRule="auto"/>
              <w:jc w:val="left"/>
              <w:rPr>
                <w:rFonts w:ascii="Tahoma" w:eastAsia="Calibri" w:hAnsi="Tahoma" w:cs="Tahoma"/>
                <w:b/>
                <w:bCs/>
                <w:sz w:val="18"/>
                <w:szCs w:val="18"/>
                <w:rtl/>
              </w:rPr>
            </w:pPr>
            <w:r w:rsidRPr="00230B10">
              <w:rPr>
                <w:rFonts w:ascii="Tahoma" w:eastAsia="Calibri" w:hAnsi="Tahoma" w:cs="Tahoma"/>
                <w:b/>
                <w:bCs/>
                <w:sz w:val="18"/>
                <w:szCs w:val="18"/>
                <w:rtl/>
              </w:rPr>
              <w:t>תשלומי גמלת שאירים ליתומים שאינם עומדים ברשות עצמם</w:t>
            </w:r>
          </w:p>
        </w:tc>
        <w:tc>
          <w:tcPr>
            <w:tcW w:w="999" w:type="dxa"/>
            <w:vAlign w:val="center"/>
          </w:tcPr>
          <w:p w:rsidR="00230B10" w:rsidRPr="00230B10" w:rsidP="00230B10">
            <w:pPr>
              <w:spacing w:line="240" w:lineRule="auto"/>
              <w:jc w:val="center"/>
              <w:rPr>
                <w:rFonts w:ascii="Tahoma" w:eastAsia="Calibri" w:hAnsi="Tahoma" w:cs="Tahoma"/>
                <w:sz w:val="18"/>
                <w:szCs w:val="18"/>
                <w:rtl/>
              </w:rPr>
            </w:pPr>
            <w:r w:rsidRPr="00230B10">
              <w:rPr>
                <w:rFonts w:ascii="Tahoma" w:eastAsia="Calibri" w:hAnsi="Tahoma" w:cs="Tahoma"/>
                <w:sz w:val="18"/>
                <w:szCs w:val="18"/>
                <w:rtl/>
              </w:rPr>
              <w:t>מינהלת הגמלאות</w:t>
            </w:r>
          </w:p>
        </w:tc>
        <w:tc>
          <w:tcPr>
            <w:tcW w:w="2877" w:type="dxa"/>
            <w:vAlign w:val="center"/>
          </w:tcPr>
          <w:p w:rsidR="00230B10" w:rsidRPr="00230B10" w:rsidP="00230B10">
            <w:pPr>
              <w:spacing w:line="240" w:lineRule="auto"/>
              <w:jc w:val="left"/>
              <w:rPr>
                <w:rFonts w:ascii="Tahoma" w:eastAsia="Calibri" w:hAnsi="Tahoma" w:cs="Tahoma"/>
                <w:sz w:val="18"/>
                <w:szCs w:val="18"/>
                <w:rtl/>
              </w:rPr>
            </w:pPr>
            <w:r w:rsidRPr="00230B10">
              <w:rPr>
                <w:rFonts w:ascii="Tahoma" w:eastAsia="Calibri" w:hAnsi="Tahoma" w:cs="Tahoma"/>
                <w:sz w:val="18"/>
                <w:szCs w:val="18"/>
                <w:rtl/>
              </w:rPr>
              <w:t>היעדר בחינת הכנסה על פי הנהלים והיעדר תיעוד שלם של אישורי ועדות רפואיות</w:t>
            </w:r>
            <w:r w:rsidRPr="00230B10">
              <w:rPr>
                <w:rFonts w:ascii="Tahoma" w:eastAsia="Calibri" w:hAnsi="Tahoma" w:cs="Tahoma" w:hint="cs"/>
                <w:sz w:val="18"/>
                <w:szCs w:val="18"/>
                <w:rtl/>
              </w:rPr>
              <w:t>.</w:t>
            </w:r>
          </w:p>
        </w:tc>
        <w:tc>
          <w:tcPr>
            <w:tcW w:w="971" w:type="dxa"/>
          </w:tcPr>
          <w:p w:rsidR="00230B10" w:rsidRPr="00230B10" w:rsidP="00230B10">
            <w:pPr>
              <w:spacing w:line="288" w:lineRule="auto"/>
              <w:rPr>
                <w:rFonts w:ascii="Tahoma" w:eastAsia="Calibri" w:hAnsi="Tahoma" w:cs="Tahoma"/>
                <w:sz w:val="19"/>
                <w:szCs w:val="19"/>
                <w:rtl/>
              </w:rPr>
            </w:pPr>
            <w:r w:rsidRPr="00230B10">
              <w:rPr>
                <w:rFonts w:ascii="Tahoma" w:eastAsia="Calibri" w:hAnsi="Tahoma" w:cs="Tahoma"/>
                <w:noProof/>
                <w:sz w:val="19"/>
                <w:szCs w:val="19"/>
                <w:rtl/>
              </w:rPr>
              <mc:AlternateContent>
                <mc:Choice Requires="wps">
                  <w:drawing>
                    <wp:anchor distT="0" distB="0" distL="114300" distR="114300" simplePos="0" relativeHeight="251668480" behindDoc="0" locked="0" layoutInCell="1" allowOverlap="1">
                      <wp:simplePos x="0" y="0"/>
                      <wp:positionH relativeFrom="column">
                        <wp:posOffset>-657225</wp:posOffset>
                      </wp:positionH>
                      <wp:positionV relativeFrom="paragraph">
                        <wp:posOffset>168275</wp:posOffset>
                      </wp:positionV>
                      <wp:extent cx="1209675" cy="295275"/>
                      <wp:effectExtent l="0" t="0" r="28575" b="28575"/>
                      <wp:wrapNone/>
                      <wp:docPr id="25"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230B10" w:rsidP="00230B10">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0" type="#_x0000_t66" style="width:95.25pt;height:23.25pt;margin-top:13.25pt;margin-left:-51.75pt;mso-height-percent:0;mso-height-relative:margin;mso-width-percent:0;mso-width-relative:margin;mso-wrap-distance-bottom:0;mso-wrap-distance-left:9pt;mso-wrap-distance-right:9pt;mso-wrap-distance-top:0;mso-wrap-style:square;position:absolute;visibility:visible;v-text-anchor:middle;z-index:251669504" adj="2636" fillcolor="#ffc000" strokecolor="black" strokeweight="0.25pt">
                      <v:textbox>
                        <w:txbxContent>
                          <w:p w:rsidR="00230B10" w:rsidP="00230B10">
                            <w:pPr>
                              <w:jc w:val="center"/>
                            </w:pPr>
                          </w:p>
                        </w:txbxContent>
                      </v:textbox>
                    </v:shape>
                  </w:pict>
                </mc:Fallback>
              </mc:AlternateContent>
            </w:r>
          </w:p>
        </w:tc>
        <w:tc>
          <w:tcPr>
            <w:tcW w:w="972" w:type="dxa"/>
          </w:tcPr>
          <w:p w:rsidR="00230B10" w:rsidRPr="00230B10" w:rsidP="00230B10">
            <w:pPr>
              <w:spacing w:line="288" w:lineRule="auto"/>
              <w:rPr>
                <w:rFonts w:ascii="Tahoma" w:eastAsia="Calibri" w:hAnsi="Tahoma" w:cs="Tahoma"/>
                <w:sz w:val="19"/>
                <w:szCs w:val="19"/>
                <w:rtl/>
              </w:rPr>
            </w:pPr>
          </w:p>
        </w:tc>
        <w:tc>
          <w:tcPr>
            <w:tcW w:w="971" w:type="dxa"/>
          </w:tcPr>
          <w:p w:rsidR="00230B10" w:rsidRPr="00230B10" w:rsidP="00230B10">
            <w:pPr>
              <w:spacing w:line="288" w:lineRule="auto"/>
              <w:rPr>
                <w:rFonts w:ascii="Tahoma" w:eastAsia="Calibri" w:hAnsi="Tahoma" w:cs="Tahoma"/>
                <w:sz w:val="19"/>
                <w:szCs w:val="19"/>
                <w:rtl/>
              </w:rPr>
            </w:pPr>
          </w:p>
        </w:tc>
        <w:tc>
          <w:tcPr>
            <w:tcW w:w="972" w:type="dxa"/>
          </w:tcPr>
          <w:p w:rsidR="00230B10" w:rsidRPr="00230B10" w:rsidP="00230B10">
            <w:pPr>
              <w:spacing w:line="288" w:lineRule="auto"/>
              <w:rPr>
                <w:rFonts w:ascii="Tahoma" w:eastAsia="Calibri" w:hAnsi="Tahoma" w:cs="Tahoma"/>
                <w:sz w:val="19"/>
                <w:szCs w:val="19"/>
                <w:rtl/>
              </w:rPr>
            </w:pPr>
          </w:p>
        </w:tc>
      </w:tr>
      <w:tr w:rsidTr="00F65329">
        <w:tblPrEx>
          <w:tblW w:w="9946" w:type="dxa"/>
          <w:tblLook w:val="04A0"/>
        </w:tblPrEx>
        <w:trPr>
          <w:trHeight w:val="1036"/>
        </w:trPr>
        <w:tc>
          <w:tcPr>
            <w:tcW w:w="2184" w:type="dxa"/>
            <w:vAlign w:val="center"/>
          </w:tcPr>
          <w:p w:rsidR="00230B10" w:rsidRPr="00230B10" w:rsidP="00230B10">
            <w:pPr>
              <w:spacing w:line="240" w:lineRule="auto"/>
              <w:jc w:val="left"/>
              <w:rPr>
                <w:rFonts w:ascii="Tahoma" w:eastAsia="Calibri" w:hAnsi="Tahoma" w:cs="Tahoma"/>
                <w:b/>
                <w:bCs/>
                <w:sz w:val="18"/>
                <w:szCs w:val="18"/>
                <w:rtl/>
              </w:rPr>
            </w:pPr>
            <w:r w:rsidRPr="00230B10">
              <w:rPr>
                <w:rFonts w:ascii="Tahoma" w:eastAsia="Calibri" w:hAnsi="Tahoma" w:cs="Tahoma"/>
                <w:b/>
                <w:bCs/>
                <w:sz w:val="18"/>
                <w:szCs w:val="18"/>
                <w:rtl/>
              </w:rPr>
              <w:t>שוהים בחו"ל</w:t>
            </w:r>
          </w:p>
        </w:tc>
        <w:tc>
          <w:tcPr>
            <w:tcW w:w="999" w:type="dxa"/>
            <w:vAlign w:val="center"/>
          </w:tcPr>
          <w:p w:rsidR="00230B10" w:rsidRPr="00230B10" w:rsidP="00230B10">
            <w:pPr>
              <w:spacing w:line="240" w:lineRule="auto"/>
              <w:jc w:val="center"/>
              <w:rPr>
                <w:rFonts w:ascii="Tahoma" w:eastAsia="Calibri" w:hAnsi="Tahoma" w:cs="Tahoma"/>
                <w:sz w:val="18"/>
                <w:szCs w:val="18"/>
                <w:rtl/>
              </w:rPr>
            </w:pPr>
            <w:r w:rsidRPr="00230B10">
              <w:rPr>
                <w:rFonts w:ascii="Tahoma" w:eastAsia="Calibri" w:hAnsi="Tahoma" w:cs="Tahoma"/>
                <w:sz w:val="18"/>
                <w:szCs w:val="18"/>
                <w:rtl/>
              </w:rPr>
              <w:t>מינהלת הגמלאות</w:t>
            </w:r>
          </w:p>
        </w:tc>
        <w:tc>
          <w:tcPr>
            <w:tcW w:w="2877" w:type="dxa"/>
            <w:vAlign w:val="center"/>
          </w:tcPr>
          <w:p w:rsidR="00230B10" w:rsidRPr="00230B10" w:rsidP="00230B10">
            <w:pPr>
              <w:spacing w:line="240" w:lineRule="auto"/>
              <w:jc w:val="left"/>
              <w:rPr>
                <w:rFonts w:ascii="Tahoma" w:eastAsia="Calibri" w:hAnsi="Tahoma" w:cs="Tahoma"/>
                <w:sz w:val="18"/>
                <w:szCs w:val="18"/>
                <w:rtl/>
              </w:rPr>
            </w:pPr>
            <w:r w:rsidRPr="00230B10">
              <w:rPr>
                <w:rFonts w:ascii="Tahoma" w:eastAsia="Calibri" w:hAnsi="Tahoma" w:cs="Tahoma"/>
                <w:sz w:val="18"/>
                <w:szCs w:val="18"/>
                <w:rtl/>
              </w:rPr>
              <w:t>149 שוהים בחו"ל קיבלו קצבה על אף שלא היה אישור חיים במערכת</w:t>
            </w:r>
            <w:r w:rsidRPr="00230B10">
              <w:rPr>
                <w:rFonts w:ascii="Tahoma" w:eastAsia="Calibri" w:hAnsi="Tahoma" w:cs="Tahoma" w:hint="cs"/>
                <w:sz w:val="18"/>
                <w:szCs w:val="18"/>
                <w:rtl/>
              </w:rPr>
              <w:t>.</w:t>
            </w:r>
          </w:p>
        </w:tc>
        <w:tc>
          <w:tcPr>
            <w:tcW w:w="971" w:type="dxa"/>
          </w:tcPr>
          <w:p w:rsidR="00230B10" w:rsidRPr="00230B10" w:rsidP="00230B10">
            <w:pPr>
              <w:spacing w:line="288" w:lineRule="auto"/>
              <w:rPr>
                <w:rFonts w:ascii="Tahoma" w:eastAsia="Calibri" w:hAnsi="Tahoma" w:cs="Tahoma"/>
                <w:sz w:val="19"/>
                <w:szCs w:val="19"/>
                <w:rtl/>
              </w:rPr>
            </w:pPr>
            <w:r w:rsidRPr="00230B10">
              <w:rPr>
                <w:rFonts w:ascii="Tahoma" w:eastAsia="Calibri" w:hAnsi="Tahoma" w:cs="Tahoma"/>
                <w:noProof/>
                <w:sz w:val="19"/>
                <w:szCs w:val="19"/>
                <w:rtl/>
              </w:rPr>
              <mc:AlternateContent>
                <mc:Choice Requires="wps">
                  <w:drawing>
                    <wp:anchor distT="0" distB="0" distL="114300" distR="114300" simplePos="0" relativeHeight="251664384" behindDoc="0" locked="0" layoutInCell="1" allowOverlap="1">
                      <wp:simplePos x="0" y="0"/>
                      <wp:positionH relativeFrom="column">
                        <wp:posOffset>-1281430</wp:posOffset>
                      </wp:positionH>
                      <wp:positionV relativeFrom="paragraph">
                        <wp:posOffset>198755</wp:posOffset>
                      </wp:positionV>
                      <wp:extent cx="1838325" cy="295275"/>
                      <wp:effectExtent l="0" t="0" r="28575" b="28575"/>
                      <wp:wrapNone/>
                      <wp:docPr id="31"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230B10" w:rsidP="00230B10">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1" type="#_x0000_t66" style="width:144.75pt;height:23.25pt;margin-top:15.65pt;margin-left:-100.9pt;mso-height-percent:0;mso-height-relative:margin;mso-width-percent:0;mso-width-relative:margin;mso-wrap-distance-bottom:0;mso-wrap-distance-left:9pt;mso-wrap-distance-right:9pt;mso-wrap-distance-top:0;mso-wrap-style:square;position:absolute;visibility:visible;v-text-anchor:middle;z-index:251665408" adj="1735" fillcolor="yellow" strokecolor="black" strokeweight="0.25pt">
                      <v:textbox>
                        <w:txbxContent>
                          <w:p w:rsidR="00230B10" w:rsidP="00230B10">
                            <w:pPr>
                              <w:jc w:val="center"/>
                            </w:pPr>
                          </w:p>
                        </w:txbxContent>
                      </v:textbox>
                    </v:shape>
                  </w:pict>
                </mc:Fallback>
              </mc:AlternateContent>
            </w:r>
          </w:p>
        </w:tc>
        <w:tc>
          <w:tcPr>
            <w:tcW w:w="972" w:type="dxa"/>
          </w:tcPr>
          <w:p w:rsidR="00230B10" w:rsidRPr="00230B10" w:rsidP="00230B10">
            <w:pPr>
              <w:spacing w:line="288" w:lineRule="auto"/>
              <w:rPr>
                <w:rFonts w:ascii="Tahoma" w:eastAsia="Calibri" w:hAnsi="Tahoma" w:cs="Tahoma"/>
                <w:sz w:val="19"/>
                <w:szCs w:val="19"/>
                <w:rtl/>
              </w:rPr>
            </w:pPr>
          </w:p>
        </w:tc>
        <w:tc>
          <w:tcPr>
            <w:tcW w:w="971" w:type="dxa"/>
          </w:tcPr>
          <w:p w:rsidR="00230B10" w:rsidRPr="00230B10" w:rsidP="00230B10">
            <w:pPr>
              <w:spacing w:line="288" w:lineRule="auto"/>
              <w:rPr>
                <w:rFonts w:ascii="Tahoma" w:eastAsia="Calibri" w:hAnsi="Tahoma" w:cs="Tahoma"/>
                <w:sz w:val="19"/>
                <w:szCs w:val="19"/>
                <w:rtl/>
              </w:rPr>
            </w:pPr>
          </w:p>
        </w:tc>
        <w:tc>
          <w:tcPr>
            <w:tcW w:w="972" w:type="dxa"/>
          </w:tcPr>
          <w:p w:rsidR="00230B10" w:rsidRPr="00230B10" w:rsidP="00230B10">
            <w:pPr>
              <w:spacing w:line="288" w:lineRule="auto"/>
              <w:rPr>
                <w:rFonts w:ascii="Tahoma" w:eastAsia="Calibri" w:hAnsi="Tahoma" w:cs="Tahoma"/>
                <w:sz w:val="19"/>
                <w:szCs w:val="19"/>
                <w:rtl/>
              </w:rPr>
            </w:pPr>
          </w:p>
        </w:tc>
      </w:tr>
      <w:tr w:rsidTr="00F65329">
        <w:tblPrEx>
          <w:tblW w:w="9946" w:type="dxa"/>
          <w:tblLook w:val="04A0"/>
        </w:tblPrEx>
        <w:trPr>
          <w:trHeight w:val="1036"/>
        </w:trPr>
        <w:tc>
          <w:tcPr>
            <w:tcW w:w="2184" w:type="dxa"/>
            <w:vAlign w:val="center"/>
          </w:tcPr>
          <w:p w:rsidR="00230B10" w:rsidRPr="00230B10" w:rsidP="00230B10">
            <w:pPr>
              <w:spacing w:line="240" w:lineRule="auto"/>
              <w:jc w:val="left"/>
              <w:rPr>
                <w:rFonts w:ascii="Tahoma" w:eastAsia="Calibri" w:hAnsi="Tahoma" w:cs="Tahoma"/>
                <w:b/>
                <w:bCs/>
                <w:sz w:val="18"/>
                <w:szCs w:val="18"/>
                <w:rtl/>
              </w:rPr>
            </w:pPr>
            <w:r w:rsidRPr="00230B10">
              <w:rPr>
                <w:rFonts w:ascii="Tahoma" w:eastAsia="Calibri" w:hAnsi="Tahoma" w:cs="Tahoma"/>
                <w:b/>
                <w:bCs/>
                <w:sz w:val="18"/>
                <w:szCs w:val="18"/>
                <w:rtl/>
              </w:rPr>
              <w:t>חוב רשות העתיקות</w:t>
            </w:r>
          </w:p>
        </w:tc>
        <w:tc>
          <w:tcPr>
            <w:tcW w:w="999" w:type="dxa"/>
            <w:vAlign w:val="center"/>
          </w:tcPr>
          <w:p w:rsidR="00230B10" w:rsidRPr="00230B10" w:rsidP="00230B10">
            <w:pPr>
              <w:spacing w:line="240" w:lineRule="auto"/>
              <w:jc w:val="center"/>
              <w:rPr>
                <w:rFonts w:ascii="Tahoma" w:eastAsia="Calibri" w:hAnsi="Tahoma" w:cs="Tahoma"/>
                <w:sz w:val="18"/>
                <w:szCs w:val="18"/>
                <w:rtl/>
              </w:rPr>
            </w:pPr>
            <w:r w:rsidRPr="00230B10">
              <w:rPr>
                <w:rFonts w:ascii="Tahoma" w:eastAsia="Calibri" w:hAnsi="Tahoma" w:cs="Tahoma"/>
                <w:sz w:val="18"/>
                <w:szCs w:val="18"/>
                <w:rtl/>
              </w:rPr>
              <w:t>מינהלת הגמלאות</w:t>
            </w:r>
          </w:p>
        </w:tc>
        <w:tc>
          <w:tcPr>
            <w:tcW w:w="2877" w:type="dxa"/>
            <w:vAlign w:val="center"/>
          </w:tcPr>
          <w:p w:rsidR="00230B10" w:rsidRPr="00230B10" w:rsidP="00230B10">
            <w:pPr>
              <w:spacing w:line="240" w:lineRule="auto"/>
              <w:jc w:val="left"/>
              <w:rPr>
                <w:rFonts w:ascii="Tahoma" w:eastAsia="Calibri" w:hAnsi="Tahoma" w:cs="Tahoma"/>
                <w:sz w:val="18"/>
                <w:szCs w:val="18"/>
                <w:rtl/>
              </w:rPr>
            </w:pPr>
            <w:r w:rsidRPr="00230B10">
              <w:rPr>
                <w:rFonts w:ascii="Tahoma" w:eastAsia="Calibri" w:hAnsi="Tahoma" w:cs="Tahoma"/>
                <w:sz w:val="18"/>
                <w:szCs w:val="18"/>
                <w:rtl/>
              </w:rPr>
              <w:t>מחלוקת מתמשכת בין המינהלת לרשות העתיקות בנוגע לחבות הרשות בגין תשלומי קצבאות</w:t>
            </w:r>
            <w:r w:rsidRPr="00230B10">
              <w:rPr>
                <w:rFonts w:ascii="Tahoma" w:eastAsia="Calibri" w:hAnsi="Tahoma" w:cs="Tahoma" w:hint="cs"/>
                <w:sz w:val="18"/>
                <w:szCs w:val="18"/>
                <w:rtl/>
              </w:rPr>
              <w:t>.</w:t>
            </w:r>
          </w:p>
        </w:tc>
        <w:tc>
          <w:tcPr>
            <w:tcW w:w="971" w:type="dxa"/>
          </w:tcPr>
          <w:p w:rsidR="00230B10" w:rsidRPr="00230B10" w:rsidP="00230B10">
            <w:pPr>
              <w:spacing w:line="288" w:lineRule="auto"/>
              <w:rPr>
                <w:rFonts w:ascii="Tahoma" w:eastAsia="Calibri" w:hAnsi="Tahoma" w:cs="Tahoma"/>
                <w:sz w:val="19"/>
                <w:szCs w:val="19"/>
                <w:rtl/>
              </w:rPr>
            </w:pPr>
            <w:r w:rsidRPr="00230B10">
              <w:rPr>
                <w:rFonts w:ascii="Tahoma" w:eastAsia="Calibri" w:hAnsi="Tahoma" w:cs="Tahoma"/>
                <w:noProof/>
                <w:sz w:val="19"/>
                <w:szCs w:val="19"/>
                <w:rtl/>
              </w:rPr>
              <mc:AlternateContent>
                <mc:Choice Requires="wps">
                  <w:drawing>
                    <wp:anchor distT="0" distB="0" distL="114300" distR="114300" simplePos="0" relativeHeight="251670528" behindDoc="0" locked="0" layoutInCell="1" allowOverlap="1">
                      <wp:simplePos x="0" y="0"/>
                      <wp:positionH relativeFrom="column">
                        <wp:posOffset>-1898015</wp:posOffset>
                      </wp:positionH>
                      <wp:positionV relativeFrom="paragraph">
                        <wp:posOffset>189230</wp:posOffset>
                      </wp:positionV>
                      <wp:extent cx="2454275" cy="295275"/>
                      <wp:effectExtent l="0" t="0" r="22225" b="28575"/>
                      <wp:wrapNone/>
                      <wp:docPr id="32"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230B10" w:rsidP="00230B10">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6" o:spid="_x0000_s1032" type="#_x0000_t66" style="width:193.25pt;height:23.25pt;margin-top:14.9pt;margin-left:-149.45pt;mso-height-percent:0;mso-height-relative:margin;mso-width-percent:0;mso-width-relative:margin;mso-wrap-distance-bottom:0;mso-wrap-distance-left:9pt;mso-wrap-distance-right:9pt;mso-wrap-distance-top:0;mso-wrap-style:square;position:absolute;visibility:visible;v-text-anchor:middle;z-index:251671552" adj="1299" fillcolor="#00b050" strokecolor="black" strokeweight="0.25pt">
                      <v:textbox>
                        <w:txbxContent>
                          <w:p w:rsidR="00230B10" w:rsidP="00230B10">
                            <w:pPr>
                              <w:jc w:val="center"/>
                            </w:pPr>
                          </w:p>
                        </w:txbxContent>
                      </v:textbox>
                    </v:shape>
                  </w:pict>
                </mc:Fallback>
              </mc:AlternateContent>
            </w:r>
          </w:p>
        </w:tc>
        <w:tc>
          <w:tcPr>
            <w:tcW w:w="972" w:type="dxa"/>
          </w:tcPr>
          <w:p w:rsidR="00230B10" w:rsidRPr="00230B10" w:rsidP="00230B10">
            <w:pPr>
              <w:spacing w:line="288" w:lineRule="auto"/>
              <w:rPr>
                <w:rFonts w:ascii="Tahoma" w:eastAsia="Calibri" w:hAnsi="Tahoma" w:cs="Tahoma"/>
                <w:sz w:val="19"/>
                <w:szCs w:val="19"/>
                <w:rtl/>
              </w:rPr>
            </w:pPr>
          </w:p>
        </w:tc>
        <w:tc>
          <w:tcPr>
            <w:tcW w:w="971" w:type="dxa"/>
          </w:tcPr>
          <w:p w:rsidR="00230B10" w:rsidRPr="00230B10" w:rsidP="00230B10">
            <w:pPr>
              <w:spacing w:line="288" w:lineRule="auto"/>
              <w:rPr>
                <w:rFonts w:ascii="Tahoma" w:eastAsia="Calibri" w:hAnsi="Tahoma" w:cs="Tahoma"/>
                <w:sz w:val="19"/>
                <w:szCs w:val="19"/>
                <w:rtl/>
              </w:rPr>
            </w:pPr>
          </w:p>
        </w:tc>
        <w:tc>
          <w:tcPr>
            <w:tcW w:w="972" w:type="dxa"/>
          </w:tcPr>
          <w:p w:rsidR="00230B10" w:rsidRPr="00230B10" w:rsidP="00230B10">
            <w:pPr>
              <w:spacing w:line="288" w:lineRule="auto"/>
              <w:rPr>
                <w:rFonts w:ascii="Tahoma" w:eastAsia="Calibri" w:hAnsi="Tahoma" w:cs="Tahoma"/>
                <w:sz w:val="19"/>
                <w:szCs w:val="19"/>
                <w:rtl/>
              </w:rPr>
            </w:pPr>
          </w:p>
        </w:tc>
      </w:tr>
    </w:tbl>
    <w:p w:rsidR="00230B10" w:rsidRPr="00230B10" w:rsidP="00230B10">
      <w:pPr>
        <w:spacing w:line="288" w:lineRule="auto"/>
        <w:ind w:left="-851"/>
        <w:rPr>
          <w:rFonts w:ascii="Tahoma" w:eastAsia="Calibri" w:hAnsi="Tahoma" w:cs="Tahoma"/>
          <w:sz w:val="22"/>
          <w:szCs w:val="22"/>
          <w:rtl/>
        </w:rPr>
      </w:pPr>
    </w:p>
    <w:p w:rsidR="00230B10" w:rsidRPr="00230B10" w:rsidP="00230B10">
      <w:pPr>
        <w:spacing w:line="288" w:lineRule="auto"/>
        <w:jc w:val="center"/>
        <w:rPr>
          <w:rFonts w:ascii="Tahoma" w:eastAsia="Calibri" w:hAnsi="Tahoma" w:cs="Tahoma"/>
          <w:sz w:val="22"/>
          <w:szCs w:val="22"/>
          <w:rtl/>
        </w:rPr>
      </w:pPr>
    </w:p>
    <w:sectPr w:rsidSect="006C2C6D">
      <w:headerReference w:type="first" r:id="rId2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230B10" w:rsidP="00230B10">
      <w:pPr>
        <w:pStyle w:val="FootnoteText"/>
        <w:ind w:right="-567"/>
        <w:rPr>
          <w:rtl/>
        </w:rPr>
      </w:pPr>
      <w:r>
        <w:rPr>
          <w:rStyle w:val="FootnoteReference1"/>
        </w:rPr>
        <w:footnoteRef/>
      </w:r>
      <w:r>
        <w:rPr>
          <w:rtl/>
        </w:rPr>
        <w:t xml:space="preserve"> </w:t>
      </w:r>
      <w:r>
        <w:rPr>
          <w:rtl/>
        </w:rPr>
        <w:tab/>
      </w:r>
      <w:r w:rsidRPr="00B61E4A">
        <w:rPr>
          <w:rFonts w:ascii="Tahoma" w:hAnsi="Tahoma" w:cs="Tahoma"/>
          <w:sz w:val="16"/>
          <w:szCs w:val="16"/>
          <w:rtl/>
        </w:rPr>
        <w:t>מינהלת הגמלאות והקרנות הוותיקות הגישו ערעור על פס"ד סידי.</w:t>
      </w:r>
      <w:r>
        <w:rPr>
          <w:rFonts w:ascii="Tahoma" w:hAnsi="Tahoma" w:cs="Tahoma"/>
          <w:sz w:val="16"/>
          <w:szCs w:val="16"/>
          <w:rtl/>
        </w:rPr>
        <w:t xml:space="preserve"> </w:t>
      </w:r>
      <w:r w:rsidRPr="00B61E4A">
        <w:rPr>
          <w:rFonts w:ascii="Tahoma" w:hAnsi="Tahoma" w:cs="Tahoma"/>
          <w:sz w:val="16"/>
          <w:szCs w:val="16"/>
          <w:rtl/>
        </w:rPr>
        <w:t>לאחר הדיון בערעור שבו הוצע לקרנות הוותיקות לחזור בהן מהערעור הגישו הצדדים בקשה מוסכמת לאישור הסדר דיוני של הסכמות אליהן הגיעו לסיום המחלוקות ולפיהן פס"ד סידי יבוטל אך תוצאתו האופרטיבית תיוותר בעינה. ב-4.2.24 נתן בית הדין הארצי תוקף של פסק דין להסכמות הצדדים.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2715895</wp:posOffset>
              </wp:positionH>
              <wp:positionV relativeFrom="paragraph">
                <wp:posOffset>215265</wp:posOffset>
              </wp:positionV>
              <wp:extent cx="330898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308985"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A9248F">
                            <w:rPr>
                              <w:rFonts w:ascii="Calibri" w:hAnsi="Calibri" w:cs="Calibri"/>
                              <w:color w:val="002060"/>
                              <w:szCs w:val="20"/>
                              <w:rtl/>
                            </w:rPr>
                            <w:t>ניהול מערך הגמלאות של עובדי המדינה - ביקורת מעקב</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60.55pt;height:22.5pt;margin-top:16.95pt;margin-left:213.8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A9248F">
                      <w:rPr>
                        <w:rFonts w:ascii="Calibri" w:hAnsi="Calibri" w:cs="Calibri"/>
                        <w:color w:val="002060"/>
                        <w:szCs w:val="20"/>
                        <w:rtl/>
                      </w:rPr>
                      <w:t>ניהול מערך הגמלאות של עובדי המדינה - ביקורת מעקב</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1107391</wp:posOffset>
              </wp:positionH>
              <wp:positionV relativeFrom="paragraph">
                <wp:posOffset>-457249</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24570" y="0"/>
                        <a:chExt cx="2959100" cy="10690225"/>
                      </a:xfrm>
                    </wpg:grpSpPr>
                    <wpg:grpSp>
                      <wpg:cNvPr id="53" name="קבוצה 53"/>
                      <wpg:cNvGrpSpPr/>
                      <wpg:grpSpPr>
                        <a:xfrm>
                          <a:off x="-24570" y="0"/>
                          <a:ext cx="2959100" cy="3009900"/>
                          <a:chOff x="-2457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24570" y="2593291"/>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pt;margin-left:87.2pt;mso-position-horizontal-relative:margin;position:absolute;z-index:251659264" coordorigin="-245,0" coordsize="29591,106902">
              <v:group id="קבוצה 53" o:spid="_x0000_s2054" style="width:29590;height:30099;left:-245;position:absolute" coordorigin="-245,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1;left:-245;mso-wrap-style:square;position:absolute;top:25932;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230B10" w:rsidP="00EF4539">
    <w:pPr>
      <w:pStyle w:val="Header"/>
      <w:tabs>
        <w:tab w:val="clear" w:pos="8306"/>
        <w:tab w:val="right" w:pos="8504"/>
      </w:tabs>
      <w:ind w:right="-709"/>
      <w:jc w:val="right"/>
      <w:rPr>
        <w:rFonts w:ascii="Calibri" w:hAnsi="Calibri" w:cs="Calibri"/>
        <w:color w:val="002060"/>
        <w:szCs w:val="20"/>
      </w:rPr>
    </w:pPr>
    <w:r w:rsidRPr="00230B10">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230B10">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230B10">
                            <w:rPr>
                              <w:rFonts w:ascii="Calibri" w:hAnsi="Calibri" w:cs="Calibri"/>
                              <w:color w:val="002060"/>
                              <w:spacing w:val="20"/>
                              <w:sz w:val="22"/>
                              <w:szCs w:val="22"/>
                            </w:rPr>
                            <w:t xml:space="preserve"> </w:t>
                          </w:r>
                          <w:r w:rsidRPr="00230B1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230B10">
                      <w:rPr>
                        <w:rFonts w:ascii="Calibri" w:hAnsi="Calibri" w:cs="Calibri"/>
                        <w:color w:val="002060"/>
                        <w:spacing w:val="20"/>
                        <w:sz w:val="22"/>
                        <w:szCs w:val="22"/>
                      </w:rPr>
                      <w:t xml:space="preserve"> </w:t>
                    </w:r>
                    <w:r w:rsidRPr="00230B1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230B10">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230B10">
      <w:rPr>
        <w:rFonts w:ascii="Calibri" w:hAnsi="Calibri" w:cs="Calibri"/>
        <w:color w:val="002060"/>
        <w:szCs w:val="20"/>
        <w:rtl/>
      </w:rPr>
      <w:fldChar w:fldCharType="begin"/>
    </w:r>
    <w:r w:rsidRPr="00230B10">
      <w:rPr>
        <w:rFonts w:ascii="Calibri" w:hAnsi="Calibri" w:cs="Calibri"/>
        <w:color w:val="002060"/>
        <w:szCs w:val="20"/>
        <w:rtl/>
      </w:rPr>
      <w:instrText xml:space="preserve"> </w:instrText>
    </w:r>
    <w:r w:rsidRPr="00230B10">
      <w:rPr>
        <w:rFonts w:ascii="Calibri" w:hAnsi="Calibri" w:cs="Calibri"/>
        <w:color w:val="002060"/>
        <w:szCs w:val="20"/>
      </w:rPr>
      <w:instrText>PAGE</w:instrText>
    </w:r>
    <w:r w:rsidRPr="00230B10">
      <w:rPr>
        <w:rFonts w:ascii="Calibri" w:hAnsi="Calibri" w:cs="Calibri"/>
        <w:color w:val="002060"/>
        <w:szCs w:val="20"/>
        <w:rtl/>
      </w:rPr>
      <w:instrText xml:space="preserve">  \* </w:instrText>
    </w:r>
    <w:r w:rsidRPr="00230B10">
      <w:rPr>
        <w:rFonts w:ascii="Calibri" w:hAnsi="Calibri" w:cs="Calibri"/>
        <w:color w:val="002060"/>
        <w:szCs w:val="20"/>
      </w:rPr>
      <w:instrText>MERGEFORMAT</w:instrText>
    </w:r>
    <w:r w:rsidRPr="00230B10">
      <w:rPr>
        <w:rFonts w:ascii="Calibri" w:hAnsi="Calibri" w:cs="Calibri"/>
        <w:color w:val="002060"/>
        <w:szCs w:val="20"/>
        <w:rtl/>
      </w:rPr>
      <w:instrText xml:space="preserve"> </w:instrText>
    </w:r>
    <w:r w:rsidRPr="00230B10">
      <w:rPr>
        <w:rFonts w:ascii="Calibri" w:hAnsi="Calibri" w:cs="Calibri"/>
        <w:color w:val="002060"/>
        <w:szCs w:val="20"/>
        <w:rtl/>
      </w:rPr>
      <w:fldChar w:fldCharType="separate"/>
    </w:r>
    <w:r w:rsidRPr="00230B10">
      <w:rPr>
        <w:rFonts w:ascii="Calibri" w:hAnsi="Calibri" w:cs="Calibri"/>
        <w:color w:val="002060"/>
        <w:szCs w:val="20"/>
        <w:rtl/>
      </w:rPr>
      <w:t>3</w:t>
    </w:r>
    <w:r w:rsidRPr="00230B10">
      <w:rPr>
        <w:rFonts w:ascii="Calibri" w:hAnsi="Calibri" w:cs="Calibri"/>
        <w:color w:val="002060"/>
        <w:szCs w:val="20"/>
        <w:rtl/>
      </w:rPr>
      <w:fldChar w:fldCharType="end"/>
    </w:r>
    <w:r w:rsidRPr="00230B10">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2FE02B2"/>
    <w:multiLevelType w:val="hybridMultilevel"/>
    <w:tmpl w:val="FD26560A"/>
    <w:lvl w:ilvl="0">
      <w:start w:val="1"/>
      <w:numFmt w:val="bullet"/>
      <w:lvlText w:val=""/>
      <w:lvlJc w:val="left"/>
      <w:pPr>
        <w:ind w:left="360" w:hanging="360"/>
      </w:pPr>
      <w:rPr>
        <w:rFonts w:ascii="Symbol" w:hAnsi="Symbol" w:cs="Symbol" w:hint="default"/>
        <w:b/>
        <w:bCs/>
        <w:color w:val="FF000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4"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7"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8"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0"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1"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15:restartNumberingAfterBreak="0">
    <w:nsid w:val="6699458C"/>
    <w:multiLevelType w:val="hybridMultilevel"/>
    <w:tmpl w:val="7DAE180E"/>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080" w:hanging="360"/>
      </w:pPr>
      <w:rPr>
        <w:rFonts w:ascii="Symbol" w:hAnsi="Symbol" w:hint="default"/>
        <w:color w:val="FF000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5"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4"/>
  </w:num>
  <w:num w:numId="2">
    <w:abstractNumId w:val="10"/>
  </w:num>
  <w:num w:numId="3">
    <w:abstractNumId w:val="8"/>
  </w:num>
  <w:num w:numId="4">
    <w:abstractNumId w:val="3"/>
  </w:num>
  <w:num w:numId="5">
    <w:abstractNumId w:val="9"/>
  </w:num>
  <w:num w:numId="6">
    <w:abstractNumId w:val="12"/>
  </w:num>
  <w:num w:numId="7">
    <w:abstractNumId w:val="7"/>
  </w:num>
  <w:num w:numId="8">
    <w:abstractNumId w:val="5"/>
  </w:num>
  <w:num w:numId="9">
    <w:abstractNumId w:val="4"/>
  </w:num>
  <w:num w:numId="10">
    <w:abstractNumId w:val="6"/>
  </w:num>
  <w:num w:numId="11">
    <w:abstractNumId w:val="15"/>
  </w:num>
  <w:num w:numId="12">
    <w:abstractNumId w:val="1"/>
  </w:num>
  <w:num w:numId="13">
    <w:abstractNumId w:val="2"/>
  </w:num>
  <w:num w:numId="14">
    <w:abstractNumId w:val="13"/>
  </w:num>
  <w:num w:numId="15">
    <w:abstractNumId w:val="11"/>
  </w:num>
  <w:num w:numId="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C7459"/>
    <w:rsid w:val="000E013E"/>
    <w:rsid w:val="000F7725"/>
    <w:rsid w:val="00101D0F"/>
    <w:rsid w:val="00113E28"/>
    <w:rsid w:val="00114325"/>
    <w:rsid w:val="00122463"/>
    <w:rsid w:val="00166477"/>
    <w:rsid w:val="001730B0"/>
    <w:rsid w:val="001960B4"/>
    <w:rsid w:val="001A613C"/>
    <w:rsid w:val="001B2821"/>
    <w:rsid w:val="001C057E"/>
    <w:rsid w:val="001C6185"/>
    <w:rsid w:val="001E204F"/>
    <w:rsid w:val="001F4412"/>
    <w:rsid w:val="00203604"/>
    <w:rsid w:val="002064F7"/>
    <w:rsid w:val="00230B10"/>
    <w:rsid w:val="00240887"/>
    <w:rsid w:val="00263521"/>
    <w:rsid w:val="00273393"/>
    <w:rsid w:val="002A7D21"/>
    <w:rsid w:val="002C0FD0"/>
    <w:rsid w:val="002C1EE0"/>
    <w:rsid w:val="002C4139"/>
    <w:rsid w:val="00301153"/>
    <w:rsid w:val="003079D5"/>
    <w:rsid w:val="00315B1D"/>
    <w:rsid w:val="00323027"/>
    <w:rsid w:val="00354F9A"/>
    <w:rsid w:val="0037370B"/>
    <w:rsid w:val="0037752E"/>
    <w:rsid w:val="00380052"/>
    <w:rsid w:val="0039415D"/>
    <w:rsid w:val="003D18F4"/>
    <w:rsid w:val="003D61C6"/>
    <w:rsid w:val="003E58C2"/>
    <w:rsid w:val="004332C9"/>
    <w:rsid w:val="004779AA"/>
    <w:rsid w:val="0049522B"/>
    <w:rsid w:val="00496F3E"/>
    <w:rsid w:val="004A0385"/>
    <w:rsid w:val="004C7D9F"/>
    <w:rsid w:val="005006C5"/>
    <w:rsid w:val="00551B42"/>
    <w:rsid w:val="00551FF7"/>
    <w:rsid w:val="00574579"/>
    <w:rsid w:val="00580C5C"/>
    <w:rsid w:val="005A021D"/>
    <w:rsid w:val="005A2731"/>
    <w:rsid w:val="0062451B"/>
    <w:rsid w:val="00634DAD"/>
    <w:rsid w:val="00640B60"/>
    <w:rsid w:val="006457EB"/>
    <w:rsid w:val="006531CB"/>
    <w:rsid w:val="00674EF5"/>
    <w:rsid w:val="006C2C6D"/>
    <w:rsid w:val="006D4161"/>
    <w:rsid w:val="006D5A95"/>
    <w:rsid w:val="006D786C"/>
    <w:rsid w:val="006E1414"/>
    <w:rsid w:val="006F285F"/>
    <w:rsid w:val="0072219B"/>
    <w:rsid w:val="007474F0"/>
    <w:rsid w:val="00753ADE"/>
    <w:rsid w:val="00773F61"/>
    <w:rsid w:val="007A4EBD"/>
    <w:rsid w:val="007B112B"/>
    <w:rsid w:val="007B5B26"/>
    <w:rsid w:val="007B691A"/>
    <w:rsid w:val="007C1FF6"/>
    <w:rsid w:val="007D61B8"/>
    <w:rsid w:val="007F7FF2"/>
    <w:rsid w:val="00805B42"/>
    <w:rsid w:val="008102AD"/>
    <w:rsid w:val="008131AD"/>
    <w:rsid w:val="00837997"/>
    <w:rsid w:val="00867FC5"/>
    <w:rsid w:val="00892F80"/>
    <w:rsid w:val="00896711"/>
    <w:rsid w:val="008B4F41"/>
    <w:rsid w:val="008C6F75"/>
    <w:rsid w:val="008E3D8A"/>
    <w:rsid w:val="008E7355"/>
    <w:rsid w:val="009015B2"/>
    <w:rsid w:val="00906E90"/>
    <w:rsid w:val="00906FB1"/>
    <w:rsid w:val="0091051D"/>
    <w:rsid w:val="00933E1C"/>
    <w:rsid w:val="00936F84"/>
    <w:rsid w:val="00940851"/>
    <w:rsid w:val="00945C44"/>
    <w:rsid w:val="009679D9"/>
    <w:rsid w:val="009802D2"/>
    <w:rsid w:val="009B757F"/>
    <w:rsid w:val="009C6066"/>
    <w:rsid w:val="009D73F5"/>
    <w:rsid w:val="009E1A3F"/>
    <w:rsid w:val="009E53CF"/>
    <w:rsid w:val="009F0BD3"/>
    <w:rsid w:val="00A222E2"/>
    <w:rsid w:val="00A61AD5"/>
    <w:rsid w:val="00A65E62"/>
    <w:rsid w:val="00A73038"/>
    <w:rsid w:val="00A76C99"/>
    <w:rsid w:val="00A81EBE"/>
    <w:rsid w:val="00A9248F"/>
    <w:rsid w:val="00AC6B95"/>
    <w:rsid w:val="00B00E5C"/>
    <w:rsid w:val="00B4321D"/>
    <w:rsid w:val="00B61E4A"/>
    <w:rsid w:val="00B666B9"/>
    <w:rsid w:val="00B76DC1"/>
    <w:rsid w:val="00B862C0"/>
    <w:rsid w:val="00BC1EC8"/>
    <w:rsid w:val="00BE2DD8"/>
    <w:rsid w:val="00C2305A"/>
    <w:rsid w:val="00C23CC9"/>
    <w:rsid w:val="00C30B3D"/>
    <w:rsid w:val="00C33AE2"/>
    <w:rsid w:val="00C8096C"/>
    <w:rsid w:val="00C8100B"/>
    <w:rsid w:val="00C85B62"/>
    <w:rsid w:val="00CA36FD"/>
    <w:rsid w:val="00CA41D2"/>
    <w:rsid w:val="00CA4F20"/>
    <w:rsid w:val="00CC712C"/>
    <w:rsid w:val="00CD28D9"/>
    <w:rsid w:val="00D05C85"/>
    <w:rsid w:val="00D125D2"/>
    <w:rsid w:val="00D22748"/>
    <w:rsid w:val="00D26918"/>
    <w:rsid w:val="00D37121"/>
    <w:rsid w:val="00D779F7"/>
    <w:rsid w:val="00D87542"/>
    <w:rsid w:val="00D95C20"/>
    <w:rsid w:val="00D97C16"/>
    <w:rsid w:val="00DE1DAB"/>
    <w:rsid w:val="00DE20A2"/>
    <w:rsid w:val="00DF0B89"/>
    <w:rsid w:val="00E122EE"/>
    <w:rsid w:val="00E35682"/>
    <w:rsid w:val="00E46EA3"/>
    <w:rsid w:val="00E51C1B"/>
    <w:rsid w:val="00E53DA7"/>
    <w:rsid w:val="00EC6B44"/>
    <w:rsid w:val="00EE37A3"/>
    <w:rsid w:val="00EE57E1"/>
    <w:rsid w:val="00EF4539"/>
    <w:rsid w:val="00EF64B0"/>
    <w:rsid w:val="00F36CB4"/>
    <w:rsid w:val="00F4385E"/>
    <w:rsid w:val="00F52944"/>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footer" Target="footer1.xml"/><Relationship Id="rId26" Type="http://schemas.openxmlformats.org/officeDocument/2006/relationships/customXml" Target="../customXml/item3.xml"/><Relationship Id="rId21"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jpeg"/><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8D4DF1-3B71-48A5-A8A7-33E1FEC5C6C7}">
  <ds:schemaRefs>
    <ds:schemaRef ds:uri="http://schemas.openxmlformats.org/officeDocument/2006/bibliography"/>
  </ds:schemaRefs>
</ds:datastoreItem>
</file>

<file path=customXml/itemProps2.xml><?xml version="1.0" encoding="utf-8"?>
<ds:datastoreItem xmlns:ds="http://schemas.openxmlformats.org/officeDocument/2006/customXml" ds:itemID="{887BEACA-A72D-4292-8C2A-9275CD95CA92}"/>
</file>

<file path=customXml/itemProps3.xml><?xml version="1.0" encoding="utf-8"?>
<ds:datastoreItem xmlns:ds="http://schemas.openxmlformats.org/officeDocument/2006/customXml" ds:itemID="{CFB8A172-2937-41BE-9D46-F7A511D54380}"/>
</file>

<file path=customXml/itemProps4.xml><?xml version="1.0" encoding="utf-8"?>
<ds:datastoreItem xmlns:ds="http://schemas.openxmlformats.org/officeDocument/2006/customXml" ds:itemID="{1AF7446F-9A0A-4E5D-BCB2-909C74D60B5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