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A65E62" w:rsidP="00A65E62" w14:paraId="4312AF4C" w14:textId="77777777">
      <w:pPr>
        <w:spacing w:line="269" w:lineRule="auto"/>
        <w:ind w:left="-285"/>
        <w:jc w:val="center"/>
        <w:rPr>
          <w:rFonts w:ascii="Calibri" w:hAnsi="Calibri" w:cs="Calibri"/>
          <w:b/>
          <w:bCs/>
          <w:color w:val="002060"/>
          <w:sz w:val="80"/>
          <w:szCs w:val="80"/>
          <w:rtl/>
        </w:rPr>
      </w:pPr>
    </w:p>
    <w:p w:rsidR="00A65E62" w:rsidP="00A65E62" w14:paraId="3EDBBCF8" w14:textId="77777777">
      <w:pPr>
        <w:spacing w:line="269" w:lineRule="auto"/>
        <w:ind w:left="-285"/>
        <w:jc w:val="center"/>
        <w:rPr>
          <w:rFonts w:ascii="Calibri" w:hAnsi="Calibri" w:cs="Calibri"/>
          <w:b/>
          <w:bCs/>
          <w:color w:val="002060"/>
          <w:sz w:val="80"/>
          <w:szCs w:val="80"/>
          <w:rtl/>
        </w:rPr>
      </w:pPr>
    </w:p>
    <w:p w:rsidR="00A65E62" w:rsidP="00A65E62" w14:paraId="0EED3F14" w14:textId="77777777">
      <w:pPr>
        <w:spacing w:line="269" w:lineRule="auto"/>
        <w:ind w:left="-285"/>
        <w:jc w:val="center"/>
        <w:rPr>
          <w:rFonts w:ascii="Calibri" w:hAnsi="Calibri" w:cs="Calibri"/>
          <w:b/>
          <w:bCs/>
          <w:color w:val="002060"/>
          <w:sz w:val="80"/>
          <w:szCs w:val="80"/>
          <w:rtl/>
        </w:rPr>
      </w:pPr>
    </w:p>
    <w:p w:rsidR="00A65E62" w:rsidP="00A65E62" w14:paraId="3E999298" w14:textId="77777777">
      <w:pPr>
        <w:spacing w:line="269" w:lineRule="auto"/>
        <w:ind w:left="-285"/>
        <w:jc w:val="center"/>
        <w:rPr>
          <w:rFonts w:ascii="Calibri" w:hAnsi="Calibri" w:cs="Calibri"/>
          <w:b/>
          <w:bCs/>
          <w:color w:val="002060"/>
          <w:sz w:val="80"/>
          <w:szCs w:val="80"/>
          <w:rtl/>
        </w:rPr>
      </w:pPr>
    </w:p>
    <w:p w:rsidR="006E1414" w:rsidP="00A65E62" w14:paraId="2499B121" w14:textId="77777777">
      <w:pPr>
        <w:spacing w:line="269" w:lineRule="auto"/>
        <w:ind w:left="-285"/>
        <w:jc w:val="center"/>
        <w:rPr>
          <w:rFonts w:ascii="Calibri" w:hAnsi="Calibri" w:cs="Calibri"/>
          <w:b/>
          <w:bCs/>
          <w:color w:val="002060"/>
          <w:sz w:val="80"/>
          <w:szCs w:val="80"/>
          <w:rtl/>
        </w:rPr>
      </w:pPr>
      <w:r w:rsidRPr="007C66DF">
        <w:rPr>
          <w:rFonts w:ascii="Calibri" w:hAnsi="Calibri" w:cs="Calibri"/>
          <w:b/>
          <w:bCs/>
          <w:color w:val="002060"/>
          <w:sz w:val="80"/>
          <w:szCs w:val="80"/>
          <w:rtl/>
        </w:rPr>
        <w:t>העברות תקציביות לקראת סוף שנת 2024</w:t>
      </w:r>
    </w:p>
    <w:p w:rsidR="00D125D2" w:rsidRPr="00A65E62" w:rsidP="00A65E62" w14:paraId="372D05A6" w14:textId="77777777">
      <w:pPr>
        <w:spacing w:line="269" w:lineRule="auto"/>
        <w:ind w:left="-285"/>
        <w:jc w:val="center"/>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6E1414" w14:paraId="553E6FCB" w14:textId="77777777">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14:paraId="5753AB51" w14:textId="77777777">
      <w:pPr>
        <w:bidi w:val="0"/>
        <w:spacing w:after="200" w:line="276" w:lineRule="auto"/>
        <w:rPr>
          <w:rFonts w:ascii="Calibri" w:hAnsi="Calibri" w:cs="Calibri"/>
          <w:b/>
          <w:bCs/>
          <w:color w:val="002060"/>
          <w:sz w:val="80"/>
          <w:szCs w:val="80"/>
        </w:rPr>
        <w:sectPr w:rsidSect="006C2C6D">
          <w:headerReference w:type="first" r:id="rId9"/>
          <w:pgSz w:w="11906" w:h="16838"/>
          <w:pgMar w:top="1701" w:right="1985" w:bottom="1588" w:left="1701" w:header="709" w:footer="709" w:gutter="0"/>
          <w:cols w:space="708"/>
          <w:titlePg/>
          <w:bidi/>
          <w:rtlGutter/>
          <w:docGrid w:linePitch="360"/>
        </w:sectPr>
      </w:pPr>
    </w:p>
    <w:tbl>
      <w:tblPr>
        <w:tblStyle w:val="26"/>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14:paraId="74CA8D68" w14:textId="77777777" w:rsidTr="00306F76">
        <w:tblPrEx>
          <w:tblW w:w="9783" w:type="dxa"/>
          <w:tblLook w:val="04A0"/>
        </w:tblPrEx>
        <w:tc>
          <w:tcPr>
            <w:tcW w:w="9783" w:type="dxa"/>
          </w:tcPr>
          <w:p w:rsidR="00625723" w:rsidRPr="00625723" w:rsidP="0072274C" w14:paraId="3FE023D5" w14:textId="77777777">
            <w:pPr>
              <w:spacing w:after="120" w:line="240" w:lineRule="auto"/>
              <w:rPr>
                <w:rFonts w:ascii="Tahoma" w:eastAsia="Calibri" w:hAnsi="Tahoma" w:cs="Tahoma"/>
                <w:sz w:val="36"/>
                <w:szCs w:val="36"/>
                <w:rtl/>
              </w:rPr>
            </w:pPr>
            <w:r w:rsidRPr="0072274C">
              <w:rPr>
                <w:rFonts w:ascii="Tahoma" w:eastAsia="Calibri" w:hAnsi="Tahoma" w:cs="Tahoma"/>
                <w:b/>
                <w:bCs/>
                <w:sz w:val="40"/>
                <w:szCs w:val="40"/>
                <w:rtl/>
              </w:rPr>
              <w:t>העברות תקציביות לקראת סוף שנת 2024</w:t>
            </w:r>
            <w:r w:rsidRPr="00625723">
              <w:rPr>
                <w:rFonts w:ascii="Tahoma" w:eastAsia="Calibri" w:hAnsi="Tahoma" w:cs="Tahoma"/>
                <w:b/>
                <w:bCs/>
                <w:sz w:val="40"/>
                <w:szCs w:val="40"/>
                <w:rtl/>
              </w:rPr>
              <w:fldChar w:fldCharType="begin"/>
            </w:r>
            <w:r w:rsidRPr="00625723">
              <w:rPr>
                <w:rFonts w:ascii="Tahoma" w:eastAsia="Calibri" w:hAnsi="Tahoma" w:cs="Tahoma"/>
                <w:b/>
                <w:bCs/>
                <w:sz w:val="40"/>
                <w:szCs w:val="40"/>
                <w:rtl/>
              </w:rPr>
              <w:instrText xml:space="preserve"> </w:instrText>
            </w:r>
            <w:r w:rsidRPr="00625723">
              <w:rPr>
                <w:rFonts w:ascii="Tahoma" w:eastAsia="Calibri" w:hAnsi="Tahoma" w:cs="Tahoma"/>
                <w:b/>
                <w:bCs/>
                <w:sz w:val="40"/>
                <w:szCs w:val="40"/>
              </w:rPr>
              <w:instrText>DOCPROPERTY  shem_matala  \* MERGEFORMAT</w:instrText>
            </w:r>
            <w:r w:rsidRPr="00625723">
              <w:rPr>
                <w:rFonts w:ascii="Tahoma" w:eastAsia="Calibri" w:hAnsi="Tahoma" w:cs="Tahoma"/>
                <w:b/>
                <w:bCs/>
                <w:sz w:val="40"/>
                <w:szCs w:val="40"/>
                <w:rtl/>
              </w:rPr>
              <w:instrText xml:space="preserve"> </w:instrText>
            </w:r>
            <w:r w:rsidRPr="00625723">
              <w:rPr>
                <w:rFonts w:ascii="Tahoma" w:eastAsia="Calibri" w:hAnsi="Tahoma" w:cs="Tahoma"/>
                <w:b/>
                <w:bCs/>
                <w:sz w:val="40"/>
                <w:szCs w:val="40"/>
                <w:rtl/>
              </w:rPr>
              <w:fldChar w:fldCharType="separate"/>
            </w:r>
            <w:r w:rsidRPr="00625723">
              <w:rPr>
                <w:rFonts w:ascii="Tahoma" w:eastAsia="Calibri" w:hAnsi="Tahoma" w:cs="Tahoma"/>
                <w:b/>
                <w:bCs/>
                <w:sz w:val="40"/>
                <w:szCs w:val="40"/>
                <w:rtl/>
              </w:rPr>
              <w:fldChar w:fldCharType="end"/>
            </w:r>
          </w:p>
          <w:p w:rsidR="00625723" w:rsidRPr="00625723" w:rsidP="00625723" w14:paraId="14CB8151" w14:textId="77777777">
            <w:pPr>
              <w:spacing w:line="240" w:lineRule="auto"/>
              <w:rPr>
                <w:rFonts w:eastAsia="Calibri"/>
                <w:szCs w:val="24"/>
                <w:rtl/>
              </w:rPr>
            </w:pPr>
            <w:r w:rsidRPr="00625723">
              <w:rPr>
                <w:rFonts w:ascii="Tahoma" w:eastAsia="Calibri" w:hAnsi="Tahoma" w:cs="Tahoma"/>
                <w:sz w:val="36"/>
                <w:szCs w:val="36"/>
                <w:rtl/>
              </w:rPr>
              <w:t>תקציר</w:t>
            </w:r>
          </w:p>
          <w:p w:rsidR="00625723" w:rsidRPr="00625723" w:rsidP="00625723" w14:paraId="5E2CB938" w14:textId="77777777">
            <w:pPr>
              <w:spacing w:line="240" w:lineRule="auto"/>
              <w:ind w:left="-851"/>
              <w:rPr>
                <w:rFonts w:eastAsia="Calibri"/>
                <w:szCs w:val="24"/>
                <w:rtl/>
              </w:rPr>
            </w:pPr>
          </w:p>
        </w:tc>
      </w:tr>
    </w:tbl>
    <w:p w:rsidR="00625723" w:rsidRPr="00625723" w:rsidP="00625723" w14:paraId="199FB67C" w14:textId="77777777">
      <w:pPr>
        <w:ind w:left="-851"/>
        <w:rPr>
          <w:rFonts w:eastAsia="Calibri"/>
          <w:rtl/>
        </w:rPr>
      </w:pPr>
    </w:p>
    <w:p w:rsidR="00625723" w:rsidRPr="00625723" w:rsidP="00625723" w14:paraId="1F287583" w14:textId="77777777">
      <w:pPr>
        <w:ind w:left="-851"/>
        <w:rPr>
          <w:rFonts w:eastAsia="Calibri"/>
          <w:rtl/>
        </w:rPr>
      </w:pPr>
      <w:r w:rsidRPr="00625723">
        <w:rPr>
          <w:rFonts w:ascii="Tahoma" w:eastAsia="Calibri"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625723" w:rsidRPr="00625723" w:rsidP="00625723" w14:paraId="6E30DA7C" w14:textId="77777777">
      <w:pPr>
        <w:spacing w:after="120" w:line="288" w:lineRule="auto"/>
        <w:ind w:left="-709" w:right="-567"/>
        <w:rPr>
          <w:rFonts w:ascii="Tahoma" w:eastAsia="Calibri" w:hAnsi="Tahoma" w:cs="Tahoma"/>
          <w:sz w:val="19"/>
          <w:szCs w:val="19"/>
          <w:rtl/>
        </w:rPr>
      </w:pPr>
      <w:r w:rsidRPr="00625723">
        <w:rPr>
          <w:rFonts w:ascii="Tahoma" w:eastAsia="Calibri" w:hAnsi="Tahoma" w:cs="Tahoma"/>
          <w:sz w:val="19"/>
          <w:szCs w:val="19"/>
          <w:rtl/>
        </w:rPr>
        <w:t>תקציב המדינה הוא הכלי העיקרי שבאמצעותו מיושמת המדיניות הכלכלית של הממשלה, ולפיכך יש לו השפעה מכרעת על התהליכים הכלכליים והחברתיים במדינה. התקציב אמור להיות הביטוי הכספי של תוכנית עבודה שנתית או רב-שנתית של הממשלה ולשקף את יעדי הממשלה ואת סדר העדיפויות שלה בחלוקת המשאבים העומדים לרשותה. הדיווח על ביצוע התקציב אמור לשקף לא רק את ההוצאות הכספיות אלא</w:t>
      </w:r>
      <w:r w:rsidRPr="00625723">
        <w:rPr>
          <w:rFonts w:ascii="Tahoma" w:eastAsia="Calibri" w:hAnsi="Tahoma" w:cs="Tahoma" w:hint="cs"/>
          <w:sz w:val="19"/>
          <w:szCs w:val="19"/>
          <w:rtl/>
        </w:rPr>
        <w:t xml:space="preserve"> גם להוות מדד להשגת היעדים והפעולות שנעשו.</w:t>
      </w:r>
      <w:r w:rsidRPr="00625723">
        <w:rPr>
          <w:rFonts w:ascii="Tahoma" w:eastAsia="Calibri" w:hAnsi="Tahoma" w:cs="Tahoma"/>
          <w:sz w:val="19"/>
          <w:szCs w:val="19"/>
          <w:rtl/>
        </w:rPr>
        <w:t xml:space="preserve"> </w:t>
      </w:r>
    </w:p>
    <w:p w:rsidR="00625723" w:rsidRPr="00625723" w:rsidP="00625723" w14:paraId="633AB437" w14:textId="77777777">
      <w:pPr>
        <w:spacing w:after="120" w:line="288" w:lineRule="auto"/>
        <w:ind w:left="-709" w:right="-567"/>
        <w:rPr>
          <w:rFonts w:ascii="Tahoma" w:eastAsia="Calibri" w:hAnsi="Tahoma" w:cs="Tahoma"/>
          <w:sz w:val="19"/>
          <w:szCs w:val="19"/>
          <w:rtl/>
        </w:rPr>
      </w:pPr>
      <w:r w:rsidRPr="00625723">
        <w:rPr>
          <w:rFonts w:ascii="Tahoma" w:eastAsia="Calibri" w:hAnsi="Tahoma" w:cs="Tahoma"/>
          <w:sz w:val="19"/>
          <w:szCs w:val="19"/>
          <w:rtl/>
        </w:rPr>
        <w:t>משרדי הממשלה פועלים במסגרת חוק תקציב שנתי שהכנסת מחוקקת, ובו נקבעים בין היתר הסכומים המרביים שאפשר להוציא בשנת הכספים. משרדי הממשלה מתקשרים עם ספקים וגופים חיצוניים שונים לשם קבלת שירותים וטובין וביצוע עבודות הנדרשים למילוי תפקידם. החשב הכללי במשרד האוצר (החשכ"ל) אחראי בין היתר לניהול כספי המדינה ולפיקוח על ביצוע התקציב. אגף החשכ"ל מעביר בכל חודש לחשבויות של משרדי הממשלה הקצאת מזומנים, לצורך ביצוע התשלומים השונים שמשרדי הממשלה מחויבים בהם.</w:t>
      </w:r>
    </w:p>
    <w:p w:rsidR="00625723" w:rsidRPr="00625723" w:rsidP="00625723" w14:paraId="5E2094D8" w14:textId="77777777">
      <w:pPr>
        <w:spacing w:after="120" w:line="288" w:lineRule="auto"/>
        <w:ind w:left="-709" w:right="-567"/>
        <w:rPr>
          <w:rFonts w:ascii="Tahoma" w:eastAsia="Calibri" w:hAnsi="Tahoma" w:cs="Tahoma"/>
          <w:sz w:val="19"/>
          <w:szCs w:val="19"/>
          <w:rtl/>
        </w:rPr>
      </w:pPr>
      <w:r w:rsidRPr="00625723">
        <w:rPr>
          <w:rFonts w:ascii="Tahoma" w:eastAsia="Calibri" w:hAnsi="Tahoma" w:cs="Tahoma"/>
          <w:sz w:val="19"/>
          <w:szCs w:val="19"/>
          <w:rtl/>
        </w:rPr>
        <w:t>לאחר אישור תקציב המדינה בכנסת מתבצעים בו במשך שנת הכספים שינויים והתאמות. שינויים אלו נובעים ממגוון סיבות - החלטות ממשלה חדשות, שינויים בסדרי העדיפויות הלאומיים, חקיקה חדשה ועוד. קיימים שלושה סוגים עיקריים של שינויים שניתן לבצע בתקציב:</w:t>
      </w:r>
    </w:p>
    <w:p w:rsidR="00625723" w:rsidRPr="00625723" w:rsidP="00625723" w14:paraId="22FB0DC5" w14:textId="77777777">
      <w:pPr>
        <w:numPr>
          <w:ilvl w:val="0"/>
          <w:numId w:val="16"/>
        </w:numPr>
        <w:spacing w:after="120" w:line="288" w:lineRule="auto"/>
        <w:ind w:left="-284" w:right="-567"/>
        <w:contextualSpacing/>
        <w:rPr>
          <w:rFonts w:ascii="Tahoma" w:eastAsia="Calibri" w:hAnsi="Tahoma" w:cs="Tahoma"/>
          <w:sz w:val="19"/>
          <w:szCs w:val="19"/>
        </w:rPr>
      </w:pPr>
      <w:r w:rsidRPr="00625723">
        <w:rPr>
          <w:rFonts w:ascii="Tahoma" w:eastAsia="Calibri" w:hAnsi="Tahoma" w:cs="Tahoma"/>
          <w:b/>
          <w:bCs/>
          <w:sz w:val="19"/>
          <w:szCs w:val="19"/>
          <w:rtl/>
        </w:rPr>
        <w:t>שינוי פנימי בתוך סעיף תקציבי:</w:t>
      </w:r>
      <w:r w:rsidRPr="00625723">
        <w:rPr>
          <w:rFonts w:ascii="Tahoma" w:eastAsia="Calibri" w:hAnsi="Tahoma" w:cs="Tahoma"/>
          <w:sz w:val="19"/>
          <w:szCs w:val="19"/>
          <w:rtl/>
        </w:rPr>
        <w:t xml:space="preserve"> התאמות והקצאות מחודשות של כספים בתוך אותו סעיף תקציבי, ללא שינוי בסכומו הכולל של הסעיף</w:t>
      </w:r>
      <w:r w:rsidRPr="00625723">
        <w:rPr>
          <w:rFonts w:ascii="Tahoma" w:eastAsia="Calibri" w:hAnsi="Tahoma" w:cs="Tahoma" w:hint="cs"/>
          <w:sz w:val="19"/>
          <w:szCs w:val="19"/>
          <w:rtl/>
        </w:rPr>
        <w:t xml:space="preserve">. </w:t>
      </w:r>
      <w:bookmarkStart w:id="0" w:name="_Hlk221606464"/>
      <w:bookmarkStart w:id="1" w:name="_Hlk221531820"/>
      <w:r w:rsidRPr="00625723">
        <w:rPr>
          <w:rFonts w:ascii="Tahoma" w:eastAsia="Calibri" w:hAnsi="Tahoma" w:cs="Tahoma" w:hint="cs"/>
          <w:sz w:val="19"/>
          <w:szCs w:val="19"/>
          <w:rtl/>
        </w:rPr>
        <w:t>בהתאם לחוק יסודות התקציב, העברה של סכום של עד 1,940,000 ש"ח ועד 15% מהתוכנית המקורית מתאפשרת באמצעות הודעה של שר האוצר לוועדת הכספים, ומעבר לכך נדרשת אישורה של הוועדה.</w:t>
      </w:r>
      <w:bookmarkEnd w:id="0"/>
      <w:bookmarkEnd w:id="1"/>
    </w:p>
    <w:p w:rsidR="00625723" w:rsidRPr="00625723" w:rsidP="00625723" w14:paraId="144BF63E" w14:textId="77777777">
      <w:pPr>
        <w:spacing w:after="120" w:line="288" w:lineRule="auto"/>
        <w:ind w:left="-284" w:right="-567"/>
        <w:contextualSpacing/>
        <w:rPr>
          <w:rFonts w:ascii="Tahoma" w:eastAsia="Calibri" w:hAnsi="Tahoma" w:cs="Tahoma"/>
          <w:sz w:val="8"/>
          <w:szCs w:val="8"/>
          <w:rtl/>
        </w:rPr>
      </w:pPr>
    </w:p>
    <w:p w:rsidR="00625723" w:rsidRPr="00625723" w:rsidP="00625723" w14:paraId="41325A6D" w14:textId="77777777">
      <w:pPr>
        <w:numPr>
          <w:ilvl w:val="0"/>
          <w:numId w:val="16"/>
        </w:numPr>
        <w:spacing w:after="120" w:line="288" w:lineRule="auto"/>
        <w:ind w:left="-284" w:right="-567"/>
        <w:contextualSpacing/>
        <w:rPr>
          <w:rFonts w:ascii="Tahoma" w:eastAsia="Calibri" w:hAnsi="Tahoma" w:cs="Tahoma"/>
          <w:sz w:val="19"/>
          <w:szCs w:val="19"/>
        </w:rPr>
      </w:pPr>
      <w:r w:rsidRPr="00625723">
        <w:rPr>
          <w:rFonts w:ascii="Tahoma" w:eastAsia="Calibri" w:hAnsi="Tahoma" w:cs="Tahoma"/>
          <w:b/>
          <w:bCs/>
          <w:sz w:val="19"/>
          <w:szCs w:val="19"/>
          <w:rtl/>
        </w:rPr>
        <w:t>העברות תקציב בין סעיפים:</w:t>
      </w:r>
      <w:r w:rsidRPr="00625723">
        <w:rPr>
          <w:rFonts w:ascii="Tahoma" w:eastAsia="Calibri" w:hAnsi="Tahoma" w:cs="Tahoma"/>
          <w:sz w:val="19"/>
          <w:szCs w:val="19"/>
          <w:rtl/>
        </w:rPr>
        <w:t xml:space="preserve"> העברות אלו משפיעות באופן ישיר על המבנה הפנימי של הסעיפים השונים, על סך </w:t>
      </w:r>
      <w:r w:rsidRPr="00A9444C">
        <w:rPr>
          <w:rFonts w:ascii="Tahoma" w:eastAsia="Calibri" w:hAnsi="Tahoma" w:cs="Tahoma"/>
          <w:sz w:val="19"/>
          <w:szCs w:val="19"/>
          <w:rtl/>
        </w:rPr>
        <w:t xml:space="preserve">התקציב </w:t>
      </w:r>
      <w:r w:rsidRPr="00625723">
        <w:rPr>
          <w:rFonts w:ascii="Tahoma" w:eastAsia="Calibri" w:hAnsi="Tahoma" w:cs="Tahoma"/>
          <w:sz w:val="19"/>
          <w:szCs w:val="19"/>
          <w:rtl/>
        </w:rPr>
        <w:t xml:space="preserve">שהוקצה לכל סעיף ועל היחסים בין אשכולות התקציב השונים. </w:t>
      </w:r>
      <w:bookmarkStart w:id="2" w:name="_Hlk221531834"/>
      <w:r w:rsidRPr="00625723">
        <w:rPr>
          <w:rFonts w:ascii="Tahoma" w:eastAsia="Calibri" w:hAnsi="Tahoma" w:cs="Tahoma" w:hint="cs"/>
          <w:sz w:val="19"/>
          <w:szCs w:val="19"/>
          <w:rtl/>
        </w:rPr>
        <w:t>בהתאם לחוק יסודות התקציב, ההעברה נעשית דרך סעיף הרזרבה הכללית בהודעה לוועדה, ומשם באישור ועדת הכספים אם הסכום עולה על 1,940,000 או 15% מהתוכנית המקורית אליו מועבר הסכום.</w:t>
      </w:r>
      <w:bookmarkEnd w:id="2"/>
    </w:p>
    <w:p w:rsidR="00625723" w:rsidRPr="00625723" w:rsidP="00625723" w14:paraId="43C3E063" w14:textId="77777777">
      <w:pPr>
        <w:ind w:left="720"/>
        <w:contextualSpacing/>
        <w:rPr>
          <w:rFonts w:ascii="Tahoma" w:eastAsia="Calibri" w:hAnsi="Tahoma" w:cs="Tahoma"/>
          <w:sz w:val="8"/>
          <w:szCs w:val="8"/>
          <w:rtl/>
        </w:rPr>
      </w:pPr>
    </w:p>
    <w:p w:rsidR="00625723" w:rsidP="007C66DF" w14:paraId="4C84192B" w14:textId="77777777">
      <w:pPr>
        <w:numPr>
          <w:ilvl w:val="0"/>
          <w:numId w:val="16"/>
        </w:numPr>
        <w:spacing w:line="288" w:lineRule="auto"/>
        <w:ind w:left="-284" w:right="-567"/>
        <w:contextualSpacing/>
        <w:rPr>
          <w:rFonts w:ascii="Tahoma" w:eastAsia="Calibri" w:hAnsi="Tahoma" w:cs="Tahoma"/>
          <w:sz w:val="19"/>
          <w:szCs w:val="19"/>
        </w:rPr>
      </w:pPr>
      <w:r w:rsidRPr="00625723">
        <w:rPr>
          <w:rFonts w:ascii="Tahoma" w:eastAsia="Calibri" w:hAnsi="Tahoma" w:cs="Tahoma"/>
          <w:b/>
          <w:bCs/>
          <w:sz w:val="19"/>
          <w:szCs w:val="19"/>
          <w:rtl/>
        </w:rPr>
        <w:t>העברת עודפי תקציב מהשנה הקודמת:</w:t>
      </w:r>
      <w:r w:rsidRPr="00625723">
        <w:rPr>
          <w:rFonts w:ascii="Tahoma" w:eastAsia="Calibri" w:hAnsi="Tahoma" w:cs="Tahoma"/>
          <w:sz w:val="19"/>
          <w:szCs w:val="19"/>
          <w:rtl/>
        </w:rPr>
        <w:t xml:space="preserve"> ניצול יתרות תקציביות שלא </w:t>
      </w:r>
      <w:r w:rsidRPr="00625723">
        <w:rPr>
          <w:rFonts w:ascii="Tahoma" w:eastAsia="Calibri" w:hAnsi="Tahoma" w:cs="Tahoma" w:hint="cs"/>
          <w:sz w:val="19"/>
          <w:szCs w:val="19"/>
          <w:rtl/>
        </w:rPr>
        <w:t>בוצעו</w:t>
      </w:r>
      <w:r w:rsidRPr="00625723">
        <w:rPr>
          <w:rFonts w:ascii="Tahoma" w:eastAsia="Calibri" w:hAnsi="Tahoma" w:cs="Tahoma"/>
          <w:sz w:val="19"/>
          <w:szCs w:val="19"/>
          <w:rtl/>
        </w:rPr>
        <w:t xml:space="preserve"> בשנה הקודמת, לטובת פעילויות בשנה הנוכחית. </w:t>
      </w:r>
      <w:bookmarkStart w:id="3" w:name="_Hlk221531848"/>
      <w:r w:rsidRPr="00A9444C">
        <w:rPr>
          <w:rFonts w:ascii="Tahoma" w:eastAsia="Calibri" w:hAnsi="Tahoma" w:cs="Tahoma" w:hint="cs"/>
          <w:sz w:val="19"/>
          <w:szCs w:val="19"/>
          <w:rtl/>
        </w:rPr>
        <w:t xml:space="preserve">בהתאם </w:t>
      </w:r>
      <w:r w:rsidRPr="00625723">
        <w:rPr>
          <w:rFonts w:ascii="Tahoma" w:eastAsia="Calibri" w:hAnsi="Tahoma" w:cs="Tahoma" w:hint="cs"/>
          <w:sz w:val="19"/>
          <w:szCs w:val="19"/>
          <w:rtl/>
        </w:rPr>
        <w:t>לחוק יסודות התקציב העברת העודפים נעשית לסעיף בו נכללה התוכנית המקורית, באמצעות הודעה של שר האוצר לוועדת הכספים.</w:t>
      </w:r>
      <w:bookmarkEnd w:id="3"/>
      <w:r w:rsidRPr="00625723">
        <w:rPr>
          <w:rFonts w:ascii="Tahoma" w:eastAsia="Calibri" w:hAnsi="Tahoma" w:cs="Tahoma" w:hint="cs"/>
          <w:sz w:val="19"/>
          <w:szCs w:val="19"/>
          <w:rtl/>
        </w:rPr>
        <w:t xml:space="preserve"> </w:t>
      </w:r>
    </w:p>
    <w:p w:rsidR="007C66DF" w:rsidRPr="007C66DF" w:rsidP="007C66DF" w14:paraId="02C67359" w14:textId="77777777">
      <w:pPr>
        <w:pStyle w:val="ListParagraph"/>
        <w:rPr>
          <w:rFonts w:ascii="Tahoma" w:eastAsia="Calibri" w:hAnsi="Tahoma" w:cs="Tahoma"/>
          <w:sz w:val="8"/>
          <w:szCs w:val="8"/>
          <w:rtl/>
        </w:rPr>
      </w:pPr>
    </w:p>
    <w:p w:rsidR="00625723" w:rsidRPr="00625723" w:rsidP="00625723" w14:paraId="1243BFF4" w14:textId="77777777">
      <w:pPr>
        <w:spacing w:after="120" w:line="288" w:lineRule="auto"/>
        <w:ind w:left="-709" w:right="-567"/>
        <w:rPr>
          <w:rFonts w:eastAsia="Calibri"/>
          <w:rtl/>
        </w:rPr>
      </w:pPr>
      <w:r w:rsidRPr="00625723">
        <w:rPr>
          <w:rFonts w:ascii="Tahoma" w:eastAsia="Calibri" w:hAnsi="Tahoma" w:cs="Tahoma"/>
          <w:sz w:val="19"/>
          <w:szCs w:val="19"/>
          <w:rtl/>
        </w:rPr>
        <w:t>במהותם, שינויים אלו מאפשרים גמישות ניהולית והתאמה של התקציב לצרכים המשתנים של הממשלה במהלך השנה.</w:t>
      </w:r>
    </w:p>
    <w:p w:rsidR="00625723" w:rsidRPr="00625723" w:rsidP="00625723" w14:paraId="4C27A3F9" w14:textId="77777777">
      <w:pPr>
        <w:spacing w:after="60" w:line="288" w:lineRule="auto"/>
        <w:ind w:left="-709" w:right="-567"/>
        <w:rPr>
          <w:rFonts w:ascii="Tahoma" w:eastAsia="Calibri" w:hAnsi="Tahoma" w:cs="Tahoma"/>
          <w:sz w:val="19"/>
          <w:szCs w:val="19"/>
          <w:rtl/>
        </w:rPr>
      </w:pPr>
      <w:bookmarkStart w:id="4" w:name="_Hlk229987979"/>
      <w:r w:rsidRPr="00625723">
        <w:rPr>
          <w:rFonts w:ascii="Tahoma" w:eastAsia="Calibri" w:hAnsi="Tahoma" w:cs="Tahoma"/>
          <w:sz w:val="19"/>
          <w:szCs w:val="19"/>
          <w:rtl/>
        </w:rPr>
        <w:t xml:space="preserve">שנת 2024 התאפיינה בכמות גבוהה של שינויים והעברות תקציביות בחוק התקציב, בריבוי העברות תקציביות בשלהי שנת התקציב (בדצמבר 2024 אושרו 77 פניות תקציביות בסכום כספי ברוטו של כ-30.4 מיליארד ש"ח), בין היתר בשל החלטות ממשלה חדשות שהתקבלו, וכן בבקשות לשינויים שוועדת הכספים של הכנסת לא </w:t>
      </w:r>
      <w:r w:rsidRPr="00625723">
        <w:rPr>
          <w:rFonts w:ascii="Tahoma" w:eastAsia="Calibri" w:hAnsi="Tahoma" w:cs="Tahoma" w:hint="cs"/>
          <w:sz w:val="19"/>
          <w:szCs w:val="19"/>
          <w:rtl/>
        </w:rPr>
        <w:t>דנה בהן</w:t>
      </w:r>
      <w:r w:rsidRPr="00625723">
        <w:rPr>
          <w:rFonts w:ascii="Tahoma" w:eastAsia="Calibri" w:hAnsi="Tahoma" w:cs="Tahoma"/>
          <w:sz w:val="19"/>
          <w:szCs w:val="19"/>
          <w:rtl/>
        </w:rPr>
        <w:t>.</w:t>
      </w:r>
      <w:bookmarkEnd w:id="4"/>
    </w:p>
    <w:p w:rsidR="00625723" w:rsidRPr="00625723" w:rsidP="00625723" w14:paraId="27CA5802" w14:textId="77777777">
      <w:pPr>
        <w:bidi w:val="0"/>
        <w:spacing w:after="160" w:line="259" w:lineRule="auto"/>
        <w:jc w:val="left"/>
        <w:rPr>
          <w:rFonts w:ascii="Tahoma" w:eastAsia="Calibri" w:hAnsi="Tahoma" w:cs="Tahoma"/>
          <w:sz w:val="19"/>
          <w:szCs w:val="19"/>
          <w:rtl/>
        </w:rPr>
      </w:pPr>
      <w:r w:rsidRPr="00625723">
        <w:rPr>
          <w:rFonts w:ascii="Tahoma" w:eastAsia="Calibri" w:hAnsi="Tahoma" w:cs="Tahoma"/>
          <w:sz w:val="19"/>
          <w:szCs w:val="19"/>
          <w:rtl/>
        </w:rPr>
        <w:br w:type="page"/>
      </w:r>
    </w:p>
    <w:p w:rsidR="00625723" w:rsidRPr="00625723" w:rsidP="00625723" w14:paraId="189F0252" w14:textId="77777777">
      <w:pPr>
        <w:ind w:left="-851"/>
        <w:rPr>
          <w:rFonts w:eastAsia="Calibri"/>
          <w:rtl/>
        </w:rPr>
      </w:pPr>
      <w:r w:rsidRPr="00625723">
        <w:rPr>
          <w:rFonts w:ascii="Tahoma" w:eastAsia="Calibri" w:hAnsi="Tahoma" w:cs="Tahoma"/>
          <w:noProof/>
          <w:rtl/>
        </w:rPr>
        <w:drawing>
          <wp:inline distT="0" distB="0" distL="0" distR="0">
            <wp:extent cx="1674111" cy="381000"/>
            <wp:effectExtent l="0" t="0" r="254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קציר-04.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625723" w:rsidRPr="00625723" w:rsidP="00625723" w14:paraId="2728C31B" w14:textId="77777777">
      <w:pPr>
        <w:ind w:left="-710"/>
        <w:rPr>
          <w:rFonts w:eastAsia="Calibri"/>
          <w:sz w:val="4"/>
          <w:szCs w:val="8"/>
          <w:rtl/>
        </w:rPr>
      </w:pPr>
    </w:p>
    <w:tbl>
      <w:tblPr>
        <w:tblStyle w:val="26"/>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1"/>
        <w:gridCol w:w="277"/>
        <w:gridCol w:w="2274"/>
        <w:gridCol w:w="278"/>
        <w:gridCol w:w="2274"/>
        <w:gridCol w:w="278"/>
        <w:gridCol w:w="1990"/>
      </w:tblGrid>
      <w:tr w14:paraId="65413A65" w14:textId="77777777" w:rsidTr="00306F76">
        <w:tblPrEx>
          <w:tblW w:w="9642" w:type="dxa"/>
          <w:tblLook w:val="04A0"/>
        </w:tblPrEx>
        <w:trPr>
          <w:trHeight w:val="283"/>
        </w:trPr>
        <w:tc>
          <w:tcPr>
            <w:tcW w:w="2271" w:type="dxa"/>
            <w:tcBorders>
              <w:bottom w:val="single" w:sz="12" w:space="0" w:color="auto"/>
            </w:tcBorders>
            <w:shd w:val="clear" w:color="auto" w:fill="auto"/>
            <w:vAlign w:val="bottom"/>
          </w:tcPr>
          <w:p w:rsidR="00625723" w:rsidRPr="00625723" w:rsidP="00625723" w14:paraId="61D1A8F1" w14:textId="77777777">
            <w:pPr>
              <w:spacing w:after="60" w:line="240" w:lineRule="auto"/>
              <w:rPr>
                <w:rFonts w:ascii="Tahoma" w:eastAsia="Calibri" w:hAnsi="Tahoma" w:cs="Tahoma"/>
                <w:spacing w:val="-10"/>
                <w:sz w:val="36"/>
                <w:szCs w:val="36"/>
                <w:rtl/>
              </w:rPr>
            </w:pPr>
            <w:r w:rsidRPr="00625723">
              <w:rPr>
                <w:rFonts w:ascii="Tahoma" w:eastAsia="Calibri" w:hAnsi="Tahoma" w:cs="Tahoma" w:hint="cs"/>
                <w:spacing w:val="-10"/>
                <w:sz w:val="36"/>
                <w:szCs w:val="36"/>
                <w:rtl/>
              </w:rPr>
              <w:t xml:space="preserve">30.4 </w:t>
            </w:r>
            <w:r w:rsidRPr="00625723">
              <w:rPr>
                <w:rFonts w:ascii="Tahoma" w:eastAsia="Calibri" w:hAnsi="Tahoma" w:cs="Tahoma"/>
                <w:spacing w:val="-10"/>
                <w:sz w:val="26"/>
                <w:szCs w:val="26"/>
                <w:rtl/>
              </w:rPr>
              <w:br/>
            </w:r>
            <w:r w:rsidRPr="00625723">
              <w:rPr>
                <w:rFonts w:ascii="Tahoma" w:eastAsia="Calibri" w:hAnsi="Tahoma" w:cs="Tahoma" w:hint="cs"/>
                <w:spacing w:val="-10"/>
                <w:sz w:val="26"/>
                <w:szCs w:val="26"/>
                <w:rtl/>
              </w:rPr>
              <w:t>מיליארד ש"ח</w:t>
            </w:r>
          </w:p>
        </w:tc>
        <w:tc>
          <w:tcPr>
            <w:tcW w:w="277" w:type="dxa"/>
          </w:tcPr>
          <w:p w:rsidR="00625723" w:rsidRPr="00625723" w:rsidP="00625723" w14:paraId="434AFFFD" w14:textId="77777777">
            <w:pPr>
              <w:spacing w:line="240" w:lineRule="auto"/>
              <w:rPr>
                <w:rFonts w:ascii="Tahoma" w:eastAsia="Calibri" w:hAnsi="Tahoma" w:cs="Tahoma"/>
                <w:spacing w:val="-10"/>
              </w:rPr>
            </w:pPr>
          </w:p>
        </w:tc>
        <w:tc>
          <w:tcPr>
            <w:tcW w:w="2274" w:type="dxa"/>
            <w:tcBorders>
              <w:bottom w:val="single" w:sz="12" w:space="0" w:color="auto"/>
            </w:tcBorders>
            <w:vAlign w:val="bottom"/>
          </w:tcPr>
          <w:p w:rsidR="00625723" w:rsidRPr="00625723" w:rsidP="00625723" w14:paraId="2F4B6FF7" w14:textId="77777777">
            <w:pPr>
              <w:spacing w:after="60" w:line="240" w:lineRule="auto"/>
              <w:rPr>
                <w:rFonts w:ascii="Tahoma" w:eastAsia="Calibri" w:hAnsi="Tahoma" w:cs="Tahoma"/>
                <w:spacing w:val="-10"/>
                <w:sz w:val="36"/>
                <w:szCs w:val="36"/>
                <w:rtl/>
              </w:rPr>
            </w:pPr>
            <w:r w:rsidRPr="00625723">
              <w:rPr>
                <w:rFonts w:ascii="Tahoma" w:eastAsia="Calibri" w:hAnsi="Tahoma" w:cs="Tahoma" w:hint="cs"/>
                <w:spacing w:val="-10"/>
                <w:sz w:val="36"/>
                <w:szCs w:val="36"/>
                <w:rtl/>
              </w:rPr>
              <w:t xml:space="preserve">4 </w:t>
            </w:r>
            <w:r w:rsidRPr="00625723">
              <w:rPr>
                <w:rFonts w:ascii="Tahoma" w:eastAsia="Calibri" w:hAnsi="Tahoma" w:cs="Tahoma" w:hint="cs"/>
                <w:spacing w:val="-10"/>
                <w:sz w:val="26"/>
                <w:szCs w:val="26"/>
                <w:rtl/>
              </w:rPr>
              <w:t>מיליארד ש"ח</w:t>
            </w:r>
          </w:p>
        </w:tc>
        <w:tc>
          <w:tcPr>
            <w:tcW w:w="278" w:type="dxa"/>
          </w:tcPr>
          <w:p w:rsidR="00625723" w:rsidRPr="00625723" w:rsidP="00625723" w14:paraId="7C133583" w14:textId="77777777">
            <w:pPr>
              <w:spacing w:line="240" w:lineRule="auto"/>
              <w:rPr>
                <w:rFonts w:ascii="Tahoma" w:eastAsia="Calibri" w:hAnsi="Tahoma" w:cs="Tahoma"/>
                <w:spacing w:val="-10"/>
              </w:rPr>
            </w:pPr>
          </w:p>
        </w:tc>
        <w:tc>
          <w:tcPr>
            <w:tcW w:w="2274" w:type="dxa"/>
            <w:tcBorders>
              <w:bottom w:val="single" w:sz="12" w:space="0" w:color="auto"/>
            </w:tcBorders>
          </w:tcPr>
          <w:p w:rsidR="00625723" w:rsidRPr="00625723" w:rsidP="00625723" w14:paraId="07F8DA2E" w14:textId="77777777">
            <w:pPr>
              <w:spacing w:line="240" w:lineRule="auto"/>
              <w:rPr>
                <w:rFonts w:ascii="Tahoma" w:eastAsia="Calibri" w:hAnsi="Tahoma" w:cs="Tahoma"/>
                <w:spacing w:val="-10"/>
                <w:sz w:val="36"/>
                <w:szCs w:val="36"/>
              </w:rPr>
            </w:pPr>
            <w:r w:rsidRPr="00625723">
              <w:rPr>
                <w:rFonts w:ascii="Tahoma" w:eastAsia="Calibri" w:hAnsi="Tahoma" w:cs="Tahoma" w:hint="cs"/>
                <w:spacing w:val="-10"/>
                <w:sz w:val="36"/>
                <w:szCs w:val="36"/>
                <w:rtl/>
              </w:rPr>
              <w:t xml:space="preserve">64 </w:t>
            </w:r>
            <w:r w:rsidRPr="00625723">
              <w:rPr>
                <w:rFonts w:ascii="Tahoma" w:eastAsia="Calibri" w:hAnsi="Tahoma" w:cs="Tahoma"/>
                <w:spacing w:val="-10"/>
                <w:sz w:val="36"/>
                <w:szCs w:val="36"/>
                <w:rtl/>
              </w:rPr>
              <w:br/>
            </w:r>
            <w:r w:rsidRPr="00625723">
              <w:rPr>
                <w:rFonts w:ascii="Tahoma" w:eastAsia="Calibri" w:hAnsi="Tahoma" w:cs="Tahoma" w:hint="cs"/>
                <w:spacing w:val="-10"/>
                <w:sz w:val="26"/>
                <w:szCs w:val="26"/>
                <w:rtl/>
              </w:rPr>
              <w:t>פניות תקציביות</w:t>
            </w:r>
          </w:p>
        </w:tc>
        <w:tc>
          <w:tcPr>
            <w:tcW w:w="278" w:type="dxa"/>
          </w:tcPr>
          <w:p w:rsidR="00625723" w:rsidRPr="00625723" w:rsidP="00625723" w14:paraId="70D6C64A" w14:textId="77777777">
            <w:pPr>
              <w:spacing w:line="240" w:lineRule="auto"/>
              <w:rPr>
                <w:rFonts w:ascii="Tahoma" w:eastAsia="Calibri" w:hAnsi="Tahoma" w:cs="Tahoma"/>
                <w:spacing w:val="-10"/>
              </w:rPr>
            </w:pPr>
          </w:p>
        </w:tc>
        <w:tc>
          <w:tcPr>
            <w:tcW w:w="1990" w:type="dxa"/>
            <w:tcBorders>
              <w:bottom w:val="single" w:sz="12" w:space="0" w:color="auto"/>
            </w:tcBorders>
            <w:vAlign w:val="center"/>
          </w:tcPr>
          <w:p w:rsidR="00625723" w:rsidRPr="00625723" w:rsidP="00625723" w14:paraId="7A81EBD5" w14:textId="77777777">
            <w:pPr>
              <w:spacing w:after="60" w:line="240" w:lineRule="auto"/>
              <w:rPr>
                <w:rFonts w:ascii="Tahoma" w:eastAsia="Calibri" w:hAnsi="Tahoma" w:cs="Tahoma"/>
                <w:spacing w:val="-10"/>
                <w:sz w:val="36"/>
                <w:szCs w:val="36"/>
                <w:rtl/>
              </w:rPr>
            </w:pPr>
            <w:r w:rsidRPr="00625723">
              <w:rPr>
                <w:rFonts w:ascii="Tahoma" w:eastAsia="Calibri" w:hAnsi="Tahoma" w:cs="Tahoma" w:hint="cs"/>
                <w:spacing w:val="-10"/>
                <w:sz w:val="36"/>
                <w:szCs w:val="36"/>
                <w:rtl/>
              </w:rPr>
              <w:t xml:space="preserve">4.6 </w:t>
            </w:r>
            <w:r w:rsidRPr="00625723">
              <w:rPr>
                <w:rFonts w:ascii="Tahoma" w:eastAsia="Calibri" w:hAnsi="Tahoma" w:cs="Tahoma"/>
                <w:spacing w:val="-10"/>
                <w:sz w:val="26"/>
                <w:szCs w:val="26"/>
                <w:rtl/>
              </w:rPr>
              <w:br/>
            </w:r>
            <w:r w:rsidRPr="00625723">
              <w:rPr>
                <w:rFonts w:ascii="Tahoma" w:eastAsia="Calibri" w:hAnsi="Tahoma" w:cs="Tahoma" w:hint="cs"/>
                <w:spacing w:val="-10"/>
                <w:sz w:val="26"/>
                <w:szCs w:val="26"/>
                <w:rtl/>
              </w:rPr>
              <w:t>מיליארד ש"ח</w:t>
            </w:r>
          </w:p>
        </w:tc>
      </w:tr>
      <w:tr w14:paraId="0CECA45A" w14:textId="77777777" w:rsidTr="00306F76">
        <w:tblPrEx>
          <w:tblW w:w="9642" w:type="dxa"/>
          <w:tblLook w:val="04A0"/>
        </w:tblPrEx>
        <w:trPr>
          <w:trHeight w:val="85"/>
        </w:trPr>
        <w:tc>
          <w:tcPr>
            <w:tcW w:w="9642" w:type="dxa"/>
            <w:gridSpan w:val="7"/>
            <w:shd w:val="clear" w:color="auto" w:fill="auto"/>
            <w:vAlign w:val="center"/>
          </w:tcPr>
          <w:p w:rsidR="00625723" w:rsidRPr="00625723" w:rsidP="00625723" w14:paraId="126A23D0" w14:textId="77777777">
            <w:pPr>
              <w:rPr>
                <w:rFonts w:ascii="Tahoma" w:eastAsia="Calibri" w:hAnsi="Tahoma" w:cs="Tahoma"/>
                <w:spacing w:val="-10"/>
                <w:sz w:val="6"/>
                <w:szCs w:val="6"/>
                <w:rtl/>
              </w:rPr>
            </w:pPr>
          </w:p>
        </w:tc>
      </w:tr>
      <w:tr w14:paraId="3A370419" w14:textId="77777777" w:rsidTr="00306F76">
        <w:tblPrEx>
          <w:tblW w:w="9642" w:type="dxa"/>
          <w:tblLook w:val="04A0"/>
        </w:tblPrEx>
        <w:trPr>
          <w:trHeight w:val="1155"/>
        </w:trPr>
        <w:tc>
          <w:tcPr>
            <w:tcW w:w="2271" w:type="dxa"/>
          </w:tcPr>
          <w:p w:rsidR="00625723" w:rsidRPr="00625723" w:rsidP="00625723" w14:paraId="6D69D69A" w14:textId="77777777">
            <w:pPr>
              <w:spacing w:line="240" w:lineRule="auto"/>
              <w:ind w:right="23"/>
              <w:rPr>
                <w:rFonts w:ascii="Tahoma" w:eastAsia="Calibri" w:hAnsi="Tahoma" w:cs="Tahoma"/>
                <w:sz w:val="19"/>
                <w:szCs w:val="19"/>
                <w:rtl/>
              </w:rPr>
            </w:pPr>
            <w:r w:rsidRPr="00625723">
              <w:rPr>
                <w:rFonts w:ascii="Tahoma" w:eastAsia="Calibri" w:hAnsi="Tahoma" w:cs="Tahoma" w:hint="cs"/>
                <w:sz w:val="19"/>
                <w:szCs w:val="19"/>
                <w:rtl/>
              </w:rPr>
              <w:t>הסכום הכספי ברוטו</w:t>
            </w:r>
            <w:r>
              <w:rPr>
                <w:rFonts w:ascii="Tahoma" w:eastAsia="Calibri" w:hAnsi="Tahoma" w:cs="Tahoma"/>
                <w:sz w:val="19"/>
                <w:szCs w:val="19"/>
                <w:vertAlign w:val="superscript"/>
                <w:rtl/>
              </w:rPr>
              <w:footnoteReference w:id="2"/>
            </w:r>
            <w:r w:rsidRPr="00625723">
              <w:rPr>
                <w:rFonts w:ascii="Tahoma" w:eastAsia="Calibri" w:hAnsi="Tahoma" w:cs="Tahoma" w:hint="cs"/>
                <w:sz w:val="19"/>
                <w:szCs w:val="19"/>
                <w:rtl/>
              </w:rPr>
              <w:t xml:space="preserve"> של 77 הפניות התקציביות הכוללות בקשות לשינוי תקציבי שאושרו בוועדת הכספים של הכנסת בדצמבר 2024. זאת בהשוואה לכ-18.4 מיליארד ש"ח בדצמבר 2017</w:t>
            </w:r>
          </w:p>
        </w:tc>
        <w:tc>
          <w:tcPr>
            <w:tcW w:w="277" w:type="dxa"/>
          </w:tcPr>
          <w:p w:rsidR="00625723" w:rsidRPr="00625723" w:rsidP="00625723" w14:paraId="105ABDD8" w14:textId="77777777">
            <w:pPr>
              <w:spacing w:line="240" w:lineRule="exact"/>
              <w:rPr>
                <w:rFonts w:ascii="Tahoma" w:eastAsia="Calibri" w:hAnsi="Tahoma" w:cs="Tahoma"/>
                <w:szCs w:val="24"/>
                <w:rtl/>
              </w:rPr>
            </w:pPr>
          </w:p>
        </w:tc>
        <w:tc>
          <w:tcPr>
            <w:tcW w:w="2274" w:type="dxa"/>
          </w:tcPr>
          <w:p w:rsidR="00625723" w:rsidRPr="00625723" w:rsidP="00625723" w14:paraId="0431D087" w14:textId="77777777">
            <w:pPr>
              <w:spacing w:line="240" w:lineRule="auto"/>
              <w:ind w:right="23"/>
              <w:rPr>
                <w:rFonts w:ascii="Tahoma" w:eastAsia="Calibri" w:hAnsi="Tahoma" w:cs="Tahoma"/>
                <w:sz w:val="19"/>
                <w:szCs w:val="19"/>
                <w:rtl/>
              </w:rPr>
            </w:pPr>
            <w:r w:rsidRPr="00625723">
              <w:rPr>
                <w:rFonts w:ascii="Tahoma" w:eastAsia="Calibri" w:hAnsi="Tahoma" w:cs="Tahoma" w:hint="cs"/>
                <w:sz w:val="19"/>
                <w:szCs w:val="19"/>
                <w:rtl/>
              </w:rPr>
              <w:t>הסכום הגדול ביותר של תוספות תקציביות שאושרו ב-31 בדצמבר 2024 היה בסעיף משרד החינוך בשל פנייה תקציבית שהגיש שר האוצר באמצעות אגף התקציבים יום לפני תום שנת הכספים</w:t>
            </w:r>
          </w:p>
        </w:tc>
        <w:tc>
          <w:tcPr>
            <w:tcW w:w="278" w:type="dxa"/>
          </w:tcPr>
          <w:p w:rsidR="00625723" w:rsidRPr="00625723" w:rsidP="00625723" w14:paraId="06198258" w14:textId="77777777">
            <w:pPr>
              <w:spacing w:line="240" w:lineRule="exact"/>
              <w:rPr>
                <w:rFonts w:ascii="Tahoma" w:eastAsia="Calibri" w:hAnsi="Tahoma" w:cs="Tahoma"/>
                <w:sz w:val="19"/>
                <w:szCs w:val="19"/>
                <w:rtl/>
              </w:rPr>
            </w:pPr>
          </w:p>
        </w:tc>
        <w:tc>
          <w:tcPr>
            <w:tcW w:w="2274" w:type="dxa"/>
          </w:tcPr>
          <w:p w:rsidR="00625723" w:rsidRPr="00625723" w:rsidP="00625723" w14:paraId="1BAA1F65" w14:textId="77777777">
            <w:pPr>
              <w:spacing w:line="240" w:lineRule="auto"/>
              <w:ind w:right="23"/>
              <w:rPr>
                <w:rFonts w:ascii="Tahoma" w:eastAsia="Calibri" w:hAnsi="Tahoma" w:cs="Tahoma"/>
                <w:sz w:val="19"/>
                <w:szCs w:val="19"/>
                <w:rtl/>
              </w:rPr>
            </w:pPr>
            <w:r w:rsidRPr="00625723">
              <w:rPr>
                <w:rFonts w:ascii="Tahoma" w:eastAsia="Calibri" w:hAnsi="Tahoma" w:cs="Tahoma" w:hint="cs"/>
                <w:sz w:val="19"/>
                <w:szCs w:val="19"/>
                <w:rtl/>
              </w:rPr>
              <w:t>מספר הפניות התקציביות הכוללות בקשות לשינוי תקציבי שהגיש שר האוצר באמצעות אגף התקציבים לוועדת הכספים של הכנסת ואושרו בדצמבר 2024</w:t>
            </w:r>
          </w:p>
        </w:tc>
        <w:tc>
          <w:tcPr>
            <w:tcW w:w="278" w:type="dxa"/>
          </w:tcPr>
          <w:p w:rsidR="00625723" w:rsidRPr="00625723" w:rsidP="00625723" w14:paraId="68832CB9" w14:textId="77777777">
            <w:pPr>
              <w:spacing w:line="240" w:lineRule="exact"/>
              <w:rPr>
                <w:rFonts w:ascii="Tahoma" w:eastAsia="Calibri" w:hAnsi="Tahoma" w:cs="Tahoma"/>
                <w:sz w:val="19"/>
                <w:szCs w:val="19"/>
                <w:rtl/>
              </w:rPr>
            </w:pPr>
          </w:p>
        </w:tc>
        <w:tc>
          <w:tcPr>
            <w:tcW w:w="1990" w:type="dxa"/>
          </w:tcPr>
          <w:p w:rsidR="00625723" w:rsidRPr="00625723" w:rsidP="00625723" w14:paraId="0B57968B" w14:textId="77777777">
            <w:pPr>
              <w:spacing w:line="240" w:lineRule="auto"/>
              <w:ind w:right="23"/>
              <w:rPr>
                <w:rFonts w:ascii="Tahoma" w:eastAsia="Calibri" w:hAnsi="Tahoma" w:cs="Tahoma"/>
                <w:sz w:val="19"/>
                <w:szCs w:val="19"/>
                <w:rtl/>
              </w:rPr>
            </w:pPr>
            <w:r w:rsidRPr="00625723">
              <w:rPr>
                <w:rFonts w:ascii="Tahoma" w:eastAsia="Calibri" w:hAnsi="Tahoma" w:cs="Tahoma" w:hint="cs"/>
                <w:sz w:val="19"/>
                <w:szCs w:val="19"/>
                <w:rtl/>
              </w:rPr>
              <w:t>הסכום הכספי ברוטו של 31 הפניות התקציביות שהגיש שר האוצר באמצעות אגף התקציבים לוועדת הכספים של הכנסת לפני תום שנת הכספים 2024, אך לא נדונו וממילא לא אושרו בוועדה באותה השנה</w:t>
            </w:r>
          </w:p>
        </w:tc>
      </w:tr>
      <w:tr w14:paraId="3757BB1D" w14:textId="77777777" w:rsidTr="00306F76">
        <w:tblPrEx>
          <w:tblW w:w="9642" w:type="dxa"/>
          <w:tblLook w:val="04A0"/>
        </w:tblPrEx>
        <w:trPr>
          <w:trHeight w:val="363"/>
        </w:trPr>
        <w:tc>
          <w:tcPr>
            <w:tcW w:w="9642" w:type="dxa"/>
            <w:gridSpan w:val="7"/>
          </w:tcPr>
          <w:p w:rsidR="00625723" w:rsidRPr="00625723" w:rsidP="00625723" w14:paraId="6BA5165C" w14:textId="77777777">
            <w:pPr>
              <w:jc w:val="center"/>
              <w:rPr>
                <w:rFonts w:ascii="Tahoma" w:eastAsia="Calibri" w:hAnsi="Tahoma" w:cs="Tahoma"/>
                <w:sz w:val="6"/>
                <w:szCs w:val="6"/>
                <w:rtl/>
              </w:rPr>
            </w:pPr>
          </w:p>
        </w:tc>
      </w:tr>
      <w:tr w14:paraId="2EB467D0" w14:textId="77777777" w:rsidTr="00306F76">
        <w:tblPrEx>
          <w:tblW w:w="9642" w:type="dxa"/>
          <w:tblLook w:val="04A0"/>
        </w:tblPrEx>
        <w:trPr>
          <w:trHeight w:val="227"/>
        </w:trPr>
        <w:tc>
          <w:tcPr>
            <w:tcW w:w="2271" w:type="dxa"/>
            <w:tcBorders>
              <w:bottom w:val="single" w:sz="12" w:space="0" w:color="auto"/>
            </w:tcBorders>
            <w:vAlign w:val="center"/>
          </w:tcPr>
          <w:p w:rsidR="00625723" w:rsidRPr="00625723" w:rsidP="00625723" w14:paraId="3BB20C65" w14:textId="77777777">
            <w:pPr>
              <w:spacing w:after="60" w:line="240" w:lineRule="auto"/>
              <w:rPr>
                <w:rFonts w:ascii="Tahoma" w:eastAsia="Calibri" w:hAnsi="Tahoma" w:cs="Tahoma"/>
                <w:spacing w:val="-10"/>
                <w:sz w:val="36"/>
                <w:szCs w:val="36"/>
              </w:rPr>
            </w:pPr>
            <w:r w:rsidRPr="00625723">
              <w:rPr>
                <w:rFonts w:ascii="Tahoma" w:eastAsia="Calibri" w:hAnsi="Tahoma" w:cs="Tahoma" w:hint="cs"/>
                <w:spacing w:val="-10"/>
                <w:sz w:val="36"/>
                <w:szCs w:val="36"/>
                <w:rtl/>
              </w:rPr>
              <w:t>5.95%</w:t>
            </w:r>
            <w:r w:rsidRPr="00625723">
              <w:rPr>
                <w:rFonts w:ascii="Tahoma" w:eastAsia="Calibri" w:hAnsi="Tahoma" w:cs="Tahoma" w:hint="cs"/>
                <w:spacing w:val="-10"/>
                <w:sz w:val="24"/>
                <w:szCs w:val="24"/>
                <w:rtl/>
              </w:rPr>
              <w:t xml:space="preserve"> - </w:t>
            </w:r>
            <w:r w:rsidRPr="00625723">
              <w:rPr>
                <w:rFonts w:ascii="Tahoma" w:eastAsia="Calibri" w:hAnsi="Tahoma" w:cs="Tahoma" w:hint="cs"/>
                <w:spacing w:val="-10"/>
                <w:sz w:val="26"/>
                <w:szCs w:val="26"/>
                <w:rtl/>
              </w:rPr>
              <w:t xml:space="preserve">שהם </w:t>
            </w:r>
            <w:r w:rsidRPr="00625723">
              <w:rPr>
                <w:rFonts w:ascii="Tahoma" w:eastAsia="Calibri" w:hAnsi="Tahoma" w:cs="Tahoma"/>
                <w:spacing w:val="-10"/>
                <w:sz w:val="26"/>
                <w:szCs w:val="26"/>
                <w:rtl/>
              </w:rPr>
              <w:br/>
            </w:r>
            <w:r w:rsidRPr="00625723">
              <w:rPr>
                <w:rFonts w:ascii="Tahoma" w:eastAsia="Calibri" w:hAnsi="Tahoma" w:cs="Tahoma" w:hint="cs"/>
                <w:spacing w:val="-10"/>
                <w:sz w:val="26"/>
                <w:szCs w:val="26"/>
                <w:rtl/>
              </w:rPr>
              <w:t>כ-35 מיליארד ש"ח</w:t>
            </w:r>
          </w:p>
        </w:tc>
        <w:tc>
          <w:tcPr>
            <w:tcW w:w="277" w:type="dxa"/>
          </w:tcPr>
          <w:p w:rsidR="00625723" w:rsidRPr="00625723" w:rsidP="00625723" w14:paraId="389255C2" w14:textId="77777777">
            <w:pPr>
              <w:spacing w:line="240" w:lineRule="auto"/>
              <w:rPr>
                <w:rFonts w:ascii="Tahoma" w:eastAsia="Calibri" w:hAnsi="Tahoma" w:cs="Tahoma"/>
                <w:spacing w:val="-10"/>
              </w:rPr>
            </w:pPr>
          </w:p>
        </w:tc>
        <w:tc>
          <w:tcPr>
            <w:tcW w:w="2274" w:type="dxa"/>
            <w:tcBorders>
              <w:bottom w:val="single" w:sz="12" w:space="0" w:color="auto"/>
            </w:tcBorders>
            <w:vAlign w:val="center"/>
          </w:tcPr>
          <w:p w:rsidR="00625723" w:rsidRPr="00625723" w:rsidP="00625723" w14:paraId="60F0CFDD" w14:textId="77777777">
            <w:pPr>
              <w:spacing w:after="60" w:line="240" w:lineRule="auto"/>
              <w:rPr>
                <w:rFonts w:ascii="Tahoma" w:eastAsia="Calibri" w:hAnsi="Tahoma" w:cs="Tahoma"/>
                <w:spacing w:val="-10"/>
                <w:sz w:val="36"/>
                <w:szCs w:val="36"/>
              </w:rPr>
            </w:pPr>
            <w:r w:rsidRPr="00625723">
              <w:rPr>
                <w:rFonts w:ascii="Tahoma" w:eastAsia="Calibri" w:hAnsi="Tahoma" w:cs="Tahoma" w:hint="cs"/>
                <w:spacing w:val="-10"/>
                <w:sz w:val="36"/>
                <w:szCs w:val="36"/>
                <w:rtl/>
              </w:rPr>
              <w:t xml:space="preserve">10.8 </w:t>
            </w:r>
            <w:r w:rsidRPr="00625723">
              <w:rPr>
                <w:rFonts w:ascii="Tahoma" w:eastAsia="Calibri" w:hAnsi="Tahoma" w:cs="Tahoma"/>
                <w:spacing w:val="-10"/>
                <w:sz w:val="26"/>
                <w:szCs w:val="26"/>
                <w:rtl/>
              </w:rPr>
              <w:br/>
            </w:r>
            <w:r w:rsidRPr="00625723">
              <w:rPr>
                <w:rFonts w:ascii="Tahoma" w:eastAsia="Calibri" w:hAnsi="Tahoma" w:cs="Tahoma" w:hint="cs"/>
                <w:spacing w:val="-10"/>
                <w:sz w:val="26"/>
                <w:szCs w:val="26"/>
                <w:rtl/>
              </w:rPr>
              <w:t>מיליארד ש"ח</w:t>
            </w:r>
          </w:p>
        </w:tc>
        <w:tc>
          <w:tcPr>
            <w:tcW w:w="278" w:type="dxa"/>
          </w:tcPr>
          <w:p w:rsidR="00625723" w:rsidRPr="00625723" w:rsidP="00625723" w14:paraId="116329B4" w14:textId="77777777">
            <w:pPr>
              <w:spacing w:line="240" w:lineRule="auto"/>
              <w:rPr>
                <w:rFonts w:ascii="Tahoma" w:eastAsia="Calibri" w:hAnsi="Tahoma" w:cs="Tahoma"/>
                <w:spacing w:val="-10"/>
              </w:rPr>
            </w:pPr>
          </w:p>
        </w:tc>
        <w:tc>
          <w:tcPr>
            <w:tcW w:w="2274" w:type="dxa"/>
            <w:tcBorders>
              <w:bottom w:val="single" w:sz="12" w:space="0" w:color="auto"/>
            </w:tcBorders>
            <w:vAlign w:val="center"/>
          </w:tcPr>
          <w:p w:rsidR="00625723" w:rsidRPr="00625723" w:rsidP="00625723" w14:paraId="24439EC2" w14:textId="77777777">
            <w:pPr>
              <w:spacing w:after="60" w:line="240" w:lineRule="auto"/>
              <w:rPr>
                <w:rFonts w:ascii="Tahoma" w:eastAsia="Calibri" w:hAnsi="Tahoma" w:cs="Tahoma"/>
                <w:spacing w:val="-10"/>
                <w:sz w:val="36"/>
                <w:szCs w:val="36"/>
              </w:rPr>
            </w:pPr>
            <w:r w:rsidRPr="00625723">
              <w:rPr>
                <w:rFonts w:ascii="Tahoma" w:eastAsia="Calibri" w:hAnsi="Tahoma" w:cs="Tahoma" w:hint="cs"/>
                <w:spacing w:val="-10"/>
                <w:sz w:val="36"/>
                <w:szCs w:val="36"/>
                <w:rtl/>
              </w:rPr>
              <w:t xml:space="preserve">80% </w:t>
            </w:r>
            <w:r w:rsidRPr="00625723">
              <w:rPr>
                <w:rFonts w:ascii="Tahoma" w:eastAsia="Calibri" w:hAnsi="Tahoma" w:cs="Tahoma" w:hint="cs"/>
                <w:spacing w:val="-10"/>
                <w:sz w:val="26"/>
                <w:szCs w:val="26"/>
                <w:rtl/>
              </w:rPr>
              <w:t>ו-</w:t>
            </w:r>
            <w:r w:rsidRPr="00625723">
              <w:rPr>
                <w:rFonts w:ascii="Tahoma" w:eastAsia="Calibri" w:hAnsi="Tahoma" w:cs="Tahoma" w:hint="cs"/>
                <w:spacing w:val="-10"/>
                <w:sz w:val="36"/>
                <w:szCs w:val="36"/>
                <w:rtl/>
              </w:rPr>
              <w:t>26</w:t>
            </w:r>
            <w:r w:rsidRPr="00625723">
              <w:rPr>
                <w:rFonts w:ascii="Tahoma" w:eastAsia="Calibri" w:hAnsi="Tahoma" w:cs="Tahoma" w:hint="cs"/>
                <w:spacing w:val="-10"/>
                <w:sz w:val="26"/>
                <w:szCs w:val="26"/>
                <w:rtl/>
              </w:rPr>
              <w:t xml:space="preserve"> </w:t>
            </w:r>
            <w:r w:rsidRPr="00625723">
              <w:rPr>
                <w:rFonts w:ascii="Tahoma" w:eastAsia="Calibri" w:hAnsi="Tahoma" w:cs="Tahoma"/>
                <w:spacing w:val="-10"/>
                <w:sz w:val="26"/>
                <w:szCs w:val="26"/>
                <w:rtl/>
              </w:rPr>
              <w:br/>
            </w:r>
            <w:r w:rsidRPr="00625723">
              <w:rPr>
                <w:rFonts w:ascii="Tahoma" w:eastAsia="Calibri" w:hAnsi="Tahoma" w:cs="Tahoma" w:hint="cs"/>
                <w:spacing w:val="-10"/>
                <w:sz w:val="26"/>
                <w:szCs w:val="26"/>
                <w:rtl/>
              </w:rPr>
              <w:t>מיליון ש"ח</w:t>
            </w:r>
          </w:p>
        </w:tc>
        <w:tc>
          <w:tcPr>
            <w:tcW w:w="278" w:type="dxa"/>
          </w:tcPr>
          <w:p w:rsidR="00625723" w:rsidRPr="00625723" w:rsidP="00625723" w14:paraId="512E2D13" w14:textId="77777777">
            <w:pPr>
              <w:spacing w:line="240" w:lineRule="auto"/>
              <w:rPr>
                <w:rFonts w:ascii="Tahoma" w:eastAsia="Calibri" w:hAnsi="Tahoma" w:cs="Tahoma"/>
                <w:spacing w:val="-10"/>
              </w:rPr>
            </w:pPr>
          </w:p>
        </w:tc>
        <w:tc>
          <w:tcPr>
            <w:tcW w:w="1990" w:type="dxa"/>
            <w:tcBorders>
              <w:bottom w:val="single" w:sz="12" w:space="0" w:color="auto"/>
            </w:tcBorders>
            <w:vAlign w:val="bottom"/>
          </w:tcPr>
          <w:p w:rsidR="00625723" w:rsidRPr="00625723" w:rsidP="00625723" w14:paraId="73841F5F" w14:textId="77777777">
            <w:pPr>
              <w:spacing w:after="60" w:line="240" w:lineRule="auto"/>
              <w:rPr>
                <w:rFonts w:ascii="Tahoma" w:eastAsia="Calibri" w:hAnsi="Tahoma" w:cs="Tahoma"/>
                <w:spacing w:val="-10"/>
                <w:sz w:val="36"/>
                <w:szCs w:val="36"/>
              </w:rPr>
            </w:pPr>
            <w:r w:rsidRPr="00625723">
              <w:rPr>
                <w:rFonts w:ascii="Tahoma" w:eastAsia="Calibri" w:hAnsi="Tahoma" w:cs="Tahoma" w:hint="cs"/>
                <w:spacing w:val="-10"/>
                <w:sz w:val="36"/>
                <w:szCs w:val="36"/>
                <w:rtl/>
              </w:rPr>
              <w:t>69%</w:t>
            </w:r>
          </w:p>
        </w:tc>
      </w:tr>
      <w:tr w14:paraId="36A1FB70" w14:textId="77777777" w:rsidTr="00306F76">
        <w:tblPrEx>
          <w:tblW w:w="9642" w:type="dxa"/>
          <w:tblLook w:val="04A0"/>
        </w:tblPrEx>
        <w:trPr>
          <w:trHeight w:val="70"/>
        </w:trPr>
        <w:tc>
          <w:tcPr>
            <w:tcW w:w="9642" w:type="dxa"/>
            <w:gridSpan w:val="7"/>
            <w:vAlign w:val="center"/>
          </w:tcPr>
          <w:p w:rsidR="00625723" w:rsidRPr="00625723" w:rsidP="00625723" w14:paraId="59FF6A68" w14:textId="77777777">
            <w:pPr>
              <w:rPr>
                <w:rFonts w:ascii="Tahoma" w:eastAsia="Calibri" w:hAnsi="Tahoma" w:cs="Tahoma"/>
                <w:spacing w:val="-10"/>
                <w:sz w:val="6"/>
                <w:szCs w:val="6"/>
                <w:rtl/>
              </w:rPr>
            </w:pPr>
          </w:p>
        </w:tc>
      </w:tr>
      <w:tr w14:paraId="5C3659BD" w14:textId="77777777" w:rsidTr="00306F76">
        <w:tblPrEx>
          <w:tblW w:w="9642" w:type="dxa"/>
          <w:tblLook w:val="04A0"/>
        </w:tblPrEx>
        <w:trPr>
          <w:trHeight w:val="1153"/>
        </w:trPr>
        <w:tc>
          <w:tcPr>
            <w:tcW w:w="2271" w:type="dxa"/>
          </w:tcPr>
          <w:p w:rsidR="00625723" w:rsidRPr="00625723" w:rsidP="00625723" w14:paraId="7F37C17D" w14:textId="77777777">
            <w:pPr>
              <w:spacing w:line="240" w:lineRule="auto"/>
              <w:ind w:right="23"/>
              <w:rPr>
                <w:rFonts w:ascii="Tahoma" w:eastAsia="Calibri" w:hAnsi="Tahoma" w:cs="Tahoma"/>
                <w:sz w:val="19"/>
                <w:szCs w:val="19"/>
                <w:rtl/>
              </w:rPr>
            </w:pPr>
            <w:r w:rsidRPr="00625723">
              <w:rPr>
                <w:rFonts w:ascii="Tahoma" w:eastAsia="Calibri" w:hAnsi="Tahoma" w:cs="Tahoma"/>
                <w:sz w:val="19"/>
                <w:szCs w:val="19"/>
                <w:rtl/>
              </w:rPr>
              <w:t xml:space="preserve">שיעור השינויים בדצמבר </w:t>
            </w:r>
            <w:r w:rsidRPr="00625723">
              <w:rPr>
                <w:rFonts w:ascii="Tahoma" w:eastAsia="Calibri" w:hAnsi="Tahoma" w:cs="Tahoma" w:hint="cs"/>
                <w:sz w:val="19"/>
                <w:szCs w:val="19"/>
                <w:rtl/>
              </w:rPr>
              <w:t xml:space="preserve">2024 </w:t>
            </w:r>
            <w:r w:rsidRPr="00625723">
              <w:rPr>
                <w:rFonts w:ascii="Tahoma" w:eastAsia="Calibri" w:hAnsi="Tahoma" w:cs="Tahoma"/>
                <w:sz w:val="19"/>
                <w:szCs w:val="19"/>
                <w:rtl/>
              </w:rPr>
              <w:t>מתקציב מגבלת ההוצאה השנתי של כלל הבקשות, הן שאושרו והן שלא אושרו</w:t>
            </w:r>
            <w:r w:rsidRPr="00625723">
              <w:rPr>
                <w:rFonts w:ascii="Tahoma" w:eastAsia="Calibri" w:hAnsi="Tahoma" w:cs="Tahoma" w:hint="cs"/>
                <w:sz w:val="19"/>
                <w:szCs w:val="19"/>
                <w:rtl/>
              </w:rPr>
              <w:t>, גידול של כ-0.84 נקודות האחוז לעומת דצמבר 2017</w:t>
            </w:r>
          </w:p>
        </w:tc>
        <w:tc>
          <w:tcPr>
            <w:tcW w:w="277" w:type="dxa"/>
          </w:tcPr>
          <w:p w:rsidR="00625723" w:rsidRPr="00625723" w:rsidP="00625723" w14:paraId="1906D565" w14:textId="77777777">
            <w:pPr>
              <w:spacing w:line="240" w:lineRule="exact"/>
              <w:rPr>
                <w:rFonts w:ascii="Tahoma" w:eastAsia="Calibri" w:hAnsi="Tahoma" w:cs="Tahoma"/>
                <w:sz w:val="19"/>
                <w:szCs w:val="19"/>
                <w:rtl/>
              </w:rPr>
            </w:pPr>
          </w:p>
        </w:tc>
        <w:tc>
          <w:tcPr>
            <w:tcW w:w="2274" w:type="dxa"/>
          </w:tcPr>
          <w:p w:rsidR="00625723" w:rsidRPr="00625723" w:rsidP="00625723" w14:paraId="36353645" w14:textId="77777777">
            <w:pPr>
              <w:spacing w:line="240" w:lineRule="auto"/>
              <w:ind w:right="23"/>
              <w:rPr>
                <w:rFonts w:ascii="Tahoma" w:eastAsia="Calibri" w:hAnsi="Tahoma" w:cs="Tahoma"/>
                <w:sz w:val="19"/>
                <w:szCs w:val="19"/>
                <w:rtl/>
              </w:rPr>
            </w:pPr>
            <w:r w:rsidRPr="00625723">
              <w:rPr>
                <w:rFonts w:ascii="Tahoma" w:eastAsia="Calibri" w:hAnsi="Tahoma" w:cs="Tahoma" w:hint="cs"/>
                <w:sz w:val="19"/>
                <w:szCs w:val="19"/>
                <w:rtl/>
              </w:rPr>
              <w:t>סכום עודפי התקציב שהעברתם אושרה בחודש דצמבר 2024. סכום המהווה 33% מסך עודפי התקציב שאושרו במהלך כל השנה. זאת שלא בהתאם</w:t>
            </w:r>
            <w:r w:rsidRPr="00625723">
              <w:rPr>
                <w:rFonts w:ascii="Tahoma" w:eastAsia="Calibri" w:hAnsi="Tahoma" w:cs="Tahoma"/>
                <w:sz w:val="19"/>
                <w:szCs w:val="19"/>
                <w:rtl/>
              </w:rPr>
              <w:t xml:space="preserve"> להחלטת ממשלה</w:t>
            </w:r>
            <w:r>
              <w:rPr>
                <w:rFonts w:ascii="Tahoma" w:eastAsia="Calibri" w:hAnsi="Tahoma" w:cs="Tahoma"/>
                <w:sz w:val="19"/>
                <w:szCs w:val="19"/>
                <w:vertAlign w:val="superscript"/>
                <w:rtl/>
              </w:rPr>
              <w:footnoteReference w:id="3"/>
            </w:r>
            <w:r w:rsidRPr="00625723">
              <w:rPr>
                <w:rFonts w:ascii="Tahoma" w:eastAsia="Calibri" w:hAnsi="Tahoma" w:cs="Tahoma"/>
                <w:sz w:val="19"/>
                <w:szCs w:val="19"/>
                <w:rtl/>
              </w:rPr>
              <w:t xml:space="preserve">, </w:t>
            </w:r>
            <w:r w:rsidRPr="00625723">
              <w:rPr>
                <w:rFonts w:ascii="Tahoma" w:eastAsia="Calibri" w:hAnsi="Tahoma" w:cs="Tahoma" w:hint="cs"/>
                <w:sz w:val="19"/>
                <w:szCs w:val="19"/>
                <w:rtl/>
              </w:rPr>
              <w:t>הקובעת כי העודפים המחויבים יועברו על ידי אגף התקציבים על פי סמכות שר האוצר,</w:t>
            </w:r>
            <w:r w:rsidRPr="00625723">
              <w:rPr>
                <w:rFonts w:ascii="Tahoma" w:eastAsia="Calibri" w:hAnsi="Tahoma" w:cs="Tahoma"/>
                <w:sz w:val="19"/>
                <w:szCs w:val="19"/>
                <w:rtl/>
              </w:rPr>
              <w:t xml:space="preserve"> עד </w:t>
            </w:r>
            <w:r w:rsidRPr="00625723">
              <w:rPr>
                <w:rFonts w:ascii="Tahoma" w:eastAsia="Calibri" w:hAnsi="Tahoma" w:cs="Tahoma" w:hint="cs"/>
                <w:sz w:val="19"/>
                <w:szCs w:val="19"/>
                <w:rtl/>
              </w:rPr>
              <w:t>אמצע חודש מרץ</w:t>
            </w:r>
          </w:p>
          <w:p w:rsidR="00625723" w:rsidRPr="00625723" w:rsidP="00625723" w14:paraId="326FBFD9" w14:textId="77777777">
            <w:pPr>
              <w:spacing w:line="240" w:lineRule="auto"/>
              <w:rPr>
                <w:rFonts w:ascii="Tahoma" w:eastAsia="Calibri" w:hAnsi="Tahoma" w:cs="Tahoma"/>
                <w:sz w:val="19"/>
                <w:szCs w:val="19"/>
                <w:rtl/>
              </w:rPr>
            </w:pPr>
          </w:p>
        </w:tc>
        <w:tc>
          <w:tcPr>
            <w:tcW w:w="278" w:type="dxa"/>
          </w:tcPr>
          <w:p w:rsidR="00625723" w:rsidRPr="00625723" w:rsidP="00625723" w14:paraId="041FA5F4" w14:textId="77777777">
            <w:pPr>
              <w:spacing w:line="240" w:lineRule="exact"/>
              <w:rPr>
                <w:rFonts w:ascii="Tahoma" w:eastAsia="Calibri" w:hAnsi="Tahoma" w:cs="Tahoma"/>
                <w:sz w:val="19"/>
                <w:szCs w:val="19"/>
                <w:rtl/>
              </w:rPr>
            </w:pPr>
          </w:p>
        </w:tc>
        <w:tc>
          <w:tcPr>
            <w:tcW w:w="2274" w:type="dxa"/>
          </w:tcPr>
          <w:p w:rsidR="00625723" w:rsidRPr="00625723" w:rsidP="00625723" w14:paraId="4D2E2502" w14:textId="77777777">
            <w:pPr>
              <w:spacing w:line="240" w:lineRule="auto"/>
              <w:ind w:right="23"/>
              <w:rPr>
                <w:rFonts w:ascii="Tahoma" w:eastAsia="Calibri" w:hAnsi="Tahoma" w:cs="Tahoma"/>
                <w:sz w:val="19"/>
                <w:szCs w:val="19"/>
                <w:rtl/>
              </w:rPr>
            </w:pPr>
            <w:r w:rsidRPr="00625723">
              <w:rPr>
                <w:rFonts w:ascii="Tahoma" w:eastAsia="Calibri" w:hAnsi="Tahoma" w:cs="Tahoma" w:hint="cs"/>
                <w:sz w:val="19"/>
                <w:szCs w:val="19"/>
                <w:rtl/>
              </w:rPr>
              <w:t>שיעור החריגה התקציבית וסכום החריגה התקציבית (בהתאמה) של תוכנית "פרויקטים והחלטות ממשלה רוחביות" בסעיף התקציבי "משרד ראש הממשלה" נכון ליום 30.11.24. יש לציין כי סעיף תקציב "משרד ראש הממשלה" כולל יחידות ומשרדים רבים</w:t>
            </w:r>
            <w:r>
              <w:rPr>
                <w:rFonts w:ascii="Tahoma" w:eastAsia="Calibri" w:hAnsi="Tahoma" w:cs="Tahoma"/>
                <w:sz w:val="19"/>
                <w:szCs w:val="19"/>
                <w:vertAlign w:val="superscript"/>
                <w:rtl/>
              </w:rPr>
              <w:footnoteReference w:id="4"/>
            </w:r>
          </w:p>
        </w:tc>
        <w:tc>
          <w:tcPr>
            <w:tcW w:w="278" w:type="dxa"/>
          </w:tcPr>
          <w:p w:rsidR="00625723" w:rsidRPr="00625723" w:rsidP="00625723" w14:paraId="7E4E8D5F" w14:textId="77777777">
            <w:pPr>
              <w:spacing w:line="240" w:lineRule="exact"/>
              <w:rPr>
                <w:rFonts w:ascii="Tahoma" w:eastAsia="Calibri" w:hAnsi="Tahoma" w:cs="Tahoma"/>
                <w:sz w:val="19"/>
                <w:szCs w:val="19"/>
                <w:rtl/>
              </w:rPr>
            </w:pPr>
          </w:p>
        </w:tc>
        <w:tc>
          <w:tcPr>
            <w:tcW w:w="1990" w:type="dxa"/>
          </w:tcPr>
          <w:p w:rsidR="00625723" w:rsidRPr="00625723" w:rsidP="00625723" w14:paraId="269278F0" w14:textId="77777777">
            <w:pPr>
              <w:spacing w:line="240" w:lineRule="auto"/>
              <w:rPr>
                <w:rFonts w:ascii="Tahoma" w:eastAsia="Calibri" w:hAnsi="Tahoma" w:cs="Tahoma"/>
                <w:sz w:val="19"/>
                <w:szCs w:val="19"/>
                <w:rtl/>
              </w:rPr>
            </w:pPr>
            <w:r w:rsidRPr="00625723">
              <w:rPr>
                <w:rFonts w:ascii="Tahoma" w:eastAsia="Calibri" w:hAnsi="Tahoma" w:cs="Tahoma" w:hint="cs"/>
                <w:sz w:val="19"/>
                <w:szCs w:val="19"/>
                <w:rtl/>
              </w:rPr>
              <w:t>מכלל</w:t>
            </w:r>
            <w:r w:rsidRPr="00625723">
              <w:rPr>
                <w:rFonts w:ascii="Tahoma" w:eastAsia="Calibri" w:hAnsi="Tahoma" w:cs="Tahoma"/>
                <w:sz w:val="19"/>
                <w:szCs w:val="19"/>
                <w:rtl/>
              </w:rPr>
              <w:t xml:space="preserve"> הבקשות להעברת עודפי תקציב משנה קודמת</w:t>
            </w:r>
            <w:r w:rsidRPr="00625723">
              <w:rPr>
                <w:rFonts w:ascii="Tahoma" w:eastAsia="Calibri" w:hAnsi="Tahoma" w:cs="Tahoma" w:hint="cs"/>
                <w:sz w:val="19"/>
                <w:szCs w:val="19"/>
                <w:rtl/>
              </w:rPr>
              <w:t xml:space="preserve"> (110 מתוך 160)</w:t>
            </w:r>
            <w:r w:rsidRPr="00625723">
              <w:rPr>
                <w:rFonts w:ascii="Tahoma" w:eastAsia="Calibri" w:hAnsi="Tahoma" w:cs="Tahoma"/>
                <w:sz w:val="19"/>
                <w:szCs w:val="19"/>
                <w:rtl/>
              </w:rPr>
              <w:t xml:space="preserve"> </w:t>
            </w:r>
            <w:r w:rsidRPr="00625723">
              <w:rPr>
                <w:rFonts w:ascii="Tahoma" w:eastAsia="Calibri" w:hAnsi="Tahoma" w:cs="Tahoma" w:hint="cs"/>
                <w:sz w:val="19"/>
                <w:szCs w:val="19"/>
                <w:rtl/>
              </w:rPr>
              <w:t>אושרו</w:t>
            </w:r>
            <w:r w:rsidRPr="00625723">
              <w:rPr>
                <w:rFonts w:ascii="Tahoma" w:eastAsia="Calibri" w:hAnsi="Tahoma" w:cs="Tahoma"/>
                <w:sz w:val="19"/>
                <w:szCs w:val="19"/>
                <w:rtl/>
              </w:rPr>
              <w:t xml:space="preserve"> </w:t>
            </w:r>
            <w:r w:rsidRPr="00625723">
              <w:rPr>
                <w:rFonts w:ascii="Tahoma" w:eastAsia="Calibri" w:hAnsi="Tahoma" w:cs="Tahoma" w:hint="cs"/>
                <w:sz w:val="19"/>
                <w:szCs w:val="19"/>
                <w:rtl/>
              </w:rPr>
              <w:t xml:space="preserve">בחודש </w:t>
            </w:r>
            <w:r w:rsidRPr="00625723">
              <w:rPr>
                <w:rFonts w:ascii="Tahoma" w:eastAsia="Calibri" w:hAnsi="Tahoma" w:cs="Tahoma"/>
                <w:sz w:val="19"/>
                <w:szCs w:val="19"/>
                <w:rtl/>
              </w:rPr>
              <w:t>האחרו</w:t>
            </w:r>
            <w:r w:rsidRPr="00625723">
              <w:rPr>
                <w:rFonts w:ascii="Tahoma" w:eastAsia="Calibri" w:hAnsi="Tahoma" w:cs="Tahoma" w:hint="cs"/>
                <w:sz w:val="19"/>
                <w:szCs w:val="19"/>
                <w:rtl/>
              </w:rPr>
              <w:t>ן</w:t>
            </w:r>
            <w:r w:rsidRPr="00625723">
              <w:rPr>
                <w:rFonts w:ascii="Tahoma" w:eastAsia="Calibri" w:hAnsi="Tahoma" w:cs="Tahoma"/>
                <w:sz w:val="19"/>
                <w:szCs w:val="19"/>
                <w:rtl/>
              </w:rPr>
              <w:t xml:space="preserve"> של שנת </w:t>
            </w:r>
            <w:r w:rsidRPr="00625723">
              <w:rPr>
                <w:rFonts w:ascii="Tahoma" w:eastAsia="Calibri" w:hAnsi="Tahoma" w:cs="Tahoma" w:hint="cs"/>
                <w:sz w:val="19"/>
                <w:szCs w:val="19"/>
                <w:rtl/>
              </w:rPr>
              <w:t>2024</w:t>
            </w:r>
          </w:p>
        </w:tc>
      </w:tr>
    </w:tbl>
    <w:p w:rsidR="00625723" w:rsidRPr="00625723" w:rsidP="00625723" w14:paraId="2C1D9D99" w14:textId="77777777">
      <w:pPr>
        <w:ind w:left="-710"/>
        <w:rPr>
          <w:rFonts w:eastAsia="Calibri"/>
          <w:rtl/>
        </w:rPr>
      </w:pPr>
    </w:p>
    <w:p w:rsidR="00625723" w:rsidRPr="00625723" w:rsidP="00574763" w14:paraId="0733CCAE" w14:textId="77777777">
      <w:pPr>
        <w:bidi w:val="0"/>
        <w:spacing w:after="200" w:line="276" w:lineRule="auto"/>
        <w:rPr>
          <w:rFonts w:eastAsia="Calibri"/>
          <w:rtl/>
        </w:rPr>
      </w:pPr>
      <w:r>
        <w:rPr>
          <w:rFonts w:eastAsia="Calibri"/>
          <w:rtl/>
        </w:rPr>
        <w:br w:type="page"/>
      </w:r>
    </w:p>
    <w:tbl>
      <w:tblPr>
        <w:tblStyle w:val="26"/>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14:paraId="51363F23" w14:textId="77777777" w:rsidTr="00306F76">
        <w:tblPrEx>
          <w:tblW w:w="9617" w:type="dxa"/>
          <w:tblLook w:val="04A0"/>
        </w:tblPrEx>
        <w:trPr>
          <w:trHeight w:val="495"/>
        </w:trPr>
        <w:tc>
          <w:tcPr>
            <w:tcW w:w="9617" w:type="dxa"/>
            <w:gridSpan w:val="2"/>
            <w:vAlign w:val="center"/>
          </w:tcPr>
          <w:p w:rsidR="00625723" w:rsidRPr="00625723" w:rsidP="00625723" w14:paraId="693FD75F" w14:textId="77777777">
            <w:pPr>
              <w:rPr>
                <w:rFonts w:ascii="Tahoma" w:eastAsia="Calibri" w:hAnsi="Tahoma" w:cs="Tahoma"/>
                <w:sz w:val="17"/>
                <w:szCs w:val="17"/>
                <w:rtl/>
              </w:rPr>
            </w:pPr>
            <w:r w:rsidRPr="00625723">
              <w:rPr>
                <w:rFonts w:ascii="Tahoma" w:eastAsia="Calibri" w:hAnsi="Tahoma" w:cs="Tahoma"/>
                <w:noProof/>
              </w:rPr>
              <w:drawing>
                <wp:inline distT="0" distB="0" distL="0" distR="0">
                  <wp:extent cx="5969635" cy="498472"/>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14:paraId="47489B12" w14:textId="77777777" w:rsidTr="00306F76">
        <w:tblPrEx>
          <w:tblW w:w="9617" w:type="dxa"/>
          <w:tblLook w:val="04A0"/>
        </w:tblPrEx>
        <w:trPr>
          <w:trHeight w:val="1019"/>
        </w:trPr>
        <w:tc>
          <w:tcPr>
            <w:tcW w:w="1237" w:type="dxa"/>
            <w:vAlign w:val="center"/>
          </w:tcPr>
          <w:p w:rsidR="00625723" w:rsidRPr="00625723" w:rsidP="00625723" w14:paraId="29210393" w14:textId="77777777">
            <w:pPr>
              <w:rPr>
                <w:rFonts w:ascii="Tahoma" w:eastAsia="Calibri" w:hAnsi="Tahoma" w:cs="Tahoma"/>
                <w:sz w:val="17"/>
                <w:szCs w:val="17"/>
                <w:rtl/>
              </w:rPr>
            </w:pPr>
            <w:r w:rsidRPr="00625723">
              <w:rPr>
                <w:rFonts w:ascii="Tahoma" w:eastAsia="Calibri" w:hAnsi="Tahoma" w:cs="Tahoma"/>
                <w:noProof/>
              </w:rPr>
              <w:drawing>
                <wp:anchor distT="0" distB="0" distL="114300" distR="114300" simplePos="0" relativeHeight="251659264" behindDoc="0" locked="0" layoutInCell="1" allowOverlap="1">
                  <wp:simplePos x="0" y="0"/>
                  <wp:positionH relativeFrom="column">
                    <wp:posOffset>74295</wp:posOffset>
                  </wp:positionH>
                  <wp:positionV relativeFrom="paragraph">
                    <wp:posOffset>-958850</wp:posOffset>
                  </wp:positionV>
                  <wp:extent cx="445135" cy="445135"/>
                  <wp:effectExtent l="0" t="0" r="0" b="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5723">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625723" w:rsidRPr="00625723" w:rsidP="00574763" w14:paraId="7292DA6B" w14:textId="77777777">
            <w:pPr>
              <w:spacing w:after="120" w:line="288" w:lineRule="auto"/>
              <w:jc w:val="both"/>
              <w:rPr>
                <w:rFonts w:ascii="Tahoma" w:eastAsia="Calibri" w:hAnsi="Tahoma" w:cs="Tahoma"/>
                <w:sz w:val="19"/>
                <w:szCs w:val="19"/>
                <w:rtl/>
              </w:rPr>
            </w:pPr>
            <w:r w:rsidRPr="00625723">
              <w:rPr>
                <w:rFonts w:ascii="Tahoma" w:eastAsia="Calibri" w:hAnsi="Tahoma" w:cs="Tahoma"/>
                <w:sz w:val="19"/>
                <w:szCs w:val="19"/>
                <w:rtl/>
              </w:rPr>
              <w:t>בחודשים מרץ-אוגוסט 2025 בדק משרד מבקר המדינה את נושא ההעברות התקציביות והשינויים שחלו בתקציב לקראת סוף שנת 2024. במסגרת הבדיקה נבדקו הנתונים בדבר העברות התקציב - הסכומים שעברו ומועד העברתם; הקושי שנגרם למשרדי הממשלה עקב ההעברות המאוחרות; הסיבות להעברות המאוחרת בכלל ובשנת 2024 בפרט; והשוואה לשנים קודמות. יצוין כי ההשוואה לשנים קודמות לא כללה את השנים 2020 - 2023, היות שבשנים אלו התרחשו אירועים מיוחדים אשר השפיעו מהותית על תהליכי הטיפול בתקציב המדינה - תקציב המשכי,</w:t>
            </w:r>
            <w:r w:rsidRPr="00625723">
              <w:rPr>
                <w:rFonts w:ascii="Tahoma" w:eastAsia="Calibri" w:hAnsi="Tahoma" w:cs="Tahoma" w:hint="cs"/>
                <w:sz w:val="19"/>
                <w:szCs w:val="19"/>
                <w:rtl/>
              </w:rPr>
              <w:t xml:space="preserve"> עדכונים תקציביים בעקבות מלחמת "חרבות ברזל",</w:t>
            </w:r>
            <w:r w:rsidRPr="00625723">
              <w:rPr>
                <w:rFonts w:ascii="Tahoma" w:eastAsia="Calibri" w:hAnsi="Tahoma" w:cs="Tahoma"/>
                <w:sz w:val="19"/>
                <w:szCs w:val="19"/>
                <w:rtl/>
              </w:rPr>
              <w:t xml:space="preserve"> משבר הקורונה ועוד. הבדיקה נעשתה בעיקר באגף התקציבים ובאגף החשכ"ל שבמשרד האוצר וכן בכמה משרדי ממשלה, יחידות סמך וישויות ממשלתיות אחרות, ובהם משרד המורשת, משרד התפוצות והמאבק באנטישמיות, משרד הבריאות, משרד החינוך, משרד הבינוי והשיכון, המשרד לביטחון לאומי ומערך הסייבר הלאומי.</w:t>
            </w:r>
          </w:p>
          <w:p w:rsidR="00625723" w:rsidRPr="00625723" w:rsidP="00833191" w14:paraId="06D227AC" w14:textId="77777777">
            <w:pPr>
              <w:spacing w:line="288" w:lineRule="auto"/>
              <w:jc w:val="both"/>
              <w:rPr>
                <w:rFonts w:ascii="Tahoma" w:eastAsia="Calibri" w:hAnsi="Tahoma" w:cs="Tahoma"/>
                <w:sz w:val="19"/>
                <w:szCs w:val="19"/>
                <w:rtl/>
              </w:rPr>
            </w:pPr>
            <w:r w:rsidRPr="00625723">
              <w:rPr>
                <w:rFonts w:ascii="Tahoma" w:eastAsia="Calibri" w:hAnsi="Tahoma" w:cs="Tahoma" w:hint="cs"/>
                <w:sz w:val="19"/>
                <w:szCs w:val="19"/>
                <w:rtl/>
              </w:rPr>
              <w:t>יצוין כי פעילותה הפרלמנטרית של ועדת הכספים של הכנסת אינה כפופה לביקורת המדינה ולפיכך לא בוקרה בדוח.</w:t>
            </w:r>
          </w:p>
        </w:tc>
      </w:tr>
    </w:tbl>
    <w:p w:rsidR="00625723" w:rsidRPr="00625723" w:rsidP="00625723" w14:paraId="4771D41C" w14:textId="77777777">
      <w:pPr>
        <w:ind w:left="-710"/>
        <w:rPr>
          <w:rFonts w:ascii="Tahoma" w:eastAsia="Calibri" w:hAnsi="Tahoma" w:cs="Tahoma"/>
          <w:noProof/>
        </w:rPr>
      </w:pPr>
    </w:p>
    <w:p w:rsidR="00625723" w:rsidRPr="00625723" w:rsidP="00625723" w14:paraId="74E31674" w14:textId="77777777">
      <w:pPr>
        <w:ind w:left="-710"/>
        <w:rPr>
          <w:rFonts w:ascii="Tahoma" w:eastAsia="Calibri" w:hAnsi="Tahoma" w:cs="Tahoma"/>
          <w:noProof/>
          <w:rtl/>
        </w:rPr>
      </w:pPr>
      <w:r w:rsidRPr="00625723">
        <w:rPr>
          <w:rFonts w:ascii="Tahoma" w:eastAsia="Calibri" w:hAnsi="Tahoma" w:cs="Tahoma"/>
          <w:noProof/>
        </w:rPr>
        <w:drawing>
          <wp:inline distT="0" distB="0" distL="0" distR="0">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625723" w:rsidRPr="00625723" w:rsidP="00625723" w14:paraId="46E149A4" w14:textId="77777777">
      <w:pPr>
        <w:ind w:left="-710"/>
        <w:rPr>
          <w:rFonts w:ascii="Tahoma" w:eastAsia="Calibri" w:hAnsi="Tahoma" w:cs="Tahoma"/>
          <w:noProof/>
          <w:rtl/>
        </w:rPr>
      </w:pPr>
    </w:p>
    <w:p w:rsidR="00625723" w:rsidRPr="00625723" w:rsidP="00625723" w14:paraId="4BD2E8D3" w14:textId="77777777">
      <w:pPr>
        <w:ind w:left="-710" w:right="-567"/>
        <w:rPr>
          <w:rFonts w:eastAsia="Calibri"/>
          <w:rtl/>
        </w:rPr>
      </w:pPr>
      <w:r w:rsidRPr="00625723">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625723" w:rsidRPr="00625723" w:rsidP="00833191" w14:paraId="753AD518" w14:textId="77777777">
      <w:pPr>
        <w:numPr>
          <w:ilvl w:val="0"/>
          <w:numId w:val="14"/>
        </w:numPr>
        <w:spacing w:after="360" w:line="288" w:lineRule="auto"/>
        <w:ind w:left="-143" w:right="-567" w:hanging="595"/>
        <w:rPr>
          <w:rFonts w:ascii="Tahoma" w:eastAsia="Calibri" w:hAnsi="Tahoma" w:cs="Tahoma"/>
          <w:sz w:val="19"/>
          <w:szCs w:val="19"/>
        </w:rPr>
      </w:pPr>
      <w:r w:rsidRPr="00625723">
        <w:rPr>
          <w:rFonts w:ascii="Tahoma" w:eastAsia="Calibri" w:hAnsi="Tahoma" w:cs="Tahoma" w:hint="cs"/>
          <w:b/>
          <w:bCs/>
          <w:sz w:val="19"/>
          <w:szCs w:val="19"/>
          <w:rtl/>
        </w:rPr>
        <w:t>ריבוי פניות תקציביות שהגיש שר האוצר באמצעות אגף התקציבים לוועדת הכספים במהלך דצמבר 2024</w:t>
      </w:r>
      <w:r w:rsidRPr="00625723">
        <w:rPr>
          <w:rFonts w:ascii="Tahoma" w:eastAsia="Calibri" w:hAnsi="Tahoma" w:cs="Tahoma" w:hint="cs"/>
          <w:sz w:val="19"/>
          <w:szCs w:val="19"/>
          <w:rtl/>
        </w:rPr>
        <w:t xml:space="preserve"> </w:t>
      </w:r>
    </w:p>
    <w:p w:rsidR="00625723" w:rsidRPr="00625723" w:rsidP="00630344" w14:paraId="6D0DEFE1" w14:textId="77777777">
      <w:pPr>
        <w:spacing w:after="120" w:line="288" w:lineRule="auto"/>
        <w:ind w:left="-143" w:right="-567"/>
        <w:rPr>
          <w:rFonts w:ascii="Tahoma" w:eastAsia="Calibri" w:hAnsi="Tahoma" w:cs="Tahoma"/>
          <w:b/>
          <w:bCs/>
          <w:sz w:val="19"/>
          <w:szCs w:val="19"/>
          <w:u w:val="single"/>
        </w:rPr>
      </w:pPr>
      <w:r w:rsidRPr="00625723">
        <w:rPr>
          <w:rFonts w:ascii="Tahoma" w:eastAsia="Calibri" w:hAnsi="Tahoma" w:cs="Tahoma" w:hint="cs"/>
          <w:b/>
          <w:bCs/>
          <w:sz w:val="19"/>
          <w:szCs w:val="19"/>
          <w:u w:val="single"/>
          <w:rtl/>
        </w:rPr>
        <w:t>מספר</w:t>
      </w:r>
      <w:r w:rsidRPr="00625723">
        <w:rPr>
          <w:rFonts w:ascii="Tahoma" w:eastAsia="Calibri" w:hAnsi="Tahoma" w:cs="Tahoma"/>
          <w:b/>
          <w:bCs/>
          <w:sz w:val="19"/>
          <w:szCs w:val="19"/>
          <w:u w:val="single"/>
          <w:rtl/>
        </w:rPr>
        <w:t xml:space="preserve"> הפניות</w:t>
      </w:r>
    </w:p>
    <w:p w:rsidR="00625723" w:rsidRPr="00625723" w:rsidP="00625723" w14:paraId="4AB875CF" w14:textId="77777777">
      <w:pPr>
        <w:numPr>
          <w:ilvl w:val="1"/>
          <w:numId w:val="14"/>
        </w:numPr>
        <w:spacing w:after="120" w:line="288" w:lineRule="auto"/>
        <w:ind w:left="278" w:right="-567" w:hanging="421"/>
        <w:rPr>
          <w:rFonts w:ascii="Tahoma" w:eastAsia="Calibri" w:hAnsi="Tahoma" w:cs="Tahoma"/>
          <w:sz w:val="19"/>
          <w:szCs w:val="19"/>
        </w:rPr>
      </w:pPr>
      <w:r w:rsidRPr="00625723">
        <w:rPr>
          <w:rFonts w:ascii="Tahoma" w:eastAsia="Calibri" w:hAnsi="Tahoma" w:cs="Tahoma" w:hint="cs"/>
          <w:sz w:val="19"/>
          <w:szCs w:val="19"/>
          <w:rtl/>
        </w:rPr>
        <w:t>בתחילת דצמבר 2024 עמדו לפני ועדת הכספים 13 פניות תקציביות שטרם טופלו. במהלך אותו החודש הגיש שר האוצר באמצעות אגף התקציבים עוד 95 פניות תקציביות לוועדה. הוועדה אישרה 77 פניות, כך שנותרו באותו החודש עוד 31 פניות תקציביות שהוועדה לא דנה בהן וממילא לא אישרה.</w:t>
      </w:r>
    </w:p>
    <w:p w:rsidR="00625723" w:rsidRPr="00625723" w:rsidP="00625723" w14:paraId="218C75C5" w14:textId="77777777">
      <w:pPr>
        <w:numPr>
          <w:ilvl w:val="1"/>
          <w:numId w:val="14"/>
        </w:numPr>
        <w:spacing w:after="120" w:line="288" w:lineRule="auto"/>
        <w:ind w:left="278" w:right="-567" w:hanging="421"/>
        <w:rPr>
          <w:rFonts w:ascii="Tahoma" w:eastAsia="Calibri" w:hAnsi="Tahoma" w:cs="Tahoma"/>
          <w:sz w:val="19"/>
          <w:szCs w:val="19"/>
        </w:rPr>
      </w:pPr>
      <w:r w:rsidRPr="00625723">
        <w:rPr>
          <w:rFonts w:ascii="Tahoma" w:eastAsia="Calibri" w:hAnsi="Tahoma" w:cs="Tahoma" w:hint="cs"/>
          <w:sz w:val="19"/>
          <w:szCs w:val="19"/>
          <w:rtl/>
        </w:rPr>
        <w:t xml:space="preserve">בששת הימים האחרונים של דצמבר 2024, בשעה שעל שולחן הוועדה היו 67 פניות תקציביות הממתינות לאישור (נכון ל-26.12.24), הגיש שר האוצר באמצעות אגף התקציבים לוועדה עוד 19 פניות תקציביות. </w:t>
      </w:r>
      <w:r w:rsidRPr="00625723">
        <w:rPr>
          <w:rFonts w:ascii="Tahoma" w:eastAsia="Calibri" w:hAnsi="Tahoma" w:cs="Tahoma"/>
          <w:sz w:val="19"/>
          <w:szCs w:val="19"/>
          <w:rtl/>
        </w:rPr>
        <w:t xml:space="preserve">מתוך 86 פניות </w:t>
      </w:r>
      <w:r w:rsidRPr="00625723">
        <w:rPr>
          <w:rFonts w:ascii="Tahoma" w:eastAsia="Calibri" w:hAnsi="Tahoma" w:cs="Tahoma" w:hint="cs"/>
          <w:sz w:val="19"/>
          <w:szCs w:val="19"/>
          <w:rtl/>
        </w:rPr>
        <w:t>ב</w:t>
      </w:r>
      <w:r w:rsidRPr="00625723">
        <w:rPr>
          <w:rFonts w:ascii="Tahoma" w:eastAsia="Calibri" w:hAnsi="Tahoma" w:cs="Tahoma"/>
          <w:sz w:val="19"/>
          <w:szCs w:val="19"/>
          <w:rtl/>
        </w:rPr>
        <w:t>סך</w:t>
      </w:r>
      <w:r w:rsidRPr="00625723">
        <w:rPr>
          <w:rFonts w:ascii="Tahoma" w:eastAsia="Calibri" w:hAnsi="Tahoma" w:cs="Tahoma" w:hint="cs"/>
          <w:sz w:val="19"/>
          <w:szCs w:val="19"/>
          <w:rtl/>
        </w:rPr>
        <w:t xml:space="preserve"> הכול</w:t>
      </w:r>
      <w:r w:rsidRPr="00625723">
        <w:rPr>
          <w:rFonts w:ascii="Tahoma" w:eastAsia="Calibri" w:hAnsi="Tahoma" w:cs="Tahoma"/>
          <w:sz w:val="19"/>
          <w:szCs w:val="19"/>
          <w:rtl/>
        </w:rPr>
        <w:t xml:space="preserve"> דנה הוועדה מ</w:t>
      </w:r>
      <w:r w:rsidRPr="00625723">
        <w:rPr>
          <w:rFonts w:ascii="Tahoma" w:eastAsia="Calibri" w:hAnsi="Tahoma" w:cs="Tahoma" w:hint="cs"/>
          <w:sz w:val="19"/>
          <w:szCs w:val="19"/>
          <w:rtl/>
        </w:rPr>
        <w:t>-</w:t>
      </w:r>
      <w:r w:rsidRPr="00625723">
        <w:rPr>
          <w:rFonts w:ascii="Tahoma" w:eastAsia="Calibri" w:hAnsi="Tahoma" w:cs="Tahoma"/>
          <w:sz w:val="19"/>
          <w:szCs w:val="19"/>
          <w:rtl/>
        </w:rPr>
        <w:t>26.12.24 ועד 31.12.24 ב-55 פניות.</w:t>
      </w:r>
    </w:p>
    <w:p w:rsidR="00625723" w:rsidRPr="00625723" w:rsidP="00833191" w14:paraId="248ECBCD" w14:textId="77777777">
      <w:pPr>
        <w:numPr>
          <w:ilvl w:val="1"/>
          <w:numId w:val="14"/>
        </w:numPr>
        <w:spacing w:after="360" w:line="288" w:lineRule="auto"/>
        <w:ind w:left="278" w:right="-567" w:hanging="420"/>
        <w:rPr>
          <w:rFonts w:ascii="Tahoma" w:eastAsia="Calibri" w:hAnsi="Tahoma" w:cs="Tahoma"/>
          <w:sz w:val="19"/>
          <w:szCs w:val="19"/>
        </w:rPr>
      </w:pPr>
      <w:r w:rsidRPr="00625723">
        <w:rPr>
          <w:rFonts w:ascii="Tahoma" w:eastAsia="Calibri" w:hAnsi="Tahoma" w:cs="Tahoma" w:hint="cs"/>
          <w:sz w:val="19"/>
          <w:szCs w:val="19"/>
          <w:rtl/>
        </w:rPr>
        <w:t>כך, מספר הפניות שעמד בפני הוועדה ולא אושרו נכון לסוף דצמבר 2024 היה פי 2.4 מזה שעמד בפניה בתחילת דצמבר 2024. (31 פניות שעמדו בפני והוועדה ולא אושרו נכון לסוף דצמבר 2024 בהשוואה ל-13 פניות בתחילת דצמבר 2024).</w:t>
      </w:r>
    </w:p>
    <w:p w:rsidR="00625723" w:rsidRPr="00625723" w:rsidP="00833191" w14:paraId="152D4B05" w14:textId="77777777">
      <w:pPr>
        <w:spacing w:after="120" w:line="288" w:lineRule="auto"/>
        <w:ind w:left="-143" w:right="-567"/>
        <w:rPr>
          <w:rFonts w:ascii="Tahoma" w:eastAsia="Calibri" w:hAnsi="Tahoma" w:cs="Tahoma"/>
          <w:b/>
          <w:bCs/>
          <w:sz w:val="19"/>
          <w:szCs w:val="19"/>
          <w:u w:val="single"/>
        </w:rPr>
      </w:pPr>
      <w:r w:rsidRPr="00625723">
        <w:rPr>
          <w:rFonts w:ascii="Tahoma" w:eastAsia="Calibri" w:hAnsi="Tahoma" w:cs="Tahoma" w:hint="cs"/>
          <w:b/>
          <w:bCs/>
          <w:sz w:val="19"/>
          <w:szCs w:val="19"/>
          <w:u w:val="single"/>
          <w:rtl/>
        </w:rPr>
        <w:t>ה</w:t>
      </w:r>
      <w:r w:rsidRPr="00625723">
        <w:rPr>
          <w:rFonts w:ascii="Tahoma" w:eastAsia="Calibri" w:hAnsi="Tahoma" w:cs="Tahoma" w:hint="eastAsia"/>
          <w:b/>
          <w:bCs/>
          <w:sz w:val="19"/>
          <w:szCs w:val="19"/>
          <w:u w:val="single"/>
          <w:rtl/>
        </w:rPr>
        <w:t>סכומי</w:t>
      </w:r>
      <w:r w:rsidRPr="00625723">
        <w:rPr>
          <w:rFonts w:ascii="Tahoma" w:eastAsia="Calibri" w:hAnsi="Tahoma" w:cs="Tahoma" w:hint="cs"/>
          <w:b/>
          <w:bCs/>
          <w:sz w:val="19"/>
          <w:szCs w:val="19"/>
          <w:u w:val="single"/>
          <w:rtl/>
        </w:rPr>
        <w:t>ם הכספיים של</w:t>
      </w:r>
      <w:r w:rsidRPr="00625723">
        <w:rPr>
          <w:rFonts w:ascii="Tahoma" w:eastAsia="Calibri" w:hAnsi="Tahoma" w:cs="Tahoma"/>
          <w:b/>
          <w:bCs/>
          <w:sz w:val="19"/>
          <w:szCs w:val="19"/>
          <w:u w:val="single"/>
          <w:rtl/>
        </w:rPr>
        <w:t xml:space="preserve"> </w:t>
      </w:r>
      <w:r w:rsidRPr="00625723">
        <w:rPr>
          <w:rFonts w:ascii="Tahoma" w:eastAsia="Calibri" w:hAnsi="Tahoma" w:cs="Tahoma" w:hint="eastAsia"/>
          <w:b/>
          <w:bCs/>
          <w:sz w:val="19"/>
          <w:szCs w:val="19"/>
          <w:u w:val="single"/>
          <w:rtl/>
        </w:rPr>
        <w:t>הפניות</w:t>
      </w:r>
    </w:p>
    <w:p w:rsidR="00625723" w:rsidRPr="00625723" w:rsidP="00625723" w14:paraId="05A3C69A" w14:textId="77777777">
      <w:pPr>
        <w:numPr>
          <w:ilvl w:val="1"/>
          <w:numId w:val="14"/>
        </w:numPr>
        <w:spacing w:after="120" w:line="288" w:lineRule="auto"/>
        <w:ind w:left="278" w:right="-567" w:hanging="421"/>
        <w:rPr>
          <w:rFonts w:ascii="Tahoma" w:eastAsia="Calibri" w:hAnsi="Tahoma" w:cs="Tahoma"/>
          <w:sz w:val="19"/>
          <w:szCs w:val="19"/>
        </w:rPr>
      </w:pPr>
      <w:r w:rsidRPr="00625723">
        <w:rPr>
          <w:rFonts w:ascii="Tahoma" w:eastAsia="Calibri" w:hAnsi="Tahoma" w:cs="Tahoma" w:hint="cs"/>
          <w:sz w:val="19"/>
          <w:szCs w:val="19"/>
          <w:rtl/>
        </w:rPr>
        <w:t>ה"פניות התקציביות" כוללות בתוכן "בקשות לאישור שינויים</w:t>
      </w:r>
      <w:r w:rsidRPr="00625723">
        <w:rPr>
          <w:rFonts w:ascii="Tahoma" w:eastAsia="Calibri" w:hAnsi="Tahoma" w:cs="Tahoma"/>
          <w:sz w:val="19"/>
          <w:szCs w:val="19"/>
          <w:rtl/>
        </w:rPr>
        <w:t xml:space="preserve"> </w:t>
      </w:r>
      <w:r w:rsidRPr="00625723">
        <w:rPr>
          <w:rFonts w:ascii="Tahoma" w:eastAsia="Calibri" w:hAnsi="Tahoma" w:cs="Tahoma" w:hint="cs"/>
          <w:sz w:val="19"/>
          <w:szCs w:val="19"/>
          <w:rtl/>
        </w:rPr>
        <w:t>ו</w:t>
      </w:r>
      <w:r w:rsidRPr="00625723">
        <w:rPr>
          <w:rFonts w:ascii="Tahoma" w:eastAsia="Calibri" w:hAnsi="Tahoma" w:cs="Tahoma"/>
          <w:sz w:val="19"/>
          <w:szCs w:val="19"/>
          <w:rtl/>
        </w:rPr>
        <w:t>הודעות על שינויי</w:t>
      </w:r>
      <w:r w:rsidRPr="00625723">
        <w:rPr>
          <w:rFonts w:ascii="Tahoma" w:eastAsia="Calibri" w:hAnsi="Tahoma" w:cs="Tahoma" w:hint="cs"/>
          <w:sz w:val="19"/>
          <w:szCs w:val="19"/>
          <w:rtl/>
        </w:rPr>
        <w:t xml:space="preserve">ם". </w:t>
      </w:r>
      <w:r w:rsidRPr="00625723">
        <w:rPr>
          <w:rFonts w:ascii="Tahoma" w:eastAsia="Calibri" w:hAnsi="Tahoma" w:cs="Tahoma"/>
          <w:sz w:val="19"/>
          <w:szCs w:val="19"/>
          <w:rtl/>
        </w:rPr>
        <w:t xml:space="preserve">בדצמבר 2024 נשלחו לוועדת הכספים ואושרו 304 בקשות לשינוי תקציבי בסכום נטו (בקיזוז מקורות ושימושים) של כ-2.7 מיליארד ש"ח ובסכום ברוטו (ברמת תוכנית) של כ-29.6 מיליארד ש"ח. </w:t>
      </w:r>
    </w:p>
    <w:p w:rsidR="00625723" w:rsidRPr="00625723" w:rsidP="00625723" w14:paraId="7706B5DE" w14:textId="77777777">
      <w:pPr>
        <w:numPr>
          <w:ilvl w:val="1"/>
          <w:numId w:val="14"/>
        </w:numPr>
        <w:spacing w:after="120" w:line="288" w:lineRule="auto"/>
        <w:ind w:left="278" w:right="-567" w:hanging="421"/>
        <w:rPr>
          <w:rFonts w:ascii="Tahoma" w:eastAsia="Calibri" w:hAnsi="Tahoma" w:cs="Tahoma"/>
          <w:sz w:val="19"/>
          <w:szCs w:val="19"/>
        </w:rPr>
      </w:pPr>
      <w:r w:rsidRPr="00625723">
        <w:rPr>
          <w:rFonts w:ascii="Tahoma" w:eastAsia="Calibri" w:hAnsi="Tahoma" w:cs="Tahoma" w:hint="cs"/>
          <w:sz w:val="19"/>
          <w:szCs w:val="19"/>
          <w:rtl/>
        </w:rPr>
        <w:t>כמו</w:t>
      </w:r>
      <w:r w:rsidR="00630344">
        <w:rPr>
          <w:rFonts w:ascii="Tahoma" w:eastAsia="Calibri" w:hAnsi="Tahoma" w:cs="Tahoma" w:hint="cs"/>
          <w:sz w:val="19"/>
          <w:szCs w:val="19"/>
          <w:rtl/>
        </w:rPr>
        <w:t xml:space="preserve"> </w:t>
      </w:r>
      <w:r w:rsidRPr="00625723">
        <w:rPr>
          <w:rFonts w:ascii="Tahoma" w:eastAsia="Calibri" w:hAnsi="Tahoma" w:cs="Tahoma" w:hint="cs"/>
          <w:sz w:val="19"/>
          <w:szCs w:val="19"/>
          <w:rtl/>
        </w:rPr>
        <w:t>כן,</w:t>
      </w:r>
      <w:r w:rsidRPr="00625723">
        <w:rPr>
          <w:rFonts w:ascii="Tahoma" w:eastAsia="Calibri" w:hAnsi="Tahoma" w:cs="Tahoma"/>
          <w:sz w:val="19"/>
          <w:szCs w:val="19"/>
          <w:rtl/>
        </w:rPr>
        <w:t xml:space="preserve"> </w:t>
      </w:r>
      <w:r w:rsidRPr="00625723">
        <w:rPr>
          <w:rFonts w:ascii="Tahoma" w:eastAsia="Calibri" w:hAnsi="Tahoma" w:cs="Tahoma" w:hint="cs"/>
          <w:sz w:val="19"/>
          <w:szCs w:val="19"/>
          <w:rtl/>
        </w:rPr>
        <w:t xml:space="preserve">עלה כי </w:t>
      </w:r>
      <w:r w:rsidRPr="00625723">
        <w:rPr>
          <w:rFonts w:ascii="Tahoma" w:eastAsia="Calibri" w:hAnsi="Tahoma" w:cs="Tahoma"/>
          <w:sz w:val="19"/>
          <w:szCs w:val="19"/>
          <w:rtl/>
        </w:rPr>
        <w:t>בדצמבר 2024 אושרו בוועדת הכספים 335 בקשות</w:t>
      </w:r>
      <w:r w:rsidRPr="00625723">
        <w:rPr>
          <w:rFonts w:ascii="Tahoma" w:eastAsia="Calibri" w:hAnsi="Tahoma" w:cs="Tahoma" w:hint="cs"/>
          <w:sz w:val="19"/>
          <w:szCs w:val="19"/>
          <w:rtl/>
        </w:rPr>
        <w:t xml:space="preserve"> (מתוכן 304 בקשות שנשלחו לוועדה בדצמבר 2024)</w:t>
      </w:r>
      <w:r w:rsidRPr="00625723">
        <w:rPr>
          <w:rFonts w:ascii="Tahoma" w:eastAsia="Calibri" w:hAnsi="Tahoma" w:cs="Tahoma"/>
          <w:sz w:val="19"/>
          <w:szCs w:val="19"/>
          <w:rtl/>
        </w:rPr>
        <w:t xml:space="preserve"> לשינוי תקציבי בסכום נטו של כ-2.7 מיליארד ש"ח ובסכום ברוטו של כ-30.4 מיליארד ש"ח, כך ש-31 בקשות לשינוי תקציבי בסכום ברוטו של כ-875 מיליון ש"ח הוגשו לוועדת הכספים עוד </w:t>
      </w:r>
      <w:r w:rsidRPr="00625723">
        <w:rPr>
          <w:rFonts w:ascii="Tahoma" w:eastAsia="Calibri" w:hAnsi="Tahoma" w:cs="Tahoma"/>
          <w:sz w:val="19"/>
          <w:szCs w:val="19"/>
          <w:rtl/>
        </w:rPr>
        <w:t xml:space="preserve">לפני חודש דצמבר אך אושרו במהלכו. </w:t>
      </w:r>
      <w:r w:rsidRPr="00625723">
        <w:rPr>
          <w:rFonts w:ascii="Tahoma" w:eastAsia="Calibri" w:hAnsi="Tahoma" w:cs="Tahoma" w:hint="cs"/>
          <w:sz w:val="19"/>
          <w:szCs w:val="19"/>
          <w:rtl/>
        </w:rPr>
        <w:t xml:space="preserve">בנוסף </w:t>
      </w:r>
      <w:r w:rsidRPr="00625723">
        <w:rPr>
          <w:rFonts w:ascii="Tahoma" w:eastAsia="Calibri" w:hAnsi="Tahoma" w:cs="Tahoma"/>
          <w:sz w:val="19"/>
          <w:szCs w:val="19"/>
          <w:rtl/>
        </w:rPr>
        <w:t xml:space="preserve">בשלושת הימים האחרונים של חודש דצמבר אושרו 84% (282 מ-335) מהבקשות, שכללו 88% (כ-26.6 מיליארד ש"ח מכ-30.4 מיליארד ש"ח) מהסכום הכספי ברוטו שנכלל בבקשות שאושרו באותו חודש. </w:t>
      </w:r>
    </w:p>
    <w:p w:rsidR="00625723" w:rsidRPr="00625723" w:rsidP="00625723" w14:paraId="577C0121" w14:textId="77777777">
      <w:pPr>
        <w:numPr>
          <w:ilvl w:val="1"/>
          <w:numId w:val="14"/>
        </w:numPr>
        <w:spacing w:after="120" w:line="288" w:lineRule="auto"/>
        <w:ind w:left="278" w:right="-567" w:hanging="421"/>
        <w:rPr>
          <w:rFonts w:ascii="Tahoma" w:eastAsia="Calibri" w:hAnsi="Tahoma" w:cs="Tahoma"/>
          <w:sz w:val="19"/>
          <w:szCs w:val="19"/>
        </w:rPr>
      </w:pPr>
      <w:r w:rsidRPr="00625723">
        <w:rPr>
          <w:rFonts w:ascii="Tahoma" w:eastAsia="Calibri" w:hAnsi="Tahoma" w:cs="Tahoma" w:hint="cs"/>
          <w:sz w:val="19"/>
          <w:szCs w:val="19"/>
          <w:rtl/>
        </w:rPr>
        <w:t>כן עלה כי</w:t>
      </w:r>
      <w:r w:rsidRPr="00625723">
        <w:rPr>
          <w:rFonts w:ascii="Tahoma" w:eastAsia="Calibri" w:hAnsi="Tahoma" w:cs="Tahoma"/>
          <w:sz w:val="19"/>
          <w:szCs w:val="19"/>
          <w:rtl/>
        </w:rPr>
        <w:t xml:space="preserve"> 240 מ-304 (79%) הבקשות שהוגשו ואושרו בחודש דצמבר </w:t>
      </w:r>
      <w:r w:rsidRPr="00625723">
        <w:rPr>
          <w:rFonts w:ascii="Tahoma" w:eastAsia="Calibri" w:hAnsi="Tahoma" w:cs="Tahoma" w:hint="cs"/>
          <w:sz w:val="19"/>
          <w:szCs w:val="19"/>
          <w:rtl/>
        </w:rPr>
        <w:t xml:space="preserve">2024, </w:t>
      </w:r>
      <w:r w:rsidRPr="00625723">
        <w:rPr>
          <w:rFonts w:ascii="Tahoma" w:eastAsia="Calibri" w:hAnsi="Tahoma" w:cs="Tahoma"/>
          <w:sz w:val="19"/>
          <w:szCs w:val="19"/>
          <w:rtl/>
        </w:rPr>
        <w:t>הוגשו</w:t>
      </w:r>
      <w:r w:rsidRPr="00625723">
        <w:rPr>
          <w:rFonts w:ascii="Tahoma" w:eastAsia="Calibri" w:hAnsi="Tahoma" w:cs="Tahoma" w:hint="cs"/>
          <w:sz w:val="19"/>
          <w:szCs w:val="19"/>
          <w:rtl/>
        </w:rPr>
        <w:t xml:space="preserve"> על ידי שר האוצר באמצעות אגף התקציבים</w:t>
      </w:r>
      <w:r w:rsidRPr="00625723">
        <w:rPr>
          <w:rFonts w:ascii="Tahoma" w:eastAsia="Calibri" w:hAnsi="Tahoma" w:cs="Tahoma"/>
          <w:sz w:val="19"/>
          <w:szCs w:val="19"/>
          <w:rtl/>
        </w:rPr>
        <w:t xml:space="preserve"> רק בעשרת הימים האחרונים של החודש.</w:t>
      </w:r>
    </w:p>
    <w:p w:rsidR="00625723" w:rsidRPr="00625723" w:rsidP="00833191" w14:paraId="4B443604" w14:textId="77777777">
      <w:pPr>
        <w:numPr>
          <w:ilvl w:val="1"/>
          <w:numId w:val="14"/>
        </w:numPr>
        <w:spacing w:after="360" w:line="288" w:lineRule="auto"/>
        <w:ind w:left="278" w:right="-567" w:hanging="420"/>
        <w:rPr>
          <w:rFonts w:ascii="Tahoma" w:eastAsia="Calibri" w:hAnsi="Tahoma" w:cs="Tahoma"/>
          <w:sz w:val="19"/>
          <w:szCs w:val="19"/>
        </w:rPr>
      </w:pPr>
      <w:r w:rsidRPr="00625723">
        <w:rPr>
          <w:rFonts w:ascii="Tahoma" w:eastAsia="Calibri" w:hAnsi="Tahoma" w:cs="Tahoma" w:hint="cs"/>
          <w:sz w:val="19"/>
          <w:szCs w:val="19"/>
          <w:rtl/>
        </w:rPr>
        <w:t>הסכום הכספי ברוטו</w:t>
      </w:r>
      <w:r>
        <w:rPr>
          <w:rFonts w:ascii="Tahoma" w:eastAsia="Calibri" w:hAnsi="Tahoma" w:cs="Tahoma"/>
          <w:sz w:val="19"/>
          <w:szCs w:val="19"/>
          <w:vertAlign w:val="superscript"/>
          <w:rtl/>
        </w:rPr>
        <w:footnoteReference w:id="5"/>
      </w:r>
      <w:r w:rsidRPr="00625723">
        <w:rPr>
          <w:rFonts w:ascii="Tahoma" w:eastAsia="Calibri" w:hAnsi="Tahoma" w:cs="Tahoma" w:hint="cs"/>
          <w:sz w:val="19"/>
          <w:szCs w:val="19"/>
          <w:rtl/>
        </w:rPr>
        <w:t xml:space="preserve"> של 77 הפניות התקציביות הכוללות בקשות לשינוי תקציבי שאושרו בוועדת הכספים של הכנסת בדצמבר 2024 עמד על 30.4 מיליארד ש"ח, ב-65% יותר מאשר הסכום בדצמבר 2017 שעמד על 18.4 מיליארד ש"ח.</w:t>
      </w:r>
    </w:p>
    <w:p w:rsidR="00625723" w:rsidRPr="00625723" w:rsidP="0072274C" w14:paraId="12D907EE" w14:textId="77777777">
      <w:pPr>
        <w:spacing w:after="120" w:line="288" w:lineRule="auto"/>
        <w:ind w:left="-143" w:right="-567"/>
        <w:rPr>
          <w:rFonts w:ascii="Tahoma" w:eastAsia="Calibri" w:hAnsi="Tahoma" w:cs="Tahoma"/>
          <w:b/>
          <w:bCs/>
          <w:sz w:val="19"/>
          <w:szCs w:val="19"/>
          <w:u w:val="single"/>
        </w:rPr>
      </w:pPr>
      <w:r w:rsidRPr="00625723">
        <w:rPr>
          <w:rFonts w:ascii="Tahoma" w:eastAsia="Calibri" w:hAnsi="Tahoma" w:cs="Tahoma" w:hint="cs"/>
          <w:b/>
          <w:bCs/>
          <w:sz w:val="19"/>
          <w:szCs w:val="19"/>
          <w:u w:val="single"/>
          <w:rtl/>
        </w:rPr>
        <w:t>ה</w:t>
      </w:r>
      <w:r w:rsidRPr="00625723">
        <w:rPr>
          <w:rFonts w:ascii="Tahoma" w:eastAsia="Calibri" w:hAnsi="Tahoma" w:cs="Tahoma" w:hint="eastAsia"/>
          <w:b/>
          <w:bCs/>
          <w:sz w:val="19"/>
          <w:szCs w:val="19"/>
          <w:u w:val="single"/>
          <w:rtl/>
        </w:rPr>
        <w:t>סיבות</w:t>
      </w:r>
      <w:r w:rsidRPr="00625723">
        <w:rPr>
          <w:rFonts w:ascii="Tahoma" w:eastAsia="Calibri" w:hAnsi="Tahoma" w:cs="Tahoma"/>
          <w:b/>
          <w:bCs/>
          <w:sz w:val="19"/>
          <w:szCs w:val="19"/>
          <w:u w:val="single"/>
          <w:rtl/>
        </w:rPr>
        <w:t xml:space="preserve"> </w:t>
      </w:r>
      <w:r w:rsidRPr="00625723">
        <w:rPr>
          <w:rFonts w:ascii="Tahoma" w:eastAsia="Calibri" w:hAnsi="Tahoma" w:cs="Tahoma" w:hint="eastAsia"/>
          <w:b/>
          <w:bCs/>
          <w:sz w:val="19"/>
          <w:szCs w:val="19"/>
          <w:u w:val="single"/>
          <w:rtl/>
        </w:rPr>
        <w:t>לריבוי</w:t>
      </w:r>
      <w:r w:rsidRPr="00625723">
        <w:rPr>
          <w:rFonts w:ascii="Tahoma" w:eastAsia="Calibri" w:hAnsi="Tahoma" w:cs="Tahoma"/>
          <w:b/>
          <w:bCs/>
          <w:sz w:val="19"/>
          <w:szCs w:val="19"/>
          <w:u w:val="single"/>
          <w:rtl/>
        </w:rPr>
        <w:t xml:space="preserve"> </w:t>
      </w:r>
      <w:r w:rsidRPr="00625723">
        <w:rPr>
          <w:rFonts w:ascii="Tahoma" w:eastAsia="Calibri" w:hAnsi="Tahoma" w:cs="Tahoma" w:hint="eastAsia"/>
          <w:b/>
          <w:bCs/>
          <w:sz w:val="19"/>
          <w:szCs w:val="19"/>
          <w:u w:val="single"/>
          <w:rtl/>
        </w:rPr>
        <w:t>הפניות</w:t>
      </w:r>
    </w:p>
    <w:p w:rsidR="00625723" w:rsidRPr="00625723" w:rsidP="00625723" w14:paraId="2B11EC16" w14:textId="77777777">
      <w:pPr>
        <w:numPr>
          <w:ilvl w:val="1"/>
          <w:numId w:val="14"/>
        </w:numPr>
        <w:spacing w:after="120" w:line="288" w:lineRule="auto"/>
        <w:ind w:left="278" w:right="-567" w:hanging="421"/>
        <w:rPr>
          <w:rFonts w:ascii="Tahoma" w:eastAsia="Calibri" w:hAnsi="Tahoma" w:cs="Tahoma"/>
          <w:sz w:val="19"/>
          <w:szCs w:val="19"/>
        </w:rPr>
      </w:pPr>
      <w:r w:rsidRPr="00625723">
        <w:rPr>
          <w:rFonts w:ascii="Tahoma" w:eastAsia="Calibri" w:hAnsi="Tahoma" w:cs="Tahoma" w:hint="cs"/>
          <w:sz w:val="19"/>
          <w:szCs w:val="19"/>
          <w:rtl/>
        </w:rPr>
        <w:t>הסיבות לריבוי הפניות התקציביות שהוגשו לוועדה במהלך חודש דצמבר 2024 היו</w:t>
      </w:r>
      <w:r w:rsidRPr="00625723">
        <w:rPr>
          <w:rFonts w:ascii="Tahoma" w:eastAsia="Calibri" w:hAnsi="Tahoma" w:cs="Tahoma"/>
          <w:sz w:val="19"/>
          <w:szCs w:val="19"/>
          <w:rtl/>
        </w:rPr>
        <w:t xml:space="preserve">, </w:t>
      </w:r>
      <w:r w:rsidRPr="00625723">
        <w:rPr>
          <w:rFonts w:ascii="Tahoma" w:eastAsia="Calibri" w:hAnsi="Tahoma" w:cs="Tahoma" w:hint="eastAsia"/>
          <w:sz w:val="19"/>
          <w:szCs w:val="19"/>
          <w:rtl/>
        </w:rPr>
        <w:t>בין</w:t>
      </w:r>
      <w:r w:rsidRPr="00625723">
        <w:rPr>
          <w:rFonts w:ascii="Tahoma" w:eastAsia="Calibri" w:hAnsi="Tahoma" w:cs="Tahoma"/>
          <w:sz w:val="19"/>
          <w:szCs w:val="19"/>
          <w:rtl/>
        </w:rPr>
        <w:t xml:space="preserve"> </w:t>
      </w:r>
      <w:r w:rsidRPr="00625723">
        <w:rPr>
          <w:rFonts w:ascii="Tahoma" w:eastAsia="Calibri" w:hAnsi="Tahoma" w:cs="Tahoma" w:hint="eastAsia"/>
          <w:sz w:val="19"/>
          <w:szCs w:val="19"/>
          <w:rtl/>
        </w:rPr>
        <w:t>היתר</w:t>
      </w:r>
      <w:r w:rsidRPr="00625723">
        <w:rPr>
          <w:rFonts w:ascii="Tahoma" w:eastAsia="Calibri" w:hAnsi="Tahoma" w:cs="Tahoma"/>
          <w:sz w:val="19"/>
          <w:szCs w:val="19"/>
          <w:rtl/>
        </w:rPr>
        <w:t>,</w:t>
      </w:r>
      <w:r w:rsidRPr="00625723">
        <w:rPr>
          <w:rFonts w:ascii="Tahoma" w:eastAsia="Calibri" w:hAnsi="Tahoma" w:cs="Tahoma" w:hint="cs"/>
          <w:sz w:val="19"/>
          <w:szCs w:val="19"/>
          <w:rtl/>
        </w:rPr>
        <w:t xml:space="preserve"> כדלקמן:</w:t>
      </w:r>
    </w:p>
    <w:p w:rsidR="00625723" w:rsidRPr="00625723" w:rsidP="00625723" w14:paraId="699ACB6D" w14:textId="77777777">
      <w:pPr>
        <w:numPr>
          <w:ilvl w:val="2"/>
          <w:numId w:val="14"/>
        </w:numPr>
        <w:spacing w:after="120" w:line="288" w:lineRule="auto"/>
        <w:ind w:left="709" w:right="-567" w:hanging="425"/>
        <w:rPr>
          <w:rFonts w:ascii="Tahoma" w:eastAsia="Calibri" w:hAnsi="Tahoma" w:cs="Tahoma"/>
          <w:sz w:val="19"/>
          <w:szCs w:val="19"/>
        </w:rPr>
      </w:pPr>
      <w:r w:rsidRPr="00625723">
        <w:rPr>
          <w:rFonts w:ascii="Tahoma" w:eastAsia="Calibri" w:hAnsi="Tahoma" w:cs="Tahoma"/>
          <w:sz w:val="19"/>
          <w:szCs w:val="19"/>
          <w:rtl/>
        </w:rPr>
        <w:t>משך הזמן הארוך של חקיקת כמה חוקי תקציב נוסף בשנת 2024 צמצם באופן ניכר את הזמן שבו</w:t>
      </w:r>
      <w:r w:rsidRPr="00625723">
        <w:rPr>
          <w:rFonts w:ascii="Tahoma" w:eastAsia="Calibri" w:hAnsi="Tahoma" w:cs="Tahoma" w:hint="cs"/>
          <w:sz w:val="19"/>
          <w:szCs w:val="19"/>
          <w:rtl/>
        </w:rPr>
        <w:t xml:space="preserve"> ניתן היה</w:t>
      </w:r>
      <w:r w:rsidRPr="00625723">
        <w:rPr>
          <w:rFonts w:ascii="Tahoma" w:eastAsia="Calibri" w:hAnsi="Tahoma" w:cs="Tahoma"/>
          <w:sz w:val="19"/>
          <w:szCs w:val="19"/>
          <w:rtl/>
        </w:rPr>
        <w:t xml:space="preserve"> להגיש בקשות לשינויים תקציביים ולדון בהן בוועדת הכספים</w:t>
      </w:r>
      <w:r w:rsidRPr="00625723">
        <w:rPr>
          <w:rFonts w:ascii="Tahoma" w:eastAsia="Calibri" w:hAnsi="Tahoma" w:cs="Tahoma" w:hint="cs"/>
          <w:sz w:val="19"/>
          <w:szCs w:val="19"/>
          <w:rtl/>
        </w:rPr>
        <w:t>.</w:t>
      </w:r>
    </w:p>
    <w:p w:rsidR="00625723" w:rsidRPr="00625723" w:rsidP="00625723" w14:paraId="727B00B7" w14:textId="77777777">
      <w:pPr>
        <w:numPr>
          <w:ilvl w:val="2"/>
          <w:numId w:val="14"/>
        </w:numPr>
        <w:spacing w:after="240" w:line="288" w:lineRule="auto"/>
        <w:ind w:left="709" w:right="-567" w:hanging="426"/>
        <w:rPr>
          <w:rFonts w:ascii="Tahoma" w:eastAsia="Calibri" w:hAnsi="Tahoma" w:cs="Tahoma"/>
          <w:sz w:val="19"/>
          <w:szCs w:val="19"/>
        </w:rPr>
      </w:pPr>
      <w:bookmarkStart w:id="5" w:name="_Hlk229988088"/>
      <w:r w:rsidRPr="00625723">
        <w:rPr>
          <w:rFonts w:ascii="Tahoma" w:eastAsia="Calibri" w:hAnsi="Tahoma" w:cs="Tahoma" w:hint="cs"/>
          <w:sz w:val="19"/>
          <w:szCs w:val="19"/>
          <w:rtl/>
        </w:rPr>
        <w:t>בין הבקשות שהעביר שר האוצר לאישור ועדת הכספים היו גם בקשות ופניות שעל פי הוראות החוק היה בעניינן די במתן הודעה לוועדה.</w:t>
      </w:r>
      <w:bookmarkEnd w:id="5"/>
    </w:p>
    <w:p w:rsidR="00625723" w:rsidRPr="00625723" w:rsidP="00625723" w14:paraId="73D770CD" w14:textId="77777777">
      <w:pPr>
        <w:numPr>
          <w:ilvl w:val="2"/>
          <w:numId w:val="14"/>
        </w:numPr>
        <w:spacing w:after="120" w:line="288" w:lineRule="auto"/>
        <w:ind w:left="709" w:right="-567" w:hanging="425"/>
        <w:rPr>
          <w:rFonts w:ascii="Tahoma" w:eastAsia="Calibri" w:hAnsi="Tahoma" w:cs="Tahoma"/>
          <w:sz w:val="19"/>
          <w:szCs w:val="19"/>
        </w:rPr>
      </w:pPr>
      <w:r w:rsidRPr="00625723">
        <w:rPr>
          <w:rFonts w:ascii="Tahoma" w:eastAsia="Calibri" w:hAnsi="Tahoma" w:cs="Tahoma"/>
          <w:sz w:val="19"/>
          <w:szCs w:val="19"/>
          <w:rtl/>
        </w:rPr>
        <w:t>טענות רבות של חברי הכנסת לגבי איכות ההסברים שניתנו מראש</w:t>
      </w:r>
      <w:r w:rsidRPr="00625723">
        <w:rPr>
          <w:rFonts w:ascii="Tahoma" w:eastAsia="Calibri" w:hAnsi="Tahoma" w:cs="Tahoma" w:hint="cs"/>
          <w:sz w:val="19"/>
          <w:szCs w:val="19"/>
          <w:rtl/>
        </w:rPr>
        <w:t xml:space="preserve"> </w:t>
      </w:r>
      <w:r w:rsidRPr="00625723">
        <w:rPr>
          <w:rFonts w:ascii="Tahoma" w:eastAsia="Calibri" w:hAnsi="Tahoma" w:cs="Tahoma"/>
          <w:sz w:val="19"/>
          <w:szCs w:val="19"/>
          <w:rtl/>
        </w:rPr>
        <w:t>בעניין ההעברות התקציביות, ולגבי מענה לא מספק של נציגי אגף התקציבים ונציגי משרדי הממשלה על שאלות שהופנו אליהם בדיונים</w:t>
      </w:r>
      <w:r w:rsidRPr="00625723">
        <w:rPr>
          <w:rFonts w:ascii="Tahoma" w:eastAsia="Calibri" w:hAnsi="Tahoma" w:cs="Tahoma" w:hint="cs"/>
          <w:sz w:val="19"/>
          <w:szCs w:val="19"/>
          <w:rtl/>
        </w:rPr>
        <w:t>, כך עלה כי</w:t>
      </w:r>
      <w:r w:rsidRPr="00625723">
        <w:rPr>
          <w:rFonts w:ascii="Tahoma" w:eastAsia="Calibri" w:hAnsi="Tahoma" w:cs="Tahoma"/>
          <w:sz w:val="19"/>
          <w:szCs w:val="19"/>
          <w:rtl/>
        </w:rPr>
        <w:t xml:space="preserve"> חלק לא מבוטל מהדיון בוועדה הוקדש לבקשות של חברי הכנסת למתן הסברים נוספים על אלו שצורפו לפניות.</w:t>
      </w:r>
    </w:p>
    <w:p w:rsidR="00625723" w:rsidRPr="00625723" w:rsidP="00625723" w14:paraId="2B0F6049" w14:textId="77777777">
      <w:pPr>
        <w:numPr>
          <w:ilvl w:val="2"/>
          <w:numId w:val="14"/>
        </w:numPr>
        <w:spacing w:after="120" w:line="288" w:lineRule="auto"/>
        <w:ind w:left="709" w:right="-567" w:hanging="425"/>
        <w:rPr>
          <w:rFonts w:ascii="Tahoma" w:eastAsia="Calibri" w:hAnsi="Tahoma" w:cs="Tahoma"/>
          <w:sz w:val="19"/>
          <w:szCs w:val="19"/>
        </w:rPr>
      </w:pPr>
      <w:r w:rsidRPr="00625723">
        <w:rPr>
          <w:rFonts w:ascii="Tahoma" w:eastAsia="Calibri" w:hAnsi="Tahoma" w:cs="Tahoma" w:hint="cs"/>
          <w:sz w:val="19"/>
          <w:szCs w:val="19"/>
          <w:rtl/>
        </w:rPr>
        <w:t xml:space="preserve">הגשת פניות תקציביות לשם מימוש </w:t>
      </w:r>
      <w:r w:rsidRPr="00625723">
        <w:rPr>
          <w:rFonts w:ascii="Tahoma" w:eastAsia="Calibri" w:hAnsi="Tahoma" w:cs="Tahoma"/>
          <w:sz w:val="19"/>
          <w:szCs w:val="19"/>
          <w:rtl/>
        </w:rPr>
        <w:t>החלטות ממשלה שהתקבלו בדצמבר 2024</w:t>
      </w:r>
      <w:r w:rsidRPr="00625723">
        <w:rPr>
          <w:rFonts w:ascii="Tahoma" w:eastAsia="Calibri" w:hAnsi="Tahoma" w:cs="Tahoma" w:hint="cs"/>
          <w:sz w:val="19"/>
          <w:szCs w:val="19"/>
          <w:rtl/>
        </w:rPr>
        <w:t>.</w:t>
      </w:r>
    </w:p>
    <w:p w:rsidR="00625723" w:rsidRPr="00625723" w:rsidP="00625723" w14:paraId="07ED9515" w14:textId="77777777">
      <w:pPr>
        <w:numPr>
          <w:ilvl w:val="2"/>
          <w:numId w:val="14"/>
        </w:numPr>
        <w:spacing w:after="240" w:line="288" w:lineRule="auto"/>
        <w:ind w:left="709" w:right="-567" w:hanging="425"/>
        <w:rPr>
          <w:rFonts w:ascii="Tahoma" w:eastAsia="Calibri" w:hAnsi="Tahoma" w:cs="Tahoma"/>
          <w:sz w:val="19"/>
          <w:szCs w:val="19"/>
        </w:rPr>
      </w:pPr>
      <w:r w:rsidRPr="00625723">
        <w:rPr>
          <w:rFonts w:ascii="Tahoma" w:eastAsia="Calibri" w:hAnsi="Tahoma" w:cs="Tahoma"/>
          <w:sz w:val="19"/>
          <w:szCs w:val="19"/>
          <w:rtl/>
        </w:rPr>
        <w:t xml:space="preserve">ריכוז פניות תקציביות הכלולות בסעיף מסוים - גם כאשר הושלמה העבודה על הכנת בקשה לשינוי תקציבי </w:t>
      </w:r>
      <w:r w:rsidRPr="00625723">
        <w:rPr>
          <w:rFonts w:ascii="Tahoma" w:eastAsia="Calibri" w:hAnsi="Tahoma" w:cs="Tahoma" w:hint="eastAsia"/>
          <w:sz w:val="19"/>
          <w:szCs w:val="19"/>
          <w:rtl/>
        </w:rPr>
        <w:t>על</w:t>
      </w:r>
      <w:r w:rsidRPr="00625723">
        <w:rPr>
          <w:rFonts w:ascii="Tahoma" w:eastAsia="Calibri" w:hAnsi="Tahoma" w:cs="Tahoma"/>
          <w:sz w:val="19"/>
          <w:szCs w:val="19"/>
          <w:rtl/>
        </w:rPr>
        <w:t xml:space="preserve"> </w:t>
      </w:r>
      <w:r w:rsidRPr="00625723">
        <w:rPr>
          <w:rFonts w:ascii="Tahoma" w:eastAsia="Calibri" w:hAnsi="Tahoma" w:cs="Tahoma" w:hint="eastAsia"/>
          <w:sz w:val="19"/>
          <w:szCs w:val="19"/>
          <w:rtl/>
        </w:rPr>
        <w:t>ידי</w:t>
      </w:r>
      <w:r w:rsidRPr="00625723">
        <w:rPr>
          <w:rFonts w:ascii="Tahoma" w:eastAsia="Calibri" w:hAnsi="Tahoma" w:cs="Tahoma"/>
          <w:sz w:val="19"/>
          <w:szCs w:val="19"/>
          <w:rtl/>
        </w:rPr>
        <w:t xml:space="preserve"> </w:t>
      </w:r>
      <w:r w:rsidRPr="00625723">
        <w:rPr>
          <w:rFonts w:ascii="Tahoma" w:eastAsia="Calibri" w:hAnsi="Tahoma" w:cs="Tahoma" w:hint="cs"/>
          <w:sz w:val="19"/>
          <w:szCs w:val="19"/>
          <w:rtl/>
        </w:rPr>
        <w:t xml:space="preserve">משרדי הממשלה ואגף התקציבים </w:t>
      </w:r>
      <w:r w:rsidRPr="00625723">
        <w:rPr>
          <w:rFonts w:ascii="Tahoma" w:eastAsia="Calibri" w:hAnsi="Tahoma" w:cs="Tahoma"/>
          <w:sz w:val="19"/>
          <w:szCs w:val="19"/>
          <w:rtl/>
        </w:rPr>
        <w:t>הנוגעת לתוכנית תקציבית מסוימת הכלולה בסעיף התקציבי, הגשתה לוועדת הכספים</w:t>
      </w:r>
      <w:r w:rsidRPr="00625723">
        <w:rPr>
          <w:rFonts w:ascii="Tahoma" w:eastAsia="Calibri" w:hAnsi="Tahoma" w:cs="Tahoma" w:hint="cs"/>
          <w:sz w:val="19"/>
          <w:szCs w:val="19"/>
          <w:rtl/>
        </w:rPr>
        <w:t xml:space="preserve"> על ידי שר האוצר באמצעות אגף התקציבים מעכבת את השלמת הפנייה לוועדה </w:t>
      </w:r>
      <w:r w:rsidRPr="00625723">
        <w:rPr>
          <w:rFonts w:ascii="Tahoma" w:eastAsia="Calibri" w:hAnsi="Tahoma" w:cs="Tahoma"/>
          <w:sz w:val="19"/>
          <w:szCs w:val="19"/>
          <w:rtl/>
        </w:rPr>
        <w:t>עד להשלמת בקשות לשינוי הנוגעות לתוכניות אחרות באותו סעיף, אף שאין בהכרח קשר ענייני בין הבקשות.</w:t>
      </w:r>
      <w:r w:rsidRPr="00625723">
        <w:rPr>
          <w:rFonts w:ascii="Tahoma" w:eastAsia="Calibri" w:hAnsi="Tahoma" w:cs="Tahoma" w:hint="cs"/>
          <w:sz w:val="19"/>
          <w:szCs w:val="19"/>
          <w:rtl/>
        </w:rPr>
        <w:t xml:space="preserve"> </w:t>
      </w:r>
      <w:r w:rsidRPr="00625723">
        <w:rPr>
          <w:rFonts w:ascii="Tahoma" w:eastAsia="Calibri" w:hAnsi="Tahoma" w:cs="Tahoma"/>
          <w:sz w:val="19"/>
          <w:szCs w:val="19"/>
          <w:rtl/>
        </w:rPr>
        <w:t>למשל, מכיוון שהסעיף התקציבי הנוגע למשרד ראש הממשלה כולל גם תוכניות תקציביות של משרדים וגופים נוספים - מערך הסייבר; משרד התפוצות; הלשכה המרכזית לסטטיסטיקה; המשרד לשוויון חברתי וקידום מעמד האישה; הרשות לפיתוח כלכלי של מגזר מיעוטים; משרד ירושלים ומסורת ישראל; משרד המורשת; משרד הנגב, הגליל והחוסן הלאומי - עשויה בקשה הנוגעת לאחד הגופים האמורים להיות מעוכבת עד להשלמת שאר הבקשות הכלולות בסעיף תקציבי 04 - משרד ראש הממשלה.</w:t>
      </w:r>
    </w:p>
    <w:p w:rsidR="00625723" w:rsidRPr="00625723" w:rsidP="0072274C" w14:paraId="407D01D3" w14:textId="77777777">
      <w:pPr>
        <w:numPr>
          <w:ilvl w:val="0"/>
          <w:numId w:val="14"/>
        </w:numPr>
        <w:spacing w:after="120" w:line="288" w:lineRule="auto"/>
        <w:ind w:left="-143" w:right="-567" w:hanging="595"/>
        <w:rPr>
          <w:rFonts w:ascii="Tahoma" w:eastAsia="Calibri" w:hAnsi="Tahoma" w:cs="Tahoma"/>
          <w:sz w:val="19"/>
          <w:szCs w:val="19"/>
        </w:rPr>
      </w:pPr>
      <w:r w:rsidRPr="00625723">
        <w:rPr>
          <w:rFonts w:ascii="Tahoma" w:eastAsia="Calibri" w:hAnsi="Tahoma" w:cs="Tahoma" w:hint="eastAsia"/>
          <w:b/>
          <w:bCs/>
          <w:sz w:val="19"/>
          <w:szCs w:val="19"/>
          <w:rtl/>
        </w:rPr>
        <w:t>השלכות</w:t>
      </w:r>
      <w:r w:rsidRPr="00625723">
        <w:rPr>
          <w:rFonts w:ascii="Tahoma" w:eastAsia="Calibri" w:hAnsi="Tahoma" w:cs="Tahoma"/>
          <w:b/>
          <w:bCs/>
          <w:sz w:val="19"/>
          <w:szCs w:val="19"/>
          <w:rtl/>
        </w:rPr>
        <w:t xml:space="preserve"> </w:t>
      </w:r>
      <w:r w:rsidRPr="00625723">
        <w:rPr>
          <w:rFonts w:ascii="Tahoma" w:eastAsia="Calibri" w:hAnsi="Tahoma" w:cs="Tahoma" w:hint="eastAsia"/>
          <w:b/>
          <w:bCs/>
          <w:sz w:val="19"/>
          <w:szCs w:val="19"/>
          <w:rtl/>
        </w:rPr>
        <w:t>ריבוי</w:t>
      </w:r>
      <w:r w:rsidRPr="00625723">
        <w:rPr>
          <w:rFonts w:ascii="Tahoma" w:eastAsia="Calibri" w:hAnsi="Tahoma" w:cs="Tahoma"/>
          <w:b/>
          <w:bCs/>
          <w:sz w:val="19"/>
          <w:szCs w:val="19"/>
          <w:rtl/>
        </w:rPr>
        <w:t xml:space="preserve"> </w:t>
      </w:r>
      <w:r w:rsidRPr="00625723">
        <w:rPr>
          <w:rFonts w:ascii="Tahoma" w:eastAsia="Calibri" w:hAnsi="Tahoma" w:cs="Tahoma" w:hint="eastAsia"/>
          <w:b/>
          <w:bCs/>
          <w:sz w:val="19"/>
          <w:szCs w:val="19"/>
          <w:rtl/>
        </w:rPr>
        <w:t>הפניות</w:t>
      </w:r>
    </w:p>
    <w:p w:rsidR="00625723" w:rsidRPr="00625723" w:rsidP="00625723" w14:paraId="16BBC22A" w14:textId="77777777">
      <w:pPr>
        <w:numPr>
          <w:ilvl w:val="1"/>
          <w:numId w:val="14"/>
        </w:numPr>
        <w:spacing w:after="120" w:line="288" w:lineRule="auto"/>
        <w:ind w:left="278" w:right="-567" w:hanging="421"/>
        <w:rPr>
          <w:rFonts w:ascii="Tahoma" w:eastAsia="Calibri" w:hAnsi="Tahoma" w:cs="Tahoma"/>
          <w:sz w:val="19"/>
          <w:szCs w:val="19"/>
        </w:rPr>
      </w:pPr>
      <w:r w:rsidRPr="00625723">
        <w:rPr>
          <w:rFonts w:ascii="Tahoma" w:eastAsia="Calibri" w:hAnsi="Tahoma" w:cs="Tahoma" w:hint="cs"/>
          <w:sz w:val="19"/>
          <w:szCs w:val="19"/>
          <w:rtl/>
        </w:rPr>
        <w:t>הגשה ואישור של פניות תקציביות בסוף שנת הכספים אינה מאפשרת את מימוש התקציב במהלך השנה ועלול להיווצר מצב שהוצאת כספים על ידי משרדי הממשלה במהלך השנה לפני אישורה של העברת התקציב בוועדת הכספים, תעקוף את חוק התקציב, ותהיה שלא כדין.</w:t>
      </w:r>
    </w:p>
    <w:p w:rsidR="00625723" w:rsidRPr="00625723" w:rsidP="00625723" w14:paraId="3C1475D0" w14:textId="77777777">
      <w:pPr>
        <w:numPr>
          <w:ilvl w:val="1"/>
          <w:numId w:val="14"/>
        </w:numPr>
        <w:spacing w:after="120" w:line="288" w:lineRule="auto"/>
        <w:ind w:left="278" w:right="-567" w:hanging="421"/>
        <w:rPr>
          <w:rFonts w:ascii="Tahoma" w:eastAsia="Calibri" w:hAnsi="Tahoma" w:cs="Tahoma"/>
          <w:sz w:val="19"/>
          <w:szCs w:val="19"/>
        </w:rPr>
      </w:pPr>
      <w:r w:rsidRPr="00625723">
        <w:rPr>
          <w:rFonts w:ascii="Tahoma" w:eastAsia="Calibri" w:hAnsi="Tahoma" w:cs="Tahoma"/>
          <w:sz w:val="19"/>
          <w:szCs w:val="19"/>
          <w:rtl/>
        </w:rPr>
        <w:t>השינויים ה</w:t>
      </w:r>
      <w:r w:rsidRPr="00625723">
        <w:rPr>
          <w:rFonts w:ascii="Tahoma" w:eastAsia="Calibri" w:hAnsi="Tahoma" w:cs="Tahoma" w:hint="cs"/>
          <w:sz w:val="19"/>
          <w:szCs w:val="19"/>
          <w:rtl/>
        </w:rPr>
        <w:t>תקציביים</w:t>
      </w:r>
      <w:r w:rsidRPr="00625723">
        <w:rPr>
          <w:rFonts w:ascii="Tahoma" w:eastAsia="Calibri" w:hAnsi="Tahoma" w:cs="Tahoma"/>
          <w:sz w:val="19"/>
          <w:szCs w:val="19"/>
          <w:rtl/>
        </w:rPr>
        <w:t xml:space="preserve"> בסוף ש</w:t>
      </w:r>
      <w:r w:rsidRPr="00625723">
        <w:rPr>
          <w:rFonts w:ascii="Tahoma" w:eastAsia="Calibri" w:hAnsi="Tahoma" w:cs="Tahoma" w:hint="cs"/>
          <w:sz w:val="19"/>
          <w:szCs w:val="19"/>
          <w:rtl/>
        </w:rPr>
        <w:t xml:space="preserve">נת הכספים עשויים לפגוע </w:t>
      </w:r>
      <w:r w:rsidRPr="00625723">
        <w:rPr>
          <w:rFonts w:ascii="Tahoma" w:eastAsia="Calibri" w:hAnsi="Tahoma" w:cs="Tahoma"/>
          <w:sz w:val="19"/>
          <w:szCs w:val="19"/>
          <w:rtl/>
        </w:rPr>
        <w:t>בהליך הבקרה ואישור הוצאת הכספים על ידי</w:t>
      </w:r>
      <w:r w:rsidRPr="00625723">
        <w:rPr>
          <w:rFonts w:ascii="Tahoma" w:eastAsia="Calibri" w:hAnsi="Tahoma" w:cs="Tahoma" w:hint="cs"/>
          <w:sz w:val="19"/>
          <w:szCs w:val="19"/>
          <w:rtl/>
        </w:rPr>
        <w:t xml:space="preserve"> ה</w:t>
      </w:r>
      <w:r w:rsidRPr="00625723">
        <w:rPr>
          <w:rFonts w:ascii="Tahoma" w:eastAsia="Calibri" w:hAnsi="Tahoma" w:cs="Tahoma"/>
          <w:sz w:val="19"/>
          <w:szCs w:val="19"/>
          <w:rtl/>
        </w:rPr>
        <w:t>ח</w:t>
      </w:r>
      <w:r w:rsidRPr="00625723">
        <w:rPr>
          <w:rFonts w:ascii="Tahoma" w:eastAsia="Calibri" w:hAnsi="Tahoma" w:cs="Tahoma" w:hint="cs"/>
          <w:sz w:val="19"/>
          <w:szCs w:val="19"/>
          <w:rtl/>
        </w:rPr>
        <w:t>ש</w:t>
      </w:r>
      <w:r w:rsidRPr="00625723">
        <w:rPr>
          <w:rFonts w:ascii="Tahoma" w:eastAsia="Calibri" w:hAnsi="Tahoma" w:cs="Tahoma"/>
          <w:sz w:val="19"/>
          <w:szCs w:val="19"/>
          <w:rtl/>
        </w:rPr>
        <w:t>בי</w:t>
      </w:r>
      <w:r w:rsidRPr="00625723">
        <w:rPr>
          <w:rFonts w:ascii="Tahoma" w:eastAsia="Calibri" w:hAnsi="Tahoma" w:cs="Tahoma" w:hint="cs"/>
          <w:sz w:val="19"/>
          <w:szCs w:val="19"/>
          <w:rtl/>
        </w:rPr>
        <w:t>ם</w:t>
      </w:r>
      <w:r w:rsidRPr="00625723">
        <w:rPr>
          <w:rFonts w:ascii="Tahoma" w:eastAsia="Calibri" w:hAnsi="Tahoma" w:cs="Tahoma"/>
          <w:sz w:val="19"/>
          <w:szCs w:val="19"/>
          <w:rtl/>
        </w:rPr>
        <w:t xml:space="preserve"> </w:t>
      </w:r>
      <w:r w:rsidRPr="00625723">
        <w:rPr>
          <w:rFonts w:ascii="Tahoma" w:eastAsia="Calibri" w:hAnsi="Tahoma" w:cs="Tahoma" w:hint="cs"/>
          <w:sz w:val="19"/>
          <w:szCs w:val="19"/>
          <w:rtl/>
        </w:rPr>
        <w:t>של משרדי הממשלה</w:t>
      </w:r>
      <w:r w:rsidRPr="00625723">
        <w:rPr>
          <w:rFonts w:ascii="Tahoma" w:eastAsia="Calibri" w:hAnsi="Tahoma" w:cs="Tahoma"/>
          <w:sz w:val="19"/>
          <w:szCs w:val="19"/>
          <w:rtl/>
        </w:rPr>
        <w:t xml:space="preserve"> ואף על </w:t>
      </w:r>
      <w:r w:rsidRPr="00625723">
        <w:rPr>
          <w:rFonts w:ascii="Tahoma" w:eastAsia="Calibri" w:hAnsi="Tahoma" w:cs="Tahoma" w:hint="cs"/>
          <w:sz w:val="19"/>
          <w:szCs w:val="19"/>
          <w:rtl/>
        </w:rPr>
        <w:t>תהליכי קבלת ההחלטות, ה</w:t>
      </w:r>
      <w:r w:rsidRPr="00625723">
        <w:rPr>
          <w:rFonts w:ascii="Tahoma" w:eastAsia="Calibri" w:hAnsi="Tahoma" w:cs="Tahoma"/>
          <w:sz w:val="19"/>
          <w:szCs w:val="19"/>
          <w:rtl/>
        </w:rPr>
        <w:t>מעקב</w:t>
      </w:r>
      <w:r w:rsidRPr="00625723">
        <w:rPr>
          <w:rFonts w:ascii="Tahoma" w:eastAsia="Calibri" w:hAnsi="Tahoma" w:cs="Tahoma" w:hint="cs"/>
          <w:sz w:val="19"/>
          <w:szCs w:val="19"/>
          <w:rtl/>
        </w:rPr>
        <w:t xml:space="preserve"> </w:t>
      </w:r>
      <w:r w:rsidRPr="00625723">
        <w:rPr>
          <w:rFonts w:ascii="Tahoma" w:eastAsia="Calibri" w:hAnsi="Tahoma" w:cs="Tahoma"/>
          <w:sz w:val="19"/>
          <w:szCs w:val="19"/>
          <w:rtl/>
        </w:rPr>
        <w:t>ו</w:t>
      </w:r>
      <w:r w:rsidRPr="00625723">
        <w:rPr>
          <w:rFonts w:ascii="Tahoma" w:eastAsia="Calibri" w:hAnsi="Tahoma" w:cs="Tahoma" w:hint="cs"/>
          <w:sz w:val="19"/>
          <w:szCs w:val="19"/>
          <w:rtl/>
        </w:rPr>
        <w:t>ה</w:t>
      </w:r>
      <w:r w:rsidRPr="00625723">
        <w:rPr>
          <w:rFonts w:ascii="Tahoma" w:eastAsia="Calibri" w:hAnsi="Tahoma" w:cs="Tahoma"/>
          <w:sz w:val="19"/>
          <w:szCs w:val="19"/>
          <w:rtl/>
        </w:rPr>
        <w:t xml:space="preserve">פיקוח של ועדת </w:t>
      </w:r>
      <w:r w:rsidRPr="00625723">
        <w:rPr>
          <w:rFonts w:ascii="Tahoma" w:eastAsia="Calibri" w:hAnsi="Tahoma" w:cs="Tahoma" w:hint="cs"/>
          <w:sz w:val="19"/>
          <w:szCs w:val="19"/>
          <w:rtl/>
        </w:rPr>
        <w:t>ה</w:t>
      </w:r>
      <w:r w:rsidRPr="00625723">
        <w:rPr>
          <w:rFonts w:ascii="Tahoma" w:eastAsia="Calibri" w:hAnsi="Tahoma" w:cs="Tahoma"/>
          <w:sz w:val="19"/>
          <w:szCs w:val="19"/>
          <w:rtl/>
        </w:rPr>
        <w:t xml:space="preserve">כספים על השינויים בסדרי </w:t>
      </w:r>
      <w:r w:rsidRPr="00625723">
        <w:rPr>
          <w:rFonts w:ascii="Tahoma" w:eastAsia="Calibri" w:hAnsi="Tahoma" w:cs="Tahoma" w:hint="cs"/>
          <w:sz w:val="19"/>
          <w:szCs w:val="19"/>
          <w:rtl/>
        </w:rPr>
        <w:t>ה</w:t>
      </w:r>
      <w:r w:rsidRPr="00625723">
        <w:rPr>
          <w:rFonts w:ascii="Tahoma" w:eastAsia="Calibri" w:hAnsi="Tahoma" w:cs="Tahoma"/>
          <w:sz w:val="19"/>
          <w:szCs w:val="19"/>
          <w:rtl/>
        </w:rPr>
        <w:t>עדיפויות</w:t>
      </w:r>
      <w:r w:rsidRPr="00625723">
        <w:rPr>
          <w:rFonts w:ascii="Tahoma" w:eastAsia="Calibri" w:hAnsi="Tahoma" w:cs="Tahoma" w:hint="cs"/>
          <w:sz w:val="19"/>
          <w:szCs w:val="19"/>
          <w:rtl/>
        </w:rPr>
        <w:t>. הדבר</w:t>
      </w:r>
      <w:r w:rsidRPr="00625723">
        <w:rPr>
          <w:rFonts w:ascii="Tahoma" w:eastAsia="Calibri" w:hAnsi="Tahoma" w:cs="Tahoma"/>
          <w:sz w:val="19"/>
          <w:szCs w:val="19"/>
          <w:rtl/>
        </w:rPr>
        <w:t xml:space="preserve"> מגדיל את הסיכויים</w:t>
      </w:r>
      <w:r w:rsidRPr="00625723">
        <w:rPr>
          <w:rFonts w:ascii="Tahoma" w:eastAsia="Calibri" w:hAnsi="Tahoma" w:cs="Tahoma" w:hint="cs"/>
          <w:sz w:val="19"/>
          <w:szCs w:val="19"/>
          <w:rtl/>
        </w:rPr>
        <w:t xml:space="preserve"> </w:t>
      </w:r>
      <w:r w:rsidRPr="00625723">
        <w:rPr>
          <w:rFonts w:ascii="Tahoma" w:eastAsia="Calibri" w:hAnsi="Tahoma" w:cs="Tahoma"/>
          <w:sz w:val="19"/>
          <w:szCs w:val="19"/>
          <w:rtl/>
        </w:rPr>
        <w:t>לטעויות ותקלות ואף מקטין את השקיפות כלפי מקבלי ההחלטות ו</w:t>
      </w:r>
      <w:r w:rsidRPr="00625723">
        <w:rPr>
          <w:rFonts w:ascii="Tahoma" w:eastAsia="Calibri" w:hAnsi="Tahoma" w:cs="Tahoma" w:hint="cs"/>
          <w:sz w:val="19"/>
          <w:szCs w:val="19"/>
          <w:rtl/>
        </w:rPr>
        <w:t xml:space="preserve">כלפי </w:t>
      </w:r>
      <w:r w:rsidRPr="00625723">
        <w:rPr>
          <w:rFonts w:ascii="Tahoma" w:eastAsia="Calibri" w:hAnsi="Tahoma" w:cs="Tahoma"/>
          <w:sz w:val="19"/>
          <w:szCs w:val="19"/>
          <w:rtl/>
        </w:rPr>
        <w:t>הציבור</w:t>
      </w:r>
      <w:r w:rsidRPr="00625723">
        <w:rPr>
          <w:rFonts w:ascii="Tahoma" w:eastAsia="Calibri" w:hAnsi="Tahoma" w:cs="Tahoma" w:hint="cs"/>
          <w:sz w:val="19"/>
          <w:szCs w:val="19"/>
          <w:rtl/>
        </w:rPr>
        <w:t>, וכן עלול להיווצר מצב שהוצאת כספים במהלך השנה לפני אישורה, תעקוף את חוק התקציב, ותהיה שלא כדין.</w:t>
      </w:r>
    </w:p>
    <w:p w:rsidR="00625723" w:rsidRPr="00625723" w:rsidP="00574763" w14:paraId="77F87B02" w14:textId="77777777">
      <w:pPr>
        <w:numPr>
          <w:ilvl w:val="1"/>
          <w:numId w:val="14"/>
        </w:numPr>
        <w:spacing w:after="240" w:line="288" w:lineRule="auto"/>
        <w:ind w:left="278" w:right="-567" w:hanging="420"/>
        <w:rPr>
          <w:rFonts w:ascii="Tahoma" w:eastAsia="Calibri" w:hAnsi="Tahoma" w:cs="Tahoma"/>
          <w:sz w:val="19"/>
          <w:szCs w:val="19"/>
          <w:rtl/>
        </w:rPr>
      </w:pPr>
      <w:r w:rsidRPr="00625723">
        <w:rPr>
          <w:rFonts w:ascii="Tahoma" w:eastAsia="Calibri" w:hAnsi="Tahoma" w:cs="Tahoma"/>
          <w:sz w:val="19"/>
          <w:szCs w:val="19"/>
          <w:rtl/>
        </w:rPr>
        <w:t xml:space="preserve">על שולחנה של ועדת הכספים </w:t>
      </w:r>
      <w:r w:rsidRPr="00625723">
        <w:rPr>
          <w:rFonts w:ascii="Tahoma" w:eastAsia="Calibri" w:hAnsi="Tahoma" w:cs="Tahoma" w:hint="eastAsia"/>
          <w:sz w:val="19"/>
          <w:szCs w:val="19"/>
          <w:rtl/>
        </w:rPr>
        <w:t>נותרו</w:t>
      </w:r>
      <w:r w:rsidRPr="00625723">
        <w:rPr>
          <w:rFonts w:ascii="Tahoma" w:eastAsia="Calibri" w:hAnsi="Tahoma" w:cs="Tahoma" w:hint="cs"/>
          <w:sz w:val="19"/>
          <w:szCs w:val="19"/>
          <w:rtl/>
        </w:rPr>
        <w:t xml:space="preserve"> </w:t>
      </w:r>
      <w:r w:rsidRPr="00625723">
        <w:rPr>
          <w:rFonts w:ascii="Tahoma" w:eastAsia="Calibri" w:hAnsi="Tahoma" w:cs="Tahoma"/>
          <w:sz w:val="19"/>
          <w:szCs w:val="19"/>
          <w:rtl/>
        </w:rPr>
        <w:t>בסוף שנת 2024 פניות בסכום של</w:t>
      </w:r>
      <w:r w:rsidRPr="00625723">
        <w:rPr>
          <w:rFonts w:ascii="Tahoma" w:eastAsia="Calibri" w:hAnsi="Tahoma" w:cs="Tahoma" w:hint="cs"/>
          <w:sz w:val="19"/>
          <w:szCs w:val="19"/>
          <w:rtl/>
        </w:rPr>
        <w:t xml:space="preserve"> כ-4.6</w:t>
      </w:r>
      <w:r w:rsidRPr="00625723">
        <w:rPr>
          <w:rFonts w:ascii="Tahoma" w:eastAsia="Calibri" w:hAnsi="Tahoma" w:cs="Tahoma"/>
          <w:sz w:val="19"/>
          <w:szCs w:val="19"/>
          <w:rtl/>
        </w:rPr>
        <w:t xml:space="preserve"> מיליארדי ש"ח שלא נדונו ולא אושרו, דבר שגרם לחריגה תקציבית בתוכניות בניגוד לחוק, לדחיית פעולות והתחייבויות לשנת התקציב הבאה ולפגיעה ברציפות הפעילות הממשלתית.</w:t>
      </w:r>
    </w:p>
    <w:p w:rsidR="00625723" w:rsidRPr="00625723" w:rsidP="00625723" w14:paraId="129402C0" w14:textId="77777777">
      <w:pPr>
        <w:numPr>
          <w:ilvl w:val="0"/>
          <w:numId w:val="14"/>
        </w:numPr>
        <w:spacing w:after="240" w:line="288" w:lineRule="auto"/>
        <w:ind w:left="-143" w:right="-567" w:hanging="595"/>
        <w:rPr>
          <w:rFonts w:ascii="Tahoma" w:eastAsia="Calibri" w:hAnsi="Tahoma" w:cs="Tahoma"/>
          <w:sz w:val="19"/>
          <w:szCs w:val="19"/>
        </w:rPr>
      </w:pPr>
      <w:r w:rsidRPr="00625723">
        <w:rPr>
          <w:rFonts w:ascii="Tahoma" w:eastAsia="Calibri" w:hAnsi="Tahoma" w:cs="Tahoma" w:hint="cs"/>
          <w:b/>
          <w:bCs/>
          <w:sz w:val="19"/>
          <w:szCs w:val="19"/>
          <w:rtl/>
        </w:rPr>
        <w:t>דוגמאות להשלכות של אישורן המאוחר או אי-אישורן של פניות תקציביות בסוף שנת 2024</w:t>
      </w:r>
    </w:p>
    <w:p w:rsidR="00625723" w:rsidRPr="00625723" w:rsidP="0072274C" w14:paraId="533A3F83" w14:textId="77777777">
      <w:pPr>
        <w:spacing w:after="120" w:line="288" w:lineRule="auto"/>
        <w:ind w:left="-143" w:right="-567"/>
        <w:rPr>
          <w:rFonts w:ascii="Tahoma" w:eastAsia="Calibri" w:hAnsi="Tahoma" w:cs="Tahoma"/>
          <w:b/>
          <w:bCs/>
          <w:sz w:val="19"/>
          <w:szCs w:val="19"/>
          <w:u w:val="single"/>
          <w:rtl/>
        </w:rPr>
      </w:pPr>
      <w:r w:rsidRPr="00625723">
        <w:rPr>
          <w:rFonts w:ascii="Tahoma" w:eastAsia="Calibri" w:hAnsi="Tahoma" w:cs="Tahoma" w:hint="eastAsia"/>
          <w:b/>
          <w:bCs/>
          <w:sz w:val="19"/>
          <w:szCs w:val="19"/>
          <w:u w:val="single"/>
          <w:rtl/>
        </w:rPr>
        <w:t>הלשכה</w:t>
      </w:r>
      <w:r w:rsidRPr="00625723">
        <w:rPr>
          <w:rFonts w:ascii="Tahoma" w:eastAsia="Calibri" w:hAnsi="Tahoma" w:cs="Tahoma"/>
          <w:b/>
          <w:bCs/>
          <w:sz w:val="19"/>
          <w:szCs w:val="19"/>
          <w:u w:val="single"/>
          <w:rtl/>
        </w:rPr>
        <w:t xml:space="preserve"> המרכזית </w:t>
      </w:r>
      <w:r w:rsidRPr="00625723">
        <w:rPr>
          <w:rFonts w:ascii="Tahoma" w:eastAsia="Calibri" w:hAnsi="Tahoma" w:cs="Tahoma" w:hint="eastAsia"/>
          <w:b/>
          <w:bCs/>
          <w:sz w:val="19"/>
          <w:szCs w:val="19"/>
          <w:u w:val="single"/>
          <w:rtl/>
        </w:rPr>
        <w:t>לסטטיסט</w:t>
      </w:r>
      <w:r w:rsidRPr="00625723">
        <w:rPr>
          <w:rFonts w:ascii="Tahoma" w:eastAsia="Calibri" w:hAnsi="Tahoma" w:cs="Tahoma" w:hint="cs"/>
          <w:b/>
          <w:bCs/>
          <w:sz w:val="19"/>
          <w:szCs w:val="19"/>
          <w:u w:val="single"/>
          <w:rtl/>
        </w:rPr>
        <w:t>י</w:t>
      </w:r>
      <w:r w:rsidRPr="00625723">
        <w:rPr>
          <w:rFonts w:ascii="Tahoma" w:eastAsia="Calibri" w:hAnsi="Tahoma" w:cs="Tahoma" w:hint="eastAsia"/>
          <w:b/>
          <w:bCs/>
          <w:sz w:val="19"/>
          <w:szCs w:val="19"/>
          <w:u w:val="single"/>
          <w:rtl/>
        </w:rPr>
        <w:t>קה</w:t>
      </w:r>
    </w:p>
    <w:p w:rsidR="00625723" w:rsidRPr="00625723" w:rsidP="00625723" w14:paraId="7CA37488" w14:textId="77777777">
      <w:pPr>
        <w:numPr>
          <w:ilvl w:val="1"/>
          <w:numId w:val="14"/>
        </w:numPr>
        <w:spacing w:after="120" w:line="288" w:lineRule="auto"/>
        <w:ind w:left="278" w:right="-567" w:hanging="421"/>
        <w:rPr>
          <w:rFonts w:ascii="Tahoma" w:eastAsia="Calibri" w:hAnsi="Tahoma" w:cs="Tahoma"/>
          <w:sz w:val="19"/>
          <w:szCs w:val="19"/>
        </w:rPr>
      </w:pPr>
      <w:r w:rsidRPr="00625723">
        <w:rPr>
          <w:rFonts w:ascii="Tahoma" w:eastAsia="Calibri" w:hAnsi="Tahoma" w:cs="Tahoma"/>
          <w:sz w:val="19"/>
          <w:szCs w:val="19"/>
          <w:rtl/>
        </w:rPr>
        <w:t xml:space="preserve">בסוף שנת 2024 תוכנית </w:t>
      </w:r>
      <w:r w:rsidRPr="00625723">
        <w:rPr>
          <w:rFonts w:ascii="Tahoma" w:eastAsia="Calibri" w:hAnsi="Tahoma" w:cs="Tahoma" w:hint="cs"/>
          <w:sz w:val="19"/>
          <w:szCs w:val="19"/>
          <w:rtl/>
        </w:rPr>
        <w:t>"</w:t>
      </w:r>
      <w:r w:rsidRPr="00625723">
        <w:rPr>
          <w:rFonts w:ascii="Tahoma" w:eastAsia="Calibri" w:hAnsi="Tahoma" w:cs="Tahoma"/>
          <w:sz w:val="19"/>
          <w:szCs w:val="19"/>
          <w:rtl/>
        </w:rPr>
        <w:t>הלשכה המרכזית לסטטיסטיקה</w:t>
      </w:r>
      <w:r w:rsidRPr="00625723">
        <w:rPr>
          <w:rFonts w:ascii="Tahoma" w:eastAsia="Calibri" w:hAnsi="Tahoma" w:cs="Tahoma" w:hint="cs"/>
          <w:sz w:val="19"/>
          <w:szCs w:val="19"/>
          <w:rtl/>
        </w:rPr>
        <w:t>"</w:t>
      </w:r>
      <w:r w:rsidRPr="00625723">
        <w:rPr>
          <w:rFonts w:ascii="Tahoma" w:eastAsia="Calibri" w:hAnsi="Tahoma" w:cs="Tahoma"/>
          <w:sz w:val="19"/>
          <w:szCs w:val="19"/>
          <w:rtl/>
        </w:rPr>
        <w:t xml:space="preserve"> הייתה בשיעור ביצוע תקציבי של 85.3%. פנייה תקציבית</w:t>
      </w:r>
      <w:r w:rsidRPr="00625723">
        <w:rPr>
          <w:rFonts w:ascii="Tahoma" w:eastAsia="Calibri" w:hAnsi="Tahoma" w:cs="Tahoma" w:hint="cs"/>
          <w:sz w:val="19"/>
          <w:szCs w:val="19"/>
          <w:rtl/>
        </w:rPr>
        <w:t xml:space="preserve"> שמספרה</w:t>
      </w:r>
      <w:r w:rsidRPr="00625723">
        <w:rPr>
          <w:rFonts w:ascii="Tahoma" w:eastAsia="Calibri" w:hAnsi="Tahoma" w:cs="Tahoma"/>
          <w:sz w:val="19"/>
          <w:szCs w:val="19"/>
          <w:rtl/>
        </w:rPr>
        <w:t xml:space="preserve"> 338 לא אושרה בסוף שנת 2024, והלשכה המרכזית לסטטיסטיקה לא קיבלה תקציב בסך </w:t>
      </w:r>
      <w:r w:rsidRPr="00625723">
        <w:rPr>
          <w:rFonts w:ascii="Tahoma" w:eastAsia="Calibri" w:hAnsi="Tahoma" w:cs="Tahoma" w:hint="cs"/>
          <w:sz w:val="19"/>
          <w:szCs w:val="19"/>
          <w:rtl/>
        </w:rPr>
        <w:t>של כ-20.3 מיליון ש"ח</w:t>
      </w:r>
      <w:r w:rsidRPr="00625723">
        <w:rPr>
          <w:rFonts w:ascii="Tahoma" w:eastAsia="Calibri" w:hAnsi="Tahoma" w:cs="Tahoma"/>
          <w:sz w:val="19"/>
          <w:szCs w:val="19"/>
          <w:rtl/>
        </w:rPr>
        <w:t xml:space="preserve"> עבור תגבור תקציב הקניות שנועד לשדרוג מערכות מידע, רכש של טכנולוגיות מתקדמות לעיבוד ופיתוח של הסטטיסטיקה הלאומית, פיתוח שיטות השבה מקוונות לסקרי הלשכה המרכזית לסטטיסטיקה וביצוע סקרים נושאיים בשיתוף משרדי ממשלה שונים.</w:t>
      </w:r>
    </w:p>
    <w:p w:rsidR="00625723" w:rsidRPr="00625723" w:rsidP="00625723" w14:paraId="25BA6D7C" w14:textId="77777777">
      <w:pPr>
        <w:numPr>
          <w:ilvl w:val="1"/>
          <w:numId w:val="14"/>
        </w:numPr>
        <w:spacing w:after="240" w:line="288" w:lineRule="auto"/>
        <w:ind w:left="278" w:right="-567" w:hanging="420"/>
        <w:rPr>
          <w:rFonts w:ascii="Tahoma" w:eastAsia="Calibri" w:hAnsi="Tahoma" w:cs="Tahoma"/>
          <w:sz w:val="19"/>
          <w:szCs w:val="19"/>
        </w:rPr>
      </w:pPr>
      <w:r w:rsidRPr="00625723">
        <w:rPr>
          <w:rFonts w:ascii="Tahoma" w:eastAsia="Calibri" w:hAnsi="Tahoma" w:cs="Tahoma"/>
          <w:sz w:val="19"/>
          <w:szCs w:val="19"/>
          <w:rtl/>
        </w:rPr>
        <w:t>בשל כך</w:t>
      </w:r>
      <w:r w:rsidRPr="00625723">
        <w:rPr>
          <w:rFonts w:ascii="Tahoma" w:eastAsia="Calibri" w:hAnsi="Tahoma" w:cs="Tahoma" w:hint="cs"/>
          <w:sz w:val="19"/>
          <w:szCs w:val="19"/>
          <w:rtl/>
        </w:rPr>
        <w:t>,</w:t>
      </w:r>
      <w:r w:rsidRPr="00625723">
        <w:rPr>
          <w:rFonts w:ascii="Tahoma" w:eastAsia="Calibri" w:hAnsi="Tahoma" w:cs="Tahoma"/>
          <w:sz w:val="19"/>
          <w:szCs w:val="19"/>
          <w:rtl/>
        </w:rPr>
        <w:t xml:space="preserve"> </w:t>
      </w:r>
      <w:r w:rsidRPr="00625723">
        <w:rPr>
          <w:rFonts w:ascii="Tahoma" w:eastAsia="Calibri" w:hAnsi="Tahoma" w:cs="Tahoma" w:hint="cs"/>
          <w:sz w:val="19"/>
          <w:szCs w:val="19"/>
          <w:rtl/>
        </w:rPr>
        <w:t>הלשכה המרכזית לסטטיסטיקה</w:t>
      </w:r>
      <w:r w:rsidRPr="00625723">
        <w:rPr>
          <w:rFonts w:ascii="Tahoma" w:eastAsia="Calibri" w:hAnsi="Tahoma" w:cs="Tahoma"/>
          <w:sz w:val="19"/>
          <w:szCs w:val="19"/>
          <w:rtl/>
        </w:rPr>
        <w:t xml:space="preserve"> לא יצר</w:t>
      </w:r>
      <w:r w:rsidRPr="00625723">
        <w:rPr>
          <w:rFonts w:ascii="Tahoma" w:eastAsia="Calibri" w:hAnsi="Tahoma" w:cs="Tahoma" w:hint="cs"/>
          <w:sz w:val="19"/>
          <w:szCs w:val="19"/>
          <w:rtl/>
        </w:rPr>
        <w:t>ה</w:t>
      </w:r>
      <w:r w:rsidRPr="00625723">
        <w:rPr>
          <w:rFonts w:ascii="Tahoma" w:eastAsia="Calibri" w:hAnsi="Tahoma" w:cs="Tahoma"/>
          <w:sz w:val="19"/>
          <w:szCs w:val="19"/>
          <w:rtl/>
        </w:rPr>
        <w:t xml:space="preserve"> התחייבויות בסכום של כ-20.3 מיליון ש"ח</w:t>
      </w:r>
      <w:r w:rsidRPr="00625723">
        <w:rPr>
          <w:rFonts w:eastAsia="Calibri"/>
          <w:rtl/>
        </w:rPr>
        <w:t xml:space="preserve"> </w:t>
      </w:r>
      <w:r w:rsidRPr="00625723">
        <w:rPr>
          <w:rFonts w:ascii="Tahoma" w:eastAsia="Calibri" w:hAnsi="Tahoma" w:cs="Tahoma"/>
          <w:sz w:val="19"/>
          <w:szCs w:val="19"/>
          <w:rtl/>
        </w:rPr>
        <w:t>ונוצר גירעון בשכר של כמיליון ש"ח.</w:t>
      </w:r>
    </w:p>
    <w:p w:rsidR="00625723" w:rsidRPr="00625723" w:rsidP="0072274C" w14:paraId="7C06ED0F" w14:textId="77777777">
      <w:pPr>
        <w:spacing w:after="120" w:line="288" w:lineRule="auto"/>
        <w:ind w:left="-143" w:right="-567"/>
        <w:rPr>
          <w:rFonts w:ascii="Tahoma" w:eastAsia="Calibri" w:hAnsi="Tahoma" w:cs="Tahoma"/>
          <w:b/>
          <w:bCs/>
          <w:sz w:val="19"/>
          <w:szCs w:val="19"/>
          <w:u w:val="single"/>
        </w:rPr>
      </w:pPr>
      <w:r w:rsidRPr="00625723">
        <w:rPr>
          <w:rFonts w:ascii="Tahoma" w:eastAsia="Calibri" w:hAnsi="Tahoma" w:cs="Tahoma" w:hint="eastAsia"/>
          <w:b/>
          <w:bCs/>
          <w:sz w:val="19"/>
          <w:szCs w:val="19"/>
          <w:u w:val="single"/>
          <w:rtl/>
        </w:rPr>
        <w:t>משרד</w:t>
      </w:r>
      <w:r w:rsidRPr="00625723">
        <w:rPr>
          <w:rFonts w:ascii="Tahoma" w:eastAsia="Calibri" w:hAnsi="Tahoma" w:cs="Tahoma"/>
          <w:b/>
          <w:bCs/>
          <w:sz w:val="19"/>
          <w:szCs w:val="19"/>
          <w:u w:val="single"/>
          <w:rtl/>
        </w:rPr>
        <w:t xml:space="preserve"> </w:t>
      </w:r>
      <w:r w:rsidRPr="00625723">
        <w:rPr>
          <w:rFonts w:ascii="Tahoma" w:eastAsia="Calibri" w:hAnsi="Tahoma" w:cs="Tahoma" w:hint="eastAsia"/>
          <w:b/>
          <w:bCs/>
          <w:sz w:val="19"/>
          <w:szCs w:val="19"/>
          <w:u w:val="single"/>
          <w:rtl/>
        </w:rPr>
        <w:t>התחבורה</w:t>
      </w:r>
    </w:p>
    <w:p w:rsidR="00625723" w:rsidRPr="00625723" w:rsidP="00625723" w14:paraId="30C14F70" w14:textId="77777777">
      <w:pPr>
        <w:numPr>
          <w:ilvl w:val="1"/>
          <w:numId w:val="14"/>
        </w:numPr>
        <w:spacing w:after="120" w:line="288" w:lineRule="auto"/>
        <w:ind w:left="278" w:right="-567" w:hanging="421"/>
        <w:rPr>
          <w:rFonts w:ascii="Tahoma" w:eastAsia="Calibri" w:hAnsi="Tahoma" w:cs="Tahoma"/>
          <w:sz w:val="19"/>
          <w:szCs w:val="19"/>
        </w:rPr>
      </w:pPr>
      <w:r w:rsidRPr="00625723">
        <w:rPr>
          <w:rFonts w:ascii="Tahoma" w:eastAsia="Calibri" w:hAnsi="Tahoma" w:cs="Tahoma"/>
          <w:sz w:val="19"/>
          <w:szCs w:val="19"/>
          <w:rtl/>
        </w:rPr>
        <w:t xml:space="preserve">בסוף שנת 2024 תוכנית </w:t>
      </w:r>
      <w:r w:rsidRPr="00625723">
        <w:rPr>
          <w:rFonts w:ascii="Tahoma" w:eastAsia="Calibri" w:hAnsi="Tahoma" w:cs="Tahoma" w:hint="cs"/>
          <w:sz w:val="19"/>
          <w:szCs w:val="19"/>
          <w:rtl/>
        </w:rPr>
        <w:t>"</w:t>
      </w:r>
      <w:r w:rsidRPr="00625723">
        <w:rPr>
          <w:rFonts w:ascii="Tahoma" w:eastAsia="Calibri" w:hAnsi="Tahoma" w:cs="Tahoma"/>
          <w:sz w:val="19"/>
          <w:szCs w:val="19"/>
          <w:rtl/>
        </w:rPr>
        <w:t>משרד התחבורה - ראשי</w:t>
      </w:r>
      <w:r w:rsidRPr="00625723">
        <w:rPr>
          <w:rFonts w:ascii="Tahoma" w:eastAsia="Calibri" w:hAnsi="Tahoma" w:cs="Tahoma" w:hint="cs"/>
          <w:sz w:val="19"/>
          <w:szCs w:val="19"/>
          <w:rtl/>
        </w:rPr>
        <w:t>"</w:t>
      </w:r>
      <w:r w:rsidRPr="00625723">
        <w:rPr>
          <w:rFonts w:ascii="Tahoma" w:eastAsia="Calibri" w:hAnsi="Tahoma" w:cs="Tahoma"/>
          <w:sz w:val="19"/>
          <w:szCs w:val="19"/>
          <w:rtl/>
        </w:rPr>
        <w:t xml:space="preserve"> הייתה בשיעור ביצוע תקציבי של 74.6%, ותוכנית </w:t>
      </w:r>
      <w:r w:rsidRPr="00625723">
        <w:rPr>
          <w:rFonts w:ascii="Tahoma" w:eastAsia="Calibri" w:hAnsi="Tahoma" w:cs="Tahoma" w:hint="cs"/>
          <w:sz w:val="19"/>
          <w:szCs w:val="19"/>
          <w:rtl/>
        </w:rPr>
        <w:t>"</w:t>
      </w:r>
      <w:r w:rsidRPr="00625723">
        <w:rPr>
          <w:rFonts w:ascii="Tahoma" w:eastAsia="Calibri" w:hAnsi="Tahoma" w:cs="Tahoma"/>
          <w:sz w:val="19"/>
          <w:szCs w:val="19"/>
          <w:rtl/>
        </w:rPr>
        <w:t>השירות המטאורולוגי</w:t>
      </w:r>
      <w:r w:rsidRPr="00625723">
        <w:rPr>
          <w:rFonts w:ascii="Tahoma" w:eastAsia="Calibri" w:hAnsi="Tahoma" w:cs="Tahoma" w:hint="cs"/>
          <w:sz w:val="19"/>
          <w:szCs w:val="19"/>
          <w:rtl/>
        </w:rPr>
        <w:t>" (המנוהלת במשרד התחבורה)</w:t>
      </w:r>
      <w:r w:rsidRPr="00625723">
        <w:rPr>
          <w:rFonts w:ascii="Tahoma" w:eastAsia="Calibri" w:hAnsi="Tahoma" w:cs="Tahoma"/>
          <w:sz w:val="19"/>
          <w:szCs w:val="19"/>
          <w:rtl/>
        </w:rPr>
        <w:t xml:space="preserve"> הייתה בשיעור ביצוע תקציבי של 79.7%, זאת בין היתר בגלל העברת הפניות רק לקראת סוף השנה</w:t>
      </w:r>
      <w:r w:rsidRPr="00625723">
        <w:rPr>
          <w:rFonts w:ascii="Tahoma" w:eastAsia="Calibri" w:hAnsi="Tahoma" w:cs="Tahoma" w:hint="cs"/>
          <w:sz w:val="19"/>
          <w:szCs w:val="19"/>
          <w:rtl/>
        </w:rPr>
        <w:t>, באופן שלא איפשר את ממימוש התקציב עד סוף השנה</w:t>
      </w:r>
      <w:r w:rsidRPr="00625723">
        <w:rPr>
          <w:rFonts w:ascii="Tahoma" w:eastAsia="Calibri" w:hAnsi="Tahoma" w:cs="Tahoma"/>
          <w:sz w:val="19"/>
          <w:szCs w:val="19"/>
          <w:rtl/>
        </w:rPr>
        <w:t xml:space="preserve">. למשל, פנייה תקציבית </w:t>
      </w:r>
      <w:r w:rsidRPr="00625723">
        <w:rPr>
          <w:rFonts w:ascii="Tahoma" w:eastAsia="Calibri" w:hAnsi="Tahoma" w:cs="Tahoma" w:hint="cs"/>
          <w:sz w:val="19"/>
          <w:szCs w:val="19"/>
          <w:rtl/>
        </w:rPr>
        <w:t xml:space="preserve">שמספרה </w:t>
      </w:r>
      <w:r w:rsidRPr="00625723">
        <w:rPr>
          <w:rFonts w:ascii="Tahoma" w:eastAsia="Calibri" w:hAnsi="Tahoma" w:cs="Tahoma"/>
          <w:sz w:val="19"/>
          <w:szCs w:val="19"/>
          <w:rtl/>
        </w:rPr>
        <w:t>258 אושרה בסוף דצמבר 2024 ונועדה בין היתר לתקצוב עבור תשלום דמי חבר לארגון המטאורולוגי הבין-לאומי וכן עבור הקמת מחשב לחישובים אקלימיים.</w:t>
      </w:r>
    </w:p>
    <w:p w:rsidR="00625723" w:rsidRPr="00625723" w:rsidP="00625723" w14:paraId="03114040" w14:textId="77777777">
      <w:pPr>
        <w:numPr>
          <w:ilvl w:val="1"/>
          <w:numId w:val="14"/>
        </w:numPr>
        <w:spacing w:after="240" w:line="288" w:lineRule="auto"/>
        <w:ind w:left="278" w:right="-567" w:hanging="420"/>
        <w:rPr>
          <w:rFonts w:ascii="Tahoma" w:eastAsia="Calibri" w:hAnsi="Tahoma" w:cs="Tahoma"/>
          <w:sz w:val="19"/>
          <w:szCs w:val="19"/>
        </w:rPr>
      </w:pPr>
      <w:r w:rsidRPr="00625723">
        <w:rPr>
          <w:rFonts w:ascii="Tahoma" w:eastAsia="Calibri" w:hAnsi="Tahoma" w:cs="Tahoma"/>
          <w:sz w:val="19"/>
          <w:szCs w:val="19"/>
          <w:rtl/>
        </w:rPr>
        <w:t>בשל כך משרד התחבורה שילם את דמי החבר לארגון המטאורולוגי הבין-לאומי באיחור ובתוספת הצמדה בסוף שנת 2024.</w:t>
      </w:r>
    </w:p>
    <w:p w:rsidR="00625723" w:rsidRPr="00625723" w:rsidP="0072274C" w14:paraId="47DA9271" w14:textId="77777777">
      <w:pPr>
        <w:spacing w:after="120" w:line="288" w:lineRule="auto"/>
        <w:ind w:left="-143" w:right="-567"/>
        <w:rPr>
          <w:rFonts w:ascii="Tahoma" w:eastAsia="Calibri" w:hAnsi="Tahoma" w:cs="Tahoma"/>
          <w:b/>
          <w:bCs/>
          <w:sz w:val="19"/>
          <w:szCs w:val="19"/>
          <w:u w:val="single"/>
        </w:rPr>
      </w:pPr>
      <w:r w:rsidRPr="00625723">
        <w:rPr>
          <w:rFonts w:ascii="Tahoma" w:eastAsia="Calibri" w:hAnsi="Tahoma" w:cs="Tahoma" w:hint="eastAsia"/>
          <w:b/>
          <w:bCs/>
          <w:sz w:val="19"/>
          <w:szCs w:val="19"/>
          <w:u w:val="single"/>
          <w:rtl/>
        </w:rPr>
        <w:t>משרד</w:t>
      </w:r>
      <w:r w:rsidRPr="00625723">
        <w:rPr>
          <w:rFonts w:ascii="Tahoma" w:eastAsia="Calibri" w:hAnsi="Tahoma" w:cs="Tahoma"/>
          <w:b/>
          <w:bCs/>
          <w:sz w:val="19"/>
          <w:szCs w:val="19"/>
          <w:u w:val="single"/>
          <w:rtl/>
        </w:rPr>
        <w:t xml:space="preserve"> </w:t>
      </w:r>
      <w:r w:rsidRPr="00625723">
        <w:rPr>
          <w:rFonts w:ascii="Tahoma" w:eastAsia="Calibri" w:hAnsi="Tahoma" w:cs="Tahoma" w:hint="eastAsia"/>
          <w:b/>
          <w:bCs/>
          <w:sz w:val="19"/>
          <w:szCs w:val="19"/>
          <w:u w:val="single"/>
          <w:rtl/>
        </w:rPr>
        <w:t>ראש</w:t>
      </w:r>
      <w:r w:rsidRPr="00625723">
        <w:rPr>
          <w:rFonts w:ascii="Tahoma" w:eastAsia="Calibri" w:hAnsi="Tahoma" w:cs="Tahoma"/>
          <w:b/>
          <w:bCs/>
          <w:sz w:val="19"/>
          <w:szCs w:val="19"/>
          <w:u w:val="single"/>
          <w:rtl/>
        </w:rPr>
        <w:t xml:space="preserve"> </w:t>
      </w:r>
      <w:r w:rsidRPr="00625723">
        <w:rPr>
          <w:rFonts w:ascii="Tahoma" w:eastAsia="Calibri" w:hAnsi="Tahoma" w:cs="Tahoma" w:hint="eastAsia"/>
          <w:b/>
          <w:bCs/>
          <w:sz w:val="19"/>
          <w:szCs w:val="19"/>
          <w:u w:val="single"/>
          <w:rtl/>
        </w:rPr>
        <w:t>הממשלה</w:t>
      </w:r>
    </w:p>
    <w:p w:rsidR="00625723" w:rsidRPr="00625723" w:rsidP="00625723" w14:paraId="2730E5ED" w14:textId="77777777">
      <w:pPr>
        <w:numPr>
          <w:ilvl w:val="1"/>
          <w:numId w:val="14"/>
        </w:numPr>
        <w:spacing w:after="240" w:line="288" w:lineRule="auto"/>
        <w:ind w:left="278" w:right="-567" w:hanging="420"/>
        <w:rPr>
          <w:rFonts w:ascii="Tahoma" w:eastAsia="Calibri" w:hAnsi="Tahoma" w:cs="Tahoma"/>
          <w:sz w:val="19"/>
          <w:szCs w:val="19"/>
        </w:rPr>
      </w:pPr>
      <w:r w:rsidRPr="00625723">
        <w:rPr>
          <w:rFonts w:ascii="Tahoma" w:eastAsia="Calibri" w:hAnsi="Tahoma" w:cs="Tahoma"/>
          <w:sz w:val="19"/>
          <w:szCs w:val="19"/>
          <w:rtl/>
        </w:rPr>
        <w:t xml:space="preserve">בסוף שנת 2024 תוכנית </w:t>
      </w:r>
      <w:r w:rsidRPr="00625723">
        <w:rPr>
          <w:rFonts w:ascii="Tahoma" w:eastAsia="Calibri" w:hAnsi="Tahoma" w:cs="Tahoma" w:hint="cs"/>
          <w:sz w:val="19"/>
          <w:szCs w:val="19"/>
          <w:rtl/>
        </w:rPr>
        <w:t>"</w:t>
      </w:r>
      <w:r w:rsidRPr="00625723">
        <w:rPr>
          <w:rFonts w:ascii="Tahoma" w:eastAsia="Calibri" w:hAnsi="Tahoma" w:cs="Tahoma"/>
          <w:sz w:val="19"/>
          <w:szCs w:val="19"/>
          <w:rtl/>
        </w:rPr>
        <w:t>פרויקטים והחלטות ממשלה רוחביות</w:t>
      </w:r>
      <w:r w:rsidRPr="00625723">
        <w:rPr>
          <w:rFonts w:ascii="Tahoma" w:eastAsia="Calibri" w:hAnsi="Tahoma" w:cs="Tahoma" w:hint="cs"/>
          <w:sz w:val="19"/>
          <w:szCs w:val="19"/>
          <w:rtl/>
        </w:rPr>
        <w:t>"</w:t>
      </w:r>
      <w:r w:rsidRPr="00625723">
        <w:rPr>
          <w:rFonts w:ascii="Tahoma" w:eastAsia="Calibri" w:hAnsi="Tahoma" w:cs="Tahoma"/>
          <w:sz w:val="19"/>
          <w:szCs w:val="19"/>
          <w:rtl/>
        </w:rPr>
        <w:t xml:space="preserve"> הייתה בשיעור ביצוע תקציבי של 127.4%, </w:t>
      </w:r>
      <w:r w:rsidRPr="00625723">
        <w:rPr>
          <w:rFonts w:ascii="Tahoma" w:eastAsia="Calibri" w:hAnsi="Tahoma" w:cs="Tahoma" w:hint="cs"/>
          <w:sz w:val="19"/>
          <w:szCs w:val="19"/>
          <w:rtl/>
        </w:rPr>
        <w:t>ו</w:t>
      </w:r>
      <w:r w:rsidRPr="00625723">
        <w:rPr>
          <w:rFonts w:ascii="Tahoma" w:eastAsia="Calibri" w:hAnsi="Tahoma" w:cs="Tahoma"/>
          <w:sz w:val="19"/>
          <w:szCs w:val="19"/>
          <w:rtl/>
        </w:rPr>
        <w:t>פנייה תקציבית</w:t>
      </w:r>
      <w:r w:rsidRPr="00625723">
        <w:rPr>
          <w:rFonts w:ascii="Tahoma" w:eastAsia="Calibri" w:hAnsi="Tahoma" w:cs="Tahoma" w:hint="cs"/>
          <w:sz w:val="19"/>
          <w:szCs w:val="19"/>
          <w:rtl/>
        </w:rPr>
        <w:t xml:space="preserve"> שמספרה</w:t>
      </w:r>
      <w:r w:rsidRPr="00625723">
        <w:rPr>
          <w:rFonts w:ascii="Tahoma" w:eastAsia="Calibri" w:hAnsi="Tahoma" w:cs="Tahoma"/>
          <w:sz w:val="19"/>
          <w:szCs w:val="19"/>
          <w:rtl/>
        </w:rPr>
        <w:t xml:space="preserve"> 521 שהועברה לוועדת הכספים ב-31.12.24 בעקבות החלטת הממשלה 2601 מ-24.12.24 ונועדה בין היתר לתקצוב תחזוקת </w:t>
      </w:r>
      <w:r w:rsidRPr="00625723" w:rsidR="00833191">
        <w:rPr>
          <w:rFonts w:ascii="Tahoma" w:eastAsia="Calibri" w:hAnsi="Tahoma" w:cs="Tahoma" w:hint="cs"/>
          <w:sz w:val="19"/>
          <w:szCs w:val="19"/>
          <w:rtl/>
        </w:rPr>
        <w:t>מנהרות</w:t>
      </w:r>
      <w:r w:rsidRPr="00625723">
        <w:rPr>
          <w:rFonts w:ascii="Tahoma" w:eastAsia="Calibri" w:hAnsi="Tahoma" w:cs="Tahoma"/>
          <w:sz w:val="19"/>
          <w:szCs w:val="19"/>
          <w:rtl/>
        </w:rPr>
        <w:t xml:space="preserve"> הכותל, לא אושרה בוועדה. </w:t>
      </w:r>
    </w:p>
    <w:p w:rsidR="00625723" w:rsidRPr="00625723" w:rsidP="00625723" w14:paraId="19F17CA8" w14:textId="77777777">
      <w:pPr>
        <w:numPr>
          <w:ilvl w:val="1"/>
          <w:numId w:val="14"/>
        </w:numPr>
        <w:spacing w:after="240" w:line="288" w:lineRule="auto"/>
        <w:ind w:left="278" w:right="-567" w:hanging="420"/>
        <w:rPr>
          <w:rFonts w:ascii="Tahoma" w:eastAsia="Calibri" w:hAnsi="Tahoma" w:cs="Tahoma"/>
          <w:sz w:val="19"/>
          <w:szCs w:val="19"/>
        </w:rPr>
      </w:pPr>
      <w:r w:rsidRPr="00625723">
        <w:rPr>
          <w:rFonts w:ascii="Tahoma" w:eastAsia="Calibri" w:hAnsi="Tahoma" w:cs="Tahoma"/>
          <w:sz w:val="19"/>
          <w:szCs w:val="19"/>
          <w:rtl/>
        </w:rPr>
        <w:t>כן נמצא כי פנייה תקציבית</w:t>
      </w:r>
      <w:r w:rsidRPr="00625723">
        <w:rPr>
          <w:rFonts w:ascii="Tahoma" w:eastAsia="Calibri" w:hAnsi="Tahoma" w:cs="Tahoma" w:hint="cs"/>
          <w:sz w:val="19"/>
          <w:szCs w:val="19"/>
          <w:rtl/>
        </w:rPr>
        <w:t xml:space="preserve"> שמספרה</w:t>
      </w:r>
      <w:r w:rsidRPr="00625723">
        <w:rPr>
          <w:rFonts w:ascii="Tahoma" w:eastAsia="Calibri" w:hAnsi="Tahoma" w:cs="Tahoma"/>
          <w:sz w:val="19"/>
          <w:szCs w:val="19"/>
          <w:rtl/>
        </w:rPr>
        <w:t xml:space="preserve"> 268 שהועברה לוועדת הכספים ב-22.12.24 ונועדה בין היתר לתקצוב של סמינרים לסטודנטים, לתגבור הפעילות השוטפת של הקרן למורשת הכותל וכן לתקצוב של שדרוג תשתיות ועידוד ביקורים ברחבת הכותל המערבי, לא אושרה בוועדה.</w:t>
      </w:r>
    </w:p>
    <w:p w:rsidR="00625723" w:rsidRPr="00625723" w:rsidP="00625723" w14:paraId="6047FE6A" w14:textId="77777777">
      <w:pPr>
        <w:numPr>
          <w:ilvl w:val="1"/>
          <w:numId w:val="14"/>
        </w:numPr>
        <w:spacing w:after="240" w:line="288" w:lineRule="auto"/>
        <w:ind w:left="278" w:right="-567" w:hanging="420"/>
        <w:rPr>
          <w:rFonts w:ascii="Tahoma" w:eastAsia="Calibri" w:hAnsi="Tahoma" w:cs="Tahoma"/>
          <w:sz w:val="19"/>
          <w:szCs w:val="19"/>
        </w:rPr>
      </w:pPr>
      <w:r w:rsidRPr="00625723">
        <w:rPr>
          <w:rFonts w:ascii="Tahoma" w:eastAsia="Calibri" w:hAnsi="Tahoma" w:cs="Tahoma"/>
          <w:sz w:val="19"/>
          <w:szCs w:val="19"/>
          <w:rtl/>
        </w:rPr>
        <w:t>בשל כך נוצר חוב שמשרד</w:t>
      </w:r>
      <w:r w:rsidRPr="00625723">
        <w:rPr>
          <w:rFonts w:ascii="Tahoma" w:eastAsia="Calibri" w:hAnsi="Tahoma" w:cs="Tahoma" w:hint="cs"/>
          <w:sz w:val="19"/>
          <w:szCs w:val="19"/>
          <w:rtl/>
        </w:rPr>
        <w:t xml:space="preserve"> ראש הממשלה</w:t>
      </w:r>
      <w:r w:rsidRPr="00625723">
        <w:rPr>
          <w:rFonts w:ascii="Tahoma" w:eastAsia="Calibri" w:hAnsi="Tahoma" w:cs="Tahoma"/>
          <w:sz w:val="19"/>
          <w:szCs w:val="19"/>
          <w:rtl/>
        </w:rPr>
        <w:t xml:space="preserve"> נשא בו מתקציבו השוטף.</w:t>
      </w:r>
    </w:p>
    <w:p w:rsidR="00625723" w:rsidRPr="00625723" w:rsidP="00625723" w14:paraId="44F809FD" w14:textId="77777777">
      <w:pPr>
        <w:numPr>
          <w:ilvl w:val="0"/>
          <w:numId w:val="14"/>
        </w:numPr>
        <w:spacing w:after="160" w:line="288" w:lineRule="auto"/>
        <w:ind w:left="-142" w:right="-567" w:hanging="595"/>
        <w:rPr>
          <w:rFonts w:ascii="Tahoma" w:eastAsia="Calibri" w:hAnsi="Tahoma" w:cs="Tahoma"/>
          <w:sz w:val="19"/>
          <w:szCs w:val="19"/>
        </w:rPr>
      </w:pPr>
      <w:r w:rsidRPr="00625723">
        <w:rPr>
          <w:rFonts w:ascii="Tahoma" w:eastAsia="Calibri" w:hAnsi="Tahoma" w:cs="Tahoma" w:hint="eastAsia"/>
          <w:b/>
          <w:bCs/>
          <w:sz w:val="19"/>
          <w:szCs w:val="19"/>
          <w:rtl/>
        </w:rPr>
        <w:t>השוואת</w:t>
      </w:r>
      <w:r w:rsidRPr="00625723">
        <w:rPr>
          <w:rFonts w:ascii="Tahoma" w:eastAsia="Calibri" w:hAnsi="Tahoma" w:cs="Tahoma"/>
          <w:b/>
          <w:bCs/>
          <w:sz w:val="19"/>
          <w:szCs w:val="19"/>
          <w:rtl/>
        </w:rPr>
        <w:t xml:space="preserve"> </w:t>
      </w:r>
      <w:r w:rsidRPr="00625723">
        <w:rPr>
          <w:rFonts w:ascii="Tahoma" w:eastAsia="Calibri" w:hAnsi="Tahoma" w:cs="Tahoma" w:hint="eastAsia"/>
          <w:b/>
          <w:bCs/>
          <w:sz w:val="19"/>
          <w:szCs w:val="19"/>
          <w:rtl/>
        </w:rPr>
        <w:t>שינוי</w:t>
      </w:r>
      <w:r w:rsidRPr="00625723">
        <w:rPr>
          <w:rFonts w:ascii="Tahoma" w:eastAsia="Calibri" w:hAnsi="Tahoma" w:cs="Tahoma" w:hint="cs"/>
          <w:b/>
          <w:bCs/>
          <w:sz w:val="19"/>
          <w:szCs w:val="19"/>
          <w:rtl/>
        </w:rPr>
        <w:t>י</w:t>
      </w:r>
      <w:r w:rsidRPr="00625723">
        <w:rPr>
          <w:rFonts w:ascii="Tahoma" w:eastAsia="Calibri" w:hAnsi="Tahoma" w:cs="Tahoma"/>
          <w:b/>
          <w:bCs/>
          <w:sz w:val="19"/>
          <w:szCs w:val="19"/>
          <w:rtl/>
        </w:rPr>
        <w:t xml:space="preserve"> התקציב לשנים קודמות</w:t>
      </w:r>
    </w:p>
    <w:p w:rsidR="00625723" w:rsidRPr="00625723" w:rsidP="00625723" w14:paraId="7AA414CF" w14:textId="77777777">
      <w:pPr>
        <w:spacing w:after="120" w:line="288" w:lineRule="auto"/>
        <w:ind w:left="-143" w:right="-567"/>
        <w:rPr>
          <w:rFonts w:ascii="Tahoma" w:eastAsia="Calibri" w:hAnsi="Tahoma" w:cs="Tahoma"/>
          <w:sz w:val="19"/>
          <w:szCs w:val="19"/>
          <w:rtl/>
        </w:rPr>
      </w:pPr>
      <w:r w:rsidRPr="00625723">
        <w:rPr>
          <w:rFonts w:ascii="Tahoma" w:eastAsia="Calibri" w:hAnsi="Tahoma" w:cs="Tahoma"/>
          <w:sz w:val="19"/>
          <w:szCs w:val="19"/>
          <w:rtl/>
        </w:rPr>
        <w:t xml:space="preserve">מספר הבקשות לשינויים בתקציב שאושרו בוועדת הכספים בדצמבר 2017 היה 373, לעומת 335 בקשות שאושרו בדצמבר 2024 (קיטון של כ-10%). </w:t>
      </w:r>
    </w:p>
    <w:p w:rsidR="00625723" w:rsidRPr="00625723" w:rsidP="00625723" w14:paraId="03BF4A9B" w14:textId="77777777">
      <w:pPr>
        <w:spacing w:after="240" w:line="288" w:lineRule="auto"/>
        <w:ind w:left="-143" w:right="-567"/>
        <w:rPr>
          <w:rFonts w:ascii="Tahoma" w:eastAsia="Calibri" w:hAnsi="Tahoma" w:cs="Tahoma"/>
          <w:sz w:val="19"/>
          <w:szCs w:val="19"/>
          <w:rtl/>
        </w:rPr>
      </w:pPr>
      <w:r w:rsidRPr="00625723">
        <w:rPr>
          <w:rFonts w:ascii="Tahoma" w:eastAsia="Calibri" w:hAnsi="Tahoma" w:cs="Tahoma" w:hint="cs"/>
          <w:sz w:val="19"/>
          <w:szCs w:val="19"/>
          <w:rtl/>
        </w:rPr>
        <w:t>עם זאת, בביקורת</w:t>
      </w:r>
      <w:r w:rsidRPr="00625723">
        <w:rPr>
          <w:rFonts w:ascii="Tahoma" w:eastAsia="Calibri" w:hAnsi="Tahoma" w:cs="Tahoma"/>
          <w:sz w:val="19"/>
          <w:szCs w:val="19"/>
          <w:rtl/>
        </w:rPr>
        <w:t xml:space="preserve"> </w:t>
      </w:r>
      <w:r w:rsidRPr="00625723">
        <w:rPr>
          <w:rFonts w:ascii="Tahoma" w:eastAsia="Calibri" w:hAnsi="Tahoma" w:cs="Tahoma" w:hint="cs"/>
          <w:sz w:val="19"/>
          <w:szCs w:val="19"/>
          <w:rtl/>
        </w:rPr>
        <w:t>עלה</w:t>
      </w:r>
      <w:r w:rsidRPr="00625723">
        <w:rPr>
          <w:rFonts w:ascii="Tahoma" w:eastAsia="Calibri" w:hAnsi="Tahoma" w:cs="Tahoma"/>
          <w:sz w:val="19"/>
          <w:szCs w:val="19"/>
          <w:rtl/>
        </w:rPr>
        <w:t xml:space="preserve"> כי הסכום ברוטו של סך השינויים שאושרו בדצמבר 2017 היה כ-18.4 מיליארד ש"ח, לעומת כ-30.4 מיליארד ש"ח בדצמבר 2024 (גידול של כ-65%</w:t>
      </w:r>
      <w:r w:rsidRPr="00625723">
        <w:rPr>
          <w:rFonts w:ascii="Tahoma" w:eastAsia="Calibri" w:hAnsi="Tahoma" w:cs="Tahoma" w:hint="cs"/>
          <w:sz w:val="19"/>
          <w:szCs w:val="19"/>
          <w:rtl/>
        </w:rPr>
        <w:t xml:space="preserve"> בשנת 2024</w:t>
      </w:r>
      <w:r w:rsidRPr="00625723">
        <w:rPr>
          <w:rFonts w:ascii="Tahoma" w:eastAsia="Calibri" w:hAnsi="Tahoma" w:cs="Tahoma"/>
          <w:sz w:val="19"/>
          <w:szCs w:val="19"/>
          <w:rtl/>
        </w:rPr>
        <w:t>). נוסף על כך עלה כי בדצמבר 2024 שיעור השינויים בדצמבר מתקציב מגבלת ההוצאה השנתי של כלל הבקשות, הן שאושרו והן שלא אושרו, היה כ-5.95%, ולפיכך השינוי בשיעור השינויים בדצמבר מתקציב מגבלת ההוצאה השנתי מדצמבר 2017 לדצמבר 2024 היה כ-0.84 נקודות האחוז</w:t>
      </w:r>
      <w:r w:rsidRPr="00625723">
        <w:rPr>
          <w:rFonts w:ascii="Tahoma" w:eastAsia="Calibri" w:hAnsi="Tahoma" w:cs="Tahoma" w:hint="cs"/>
          <w:sz w:val="19"/>
          <w:szCs w:val="19"/>
          <w:rtl/>
        </w:rPr>
        <w:t xml:space="preserve"> המהווה כ-4.9 מיליארד ש"ח נכון לדצמבר 2024</w:t>
      </w:r>
      <w:r w:rsidRPr="00625723">
        <w:rPr>
          <w:rFonts w:ascii="Tahoma" w:eastAsia="Calibri" w:hAnsi="Tahoma" w:cs="Tahoma"/>
          <w:sz w:val="19"/>
          <w:szCs w:val="19"/>
          <w:rtl/>
        </w:rPr>
        <w:t>.</w:t>
      </w:r>
    </w:p>
    <w:p w:rsidR="00625723" w:rsidRPr="00625723" w:rsidP="00625723" w14:paraId="5C9DC418" w14:textId="77777777">
      <w:pPr>
        <w:numPr>
          <w:ilvl w:val="0"/>
          <w:numId w:val="14"/>
        </w:numPr>
        <w:spacing w:after="160" w:line="288" w:lineRule="auto"/>
        <w:ind w:left="-142" w:right="-567" w:hanging="595"/>
        <w:rPr>
          <w:rFonts w:ascii="Tahoma" w:eastAsia="Calibri" w:hAnsi="Tahoma" w:cs="Tahoma"/>
          <w:sz w:val="19"/>
          <w:szCs w:val="19"/>
        </w:rPr>
      </w:pPr>
      <w:bookmarkStart w:id="6" w:name="_Hlk222144445"/>
      <w:r w:rsidRPr="00625723">
        <w:rPr>
          <w:rFonts w:ascii="Tahoma" w:eastAsia="Calibri" w:hAnsi="Tahoma" w:cs="Tahoma" w:hint="cs"/>
          <w:b/>
          <w:bCs/>
          <w:sz w:val="19"/>
          <w:szCs w:val="19"/>
          <w:rtl/>
        </w:rPr>
        <w:t>העברות עודפי תקציב משנה קודמת</w:t>
      </w:r>
      <w:r w:rsidRPr="00625723">
        <w:rPr>
          <w:rFonts w:ascii="Tahoma" w:eastAsia="Calibri" w:hAnsi="Tahoma" w:cs="Tahoma"/>
          <w:b/>
          <w:bCs/>
          <w:sz w:val="19"/>
          <w:szCs w:val="19"/>
          <w:rtl/>
        </w:rPr>
        <w:t xml:space="preserve"> </w:t>
      </w:r>
      <w:r w:rsidRPr="00625723">
        <w:rPr>
          <w:rFonts w:ascii="Tahoma" w:eastAsia="Calibri" w:hAnsi="Tahoma" w:cs="Tahoma" w:hint="cs"/>
          <w:b/>
          <w:bCs/>
          <w:sz w:val="19"/>
          <w:szCs w:val="19"/>
          <w:rtl/>
        </w:rPr>
        <w:t xml:space="preserve">בהן מתקיים דיון </w:t>
      </w:r>
      <w:r w:rsidRPr="00625723" w:rsidR="00833191">
        <w:rPr>
          <w:rFonts w:ascii="Tahoma" w:eastAsia="Calibri" w:hAnsi="Tahoma" w:cs="Tahoma" w:hint="cs"/>
          <w:b/>
          <w:bCs/>
          <w:sz w:val="19"/>
          <w:szCs w:val="19"/>
          <w:rtl/>
        </w:rPr>
        <w:t>בוועד</w:t>
      </w:r>
      <w:r w:rsidRPr="00625723" w:rsidR="00833191">
        <w:rPr>
          <w:rFonts w:ascii="Tahoma" w:eastAsia="Calibri" w:hAnsi="Tahoma" w:cs="Tahoma" w:hint="eastAsia"/>
          <w:b/>
          <w:bCs/>
          <w:sz w:val="19"/>
          <w:szCs w:val="19"/>
          <w:rtl/>
        </w:rPr>
        <w:t>ת</w:t>
      </w:r>
      <w:r w:rsidRPr="00625723">
        <w:rPr>
          <w:rFonts w:ascii="Tahoma" w:eastAsia="Calibri" w:hAnsi="Tahoma" w:cs="Tahoma"/>
          <w:b/>
          <w:bCs/>
          <w:sz w:val="19"/>
          <w:szCs w:val="19"/>
          <w:rtl/>
        </w:rPr>
        <w:t xml:space="preserve"> </w:t>
      </w:r>
      <w:r w:rsidRPr="00625723">
        <w:rPr>
          <w:rFonts w:ascii="Tahoma" w:eastAsia="Calibri" w:hAnsi="Tahoma" w:cs="Tahoma" w:hint="eastAsia"/>
          <w:b/>
          <w:bCs/>
          <w:sz w:val="19"/>
          <w:szCs w:val="19"/>
          <w:rtl/>
        </w:rPr>
        <w:t>הכספים</w:t>
      </w:r>
    </w:p>
    <w:p w:rsidR="00625723" w:rsidRPr="00625723" w:rsidP="00625723" w14:paraId="2B78B7DE" w14:textId="77777777">
      <w:pPr>
        <w:numPr>
          <w:ilvl w:val="1"/>
          <w:numId w:val="14"/>
        </w:numPr>
        <w:spacing w:after="120" w:line="288" w:lineRule="auto"/>
        <w:ind w:left="278" w:right="-567" w:hanging="420"/>
        <w:rPr>
          <w:rFonts w:ascii="Tahoma" w:eastAsia="Calibri" w:hAnsi="Tahoma" w:cs="Tahoma"/>
          <w:sz w:val="19"/>
          <w:szCs w:val="19"/>
        </w:rPr>
      </w:pPr>
      <w:r w:rsidRPr="00625723">
        <w:rPr>
          <w:rFonts w:ascii="Tahoma" w:eastAsia="Calibri" w:hAnsi="Tahoma" w:cs="Tahoma"/>
          <w:sz w:val="19"/>
          <w:szCs w:val="19"/>
          <w:rtl/>
        </w:rPr>
        <w:t xml:space="preserve">סעיף 13(א) קובע כי שר האוצר רשאי להעביר עודפי תקציב מהשנה הקודמת, בכפוף להודעה לוועדת הכספים של הכנסת. כלומר, אם נותרו כספים שלא </w:t>
      </w:r>
      <w:r w:rsidRPr="00625723">
        <w:rPr>
          <w:rFonts w:ascii="Tahoma" w:eastAsia="Calibri" w:hAnsi="Tahoma" w:cs="Tahoma" w:hint="cs"/>
          <w:sz w:val="19"/>
          <w:szCs w:val="19"/>
          <w:rtl/>
        </w:rPr>
        <w:t>בוצעו</w:t>
      </w:r>
      <w:r w:rsidRPr="00625723">
        <w:rPr>
          <w:rFonts w:ascii="Tahoma" w:eastAsia="Calibri" w:hAnsi="Tahoma" w:cs="Tahoma"/>
          <w:sz w:val="19"/>
          <w:szCs w:val="19"/>
          <w:rtl/>
        </w:rPr>
        <w:t xml:space="preserve"> בתקציב של שנה מסוימת, שר האוצר יכול להעביר אותם לתקציב של שנה אחרת, ללא התניה בנוגע לסכום העודף הכספי המועבר או לשיעורו</w:t>
      </w:r>
      <w:r w:rsidRPr="00625723">
        <w:rPr>
          <w:rFonts w:ascii="Tahoma" w:eastAsia="Calibri" w:hAnsi="Tahoma" w:cs="Tahoma" w:hint="cs"/>
          <w:sz w:val="19"/>
          <w:szCs w:val="19"/>
          <w:rtl/>
        </w:rPr>
        <w:t xml:space="preserve"> במתן הודעה לוועדה</w:t>
      </w:r>
      <w:r w:rsidRPr="00625723">
        <w:rPr>
          <w:rFonts w:ascii="Tahoma" w:eastAsia="Calibri" w:hAnsi="Tahoma" w:cs="Tahoma"/>
          <w:sz w:val="19"/>
          <w:szCs w:val="19"/>
          <w:rtl/>
        </w:rPr>
        <w:t xml:space="preserve">. </w:t>
      </w:r>
    </w:p>
    <w:p w:rsidR="00625723" w:rsidRPr="00625723" w:rsidP="00625723" w14:paraId="51328FBF" w14:textId="77777777">
      <w:pPr>
        <w:numPr>
          <w:ilvl w:val="1"/>
          <w:numId w:val="14"/>
        </w:numPr>
        <w:spacing w:after="120" w:line="288" w:lineRule="auto"/>
        <w:ind w:left="278" w:right="-567" w:hanging="420"/>
        <w:rPr>
          <w:rFonts w:ascii="Tahoma" w:eastAsia="Calibri" w:hAnsi="Tahoma" w:cs="Tahoma"/>
          <w:sz w:val="19"/>
          <w:szCs w:val="19"/>
          <w:rtl/>
        </w:rPr>
      </w:pPr>
      <w:r w:rsidRPr="00625723">
        <w:rPr>
          <w:rFonts w:ascii="Tahoma" w:eastAsia="Calibri" w:hAnsi="Tahoma" w:cs="Tahoma" w:hint="eastAsia"/>
          <w:sz w:val="19"/>
          <w:szCs w:val="19"/>
          <w:rtl/>
        </w:rPr>
        <w:t>עם</w:t>
      </w:r>
      <w:r w:rsidRPr="00625723">
        <w:rPr>
          <w:rFonts w:ascii="Tahoma" w:eastAsia="Calibri" w:hAnsi="Tahoma" w:cs="Tahoma"/>
          <w:sz w:val="19"/>
          <w:szCs w:val="19"/>
          <w:rtl/>
        </w:rPr>
        <w:t xml:space="preserve"> </w:t>
      </w:r>
      <w:r w:rsidRPr="00625723">
        <w:rPr>
          <w:rFonts w:ascii="Tahoma" w:eastAsia="Calibri" w:hAnsi="Tahoma" w:cs="Tahoma" w:hint="eastAsia"/>
          <w:sz w:val="19"/>
          <w:szCs w:val="19"/>
          <w:rtl/>
        </w:rPr>
        <w:t>זאת</w:t>
      </w:r>
      <w:r w:rsidRPr="00625723">
        <w:rPr>
          <w:rFonts w:ascii="Tahoma" w:eastAsia="Calibri" w:hAnsi="Tahoma" w:cs="Tahoma"/>
          <w:sz w:val="19"/>
          <w:szCs w:val="19"/>
          <w:rtl/>
        </w:rPr>
        <w:t xml:space="preserve">, </w:t>
      </w:r>
      <w:r w:rsidRPr="00625723">
        <w:rPr>
          <w:rFonts w:ascii="Tahoma" w:eastAsia="Calibri" w:hAnsi="Tahoma" w:cs="Tahoma" w:hint="eastAsia"/>
          <w:sz w:val="19"/>
          <w:szCs w:val="19"/>
          <w:rtl/>
        </w:rPr>
        <w:t>בביקורת</w:t>
      </w:r>
      <w:r w:rsidRPr="00625723">
        <w:rPr>
          <w:rFonts w:ascii="Tahoma" w:eastAsia="Calibri" w:hAnsi="Tahoma" w:cs="Tahoma"/>
          <w:sz w:val="19"/>
          <w:szCs w:val="19"/>
          <w:rtl/>
        </w:rPr>
        <w:t xml:space="preserve"> </w:t>
      </w:r>
      <w:r w:rsidRPr="00625723">
        <w:rPr>
          <w:rFonts w:ascii="Tahoma" w:eastAsia="Calibri" w:hAnsi="Tahoma" w:cs="Tahoma" w:hint="eastAsia"/>
          <w:sz w:val="19"/>
          <w:szCs w:val="19"/>
          <w:rtl/>
        </w:rPr>
        <w:t>עלה</w:t>
      </w:r>
      <w:r w:rsidRPr="00625723">
        <w:rPr>
          <w:rFonts w:ascii="Tahoma" w:eastAsia="Calibri" w:hAnsi="Tahoma" w:cs="Tahoma"/>
          <w:sz w:val="19"/>
          <w:szCs w:val="19"/>
          <w:rtl/>
        </w:rPr>
        <w:t xml:space="preserve"> </w:t>
      </w:r>
      <w:r w:rsidRPr="00625723">
        <w:rPr>
          <w:rFonts w:ascii="Tahoma" w:eastAsia="Calibri" w:hAnsi="Tahoma" w:cs="Tahoma" w:hint="eastAsia"/>
          <w:sz w:val="19"/>
          <w:szCs w:val="19"/>
          <w:rtl/>
        </w:rPr>
        <w:t>כי</w:t>
      </w:r>
      <w:r w:rsidRPr="00625723">
        <w:rPr>
          <w:rFonts w:ascii="Tahoma" w:eastAsia="Calibri" w:hAnsi="Tahoma" w:cs="Tahoma"/>
          <w:sz w:val="19"/>
          <w:szCs w:val="19"/>
          <w:rtl/>
        </w:rPr>
        <w:t xml:space="preserve"> </w:t>
      </w:r>
      <w:r w:rsidRPr="00625723">
        <w:rPr>
          <w:rFonts w:ascii="Tahoma" w:eastAsia="Calibri" w:hAnsi="Tahoma" w:cs="Tahoma" w:hint="cs"/>
          <w:sz w:val="19"/>
          <w:szCs w:val="19"/>
          <w:rtl/>
        </w:rPr>
        <w:t>שר האוצר נוהג להביא לאישור ועדת הכספים גם בקשות להעברת עודפים אשר על פי החוק די בהודעה בלבד לוועדה.</w:t>
      </w:r>
    </w:p>
    <w:p w:rsidR="00625723" w:rsidRPr="00625723" w:rsidP="00625723" w14:paraId="1BC172E6" w14:textId="77777777">
      <w:pPr>
        <w:numPr>
          <w:ilvl w:val="1"/>
          <w:numId w:val="14"/>
        </w:numPr>
        <w:spacing w:after="120" w:line="288" w:lineRule="auto"/>
        <w:ind w:left="278" w:right="-567" w:hanging="420"/>
        <w:rPr>
          <w:rFonts w:ascii="Tahoma" w:eastAsia="Calibri" w:hAnsi="Tahoma" w:cs="Tahoma"/>
          <w:sz w:val="19"/>
          <w:szCs w:val="19"/>
        </w:rPr>
      </w:pPr>
      <w:r w:rsidRPr="00625723">
        <w:rPr>
          <w:rFonts w:ascii="Tahoma" w:eastAsia="Calibri" w:hAnsi="Tahoma" w:cs="Tahoma" w:hint="cs"/>
          <w:sz w:val="19"/>
          <w:szCs w:val="19"/>
          <w:rtl/>
        </w:rPr>
        <w:t xml:space="preserve">כך, </w:t>
      </w:r>
      <w:r w:rsidRPr="00625723">
        <w:rPr>
          <w:rFonts w:ascii="Tahoma" w:eastAsia="Calibri" w:hAnsi="Tahoma" w:cs="Tahoma"/>
          <w:sz w:val="19"/>
          <w:szCs w:val="19"/>
          <w:rtl/>
        </w:rPr>
        <w:t>בדצמבר 2024 אישרה הוועדה 110 הודעות להעברת עודפי תקציב בסכום כספי של 10.8 מיליארד ש"ח.</w:t>
      </w:r>
    </w:p>
    <w:p w:rsidR="00625723" w:rsidRPr="00625723" w:rsidP="00625723" w14:paraId="6761933B" w14:textId="77777777">
      <w:pPr>
        <w:numPr>
          <w:ilvl w:val="1"/>
          <w:numId w:val="14"/>
        </w:numPr>
        <w:spacing w:after="240" w:line="288" w:lineRule="auto"/>
        <w:ind w:left="278" w:right="-567" w:hanging="420"/>
        <w:rPr>
          <w:rFonts w:ascii="Tahoma" w:eastAsia="Calibri" w:hAnsi="Tahoma" w:cs="Tahoma"/>
          <w:sz w:val="19"/>
          <w:szCs w:val="19"/>
        </w:rPr>
      </w:pPr>
      <w:r w:rsidRPr="00625723">
        <w:rPr>
          <w:rFonts w:ascii="Tahoma" w:eastAsia="Calibri" w:hAnsi="Tahoma" w:cs="Tahoma" w:hint="cs"/>
          <w:sz w:val="19"/>
          <w:szCs w:val="19"/>
          <w:rtl/>
        </w:rPr>
        <w:t>העברת</w:t>
      </w:r>
      <w:r w:rsidRPr="00625723">
        <w:rPr>
          <w:rFonts w:ascii="Tahoma" w:eastAsia="Calibri" w:hAnsi="Tahoma" w:cs="Tahoma"/>
          <w:sz w:val="19"/>
          <w:szCs w:val="19"/>
          <w:rtl/>
        </w:rPr>
        <w:t xml:space="preserve"> הפניות </w:t>
      </w:r>
      <w:r w:rsidRPr="00625723">
        <w:rPr>
          <w:rFonts w:ascii="Tahoma" w:eastAsia="Calibri" w:hAnsi="Tahoma" w:cs="Tahoma" w:hint="cs"/>
          <w:sz w:val="19"/>
          <w:szCs w:val="19"/>
          <w:rtl/>
        </w:rPr>
        <w:t xml:space="preserve">על ידי שר האוצר </w:t>
      </w:r>
      <w:r w:rsidRPr="00625723">
        <w:rPr>
          <w:rFonts w:ascii="Tahoma" w:eastAsia="Calibri" w:hAnsi="Tahoma" w:cs="Tahoma"/>
          <w:sz w:val="19"/>
          <w:szCs w:val="19"/>
          <w:rtl/>
        </w:rPr>
        <w:t xml:space="preserve">לוועדת הכספים בנוגע להעברת עודפים המאושרות בוועדה </w:t>
      </w:r>
      <w:r w:rsidRPr="00625723">
        <w:rPr>
          <w:rFonts w:ascii="Tahoma" w:eastAsia="Calibri" w:hAnsi="Tahoma" w:cs="Tahoma" w:hint="cs"/>
          <w:sz w:val="19"/>
          <w:szCs w:val="19"/>
          <w:rtl/>
        </w:rPr>
        <w:t xml:space="preserve">עלולה להביא </w:t>
      </w:r>
      <w:r w:rsidRPr="00625723">
        <w:rPr>
          <w:rFonts w:ascii="Tahoma" w:eastAsia="Calibri" w:hAnsi="Tahoma" w:cs="Tahoma" w:hint="eastAsia"/>
          <w:sz w:val="19"/>
          <w:szCs w:val="19"/>
          <w:rtl/>
        </w:rPr>
        <w:t>לעיכוב</w:t>
      </w:r>
      <w:r w:rsidRPr="00625723">
        <w:rPr>
          <w:rFonts w:ascii="Tahoma" w:eastAsia="Calibri" w:hAnsi="Tahoma" w:cs="Tahoma" w:hint="cs"/>
          <w:sz w:val="19"/>
          <w:szCs w:val="19"/>
          <w:rtl/>
        </w:rPr>
        <w:t>ים בעבודת</w:t>
      </w:r>
      <w:r w:rsidRPr="00625723">
        <w:rPr>
          <w:rFonts w:ascii="Tahoma" w:eastAsia="Calibri" w:hAnsi="Tahoma" w:cs="Tahoma"/>
          <w:sz w:val="19"/>
          <w:szCs w:val="19"/>
          <w:rtl/>
        </w:rPr>
        <w:t xml:space="preserve"> </w:t>
      </w:r>
      <w:r w:rsidRPr="00625723">
        <w:rPr>
          <w:rFonts w:ascii="Tahoma" w:eastAsia="Calibri" w:hAnsi="Tahoma" w:cs="Tahoma" w:hint="cs"/>
          <w:sz w:val="19"/>
          <w:szCs w:val="19"/>
          <w:rtl/>
        </w:rPr>
        <w:t>המשרדים</w:t>
      </w:r>
      <w:r w:rsidRPr="00625723">
        <w:rPr>
          <w:rFonts w:ascii="Tahoma" w:eastAsia="Calibri" w:hAnsi="Tahoma" w:cs="Tahoma"/>
          <w:sz w:val="19"/>
          <w:szCs w:val="19"/>
          <w:rtl/>
        </w:rPr>
        <w:t>, הנדרשים לתקציבים</w:t>
      </w:r>
      <w:r w:rsidRPr="00625723">
        <w:rPr>
          <w:rFonts w:ascii="Tahoma" w:eastAsia="Calibri" w:hAnsi="Tahoma" w:cs="Tahoma" w:hint="cs"/>
          <w:sz w:val="19"/>
          <w:szCs w:val="19"/>
          <w:rtl/>
        </w:rPr>
        <w:t xml:space="preserve"> אלה</w:t>
      </w:r>
      <w:r w:rsidRPr="00625723">
        <w:rPr>
          <w:rFonts w:ascii="Tahoma" w:eastAsia="Calibri" w:hAnsi="Tahoma" w:cs="Tahoma"/>
          <w:sz w:val="19"/>
          <w:szCs w:val="19"/>
          <w:rtl/>
        </w:rPr>
        <w:t xml:space="preserve"> לצורך פעילותם, ודאי במקרים של עודפים מחויבים, שלגביהם ייתכן שכבר הגיע מועד התשלום הנדרש מהמשרדים בהתאם להתחייבותם.</w:t>
      </w:r>
    </w:p>
    <w:bookmarkEnd w:id="6"/>
    <w:p w:rsidR="00625723" w:rsidRPr="00625723" w:rsidP="00625723" w14:paraId="255A28AF" w14:textId="77777777">
      <w:pPr>
        <w:numPr>
          <w:ilvl w:val="0"/>
          <w:numId w:val="14"/>
        </w:numPr>
        <w:spacing w:after="120" w:line="288" w:lineRule="auto"/>
        <w:ind w:left="-142" w:right="-567" w:hanging="595"/>
        <w:rPr>
          <w:rFonts w:ascii="Tahoma" w:eastAsia="Calibri" w:hAnsi="Tahoma" w:cs="Tahoma"/>
          <w:b/>
          <w:bCs/>
          <w:sz w:val="19"/>
          <w:szCs w:val="19"/>
        </w:rPr>
      </w:pPr>
      <w:r w:rsidRPr="00625723">
        <w:rPr>
          <w:rFonts w:ascii="Tahoma" w:eastAsia="Calibri" w:hAnsi="Tahoma" w:cs="Tahoma" w:hint="eastAsia"/>
          <w:b/>
          <w:bCs/>
          <w:sz w:val="19"/>
          <w:szCs w:val="19"/>
          <w:rtl/>
        </w:rPr>
        <w:t>פניות</w:t>
      </w:r>
      <w:r w:rsidRPr="00625723">
        <w:rPr>
          <w:rFonts w:ascii="Tahoma" w:eastAsia="Calibri" w:hAnsi="Tahoma" w:cs="Tahoma"/>
          <w:b/>
          <w:bCs/>
          <w:sz w:val="19"/>
          <w:szCs w:val="19"/>
          <w:rtl/>
        </w:rPr>
        <w:t xml:space="preserve"> </w:t>
      </w:r>
      <w:r w:rsidRPr="00625723">
        <w:rPr>
          <w:rFonts w:ascii="Tahoma" w:eastAsia="Calibri" w:hAnsi="Tahoma" w:cs="Tahoma" w:hint="eastAsia"/>
          <w:b/>
          <w:bCs/>
          <w:sz w:val="19"/>
          <w:szCs w:val="19"/>
          <w:rtl/>
        </w:rPr>
        <w:t>תקציביות</w:t>
      </w:r>
      <w:r w:rsidRPr="00625723">
        <w:rPr>
          <w:rFonts w:ascii="Tahoma" w:eastAsia="Calibri" w:hAnsi="Tahoma" w:cs="Tahoma"/>
          <w:b/>
          <w:bCs/>
          <w:sz w:val="19"/>
          <w:szCs w:val="19"/>
          <w:rtl/>
        </w:rPr>
        <w:t xml:space="preserve"> </w:t>
      </w:r>
      <w:r w:rsidRPr="00625723">
        <w:rPr>
          <w:rFonts w:ascii="Tahoma" w:eastAsia="Calibri" w:hAnsi="Tahoma" w:cs="Tahoma" w:hint="eastAsia"/>
          <w:b/>
          <w:bCs/>
          <w:sz w:val="19"/>
          <w:szCs w:val="19"/>
          <w:rtl/>
        </w:rPr>
        <w:t>לשם</w:t>
      </w:r>
      <w:r w:rsidRPr="00625723">
        <w:rPr>
          <w:rFonts w:ascii="Tahoma" w:eastAsia="Calibri" w:hAnsi="Tahoma" w:cs="Tahoma"/>
          <w:b/>
          <w:bCs/>
          <w:sz w:val="19"/>
          <w:szCs w:val="19"/>
          <w:rtl/>
        </w:rPr>
        <w:t xml:space="preserve"> </w:t>
      </w:r>
      <w:r w:rsidRPr="00625723">
        <w:rPr>
          <w:rFonts w:ascii="Tahoma" w:eastAsia="Calibri" w:hAnsi="Tahoma" w:cs="Tahoma" w:hint="eastAsia"/>
          <w:b/>
          <w:bCs/>
          <w:sz w:val="19"/>
          <w:szCs w:val="19"/>
          <w:rtl/>
        </w:rPr>
        <w:t>מימוש</w:t>
      </w:r>
      <w:r w:rsidRPr="00625723">
        <w:rPr>
          <w:rFonts w:ascii="Tahoma" w:eastAsia="Calibri" w:hAnsi="Tahoma" w:cs="Tahoma"/>
          <w:b/>
          <w:bCs/>
          <w:sz w:val="19"/>
          <w:szCs w:val="19"/>
          <w:rtl/>
        </w:rPr>
        <w:t xml:space="preserve"> </w:t>
      </w:r>
      <w:r w:rsidRPr="00625723">
        <w:rPr>
          <w:rFonts w:ascii="Tahoma" w:eastAsia="Calibri" w:hAnsi="Tahoma" w:cs="Tahoma" w:hint="eastAsia"/>
          <w:b/>
          <w:bCs/>
          <w:sz w:val="19"/>
          <w:szCs w:val="19"/>
          <w:rtl/>
        </w:rPr>
        <w:t>החלטות</w:t>
      </w:r>
      <w:r w:rsidRPr="00625723">
        <w:rPr>
          <w:rFonts w:ascii="Tahoma" w:eastAsia="Calibri" w:hAnsi="Tahoma" w:cs="Tahoma"/>
          <w:b/>
          <w:bCs/>
          <w:sz w:val="19"/>
          <w:szCs w:val="19"/>
          <w:rtl/>
        </w:rPr>
        <w:t xml:space="preserve"> </w:t>
      </w:r>
      <w:r w:rsidRPr="00625723">
        <w:rPr>
          <w:rFonts w:ascii="Tahoma" w:eastAsia="Calibri" w:hAnsi="Tahoma" w:cs="Tahoma" w:hint="eastAsia"/>
          <w:b/>
          <w:bCs/>
          <w:sz w:val="19"/>
          <w:szCs w:val="19"/>
          <w:rtl/>
        </w:rPr>
        <w:t>ממשלה</w:t>
      </w:r>
    </w:p>
    <w:p w:rsidR="00625723" w:rsidRPr="00625723" w:rsidP="00625723" w14:paraId="0ED78AC8" w14:textId="77777777">
      <w:pPr>
        <w:spacing w:after="240" w:line="288" w:lineRule="auto"/>
        <w:ind w:left="-143" w:right="-567"/>
        <w:rPr>
          <w:rFonts w:ascii="Tahoma" w:eastAsia="Calibri" w:hAnsi="Tahoma" w:cs="Tahoma"/>
          <w:sz w:val="19"/>
          <w:szCs w:val="19"/>
          <w:rtl/>
        </w:rPr>
      </w:pPr>
      <w:r w:rsidRPr="00625723">
        <w:rPr>
          <w:rFonts w:ascii="Tahoma" w:eastAsia="Calibri" w:hAnsi="Tahoma" w:cs="Tahoma"/>
          <w:sz w:val="19"/>
          <w:szCs w:val="19"/>
          <w:rtl/>
        </w:rPr>
        <w:t>בתוכניות הבאות: פרויקטים והחלטות ממשלה רוחביות, פיתוח ירושלים ומורשת, רשות העתיקות, וארכיאולוגיה</w:t>
      </w:r>
      <w:r w:rsidRPr="00625723">
        <w:rPr>
          <w:rFonts w:ascii="Tahoma" w:eastAsia="Calibri" w:hAnsi="Tahoma" w:cs="Tahoma" w:hint="cs"/>
          <w:sz w:val="19"/>
          <w:szCs w:val="19"/>
          <w:rtl/>
        </w:rPr>
        <w:t xml:space="preserve"> </w:t>
      </w:r>
      <w:bookmarkStart w:id="7" w:name="_Hlk222144621"/>
      <w:r w:rsidRPr="00625723">
        <w:rPr>
          <w:rFonts w:ascii="Tahoma" w:eastAsia="Calibri" w:hAnsi="Tahoma" w:cs="Tahoma" w:hint="cs"/>
          <w:sz w:val="19"/>
          <w:szCs w:val="19"/>
          <w:rtl/>
        </w:rPr>
        <w:t>הוגשו על ידי שר האוצר באמצעות אגף התקציבים פניות תקציביות להגדיל את תקציבן רק בסוף דצמבר 2024 אף</w:t>
      </w:r>
      <w:r w:rsidRPr="00625723">
        <w:rPr>
          <w:rFonts w:ascii="Tahoma" w:eastAsia="Calibri" w:hAnsi="Tahoma" w:cs="Tahoma"/>
          <w:sz w:val="19"/>
          <w:szCs w:val="19"/>
          <w:rtl/>
        </w:rPr>
        <w:t xml:space="preserve"> </w:t>
      </w:r>
      <w:r w:rsidRPr="00625723">
        <w:rPr>
          <w:rFonts w:ascii="Tahoma" w:eastAsia="Calibri" w:hAnsi="Tahoma" w:cs="Tahoma" w:hint="cs"/>
          <w:sz w:val="19"/>
          <w:szCs w:val="19"/>
          <w:rtl/>
        </w:rPr>
        <w:t>ש</w:t>
      </w:r>
      <w:r w:rsidRPr="00625723">
        <w:rPr>
          <w:rFonts w:ascii="Tahoma" w:eastAsia="Calibri" w:hAnsi="Tahoma" w:cs="Tahoma"/>
          <w:sz w:val="19"/>
          <w:szCs w:val="19"/>
          <w:rtl/>
        </w:rPr>
        <w:t xml:space="preserve">התקבלו החלטות ממשלה במהלך שנת 2024 להגדיל את תקציבן בתוכניות אלו חרג היקף הביצוע בסוף נובמבר 2024 מהסכום הקבוע בחוק התקציב השנתי על שינויו </w:t>
      </w:r>
      <w:r w:rsidRPr="00625723">
        <w:rPr>
          <w:rFonts w:ascii="Tahoma" w:eastAsia="Calibri" w:hAnsi="Tahoma" w:cs="Tahoma" w:hint="cs"/>
          <w:sz w:val="19"/>
          <w:szCs w:val="19"/>
          <w:rtl/>
        </w:rPr>
        <w:t xml:space="preserve">(חריגות בסכומים של כ-26.2 מיליון ש"ח, כ-69.5 מיליון ש"ח, כ-5.3 מיליון ש"ח, כ-2.1 מיליון ש"ח, בהתאמה), וזאת </w:t>
      </w:r>
      <w:bookmarkEnd w:id="7"/>
      <w:r w:rsidRPr="00625723">
        <w:rPr>
          <w:rFonts w:ascii="Tahoma" w:eastAsia="Calibri" w:hAnsi="Tahoma" w:cs="Tahoma"/>
          <w:sz w:val="19"/>
          <w:szCs w:val="19"/>
          <w:rtl/>
        </w:rPr>
        <w:t>בטרם הוגשה לוועדת הכספים בקשה להגדיל את היקף התוכניות בהתאם להחלטות הממשלה.</w:t>
      </w:r>
    </w:p>
    <w:p w:rsidR="00625723" w:rsidRPr="00625723" w:rsidP="00625723" w14:paraId="7DF3DFE3" w14:textId="77777777">
      <w:pPr>
        <w:numPr>
          <w:ilvl w:val="0"/>
          <w:numId w:val="14"/>
        </w:numPr>
        <w:spacing w:after="120" w:line="288" w:lineRule="auto"/>
        <w:ind w:left="-142" w:right="-567" w:hanging="595"/>
        <w:rPr>
          <w:rFonts w:ascii="Tahoma" w:eastAsia="Calibri" w:hAnsi="Tahoma" w:cs="Tahoma"/>
          <w:sz w:val="19"/>
          <w:szCs w:val="19"/>
        </w:rPr>
      </w:pPr>
      <w:r w:rsidRPr="00625723">
        <w:rPr>
          <w:rFonts w:ascii="Tahoma" w:eastAsia="Calibri" w:hAnsi="Tahoma" w:cs="Tahoma" w:hint="eastAsia"/>
          <w:b/>
          <w:bCs/>
          <w:sz w:val="19"/>
          <w:szCs w:val="19"/>
          <w:rtl/>
        </w:rPr>
        <w:t>פניות</w:t>
      </w:r>
      <w:r w:rsidRPr="00625723">
        <w:rPr>
          <w:rFonts w:ascii="Tahoma" w:eastAsia="Calibri" w:hAnsi="Tahoma" w:cs="Tahoma"/>
          <w:b/>
          <w:bCs/>
          <w:sz w:val="19"/>
          <w:szCs w:val="19"/>
          <w:rtl/>
        </w:rPr>
        <w:t xml:space="preserve"> </w:t>
      </w:r>
      <w:r w:rsidRPr="00625723">
        <w:rPr>
          <w:rFonts w:ascii="Tahoma" w:eastAsia="Calibri" w:hAnsi="Tahoma" w:cs="Tahoma" w:hint="eastAsia"/>
          <w:b/>
          <w:bCs/>
          <w:sz w:val="19"/>
          <w:szCs w:val="19"/>
          <w:rtl/>
        </w:rPr>
        <w:t>תקציביות</w:t>
      </w:r>
      <w:r w:rsidRPr="00625723">
        <w:rPr>
          <w:rFonts w:ascii="Tahoma" w:eastAsia="Calibri" w:hAnsi="Tahoma" w:cs="Tahoma"/>
          <w:b/>
          <w:bCs/>
          <w:sz w:val="19"/>
          <w:szCs w:val="19"/>
          <w:rtl/>
        </w:rPr>
        <w:t xml:space="preserve"> </w:t>
      </w:r>
      <w:r w:rsidRPr="00625723">
        <w:rPr>
          <w:rFonts w:ascii="Tahoma" w:eastAsia="Calibri" w:hAnsi="Tahoma" w:cs="Tahoma" w:hint="eastAsia"/>
          <w:b/>
          <w:bCs/>
          <w:sz w:val="19"/>
          <w:szCs w:val="19"/>
          <w:rtl/>
        </w:rPr>
        <w:t>לשם</w:t>
      </w:r>
      <w:r w:rsidRPr="00625723">
        <w:rPr>
          <w:rFonts w:ascii="Tahoma" w:eastAsia="Calibri" w:hAnsi="Tahoma" w:cs="Tahoma"/>
          <w:b/>
          <w:bCs/>
          <w:sz w:val="19"/>
          <w:szCs w:val="19"/>
          <w:rtl/>
        </w:rPr>
        <w:t xml:space="preserve"> </w:t>
      </w:r>
      <w:r w:rsidRPr="00625723">
        <w:rPr>
          <w:rFonts w:ascii="Tahoma" w:eastAsia="Calibri" w:hAnsi="Tahoma" w:cs="Tahoma" w:hint="eastAsia"/>
          <w:b/>
          <w:bCs/>
          <w:sz w:val="19"/>
          <w:szCs w:val="19"/>
          <w:rtl/>
        </w:rPr>
        <w:t>התאמת</w:t>
      </w:r>
      <w:r w:rsidRPr="00625723">
        <w:rPr>
          <w:rFonts w:ascii="Tahoma" w:eastAsia="Calibri" w:hAnsi="Tahoma" w:cs="Tahoma"/>
          <w:b/>
          <w:bCs/>
          <w:sz w:val="19"/>
          <w:szCs w:val="19"/>
          <w:rtl/>
        </w:rPr>
        <w:t xml:space="preserve"> </w:t>
      </w:r>
      <w:r w:rsidRPr="00625723">
        <w:rPr>
          <w:rFonts w:ascii="Tahoma" w:eastAsia="Calibri" w:hAnsi="Tahoma" w:cs="Tahoma" w:hint="eastAsia"/>
          <w:b/>
          <w:bCs/>
          <w:sz w:val="19"/>
          <w:szCs w:val="19"/>
          <w:rtl/>
        </w:rPr>
        <w:t>התקציב</w:t>
      </w:r>
      <w:r w:rsidRPr="00625723">
        <w:rPr>
          <w:rFonts w:ascii="Tahoma" w:eastAsia="Calibri" w:hAnsi="Tahoma" w:cs="Tahoma"/>
          <w:b/>
          <w:bCs/>
          <w:sz w:val="19"/>
          <w:szCs w:val="19"/>
          <w:rtl/>
        </w:rPr>
        <w:t xml:space="preserve"> </w:t>
      </w:r>
      <w:r w:rsidRPr="00625723">
        <w:rPr>
          <w:rFonts w:ascii="Tahoma" w:eastAsia="Calibri" w:hAnsi="Tahoma" w:cs="Tahoma" w:hint="eastAsia"/>
          <w:b/>
          <w:bCs/>
          <w:sz w:val="19"/>
          <w:szCs w:val="19"/>
          <w:rtl/>
        </w:rPr>
        <w:t>לביצוע</w:t>
      </w:r>
      <w:r w:rsidRPr="00625723">
        <w:rPr>
          <w:rFonts w:ascii="Tahoma" w:eastAsia="Calibri" w:hAnsi="Tahoma" w:cs="Tahoma"/>
          <w:b/>
          <w:bCs/>
          <w:sz w:val="19"/>
          <w:szCs w:val="19"/>
          <w:rtl/>
        </w:rPr>
        <w:t xml:space="preserve"> </w:t>
      </w:r>
      <w:r w:rsidRPr="00625723">
        <w:rPr>
          <w:rFonts w:ascii="Tahoma" w:eastAsia="Calibri" w:hAnsi="Tahoma" w:cs="Tahoma" w:hint="eastAsia"/>
          <w:b/>
          <w:bCs/>
          <w:sz w:val="19"/>
          <w:szCs w:val="19"/>
          <w:rtl/>
        </w:rPr>
        <w:t>בפועל</w:t>
      </w:r>
    </w:p>
    <w:p w:rsidR="00625723" w:rsidRPr="00625723" w:rsidP="00625723" w14:paraId="0FE10160" w14:textId="77777777">
      <w:pPr>
        <w:spacing w:after="240" w:line="288" w:lineRule="auto"/>
        <w:ind w:left="-143" w:right="-567"/>
        <w:rPr>
          <w:rFonts w:ascii="Tahoma" w:eastAsia="Calibri" w:hAnsi="Tahoma" w:cs="Tahoma"/>
          <w:sz w:val="19"/>
          <w:szCs w:val="19"/>
          <w:rtl/>
        </w:rPr>
      </w:pPr>
      <w:r w:rsidRPr="00625723">
        <w:rPr>
          <w:rFonts w:ascii="Tahoma" w:eastAsia="Calibri" w:hAnsi="Tahoma" w:cs="Tahoma"/>
          <w:sz w:val="19"/>
          <w:szCs w:val="19"/>
          <w:rtl/>
        </w:rPr>
        <w:t xml:space="preserve">בתוכנית הבאות: מענקי הפיתוח ברשויות המקומיות, בתי הספר היסודיים וחטיבות ביניים, עידוד תעסוקת אוכלוסייה וסיוע בשכר דירה, </w:t>
      </w:r>
      <w:bookmarkStart w:id="8" w:name="_Hlk222144674"/>
      <w:bookmarkStart w:id="9" w:name="_Hlk222144950"/>
      <w:r w:rsidRPr="00625723">
        <w:rPr>
          <w:rFonts w:ascii="Tahoma" w:eastAsia="Calibri" w:hAnsi="Tahoma" w:cs="Tahoma" w:hint="cs"/>
          <w:sz w:val="19"/>
          <w:szCs w:val="19"/>
          <w:rtl/>
        </w:rPr>
        <w:t xml:space="preserve">הוגשו </w:t>
      </w:r>
      <w:r w:rsidRPr="00625723">
        <w:rPr>
          <w:rFonts w:ascii="Tahoma" w:eastAsia="Calibri" w:hAnsi="Tahoma" w:cs="Tahoma"/>
          <w:sz w:val="19"/>
          <w:szCs w:val="19"/>
          <w:rtl/>
        </w:rPr>
        <w:t>פניות תקציביות</w:t>
      </w:r>
      <w:r w:rsidRPr="00625723">
        <w:rPr>
          <w:rFonts w:ascii="Tahoma" w:eastAsia="Calibri" w:hAnsi="Tahoma" w:cs="Tahoma" w:hint="cs"/>
          <w:sz w:val="19"/>
          <w:szCs w:val="19"/>
          <w:rtl/>
        </w:rPr>
        <w:t xml:space="preserve"> על ידי שר האוצר באמצעות אגף התקציבים ואושרו ב</w:t>
      </w:r>
      <w:r w:rsidRPr="00625723">
        <w:rPr>
          <w:rFonts w:ascii="Tahoma" w:eastAsia="Calibri" w:hAnsi="Tahoma" w:cs="Tahoma"/>
          <w:sz w:val="19"/>
          <w:szCs w:val="19"/>
          <w:rtl/>
        </w:rPr>
        <w:t>ו</w:t>
      </w:r>
      <w:r w:rsidRPr="00625723">
        <w:rPr>
          <w:rFonts w:ascii="Tahoma" w:eastAsia="Calibri" w:hAnsi="Tahoma" w:cs="Tahoma" w:hint="cs"/>
          <w:sz w:val="19"/>
          <w:szCs w:val="19"/>
          <w:rtl/>
        </w:rPr>
        <w:t>ו</w:t>
      </w:r>
      <w:r w:rsidRPr="00625723">
        <w:rPr>
          <w:rFonts w:ascii="Tahoma" w:eastAsia="Calibri" w:hAnsi="Tahoma" w:cs="Tahoma"/>
          <w:sz w:val="19"/>
          <w:szCs w:val="19"/>
          <w:rtl/>
        </w:rPr>
        <w:t>עדת הכספים</w:t>
      </w:r>
      <w:r w:rsidRPr="00625723">
        <w:rPr>
          <w:rFonts w:ascii="Tahoma" w:eastAsia="Calibri" w:hAnsi="Tahoma" w:cs="Tahoma" w:hint="cs"/>
          <w:sz w:val="19"/>
          <w:szCs w:val="19"/>
          <w:rtl/>
        </w:rPr>
        <w:t xml:space="preserve"> רק בסוף דצמבר 2024. </w:t>
      </w:r>
      <w:bookmarkEnd w:id="8"/>
      <w:r w:rsidRPr="00625723">
        <w:rPr>
          <w:rFonts w:ascii="Tahoma" w:eastAsia="Calibri" w:hAnsi="Tahoma" w:cs="Tahoma"/>
          <w:sz w:val="19"/>
          <w:szCs w:val="19"/>
          <w:rtl/>
        </w:rPr>
        <w:t>משמעותן</w:t>
      </w:r>
      <w:r w:rsidRPr="00625723">
        <w:rPr>
          <w:rFonts w:ascii="Tahoma" w:eastAsia="Calibri" w:hAnsi="Tahoma" w:cs="Tahoma" w:hint="cs"/>
          <w:sz w:val="19"/>
          <w:szCs w:val="19"/>
          <w:rtl/>
        </w:rPr>
        <w:t xml:space="preserve"> של פניות אלו</w:t>
      </w:r>
      <w:bookmarkEnd w:id="9"/>
      <w:r w:rsidRPr="00625723">
        <w:rPr>
          <w:rFonts w:ascii="Tahoma" w:eastAsia="Calibri" w:hAnsi="Tahoma" w:cs="Tahoma"/>
          <w:sz w:val="19"/>
          <w:szCs w:val="19"/>
          <w:rtl/>
        </w:rPr>
        <w:t xml:space="preserve"> היא התאמת התקציב לביצוע בפועל של כל תוכנית. התאמה בסוף שנה של תקציב תוכניות לביצוע בפועל שנרשם בהן, נועדה למנוע חריגה מהתקציב של תוכניות אלו. אף שהתאמת תקציב לביצוע בפועל נרשמת כחלק מפרטי הבקשה המונחת בפני ועדת הכספים, היא מעמידה את ועדת הכספים בפני מצב נתון</w:t>
      </w:r>
      <w:r w:rsidRPr="00625723">
        <w:rPr>
          <w:rFonts w:ascii="Tahoma" w:eastAsia="Calibri" w:hAnsi="Tahoma" w:cs="Tahoma" w:hint="cs"/>
          <w:sz w:val="19"/>
          <w:szCs w:val="19"/>
          <w:rtl/>
        </w:rPr>
        <w:t xml:space="preserve"> ("אישור בדיעבד")</w:t>
      </w:r>
      <w:r w:rsidRPr="00625723">
        <w:rPr>
          <w:rFonts w:ascii="Tahoma" w:eastAsia="Calibri" w:hAnsi="Tahoma" w:cs="Tahoma"/>
          <w:sz w:val="19"/>
          <w:szCs w:val="19"/>
          <w:rtl/>
        </w:rPr>
        <w:t xml:space="preserve"> שמעלה חשש שאינו עולה בקנה אחד עם הוראות החוק, ושהדרך היחידה להכשירו היא אישור הפנייה התקציבית. מצב זה פוגע בראש ובראשונה בחובת הפעולה על פי חוק, בעקרון הפרדת הרשויות, במעמדה של הכנסת, ובסמכותה לאשר ולפקח על סדרי העדיפויות בתקציב המדינה.</w:t>
      </w:r>
    </w:p>
    <w:p w:rsidR="00625723" w:rsidRPr="00625723" w:rsidP="00625723" w14:paraId="45FE87BB" w14:textId="77777777">
      <w:pPr>
        <w:numPr>
          <w:ilvl w:val="0"/>
          <w:numId w:val="14"/>
        </w:numPr>
        <w:spacing w:after="160" w:line="288" w:lineRule="auto"/>
        <w:ind w:left="-142" w:right="-567" w:hanging="595"/>
        <w:rPr>
          <w:rFonts w:ascii="Tahoma" w:eastAsia="Calibri" w:hAnsi="Tahoma" w:cs="Tahoma"/>
          <w:sz w:val="19"/>
          <w:szCs w:val="19"/>
        </w:rPr>
      </w:pPr>
      <w:r w:rsidRPr="00625723">
        <w:rPr>
          <w:rFonts w:ascii="Tahoma" w:eastAsia="Calibri" w:hAnsi="Tahoma" w:cs="Tahoma" w:hint="cs"/>
          <w:b/>
          <w:bCs/>
          <w:sz w:val="19"/>
          <w:szCs w:val="19"/>
          <w:rtl/>
        </w:rPr>
        <w:t>עיתוי הגשת בקשות ל</w:t>
      </w:r>
      <w:r w:rsidRPr="00625723">
        <w:rPr>
          <w:rFonts w:ascii="Tahoma" w:eastAsia="Calibri" w:hAnsi="Tahoma" w:cs="Tahoma" w:hint="eastAsia"/>
          <w:b/>
          <w:bCs/>
          <w:sz w:val="19"/>
          <w:szCs w:val="19"/>
          <w:rtl/>
        </w:rPr>
        <w:t>העברת</w:t>
      </w:r>
      <w:r w:rsidRPr="00625723">
        <w:rPr>
          <w:rFonts w:ascii="Tahoma" w:eastAsia="Calibri" w:hAnsi="Tahoma" w:cs="Tahoma"/>
          <w:b/>
          <w:bCs/>
          <w:sz w:val="19"/>
          <w:szCs w:val="19"/>
          <w:rtl/>
        </w:rPr>
        <w:t xml:space="preserve"> </w:t>
      </w:r>
      <w:r w:rsidRPr="00625723">
        <w:rPr>
          <w:rFonts w:ascii="Tahoma" w:eastAsia="Calibri" w:hAnsi="Tahoma" w:cs="Tahoma" w:hint="eastAsia"/>
          <w:b/>
          <w:bCs/>
          <w:sz w:val="19"/>
          <w:szCs w:val="19"/>
          <w:rtl/>
        </w:rPr>
        <w:t>עודפי</w:t>
      </w:r>
      <w:r w:rsidRPr="00625723">
        <w:rPr>
          <w:rFonts w:ascii="Tahoma" w:eastAsia="Calibri" w:hAnsi="Tahoma" w:cs="Tahoma"/>
          <w:b/>
          <w:bCs/>
          <w:sz w:val="19"/>
          <w:szCs w:val="19"/>
          <w:rtl/>
        </w:rPr>
        <w:t xml:space="preserve"> </w:t>
      </w:r>
      <w:r w:rsidRPr="00625723">
        <w:rPr>
          <w:rFonts w:ascii="Tahoma" w:eastAsia="Calibri" w:hAnsi="Tahoma" w:cs="Tahoma" w:hint="eastAsia"/>
          <w:b/>
          <w:bCs/>
          <w:sz w:val="19"/>
          <w:szCs w:val="19"/>
          <w:rtl/>
        </w:rPr>
        <w:t>תקציב</w:t>
      </w:r>
      <w:r w:rsidRPr="00625723">
        <w:rPr>
          <w:rFonts w:ascii="Tahoma" w:eastAsia="Calibri" w:hAnsi="Tahoma" w:cs="Tahoma"/>
          <w:b/>
          <w:bCs/>
          <w:sz w:val="19"/>
          <w:szCs w:val="19"/>
          <w:rtl/>
        </w:rPr>
        <w:t xml:space="preserve"> </w:t>
      </w:r>
      <w:r w:rsidRPr="00625723">
        <w:rPr>
          <w:rFonts w:ascii="Tahoma" w:eastAsia="Calibri" w:hAnsi="Tahoma" w:cs="Tahoma" w:hint="eastAsia"/>
          <w:b/>
          <w:bCs/>
          <w:sz w:val="19"/>
          <w:szCs w:val="19"/>
          <w:rtl/>
        </w:rPr>
        <w:t>משנה</w:t>
      </w:r>
      <w:r w:rsidRPr="00625723">
        <w:rPr>
          <w:rFonts w:ascii="Tahoma" w:eastAsia="Calibri" w:hAnsi="Tahoma" w:cs="Tahoma"/>
          <w:b/>
          <w:bCs/>
          <w:sz w:val="19"/>
          <w:szCs w:val="19"/>
          <w:rtl/>
        </w:rPr>
        <w:t xml:space="preserve"> </w:t>
      </w:r>
      <w:r w:rsidRPr="00625723">
        <w:rPr>
          <w:rFonts w:ascii="Tahoma" w:eastAsia="Calibri" w:hAnsi="Tahoma" w:cs="Tahoma" w:hint="eastAsia"/>
          <w:b/>
          <w:bCs/>
          <w:sz w:val="19"/>
          <w:szCs w:val="19"/>
          <w:rtl/>
        </w:rPr>
        <w:t>קודמת</w:t>
      </w:r>
    </w:p>
    <w:p w:rsidR="00625723" w:rsidRPr="00625723" w:rsidP="00625723" w14:paraId="50A9F231" w14:textId="77777777">
      <w:pPr>
        <w:numPr>
          <w:ilvl w:val="1"/>
          <w:numId w:val="14"/>
        </w:numPr>
        <w:spacing w:after="120" w:line="288" w:lineRule="auto"/>
        <w:ind w:left="278" w:right="-567" w:hanging="420"/>
        <w:rPr>
          <w:rFonts w:ascii="Tahoma" w:eastAsia="Calibri" w:hAnsi="Tahoma" w:cs="Tahoma"/>
          <w:sz w:val="19"/>
          <w:szCs w:val="19"/>
        </w:rPr>
      </w:pPr>
      <w:r w:rsidRPr="00625723">
        <w:rPr>
          <w:rFonts w:ascii="Tahoma" w:eastAsia="Calibri" w:hAnsi="Tahoma" w:cs="Tahoma" w:hint="cs"/>
          <w:sz w:val="19"/>
          <w:szCs w:val="19"/>
          <w:rtl/>
        </w:rPr>
        <w:t>מ</w:t>
      </w:r>
      <w:r w:rsidRPr="00625723">
        <w:rPr>
          <w:rFonts w:ascii="Tahoma" w:eastAsia="Calibri" w:hAnsi="Tahoma" w:cs="Tahoma"/>
          <w:sz w:val="19"/>
          <w:szCs w:val="19"/>
          <w:rtl/>
        </w:rPr>
        <w:t xml:space="preserve">החלטת הממשלה </w:t>
      </w:r>
      <w:r w:rsidRPr="00625723">
        <w:rPr>
          <w:rFonts w:ascii="Tahoma" w:eastAsia="Calibri" w:hAnsi="Tahoma" w:cs="Tahoma" w:hint="cs"/>
          <w:sz w:val="19"/>
          <w:szCs w:val="19"/>
          <w:rtl/>
        </w:rPr>
        <w:t>482 מיוני 2013</w:t>
      </w:r>
      <w:r w:rsidRPr="00625723">
        <w:rPr>
          <w:rFonts w:ascii="Tahoma" w:eastAsia="Calibri" w:hAnsi="Tahoma" w:cs="Tahoma"/>
          <w:sz w:val="19"/>
          <w:szCs w:val="19"/>
          <w:rtl/>
        </w:rPr>
        <w:t xml:space="preserve"> </w:t>
      </w:r>
      <w:r w:rsidRPr="00625723">
        <w:rPr>
          <w:rFonts w:ascii="Tahoma" w:eastAsia="Calibri" w:hAnsi="Tahoma" w:cs="Tahoma" w:hint="cs"/>
          <w:sz w:val="19"/>
          <w:szCs w:val="19"/>
          <w:rtl/>
        </w:rPr>
        <w:t xml:space="preserve">עולה </w:t>
      </w:r>
      <w:r w:rsidRPr="00625723">
        <w:rPr>
          <w:rFonts w:ascii="Tahoma" w:eastAsia="Calibri" w:hAnsi="Tahoma" w:cs="Tahoma"/>
          <w:sz w:val="19"/>
          <w:szCs w:val="19"/>
          <w:rtl/>
        </w:rPr>
        <w:t>כי עד אמצע חודש מרץ בכל שנה על אגף התקציבים להעביר לוועדת הכספים פנייה תקציבית להעברה של כל עודפי התקציב המחויבים של משרדי הממשלה שלא נוצלו בשנת הכספים שעברה לשנת הכספים העוקבת</w:t>
      </w:r>
      <w:r w:rsidRPr="00625723">
        <w:rPr>
          <w:rFonts w:ascii="Tahoma" w:eastAsia="Calibri" w:hAnsi="Tahoma" w:cs="Tahoma" w:hint="cs"/>
          <w:sz w:val="19"/>
          <w:szCs w:val="19"/>
          <w:rtl/>
        </w:rPr>
        <w:t xml:space="preserve">. </w:t>
      </w:r>
      <w:r w:rsidRPr="00625723">
        <w:rPr>
          <w:rFonts w:ascii="Tahoma" w:eastAsia="Calibri" w:hAnsi="Tahoma" w:cs="Tahoma"/>
          <w:sz w:val="19"/>
          <w:szCs w:val="19"/>
          <w:rtl/>
        </w:rPr>
        <w:t xml:space="preserve">הבקשות להעברת עודפי התקציב המחויבים בשנים שנבדקו לא הועברו על ידי אגף התקציבים לוועדת הכספים עד תום הרבעון הראשון של השנה. מרביתן מרבית פניות העודפים (מחויבים ובלתי מחויבים) הועברו לוועדה רק ברבעון האחרון של השנה, וחלק ניכר מהן הועבר לוועדה רק בחודש דצמבר. עקב כך הוועדה מאשרת את העברת העודפים למשרדי הממשלה רק בחודש דצמבר. </w:t>
      </w:r>
    </w:p>
    <w:p w:rsidR="00625723" w:rsidRPr="00625723" w:rsidP="00625723" w14:paraId="22BD12CD" w14:textId="77777777">
      <w:pPr>
        <w:numPr>
          <w:ilvl w:val="1"/>
          <w:numId w:val="14"/>
        </w:numPr>
        <w:spacing w:after="120" w:line="288" w:lineRule="auto"/>
        <w:ind w:left="278" w:right="-567" w:hanging="420"/>
        <w:rPr>
          <w:rFonts w:ascii="Tahoma" w:eastAsia="Calibri" w:hAnsi="Tahoma" w:cs="Tahoma"/>
          <w:sz w:val="19"/>
          <w:szCs w:val="19"/>
        </w:rPr>
      </w:pPr>
      <w:r w:rsidRPr="00625723">
        <w:rPr>
          <w:rFonts w:ascii="Tahoma" w:eastAsia="Calibri" w:hAnsi="Tahoma" w:cs="Tahoma"/>
          <w:sz w:val="19"/>
          <w:szCs w:val="19"/>
          <w:rtl/>
        </w:rPr>
        <w:t xml:space="preserve">למשל, </w:t>
      </w:r>
      <w:r w:rsidRPr="00625723">
        <w:rPr>
          <w:rFonts w:ascii="Tahoma" w:eastAsia="Calibri" w:hAnsi="Tahoma" w:cs="Tahoma" w:hint="cs"/>
          <w:sz w:val="19"/>
          <w:szCs w:val="19"/>
          <w:rtl/>
        </w:rPr>
        <w:t xml:space="preserve">בביקורת עלה </w:t>
      </w:r>
      <w:r w:rsidRPr="00625723">
        <w:rPr>
          <w:rFonts w:ascii="Tahoma" w:eastAsia="Calibri" w:hAnsi="Tahoma" w:cs="Tahoma"/>
          <w:sz w:val="19"/>
          <w:szCs w:val="19"/>
          <w:rtl/>
        </w:rPr>
        <w:t>כי</w:t>
      </w:r>
      <w:r w:rsidRPr="00625723">
        <w:rPr>
          <w:rFonts w:ascii="Tahoma" w:eastAsia="Calibri" w:hAnsi="Tahoma" w:cs="Tahoma" w:hint="cs"/>
          <w:sz w:val="19"/>
          <w:szCs w:val="19"/>
          <w:rtl/>
        </w:rPr>
        <w:t xml:space="preserve"> הפניות להעברת</w:t>
      </w:r>
      <w:r w:rsidRPr="00625723">
        <w:rPr>
          <w:rFonts w:ascii="Tahoma" w:eastAsia="Calibri" w:hAnsi="Tahoma" w:cs="Tahoma"/>
          <w:sz w:val="19"/>
          <w:szCs w:val="19"/>
          <w:rtl/>
        </w:rPr>
        <w:t xml:space="preserve"> כשני שלישים מעודפי התקציב של שנת 2023 שהועברו לשנת 2024 (21.7 מיליארד ש"ח מתוך 32.3 מיליארד ש"ח) </w:t>
      </w:r>
      <w:r w:rsidRPr="00625723">
        <w:rPr>
          <w:rFonts w:ascii="Tahoma" w:eastAsia="Calibri" w:hAnsi="Tahoma" w:cs="Tahoma" w:hint="cs"/>
          <w:sz w:val="19"/>
          <w:szCs w:val="19"/>
          <w:rtl/>
        </w:rPr>
        <w:t xml:space="preserve">הועברו לוועדה, </w:t>
      </w:r>
      <w:r w:rsidRPr="00625723">
        <w:rPr>
          <w:rFonts w:ascii="Tahoma" w:eastAsia="Calibri" w:hAnsi="Tahoma" w:cs="Tahoma"/>
          <w:sz w:val="19"/>
          <w:szCs w:val="19"/>
          <w:rtl/>
        </w:rPr>
        <w:t>נדונו ואושרו רק ברבעון הרביעי של שנת 2024, וכ-50% מהם (כ-10.8 מיליארד ש"ח) אושרו בוועדה בדצמבר 2024. עוד עלה כי כ-79% מעודפי התקציב המחויבים</w:t>
      </w:r>
      <w:r w:rsidRPr="00625723">
        <w:rPr>
          <w:rFonts w:ascii="Tahoma" w:eastAsia="Calibri" w:hAnsi="Tahoma" w:cs="Tahoma" w:hint="cs"/>
          <w:sz w:val="19"/>
          <w:szCs w:val="19"/>
          <w:rtl/>
        </w:rPr>
        <w:t xml:space="preserve"> </w:t>
      </w:r>
      <w:r w:rsidRPr="00625723">
        <w:rPr>
          <w:rFonts w:ascii="Tahoma" w:eastAsia="Calibri" w:hAnsi="Tahoma" w:cs="Tahoma"/>
          <w:sz w:val="19"/>
          <w:szCs w:val="19"/>
          <w:rtl/>
        </w:rPr>
        <w:t>(תקציב שלא בוצע ומיועד למימון התחייבות שאושרה בשנה הקודמת, בעיקר תקציב שנכלל ביתרת התחייבויות) הועברו לוועדה עד לסוף הרבעון השלישי של שנת 2024 וכ-62% מעודפי התקציב המחויבים אושרו ברבעון הרביעי של שנת 2024.</w:t>
      </w:r>
    </w:p>
    <w:p w:rsidR="00625723" w:rsidRPr="00625723" w:rsidP="00625723" w14:paraId="4A870383" w14:textId="77777777">
      <w:pPr>
        <w:numPr>
          <w:ilvl w:val="1"/>
          <w:numId w:val="14"/>
        </w:numPr>
        <w:spacing w:after="120" w:line="288" w:lineRule="auto"/>
        <w:ind w:left="278" w:right="-567" w:hanging="420"/>
        <w:rPr>
          <w:rFonts w:ascii="Tahoma" w:eastAsia="Calibri" w:hAnsi="Tahoma" w:cs="Tahoma"/>
          <w:sz w:val="19"/>
          <w:szCs w:val="19"/>
        </w:rPr>
      </w:pPr>
      <w:r w:rsidRPr="00625723">
        <w:rPr>
          <w:rFonts w:ascii="Tahoma" w:eastAsia="Calibri" w:hAnsi="Tahoma" w:cs="Tahoma"/>
          <w:sz w:val="19"/>
          <w:szCs w:val="19"/>
          <w:rtl/>
        </w:rPr>
        <w:t>עקב כך ייתכן שנגרמו קשיים למשרדי הממשלה לבצע את פעילותם. כך למשל עודף תקציבי של משרד החינוך בסך של כ-15 מיליון ש"ח לא נדון ולא אושר בסוף שנת 2024; עודפים תקציביים של משרד הבינוי והשיכון בסך של כ-33 מיליון ש"ח אושרו רק בסוף דצמבר 2024 וכ-209 מיליון ש"ח מעודפי התקציב של משרד הביטחון הלאומי אושרו רק בסוף דצמבר 2024.</w:t>
      </w:r>
    </w:p>
    <w:p w:rsidR="00625723" w:rsidRPr="00625723" w:rsidP="00625723" w14:paraId="389E858B" w14:textId="77777777">
      <w:pPr>
        <w:spacing w:after="240" w:line="288" w:lineRule="auto"/>
        <w:ind w:right="-567"/>
        <w:rPr>
          <w:rFonts w:ascii="Tahoma" w:eastAsia="Calibri" w:hAnsi="Tahoma" w:cs="Tahoma"/>
          <w:sz w:val="19"/>
          <w:szCs w:val="19"/>
        </w:rPr>
      </w:pPr>
    </w:p>
    <w:tbl>
      <w:tblPr>
        <w:tblStyle w:val="26"/>
        <w:tblpPr w:leftFromText="180" w:rightFromText="180" w:vertAnchor="text" w:tblpXSpec="center" w:tblpY="1"/>
        <w:tblOverlap w:val="never"/>
        <w:bidiVisual/>
        <w:tblW w:w="9783" w:type="dxa"/>
        <w:tblLayout w:type="fixed"/>
        <w:tblLook w:val="04A0"/>
      </w:tblPr>
      <w:tblGrid>
        <w:gridCol w:w="9783"/>
      </w:tblGrid>
      <w:tr w14:paraId="2B33960C" w14:textId="77777777" w:rsidTr="00306F76">
        <w:tblPrEx>
          <w:tblW w:w="9783" w:type="dxa"/>
          <w:tblLayout w:type="fixed"/>
          <w:tblLook w:val="04A0"/>
        </w:tblPrEx>
        <w:trPr>
          <w:trHeight w:val="851"/>
        </w:trPr>
        <w:tc>
          <w:tcPr>
            <w:tcW w:w="9783" w:type="dxa"/>
            <w:tcBorders>
              <w:top w:val="nil"/>
              <w:left w:val="nil"/>
              <w:bottom w:val="nil"/>
              <w:right w:val="nil"/>
            </w:tcBorders>
          </w:tcPr>
          <w:p w:rsidR="00625723" w:rsidRPr="00625723" w:rsidP="00625723" w14:paraId="3475EDE1" w14:textId="77777777">
            <w:pPr>
              <w:spacing w:line="288" w:lineRule="auto"/>
              <w:rPr>
                <w:rFonts w:ascii="Tahoma" w:eastAsia="Calibri" w:hAnsi="Tahoma" w:cs="Tahoma"/>
                <w:szCs w:val="24"/>
                <w:rtl/>
              </w:rPr>
            </w:pPr>
            <w:r w:rsidRPr="00625723">
              <w:rPr>
                <w:rFonts w:ascii="Tahoma" w:eastAsia="Calibri" w:hAnsi="Tahoma" w:cs="Tahoma"/>
                <w:noProof/>
                <w:rtl/>
              </w:rPr>
              <w:drawing>
                <wp:inline distT="0" distB="0" distL="0" distR="0">
                  <wp:extent cx="6091555" cy="439381"/>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14:paraId="1FE239CE" w14:textId="77777777" w:rsidTr="00306F76">
        <w:tblPrEx>
          <w:tblW w:w="9783" w:type="dxa"/>
          <w:tblLayout w:type="fixed"/>
          <w:tblLook w:val="04A0"/>
        </w:tblPrEx>
        <w:trPr>
          <w:trHeight w:val="2156"/>
        </w:trPr>
        <w:tc>
          <w:tcPr>
            <w:tcW w:w="9783" w:type="dxa"/>
            <w:tcBorders>
              <w:top w:val="nil"/>
              <w:left w:val="nil"/>
              <w:bottom w:val="nil"/>
              <w:right w:val="nil"/>
            </w:tcBorders>
            <w:shd w:val="clear" w:color="auto" w:fill="F1F5F9"/>
          </w:tcPr>
          <w:p w:rsidR="00625723" w:rsidRPr="00625723" w:rsidP="00625723" w14:paraId="751024DF" w14:textId="77777777">
            <w:pPr>
              <w:spacing w:line="288" w:lineRule="auto"/>
              <w:ind w:left="598" w:right="173" w:hanging="598"/>
              <w:contextualSpacing/>
              <w:rPr>
                <w:rFonts w:ascii="Tahoma" w:eastAsia="Calibri" w:hAnsi="Tahoma" w:cs="Tahoma"/>
                <w:sz w:val="13"/>
                <w:szCs w:val="13"/>
              </w:rPr>
            </w:pPr>
          </w:p>
          <w:p w:rsidR="00625723" w:rsidRPr="00625723" w:rsidP="00574763" w14:paraId="0763690A" w14:textId="77777777">
            <w:pPr>
              <w:numPr>
                <w:ilvl w:val="0"/>
                <w:numId w:val="15"/>
              </w:numPr>
              <w:spacing w:before="120" w:after="240" w:line="288" w:lineRule="auto"/>
              <w:ind w:left="516" w:right="176" w:hanging="516"/>
              <w:jc w:val="both"/>
              <w:rPr>
                <w:rFonts w:ascii="Tahoma" w:eastAsia="Calibri" w:hAnsi="Tahoma" w:cs="Tahoma"/>
                <w:sz w:val="19"/>
                <w:szCs w:val="19"/>
              </w:rPr>
            </w:pPr>
            <w:r w:rsidRPr="00625723">
              <w:rPr>
                <w:rFonts w:ascii="Tahoma" w:eastAsia="Calibri" w:hAnsi="Tahoma" w:cs="Tahoma"/>
                <w:sz w:val="19"/>
                <w:szCs w:val="19"/>
                <w:rtl/>
              </w:rPr>
              <w:t xml:space="preserve">מומלץ כי משרד האוצר יבחן את הליך השינויים בתקציב המדינה וכן יבחן את האפשרות להפחית את כמות השינויים והיקפם ולהקדים במידת האפשר את השינויים. זאת בין היתר כדי להגביר את יכולת הפיקוח של הכנסת על השינויים ולטייב את הניהול והביצוע של התקציב על ידי משרדי הממשלה. </w:t>
            </w:r>
          </w:p>
          <w:p w:rsidR="00625723" w:rsidRPr="00625723" w:rsidP="00574763" w14:paraId="0BC15903" w14:textId="77777777">
            <w:pPr>
              <w:numPr>
                <w:ilvl w:val="0"/>
                <w:numId w:val="15"/>
              </w:numPr>
              <w:spacing w:after="240" w:line="288" w:lineRule="auto"/>
              <w:ind w:left="515" w:right="173" w:hanging="515"/>
              <w:jc w:val="both"/>
              <w:rPr>
                <w:rFonts w:ascii="Tahoma" w:eastAsia="Calibri" w:hAnsi="Tahoma" w:cs="Tahoma"/>
                <w:sz w:val="19"/>
                <w:szCs w:val="19"/>
              </w:rPr>
            </w:pPr>
            <w:r w:rsidRPr="00625723">
              <w:rPr>
                <w:rFonts w:ascii="Tahoma" w:eastAsia="Calibri" w:hAnsi="Tahoma" w:cs="Tahoma"/>
                <w:sz w:val="19"/>
                <w:szCs w:val="19"/>
                <w:rtl/>
              </w:rPr>
              <w:t xml:space="preserve">מומלץ כי </w:t>
            </w:r>
            <w:r w:rsidRPr="00625723">
              <w:rPr>
                <w:rFonts w:ascii="Tahoma" w:eastAsia="Calibri" w:hAnsi="Tahoma" w:cs="Tahoma" w:hint="cs"/>
                <w:sz w:val="19"/>
                <w:szCs w:val="19"/>
                <w:rtl/>
              </w:rPr>
              <w:t>משרד האוצר יפעל ב</w:t>
            </w:r>
            <w:r w:rsidRPr="00625723">
              <w:rPr>
                <w:rFonts w:ascii="Tahoma" w:eastAsia="Calibri" w:hAnsi="Tahoma" w:cs="Tahoma"/>
                <w:sz w:val="19"/>
                <w:szCs w:val="19"/>
                <w:rtl/>
              </w:rPr>
              <w:t>הליך העברת עודפי התקציב,</w:t>
            </w:r>
            <w:r w:rsidRPr="00625723">
              <w:rPr>
                <w:rFonts w:ascii="Tahoma" w:eastAsia="Calibri" w:hAnsi="Tahoma" w:cs="Tahoma" w:hint="cs"/>
                <w:sz w:val="19"/>
                <w:szCs w:val="19"/>
                <w:rtl/>
              </w:rPr>
              <w:t xml:space="preserve"> </w:t>
            </w:r>
            <w:r w:rsidRPr="00625723">
              <w:rPr>
                <w:rFonts w:ascii="Tahoma" w:eastAsia="Calibri" w:hAnsi="Tahoma" w:cs="Tahoma"/>
                <w:sz w:val="19"/>
                <w:szCs w:val="19"/>
                <w:rtl/>
              </w:rPr>
              <w:t>ובפרט עודפים מחויבים, בכפוף לחובות שנקבעו בחוק באמצעות הודעה לוועדת הכספים בהתאם לסעיף 13(א) לחוק יסודות התקציב</w:t>
            </w:r>
            <w:r w:rsidRPr="00625723">
              <w:rPr>
                <w:rFonts w:ascii="Tahoma" w:eastAsia="Calibri" w:hAnsi="Tahoma" w:cs="Tahoma" w:hint="cs"/>
                <w:sz w:val="19"/>
                <w:szCs w:val="19"/>
                <w:rtl/>
              </w:rPr>
              <w:t>,</w:t>
            </w:r>
            <w:r w:rsidRPr="00625723">
              <w:rPr>
                <w:rFonts w:ascii="Tahoma" w:eastAsia="Calibri" w:hAnsi="Tahoma" w:cs="Tahoma"/>
                <w:sz w:val="19"/>
                <w:szCs w:val="19"/>
                <w:rtl/>
              </w:rPr>
              <w:t xml:space="preserve"> </w:t>
            </w:r>
            <w:r w:rsidRPr="00625723">
              <w:rPr>
                <w:rFonts w:ascii="Tahoma" w:eastAsia="Calibri" w:hAnsi="Tahoma" w:cs="Tahoma" w:hint="cs"/>
                <w:sz w:val="19"/>
                <w:szCs w:val="19"/>
                <w:rtl/>
              </w:rPr>
              <w:t xml:space="preserve">ובהתאם לנוהל העבודה של ועדת הכספים, </w:t>
            </w:r>
            <w:r w:rsidRPr="00625723">
              <w:rPr>
                <w:rFonts w:ascii="Tahoma" w:eastAsia="Calibri" w:hAnsi="Tahoma" w:cs="Tahoma"/>
                <w:sz w:val="19"/>
                <w:szCs w:val="19"/>
                <w:rtl/>
              </w:rPr>
              <w:t>בשים לב לכך שכבר קיימת התחייבות עבור כספים אלה.</w:t>
            </w:r>
          </w:p>
          <w:p w:rsidR="00625723" w:rsidRPr="00625723" w:rsidP="00574763" w14:paraId="13807A4B" w14:textId="77777777">
            <w:pPr>
              <w:numPr>
                <w:ilvl w:val="0"/>
                <w:numId w:val="15"/>
              </w:numPr>
              <w:spacing w:after="240" w:line="288" w:lineRule="auto"/>
              <w:ind w:left="515" w:right="173" w:hanging="515"/>
              <w:jc w:val="both"/>
              <w:rPr>
                <w:rFonts w:ascii="Tahoma" w:eastAsia="Calibri" w:hAnsi="Tahoma" w:cs="Tahoma"/>
                <w:sz w:val="19"/>
                <w:szCs w:val="19"/>
              </w:rPr>
            </w:pPr>
            <w:r w:rsidRPr="00625723">
              <w:rPr>
                <w:rFonts w:ascii="Tahoma" w:eastAsia="Calibri" w:hAnsi="Tahoma" w:cs="Tahoma"/>
                <w:sz w:val="19"/>
                <w:szCs w:val="19"/>
                <w:rtl/>
              </w:rPr>
              <w:t xml:space="preserve">על משרד האוצר להעביר את העודפים המחויבים בהתאם להחלטת הממשלה משנת 2013, לפיה </w:t>
            </w:r>
            <w:r w:rsidRPr="00625723">
              <w:rPr>
                <w:rFonts w:ascii="Tahoma" w:eastAsia="Calibri" w:hAnsi="Tahoma" w:cs="Tahoma" w:hint="cs"/>
                <w:sz w:val="19"/>
                <w:szCs w:val="19"/>
                <w:rtl/>
              </w:rPr>
              <w:t xml:space="preserve">על </w:t>
            </w:r>
            <w:r w:rsidRPr="00625723">
              <w:rPr>
                <w:rFonts w:ascii="Tahoma" w:eastAsia="Calibri" w:hAnsi="Tahoma" w:cs="Tahoma"/>
                <w:sz w:val="19"/>
                <w:szCs w:val="19"/>
                <w:rtl/>
              </w:rPr>
              <w:t>אגף החשב הכללי לסגור סופית את ספרי החשבונות עד לסוף חודש פברואר בכל שנה, ו</w:t>
            </w:r>
            <w:r w:rsidRPr="00625723">
              <w:rPr>
                <w:rFonts w:ascii="Tahoma" w:eastAsia="Calibri" w:hAnsi="Tahoma" w:cs="Tahoma" w:hint="cs"/>
                <w:sz w:val="19"/>
                <w:szCs w:val="19"/>
                <w:rtl/>
              </w:rPr>
              <w:t xml:space="preserve">על </w:t>
            </w:r>
            <w:r w:rsidRPr="00625723">
              <w:rPr>
                <w:rFonts w:ascii="Tahoma" w:eastAsia="Calibri" w:hAnsi="Tahoma" w:cs="Tahoma"/>
                <w:sz w:val="19"/>
                <w:szCs w:val="19"/>
                <w:rtl/>
              </w:rPr>
              <w:t>אגף התקציבים להעביר לוועדת הכספים פנייה תקציבית להעברה של כל עודפי התקציב המחויבים של משרדי הממשלה עד לאמצע חודש מרץ בכל שנה. זאת כדי</w:t>
            </w:r>
            <w:r w:rsidRPr="00625723">
              <w:rPr>
                <w:rFonts w:ascii="Tahoma" w:eastAsia="Calibri" w:hAnsi="Tahoma" w:cs="Tahoma" w:hint="cs"/>
                <w:sz w:val="19"/>
                <w:szCs w:val="19"/>
                <w:rtl/>
              </w:rPr>
              <w:t xml:space="preserve"> </w:t>
            </w:r>
            <w:r w:rsidRPr="00625723">
              <w:rPr>
                <w:rFonts w:ascii="Tahoma" w:eastAsia="Calibri" w:hAnsi="Tahoma" w:cs="Tahoma"/>
                <w:sz w:val="19"/>
                <w:szCs w:val="19"/>
                <w:rtl/>
              </w:rPr>
              <w:t>שהמשרדים יוכלו לעמוד בהתחייבויותיהם בלי לפגוע בפעילותם השוטפת.</w:t>
            </w:r>
          </w:p>
          <w:p w:rsidR="00625723" w:rsidRPr="00625723" w:rsidP="00574763" w14:paraId="42E05D8C" w14:textId="77777777">
            <w:pPr>
              <w:numPr>
                <w:ilvl w:val="0"/>
                <w:numId w:val="15"/>
              </w:numPr>
              <w:spacing w:after="240" w:line="288" w:lineRule="auto"/>
              <w:ind w:left="515" w:right="173" w:hanging="515"/>
              <w:jc w:val="both"/>
              <w:rPr>
                <w:rFonts w:ascii="Tahoma" w:eastAsia="Calibri" w:hAnsi="Tahoma" w:cs="Tahoma"/>
                <w:sz w:val="19"/>
                <w:szCs w:val="19"/>
              </w:rPr>
            </w:pPr>
            <w:r w:rsidRPr="00625723">
              <w:rPr>
                <w:rFonts w:ascii="Tahoma" w:eastAsia="Calibri" w:hAnsi="Tahoma" w:cs="Tahoma" w:hint="cs"/>
                <w:sz w:val="19"/>
                <w:szCs w:val="19"/>
                <w:rtl/>
              </w:rPr>
              <w:t>על</w:t>
            </w:r>
            <w:r w:rsidRPr="00625723">
              <w:rPr>
                <w:rFonts w:ascii="Tahoma" w:eastAsia="Calibri" w:hAnsi="Tahoma" w:cs="Tahoma"/>
                <w:sz w:val="19"/>
                <w:szCs w:val="19"/>
                <w:rtl/>
              </w:rPr>
              <w:t xml:space="preserve"> אגף התקציבים </w:t>
            </w:r>
            <w:r w:rsidRPr="00625723">
              <w:rPr>
                <w:rFonts w:ascii="Tahoma" w:eastAsia="Calibri" w:hAnsi="Tahoma" w:cs="Tahoma" w:hint="cs"/>
                <w:sz w:val="19"/>
                <w:szCs w:val="19"/>
                <w:rtl/>
              </w:rPr>
              <w:t>ל</w:t>
            </w:r>
            <w:r w:rsidRPr="00625723">
              <w:rPr>
                <w:rFonts w:ascii="Tahoma" w:eastAsia="Calibri" w:hAnsi="Tahoma" w:cs="Tahoma"/>
                <w:sz w:val="19"/>
                <w:szCs w:val="19"/>
                <w:rtl/>
              </w:rPr>
              <w:t>חזק את הבקרה על הביצוע בפועל והאומדן הצפוי לביצוע של תוכניות תקציביות שבהן מתעורר במהלך השנה חשש לסטייה מאומדנים מוקדמים שנעשו על מנת להקדים ככל הניתן את העברת מועדי הפניות התקציביות לוועדת הכספים.</w:t>
            </w:r>
          </w:p>
          <w:p w:rsidR="00625723" w:rsidRPr="00625723" w:rsidP="00574763" w14:paraId="34719695" w14:textId="77777777">
            <w:pPr>
              <w:numPr>
                <w:ilvl w:val="0"/>
                <w:numId w:val="15"/>
              </w:numPr>
              <w:spacing w:after="240" w:line="288" w:lineRule="auto"/>
              <w:ind w:left="515" w:right="173" w:hanging="515"/>
              <w:jc w:val="both"/>
              <w:rPr>
                <w:rFonts w:ascii="Tahoma" w:eastAsia="Calibri" w:hAnsi="Tahoma" w:cs="Tahoma"/>
                <w:sz w:val="19"/>
                <w:szCs w:val="19"/>
              </w:rPr>
            </w:pPr>
            <w:r w:rsidRPr="00625723">
              <w:rPr>
                <w:rFonts w:ascii="Tahoma" w:eastAsia="Calibri" w:hAnsi="Tahoma" w:cs="Tahoma" w:hint="cs"/>
                <w:sz w:val="19"/>
                <w:szCs w:val="19"/>
                <w:rtl/>
              </w:rPr>
              <w:t xml:space="preserve">על משרדי הממשלה והשרים העומדים בראשם, וכן על חשבי המשרדים, לפעול בהתאם לחוק, ולא להוציא כספים, שתקציבם טרם אושר על ידי ועדת הכספים, זאת על אף שהתקבלו כהחלטות בממשלה. הרשות המחוקקת היא המאשרת את התקציב, ובמסגרת הפרדת הרשויות, והאיזון בין הרשות המבצעת לרשות המחוקקת - הרשות המבצעת אינה יכולה להוציא כספים אם הם לא מתוקצבים ומאושרים על ידי הרשות המחוקקת בהתאם לחוק, אם על ידי הקצאתם בתקציב המקורי או על ידי הקצאתם במסגרת שינויים תקציבים המאושרים בוועדת הכספים במהלך שנת הכספים. </w:t>
            </w:r>
          </w:p>
          <w:p w:rsidR="00625723" w:rsidRPr="00E333DB" w:rsidP="00630344" w14:paraId="04AA99FD" w14:textId="77777777">
            <w:pPr>
              <w:numPr>
                <w:ilvl w:val="0"/>
                <w:numId w:val="15"/>
              </w:numPr>
              <w:spacing w:after="360" w:line="288" w:lineRule="auto"/>
              <w:ind w:left="515" w:right="173" w:hanging="515"/>
              <w:jc w:val="both"/>
              <w:rPr>
                <w:rFonts w:ascii="Tahoma" w:eastAsia="Calibri" w:hAnsi="Tahoma" w:cs="Tahoma"/>
                <w:sz w:val="19"/>
                <w:szCs w:val="19"/>
                <w:rtl/>
              </w:rPr>
            </w:pPr>
            <w:r w:rsidRPr="00625723">
              <w:rPr>
                <w:rFonts w:ascii="Tahoma" w:eastAsia="Calibri" w:hAnsi="Tahoma" w:cs="Tahoma"/>
                <w:sz w:val="19"/>
                <w:szCs w:val="19"/>
                <w:rtl/>
              </w:rPr>
              <w:t xml:space="preserve">על </w:t>
            </w:r>
            <w:r w:rsidRPr="00625723">
              <w:rPr>
                <w:rFonts w:ascii="Tahoma" w:eastAsia="Calibri" w:hAnsi="Tahoma" w:cs="Tahoma" w:hint="cs"/>
                <w:sz w:val="19"/>
                <w:szCs w:val="19"/>
                <w:rtl/>
              </w:rPr>
              <w:t xml:space="preserve">שר האוצר באמצעות </w:t>
            </w:r>
            <w:r w:rsidRPr="00625723">
              <w:rPr>
                <w:rFonts w:ascii="Tahoma" w:eastAsia="Calibri" w:hAnsi="Tahoma" w:cs="Tahoma"/>
                <w:sz w:val="19"/>
                <w:szCs w:val="19"/>
                <w:rtl/>
              </w:rPr>
              <w:t>אגף התקציבים לפעול לזירוז הגשתן של הפניות התקציביות, לרבות אלו אשר נשענות על החלטות הממשלה, בסמוך למועד ג</w:t>
            </w:r>
            <w:r w:rsidR="00574763">
              <w:rPr>
                <w:rFonts w:ascii="Tahoma" w:eastAsia="Calibri" w:hAnsi="Tahoma" w:cs="Tahoma" w:hint="cs"/>
                <w:sz w:val="19"/>
                <w:szCs w:val="19"/>
                <w:rtl/>
              </w:rPr>
              <w:t>י</w:t>
            </w:r>
            <w:r w:rsidRPr="00625723">
              <w:rPr>
                <w:rFonts w:ascii="Tahoma" w:eastAsia="Calibri" w:hAnsi="Tahoma" w:cs="Tahoma"/>
                <w:sz w:val="19"/>
                <w:szCs w:val="19"/>
                <w:rtl/>
              </w:rPr>
              <w:t>בושן.</w:t>
            </w:r>
            <w:r w:rsidRPr="00625723">
              <w:rPr>
                <w:rFonts w:eastAsia="Calibri"/>
                <w:szCs w:val="24"/>
                <w:rtl/>
              </w:rPr>
              <w:t xml:space="preserve"> </w:t>
            </w:r>
            <w:r w:rsidRPr="00625723">
              <w:rPr>
                <w:rFonts w:ascii="Tahoma" w:eastAsia="Calibri" w:hAnsi="Tahoma" w:cs="Tahoma" w:hint="cs"/>
                <w:sz w:val="19"/>
                <w:szCs w:val="19"/>
                <w:rtl/>
              </w:rPr>
              <w:t xml:space="preserve">כמו כן על אגף התקציבים </w:t>
            </w:r>
            <w:r w:rsidRPr="00625723">
              <w:rPr>
                <w:rFonts w:ascii="Tahoma" w:eastAsia="Calibri" w:hAnsi="Tahoma" w:cs="Tahoma"/>
                <w:sz w:val="19"/>
                <w:szCs w:val="19"/>
                <w:rtl/>
              </w:rPr>
              <w:t>לתקצב את ההוצאות הקשיחות ככל שמתאפשר על פי תחזית ההוצאות, וזאת על מנת שלא לגרום לחריגות מהתקציב במהלך השנה, ולמנוע פניות תקציביות מיותרות.</w:t>
            </w:r>
          </w:p>
        </w:tc>
      </w:tr>
    </w:tbl>
    <w:p w:rsidR="00625723" w:rsidRPr="00625723" w:rsidP="00625723" w14:paraId="44D064D5" w14:textId="77777777">
      <w:pPr>
        <w:spacing w:before="200" w:line="288" w:lineRule="auto"/>
        <w:ind w:left="-851"/>
        <w:rPr>
          <w:rFonts w:eastAsia="Calibri"/>
          <w:rtl/>
        </w:rPr>
      </w:pPr>
    </w:p>
    <w:p w:rsidR="00625723" w:rsidRPr="00625723" w:rsidP="00625723" w14:paraId="09B926C9" w14:textId="77777777">
      <w:pPr>
        <w:spacing w:line="288" w:lineRule="auto"/>
        <w:ind w:left="-851"/>
        <w:rPr>
          <w:rFonts w:ascii="Tahoma" w:eastAsia="Calibri" w:hAnsi="Tahoma" w:cs="Tahoma"/>
          <w:sz w:val="22"/>
          <w:szCs w:val="22"/>
          <w:rtl/>
        </w:rPr>
      </w:pPr>
      <w:r w:rsidRPr="00625723">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margin">
              <wp:posOffset>-51435</wp:posOffset>
            </wp:positionH>
            <wp:positionV relativeFrom="paragraph">
              <wp:posOffset>78105</wp:posOffset>
            </wp:positionV>
            <wp:extent cx="5852160" cy="599440"/>
            <wp:effectExtent l="0" t="0" r="0" b="0"/>
            <wp:wrapNone/>
            <wp:docPr id="13" name="תמונה 13"/>
            <wp:cNvGraphicFramePr/>
            <a:graphic xmlns:a="http://schemas.openxmlformats.org/drawingml/2006/main">
              <a:graphicData uri="http://schemas.openxmlformats.org/drawingml/2006/picture">
                <pic:pic xmlns:pic="http://schemas.openxmlformats.org/drawingml/2006/picture">
                  <pic:nvPicPr>
                    <pic:cNvPr id="13" name="תקציר-03.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52160" cy="599440"/>
                    </a:xfrm>
                    <a:prstGeom prst="rect">
                      <a:avLst/>
                    </a:prstGeom>
                  </pic:spPr>
                </pic:pic>
              </a:graphicData>
            </a:graphic>
            <wp14:sizeRelH relativeFrom="page">
              <wp14:pctWidth>0</wp14:pctWidth>
            </wp14:sizeRelH>
            <wp14:sizeRelV relativeFrom="page">
              <wp14:pctHeight>0</wp14:pctHeight>
            </wp14:sizeRelV>
          </wp:anchor>
        </w:drawing>
      </w:r>
    </w:p>
    <w:p w:rsidR="00625723" w:rsidRPr="00625723" w:rsidP="00E333DB" w14:paraId="1F11939C" w14:textId="77777777">
      <w:pPr>
        <w:spacing w:line="288" w:lineRule="auto"/>
        <w:ind w:left="-711"/>
        <w:rPr>
          <w:rFonts w:ascii="Tahoma" w:eastAsia="Calibri" w:hAnsi="Tahoma" w:cs="Tahoma"/>
          <w:color w:val="FFFFFF"/>
          <w:sz w:val="22"/>
          <w:szCs w:val="22"/>
          <w:rtl/>
        </w:rPr>
      </w:pPr>
      <w:r w:rsidRPr="00625723">
        <w:rPr>
          <w:rFonts w:ascii="Tahoma" w:eastAsia="Calibri" w:hAnsi="Tahoma" w:cs="Tahoma"/>
          <w:b/>
          <w:bCs/>
          <w:noProof/>
          <w:color w:val="FFFFFF"/>
          <w:sz w:val="22"/>
          <w:szCs w:val="22"/>
          <w:rtl/>
        </w:rPr>
        <w:t>מספר הפניות התקציביות שהיו על שולחן ועדת הכספים במהלך דצמבר 2024</w:t>
      </w:r>
    </w:p>
    <w:p w:rsidR="00625723" w:rsidRPr="00625723" w:rsidP="00625723" w14:paraId="0058900F" w14:textId="77777777">
      <w:pPr>
        <w:spacing w:line="288" w:lineRule="auto"/>
        <w:ind w:left="-851"/>
        <w:rPr>
          <w:rFonts w:ascii="Tahoma" w:eastAsia="Calibri" w:hAnsi="Tahoma" w:cs="Tahoma"/>
          <w:sz w:val="22"/>
          <w:szCs w:val="22"/>
          <w:rtl/>
        </w:rPr>
      </w:pPr>
    </w:p>
    <w:p w:rsidR="00625723" w:rsidRPr="00625723" w:rsidP="005026BC" w14:paraId="609B2E65" w14:textId="77777777">
      <w:pPr>
        <w:keepNext/>
        <w:keepLines/>
        <w:ind w:left="-285"/>
        <w:jc w:val="left"/>
        <w:rPr>
          <w:rFonts w:ascii="Tahoma" w:eastAsia="Calibri" w:hAnsi="Tahoma" w:cs="Tahoma"/>
          <w:sz w:val="16"/>
          <w:szCs w:val="16"/>
          <w:rtl/>
        </w:rPr>
      </w:pPr>
      <w:r w:rsidRPr="00625723">
        <w:rPr>
          <w:rFonts w:eastAsia="Calibri"/>
          <w:noProof/>
          <w:szCs w:val="20"/>
        </w:rPr>
        <w:drawing>
          <wp:inline distT="0" distB="0" distL="0" distR="0">
            <wp:extent cx="5414010" cy="3615055"/>
            <wp:effectExtent l="0" t="0" r="0" b="4445"/>
            <wp:docPr id="3" name="תמונה 3" descr="במהלך דצמבר 2024 הגיש שר האוצר באמצעות אגף התקציבים לוועדת הכספים 95 פניות תקציביות וכי הוועדה דנה ואישרה 77 פניות תקציביות. בנוסף בראשית דצמבר 2024 עמדו על שולחן הוועדה 13 פניות תקציביות  ולפיכך בסיום שנת 2024 נותרו על שולחנה של הוועדה 31 פניות תקציביות בהן הוועדה לא דנה וממילא לא איש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414010" cy="3615055"/>
                    </a:xfrm>
                    <a:prstGeom prst="rect">
                      <a:avLst/>
                    </a:prstGeom>
                    <a:noFill/>
                  </pic:spPr>
                </pic:pic>
              </a:graphicData>
            </a:graphic>
          </wp:inline>
        </w:drawing>
      </w:r>
    </w:p>
    <w:p w:rsidR="00625723" w:rsidRPr="00625723" w:rsidP="00625723" w14:paraId="3C4FB335" w14:textId="77777777">
      <w:pPr>
        <w:keepNext/>
        <w:keepLines/>
        <w:ind w:left="-851"/>
        <w:jc w:val="left"/>
        <w:rPr>
          <w:rFonts w:eastAsia="Calibri"/>
          <w:szCs w:val="20"/>
          <w:rtl/>
        </w:rPr>
      </w:pPr>
      <w:r w:rsidRPr="00625723">
        <w:rPr>
          <w:rFonts w:ascii="Tahoma" w:eastAsia="Calibri" w:hAnsi="Tahoma" w:cs="Tahoma" w:hint="cs"/>
          <w:sz w:val="16"/>
          <w:szCs w:val="16"/>
          <w:rtl/>
        </w:rPr>
        <w:t>על פי נתוני ועדת הכספים של הכנסת, בעיבוד משרד מבקר המדינה.</w:t>
      </w:r>
    </w:p>
    <w:p w:rsidR="00630344" w:rsidP="00630344" w14:paraId="589ACA4D" w14:textId="77777777">
      <w:pPr>
        <w:spacing w:line="288" w:lineRule="auto"/>
        <w:ind w:left="-710" w:right="-567" w:hanging="141"/>
        <w:rPr>
          <w:rFonts w:ascii="Tahoma" w:eastAsia="Calibri" w:hAnsi="Tahoma" w:cs="Tahoma"/>
          <w:sz w:val="16"/>
          <w:szCs w:val="16"/>
          <w:rtl/>
        </w:rPr>
      </w:pPr>
      <w:r w:rsidRPr="00625723">
        <w:rPr>
          <w:rFonts w:ascii="Tahoma" w:eastAsia="Calibri" w:hAnsi="Tahoma" w:cs="Tahoma" w:hint="cs"/>
          <w:sz w:val="16"/>
          <w:szCs w:val="16"/>
          <w:rtl/>
        </w:rPr>
        <w:t xml:space="preserve">* </w:t>
      </w:r>
      <w:r w:rsidRPr="00625723">
        <w:rPr>
          <w:rFonts w:ascii="Tahoma" w:eastAsia="Calibri" w:hAnsi="Tahoma" w:cs="Tahoma"/>
          <w:sz w:val="16"/>
          <w:szCs w:val="16"/>
          <w:rtl/>
        </w:rPr>
        <w:t xml:space="preserve">עלה כי במהלך דצמבר 2024 הוגשו לוועדת הכספים 95 פניות תקציביות </w:t>
      </w:r>
      <w:r w:rsidRPr="00625723">
        <w:rPr>
          <w:rFonts w:ascii="Tahoma" w:eastAsia="Calibri" w:hAnsi="Tahoma" w:cs="Tahoma" w:hint="cs"/>
          <w:sz w:val="16"/>
          <w:szCs w:val="16"/>
          <w:rtl/>
        </w:rPr>
        <w:t xml:space="preserve">בסכום כספי ברוטו של כ-29.6 מיליארד ש"ח, </w:t>
      </w:r>
      <w:r w:rsidRPr="00625723">
        <w:rPr>
          <w:rFonts w:ascii="Tahoma" w:eastAsia="Calibri" w:hAnsi="Tahoma" w:cs="Tahoma"/>
          <w:sz w:val="16"/>
          <w:szCs w:val="16"/>
          <w:rtl/>
        </w:rPr>
        <w:t>וכי הוועדה דנה ואישרה 77 פניות תקציביות</w:t>
      </w:r>
      <w:r w:rsidRPr="00625723">
        <w:rPr>
          <w:rFonts w:ascii="Tahoma" w:eastAsia="Calibri" w:hAnsi="Tahoma" w:cs="Tahoma" w:hint="cs"/>
          <w:sz w:val="16"/>
          <w:szCs w:val="16"/>
          <w:rtl/>
        </w:rPr>
        <w:t xml:space="preserve"> בסכום כספי ברוטו של כ-30.4 מיליארד ש"ח</w:t>
      </w:r>
      <w:r w:rsidRPr="00625723">
        <w:rPr>
          <w:rFonts w:ascii="Tahoma" w:eastAsia="Calibri" w:hAnsi="Tahoma" w:cs="Tahoma"/>
          <w:sz w:val="16"/>
          <w:szCs w:val="16"/>
          <w:rtl/>
        </w:rPr>
        <w:t>. בנוסף בראשית דצמבר 2024 עמדו על שולחן הוועדה 13 פניות תקציביות ולפיכך בסיום שנת 2024 נותרו על שולחנה של הוועדה 31 פניות תקציביות בהן הוועדה לא דנה וממילא לא אישרה</w:t>
      </w:r>
      <w:r w:rsidRPr="00625723">
        <w:rPr>
          <w:rFonts w:ascii="Tahoma" w:eastAsia="Calibri" w:hAnsi="Tahoma" w:cs="Tahoma" w:hint="cs"/>
          <w:sz w:val="16"/>
          <w:szCs w:val="16"/>
          <w:rtl/>
        </w:rPr>
        <w:t xml:space="preserve"> בסכום כספי ברוטו של כ-4.6 מיליארד ש"ח</w:t>
      </w:r>
      <w:r w:rsidRPr="00625723">
        <w:rPr>
          <w:rFonts w:ascii="Tahoma" w:eastAsia="Calibri" w:hAnsi="Tahoma" w:cs="Tahoma"/>
          <w:sz w:val="16"/>
          <w:szCs w:val="16"/>
          <w:rtl/>
        </w:rPr>
        <w:t>. כמו-כן עלה כי בששת הימים האחרונים של דצמבר 2024, בשעה שעל שולחן הוועדה היו 67 פניות תקציביות הממתינות לאישור (נכון ל-26.12.24), הוגשו לוועדה עוד 19 פניות. מתוך 86 פניות בסך הכול דנה הוועדה מ-26.12.24 ועד 31.12.24 ב-55 פניות. הגשה ואישור של פניות תקציביות בסוף שנת הכספים אינה מאפשרת את מימוש התקציב במהלך השנה כדין.</w:t>
      </w:r>
    </w:p>
    <w:p w:rsidR="00E333DB" w:rsidP="00625723" w14:paraId="454FC1D7" w14:textId="77777777">
      <w:pPr>
        <w:spacing w:line="288" w:lineRule="auto"/>
        <w:ind w:left="-710" w:hanging="141"/>
        <w:rPr>
          <w:rFonts w:ascii="Tahoma" w:eastAsia="Calibri" w:hAnsi="Tahoma" w:cs="Tahoma"/>
          <w:sz w:val="16"/>
          <w:szCs w:val="16"/>
          <w:rtl/>
        </w:rPr>
      </w:pPr>
    </w:p>
    <w:p w:rsidR="00E333DB" w:rsidP="00625723" w14:paraId="1FCC3517" w14:textId="77777777">
      <w:pPr>
        <w:spacing w:line="288" w:lineRule="auto"/>
        <w:ind w:left="-710" w:hanging="141"/>
        <w:rPr>
          <w:rFonts w:ascii="Tahoma" w:eastAsia="Calibri" w:hAnsi="Tahoma" w:cs="Tahoma"/>
          <w:sz w:val="16"/>
          <w:szCs w:val="16"/>
          <w:rtl/>
        </w:rPr>
      </w:pPr>
    </w:p>
    <w:p w:rsidR="00E333DB" w:rsidRPr="00625723" w:rsidP="00625723" w14:paraId="781D80FA" w14:textId="77777777">
      <w:pPr>
        <w:spacing w:line="288" w:lineRule="auto"/>
        <w:ind w:left="-710" w:hanging="141"/>
        <w:rPr>
          <w:rFonts w:ascii="Tahoma" w:eastAsia="Calibri" w:hAnsi="Tahoma" w:cs="Tahoma"/>
          <w:sz w:val="16"/>
          <w:szCs w:val="16"/>
          <w:rtl/>
        </w:rPr>
      </w:pPr>
    </w:p>
    <w:p w:rsidR="00625723" w:rsidRPr="00625723" w:rsidP="00625723" w14:paraId="1EE9FDEB" w14:textId="77777777">
      <w:pPr>
        <w:spacing w:after="160" w:line="288" w:lineRule="auto"/>
        <w:ind w:left="-851"/>
        <w:rPr>
          <w:rFonts w:ascii="Tahoma" w:eastAsia="Calibri" w:hAnsi="Tahoma" w:cs="Tahoma"/>
          <w:rtl/>
        </w:rPr>
      </w:pPr>
      <w:r w:rsidRPr="00625723">
        <w:rPr>
          <w:rFonts w:ascii="Tahoma" w:eastAsia="Calibri" w:hAnsi="Tahoma" w:cs="Tahoma"/>
          <w:noProof/>
        </w:rPr>
        <w:drawing>
          <wp:inline distT="0" distB="0" distL="0" distR="0">
            <wp:extent cx="6128084" cy="304165"/>
            <wp:effectExtent l="0" t="0" r="6350" b="635"/>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F954E4" w:rsidP="00E333DB" w14:paraId="11BEE708" w14:textId="77777777">
      <w:pPr>
        <w:spacing w:before="120" w:line="288" w:lineRule="auto"/>
        <w:ind w:left="-851" w:right="-567"/>
        <w:rPr>
          <w:rFonts w:ascii="Calibri" w:hAnsi="Calibri" w:cs="Calibri"/>
          <w:b/>
          <w:bCs/>
          <w:color w:val="002060"/>
          <w:sz w:val="80"/>
          <w:szCs w:val="80"/>
        </w:rPr>
      </w:pPr>
      <w:r w:rsidRPr="00625723">
        <w:rPr>
          <w:rFonts w:ascii="Tahoma" w:eastAsia="Calibri" w:hAnsi="Tahoma" w:cs="Tahoma"/>
          <w:sz w:val="19"/>
          <w:szCs w:val="19"/>
          <w:rtl/>
        </w:rPr>
        <w:t xml:space="preserve">שנת 2024 התאפיינה בהיקף חסר תקדים של אישור </w:t>
      </w:r>
      <w:r w:rsidRPr="00625723">
        <w:rPr>
          <w:rFonts w:ascii="Tahoma" w:eastAsia="Calibri" w:hAnsi="Tahoma" w:cs="Tahoma" w:hint="cs"/>
          <w:sz w:val="19"/>
          <w:szCs w:val="19"/>
          <w:rtl/>
        </w:rPr>
        <w:t xml:space="preserve">חוקי </w:t>
      </w:r>
      <w:r w:rsidRPr="00625723">
        <w:rPr>
          <w:rFonts w:ascii="Tahoma" w:eastAsia="Calibri" w:hAnsi="Tahoma" w:cs="Tahoma"/>
          <w:sz w:val="19"/>
          <w:szCs w:val="19"/>
          <w:rtl/>
        </w:rPr>
        <w:t>תקציב נוס</w:t>
      </w:r>
      <w:r w:rsidRPr="00625723">
        <w:rPr>
          <w:rFonts w:ascii="Tahoma" w:eastAsia="Calibri" w:hAnsi="Tahoma" w:cs="Tahoma" w:hint="cs"/>
          <w:sz w:val="19"/>
          <w:szCs w:val="19"/>
          <w:rtl/>
        </w:rPr>
        <w:t>ף</w:t>
      </w:r>
      <w:r w:rsidRPr="00625723">
        <w:rPr>
          <w:rFonts w:ascii="Tahoma" w:eastAsia="Calibri" w:hAnsi="Tahoma" w:cs="Tahoma"/>
          <w:sz w:val="19"/>
          <w:szCs w:val="19"/>
          <w:rtl/>
        </w:rPr>
        <w:t xml:space="preserve"> ו</w:t>
      </w:r>
      <w:r w:rsidRPr="00625723">
        <w:rPr>
          <w:rFonts w:ascii="Tahoma" w:eastAsia="Calibri" w:hAnsi="Tahoma" w:cs="Tahoma" w:hint="cs"/>
          <w:sz w:val="19"/>
          <w:szCs w:val="19"/>
          <w:rtl/>
        </w:rPr>
        <w:t xml:space="preserve">של בקשות תקציביות שעמדו על שולחנה של ועדת הכספים בחודש דצמבר. זאת </w:t>
      </w:r>
      <w:r w:rsidRPr="00625723">
        <w:rPr>
          <w:rFonts w:ascii="Tahoma" w:eastAsia="Calibri" w:hAnsi="Tahoma" w:cs="Tahoma"/>
          <w:sz w:val="19"/>
          <w:szCs w:val="19"/>
          <w:rtl/>
        </w:rPr>
        <w:t>בין היתר בשל השפעת מלחמת חרבות ברזל והוצאות בלתי צפויות בתחומי הביטחון ובתחומים אזרחיים. בדצמבר 2024 אושרו 77 פניות תקציביות בסכום כספי ברוטו של כ-30.4 מיליארד ש"ח. ניהול התקציב לוּוה בבקשות להעברות בהיקף ניכר בסוף השנה, חלקן של הבקשות אושרו וחלקן נותרו ללא אישור, דבר שפגע ביכולת משרדי הממשלה לפעול באופן רציף ויעיל, והביא לכך שבפועל משרדים הוציאו כספים ללא תקציב מאושר בניגוד לחוק. מהשוואה לשנים קודמות עול</w:t>
      </w:r>
      <w:r w:rsidRPr="00625723">
        <w:rPr>
          <w:rFonts w:ascii="Tahoma" w:eastAsia="Calibri" w:hAnsi="Tahoma" w:cs="Tahoma" w:hint="cs"/>
          <w:sz w:val="19"/>
          <w:szCs w:val="19"/>
          <w:rtl/>
        </w:rPr>
        <w:t>ה</w:t>
      </w:r>
      <w:r w:rsidRPr="00625723">
        <w:rPr>
          <w:rFonts w:ascii="Tahoma" w:eastAsia="Calibri" w:hAnsi="Tahoma" w:cs="Tahoma"/>
          <w:sz w:val="19"/>
          <w:szCs w:val="19"/>
          <w:rtl/>
        </w:rPr>
        <w:t xml:space="preserve"> מגמת החמרה בעומס המוטל על ועדת הכספים וגידול בכמות ובסכומים של ההעברות המאוחרות. ממצאים אלו מעלים חשש</w:t>
      </w:r>
      <w:r w:rsidRPr="00625723">
        <w:rPr>
          <w:rFonts w:ascii="Tahoma" w:eastAsia="Calibri" w:hAnsi="Tahoma" w:cs="Tahoma" w:hint="cs"/>
          <w:sz w:val="19"/>
          <w:szCs w:val="19"/>
          <w:rtl/>
        </w:rPr>
        <w:t xml:space="preserve"> לעקיפת חוק יסודות התקציב,</w:t>
      </w:r>
      <w:r w:rsidRPr="00625723">
        <w:rPr>
          <w:rFonts w:ascii="Tahoma" w:eastAsia="Calibri" w:hAnsi="Tahoma" w:cs="Tahoma"/>
          <w:sz w:val="19"/>
          <w:szCs w:val="19"/>
          <w:rtl/>
        </w:rPr>
        <w:t xml:space="preserve"> לפגיעה בתהליכי קבלת ההחלטות, ביכולת הפיקוח של הכנסת, בניהול התקין של כספי הציבור וביישום יעיל של מדיניות הממשלה. מומלץ כי שר האוצר ואגף התקציבים יפעלו לצמצום ההיקפים של שינויים בתקציב בכלל, ו</w:t>
      </w:r>
      <w:r w:rsidRPr="00625723">
        <w:rPr>
          <w:rFonts w:ascii="Tahoma" w:eastAsia="Calibri" w:hAnsi="Tahoma" w:cs="Tahoma" w:hint="cs"/>
          <w:sz w:val="19"/>
          <w:szCs w:val="19"/>
          <w:rtl/>
        </w:rPr>
        <w:t xml:space="preserve">שינויים </w:t>
      </w:r>
      <w:r w:rsidRPr="00625723">
        <w:rPr>
          <w:rFonts w:ascii="Tahoma" w:eastAsia="Calibri" w:hAnsi="Tahoma" w:cs="Tahoma"/>
          <w:sz w:val="19"/>
          <w:szCs w:val="19"/>
          <w:rtl/>
        </w:rPr>
        <w:t>מאוחרים בפרט, יפעלו להקדמת מועדי העברת הפניות לדיון ולאישור ויחזקו את הבקרה והפיקוח התקציביים - כדי להבטיח שקיפות, יעילות ורציפות בניהול תקציבי הממשלה ועמידה בחוקי התקציב.</w:t>
      </w:r>
    </w:p>
    <w:sectPr w:rsidSect="006C2C6D">
      <w:headerReference w:type="first" r:id="rId20"/>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14:paraId="3F9B327D"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14:paraId="73D664BC" w14:textId="77777777">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14:paraId="23C88626" w14:textId="77777777">
      <w:pPr>
        <w:spacing w:line="240" w:lineRule="auto"/>
      </w:pPr>
      <w:r>
        <w:separator/>
      </w:r>
    </w:p>
  </w:footnote>
  <w:footnote w:type="continuationSeparator" w:id="1">
    <w:p w:rsidR="0062451B" w:rsidP="00C23CC9" w14:paraId="4A48B5A3" w14:textId="77777777">
      <w:pPr>
        <w:spacing w:line="240" w:lineRule="auto"/>
      </w:pPr>
      <w:r>
        <w:continuationSeparator/>
      </w:r>
    </w:p>
  </w:footnote>
  <w:footnote w:id="2">
    <w:p w:rsidR="00625723" w:rsidRPr="00903B35" w:rsidP="00625723" w14:paraId="4EFAD2E9" w14:textId="77777777">
      <w:pPr>
        <w:pStyle w:val="FootnoteText"/>
        <w:rPr>
          <w:rFonts w:ascii="Tahoma" w:hAnsi="Tahoma" w:cs="Tahoma"/>
          <w:sz w:val="16"/>
          <w:szCs w:val="16"/>
          <w:rtl/>
        </w:rPr>
      </w:pPr>
      <w:r w:rsidRPr="009B1F5C">
        <w:rPr>
          <w:rStyle w:val="FootnoteReference1"/>
          <w:rFonts w:ascii="Tahoma" w:hAnsi="Tahoma" w:cs="Tahoma"/>
          <w:sz w:val="16"/>
          <w:szCs w:val="16"/>
        </w:rPr>
        <w:footnoteRef/>
      </w:r>
      <w:r w:rsidRPr="009B1F5C">
        <w:rPr>
          <w:rFonts w:ascii="Tahoma" w:hAnsi="Tahoma" w:cs="Tahoma"/>
          <w:sz w:val="16"/>
          <w:szCs w:val="16"/>
          <w:rtl/>
        </w:rPr>
        <w:t xml:space="preserve"> </w:t>
      </w:r>
      <w:r w:rsidRPr="009B1F5C">
        <w:rPr>
          <w:rFonts w:ascii="Tahoma" w:hAnsi="Tahoma" w:cs="Tahoma"/>
          <w:sz w:val="16"/>
          <w:szCs w:val="16"/>
          <w:rtl/>
        </w:rPr>
        <w:tab/>
      </w:r>
      <w:r w:rsidRPr="00903B35">
        <w:rPr>
          <w:rFonts w:ascii="Tahoma" w:hAnsi="Tahoma" w:cs="Tahoma"/>
          <w:sz w:val="16"/>
          <w:szCs w:val="16"/>
          <w:rtl/>
        </w:rPr>
        <w:t>העברות תקציביות ברמת התוכנית.</w:t>
      </w:r>
    </w:p>
  </w:footnote>
  <w:footnote w:id="3">
    <w:p w:rsidR="00625723" w:rsidRPr="00903B35" w:rsidP="00625723" w14:paraId="077A0593" w14:textId="77777777">
      <w:pPr>
        <w:pStyle w:val="FootnoteText"/>
        <w:rPr>
          <w:rFonts w:ascii="Tahoma" w:hAnsi="Tahoma" w:cs="Tahoma"/>
          <w:sz w:val="16"/>
          <w:szCs w:val="16"/>
          <w:rtl/>
        </w:rPr>
      </w:pPr>
      <w:r w:rsidRPr="00903B35">
        <w:rPr>
          <w:rStyle w:val="FootnoteReference1"/>
          <w:rFonts w:ascii="Tahoma" w:hAnsi="Tahoma" w:cs="Tahoma"/>
          <w:sz w:val="16"/>
          <w:szCs w:val="16"/>
        </w:rPr>
        <w:footnoteRef/>
      </w:r>
      <w:r w:rsidRPr="00903B35">
        <w:rPr>
          <w:rFonts w:ascii="Tahoma" w:hAnsi="Tahoma" w:cs="Tahoma"/>
          <w:sz w:val="16"/>
          <w:szCs w:val="16"/>
          <w:rtl/>
        </w:rPr>
        <w:t xml:space="preserve"> </w:t>
      </w:r>
      <w:r w:rsidRPr="00903B35">
        <w:rPr>
          <w:rFonts w:ascii="Tahoma" w:hAnsi="Tahoma" w:cs="Tahoma"/>
          <w:sz w:val="16"/>
          <w:szCs w:val="16"/>
          <w:rtl/>
        </w:rPr>
        <w:tab/>
      </w:r>
      <w:r>
        <w:rPr>
          <w:rFonts w:ascii="Tahoma" w:hAnsi="Tahoma" w:cs="Tahoma" w:hint="cs"/>
          <w:sz w:val="16"/>
          <w:szCs w:val="16"/>
          <w:rtl/>
        </w:rPr>
        <w:t>482 מיוני 2013.</w:t>
      </w:r>
    </w:p>
  </w:footnote>
  <w:footnote w:id="4">
    <w:p w:rsidR="00625723" w:rsidRPr="00784776" w:rsidP="00625723" w14:paraId="6F34831C" w14:textId="77777777">
      <w:pPr>
        <w:pStyle w:val="FootnoteText"/>
        <w:ind w:right="-709"/>
        <w:rPr>
          <w:rFonts w:ascii="Tahoma" w:hAnsi="Tahoma" w:cs="Tahoma"/>
          <w:sz w:val="16"/>
          <w:szCs w:val="16"/>
          <w:rtl/>
        </w:rPr>
      </w:pPr>
      <w:r w:rsidRPr="00903B35">
        <w:rPr>
          <w:rStyle w:val="FootnoteReference1"/>
          <w:rFonts w:ascii="Tahoma" w:hAnsi="Tahoma" w:cs="Tahoma"/>
          <w:sz w:val="16"/>
          <w:szCs w:val="16"/>
        </w:rPr>
        <w:footnoteRef/>
      </w:r>
      <w:r w:rsidRPr="00903B35">
        <w:rPr>
          <w:rFonts w:ascii="Tahoma" w:hAnsi="Tahoma" w:cs="Tahoma"/>
          <w:sz w:val="16"/>
          <w:szCs w:val="16"/>
          <w:rtl/>
        </w:rPr>
        <w:t xml:space="preserve"> </w:t>
      </w:r>
      <w:r w:rsidRPr="00903B35">
        <w:rPr>
          <w:rFonts w:ascii="Tahoma" w:hAnsi="Tahoma" w:cs="Tahoma"/>
          <w:sz w:val="16"/>
          <w:szCs w:val="16"/>
          <w:rtl/>
        </w:rPr>
        <w:tab/>
        <w:t>כדוגמת: מערך הסייבר; משרד התפוצות; הלשכה המרכזית לסטטיסטיקה; המשרד לשוויון חברתי וקידום מעמד האישה; הרשות לפיתוח כלכלי של מגזר מיעוטים; משרד ירושלים ומסורת ישראל; משרד המורשת; משרד הנגב, הגליל והחוסן הלאומי.</w:t>
      </w:r>
    </w:p>
  </w:footnote>
  <w:footnote w:id="5">
    <w:p w:rsidR="00625723" w:rsidRPr="00903B35" w:rsidP="00625723" w14:paraId="4C96B78A" w14:textId="77777777">
      <w:pPr>
        <w:pStyle w:val="FootnoteText"/>
        <w:rPr>
          <w:rFonts w:ascii="Tahoma" w:hAnsi="Tahoma" w:cs="Tahoma"/>
          <w:sz w:val="16"/>
          <w:szCs w:val="16"/>
          <w:rtl/>
        </w:rPr>
      </w:pPr>
      <w:r w:rsidRPr="009B1F5C">
        <w:rPr>
          <w:rStyle w:val="FootnoteReference1"/>
          <w:rFonts w:ascii="Tahoma" w:hAnsi="Tahoma" w:cs="Tahoma"/>
          <w:sz w:val="16"/>
          <w:szCs w:val="16"/>
        </w:rPr>
        <w:footnoteRef/>
      </w:r>
      <w:r w:rsidRPr="009B1F5C">
        <w:rPr>
          <w:rFonts w:ascii="Tahoma" w:hAnsi="Tahoma" w:cs="Tahoma"/>
          <w:sz w:val="16"/>
          <w:szCs w:val="16"/>
          <w:rtl/>
        </w:rPr>
        <w:t xml:space="preserve"> </w:t>
      </w:r>
      <w:r w:rsidRPr="009B1F5C">
        <w:rPr>
          <w:rFonts w:ascii="Tahoma" w:hAnsi="Tahoma" w:cs="Tahoma"/>
          <w:sz w:val="16"/>
          <w:szCs w:val="16"/>
          <w:rtl/>
        </w:rPr>
        <w:tab/>
      </w:r>
      <w:r w:rsidRPr="00903B35">
        <w:rPr>
          <w:rFonts w:ascii="Tahoma" w:hAnsi="Tahoma" w:cs="Tahoma"/>
          <w:sz w:val="16"/>
          <w:szCs w:val="16"/>
          <w:rtl/>
        </w:rPr>
        <w:t>העברות תקציביות ברמת התוכנית.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14:paraId="1C1EE08C" w14:textId="77777777">
    <w:pPr>
      <w:pStyle w:val="Header"/>
      <w:tabs>
        <w:tab w:val="clear" w:pos="8306"/>
        <w:tab w:val="right" w:pos="8504"/>
      </w:tabs>
      <w:ind w:right="-709"/>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3693795</wp:posOffset>
              </wp:positionH>
              <wp:positionV relativeFrom="paragraph">
                <wp:posOffset>217170</wp:posOffset>
              </wp:positionV>
              <wp:extent cx="232918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329180" cy="285750"/>
                      </a:xfrm>
                      <a:prstGeom prst="rect">
                        <a:avLst/>
                      </a:prstGeom>
                      <a:noFill/>
                      <a:ln w="9525">
                        <a:noFill/>
                        <a:miter lim="800000"/>
                        <a:headEnd/>
                        <a:tailEnd/>
                      </a:ln>
                    </wps:spPr>
                    <wps:txbx>
                      <w:txbxContent>
                        <w:p w:rsidR="001E204F" w:rsidRPr="001E204F" w:rsidP="00354F9A" w14:paraId="6410F724" w14:textId="77777777">
                          <w:pPr>
                            <w:rPr>
                              <w:rFonts w:ascii="Calibri" w:hAnsi="Calibri" w:cs="Calibri"/>
                              <w:color w:val="002060"/>
                              <w:szCs w:val="20"/>
                              <w:rtl/>
                            </w:rPr>
                          </w:pPr>
                          <w:r w:rsidRPr="00574763">
                            <w:rPr>
                              <w:rFonts w:ascii="Calibri" w:hAnsi="Calibri" w:cs="Calibri"/>
                              <w:color w:val="002060"/>
                              <w:szCs w:val="20"/>
                              <w:rtl/>
                            </w:rPr>
                            <w:t>העברות תקציביות לקראת סוף שנת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183.4pt;height:22.5pt;margin-top:17.1pt;margin-left:290.8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574763">
                      <w:rPr>
                        <w:rFonts w:ascii="Calibri" w:hAnsi="Calibri" w:cs="Calibri"/>
                        <w:color w:val="002060"/>
                        <w:szCs w:val="20"/>
                        <w:rtl/>
                      </w:rPr>
                      <w:t>העברות תקציביות לקראת סוף שנת 2024</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14:paraId="08386C75" w14:textId="77777777">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sidR="001F4412">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14:paraId="242C1082" w14:textId="77777777">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14:paraId="769F6136" w14:textId="77777777">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1107391</wp:posOffset>
              </wp:positionH>
              <wp:positionV relativeFrom="paragraph">
                <wp:posOffset>-457249</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24570" y="0"/>
                        <a:chExt cx="2959100" cy="10690225"/>
                      </a:xfrm>
                    </wpg:grpSpPr>
                    <wpg:grpSp>
                      <wpg:cNvPr id="53" name="קבוצה 53"/>
                      <wpg:cNvGrpSpPr/>
                      <wpg:grpSpPr>
                        <a:xfrm>
                          <a:off x="-24570" y="0"/>
                          <a:ext cx="2959100" cy="3009900"/>
                          <a:chOff x="-2457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24570" y="2593291"/>
                            <a:ext cx="2959100" cy="273050"/>
                          </a:xfrm>
                          <a:prstGeom prst="rect">
                            <a:avLst/>
                          </a:prstGeom>
                          <a:noFill/>
                          <a:ln w="6350">
                            <a:noFill/>
                          </a:ln>
                        </wps:spPr>
                        <wps:txbx>
                          <w:txbxContent>
                            <w:p w:rsidR="0062451B" w:rsidRPr="00CD28D9" w:rsidP="0062451B" w14:paraId="2078D2FD" w14:textId="77777777">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14:paraId="62263671" w14:textId="77777777">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pt;margin-left:87.2pt;mso-position-horizontal-relative:margin;position:absolute;z-index:251659264" coordorigin="-245,0" coordsize="29591,106902">
              <v:group id="קבוצה 53" o:spid="_x0000_s2054" style="width:29590;height:30099;left:-245;position:absolute" coordorigin="-245,0"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2731;left:-245;mso-wrap-style:square;position:absolute;top:25932;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5D2" w14:paraId="76FEFC9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625723" w:rsidP="00EF4539" w14:paraId="03828DB3" w14:textId="77777777">
    <w:pPr>
      <w:pStyle w:val="Header"/>
      <w:tabs>
        <w:tab w:val="clear" w:pos="8306"/>
        <w:tab w:val="right" w:pos="8504"/>
      </w:tabs>
      <w:ind w:right="-709"/>
      <w:jc w:val="right"/>
      <w:rPr>
        <w:rFonts w:ascii="Calibri" w:hAnsi="Calibri" w:cs="Calibri"/>
        <w:color w:val="002060"/>
        <w:szCs w:val="20"/>
      </w:rPr>
    </w:pPr>
    <w:r w:rsidRPr="00625723">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625723">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14:paraId="6A9D9913" w14:textId="77777777">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625723">
                            <w:rPr>
                              <w:rFonts w:ascii="Calibri" w:hAnsi="Calibri" w:cs="Calibri"/>
                              <w:color w:val="002060"/>
                              <w:spacing w:val="20"/>
                              <w:sz w:val="22"/>
                              <w:szCs w:val="22"/>
                            </w:rPr>
                            <w:t xml:space="preserve"> </w:t>
                          </w:r>
                          <w:r w:rsidRPr="00625723">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625723">
                      <w:rPr>
                        <w:rFonts w:ascii="Calibri" w:hAnsi="Calibri" w:cs="Calibri"/>
                        <w:color w:val="002060"/>
                        <w:spacing w:val="20"/>
                        <w:sz w:val="22"/>
                        <w:szCs w:val="22"/>
                      </w:rPr>
                      <w:t xml:space="preserve"> </w:t>
                    </w:r>
                    <w:r w:rsidRPr="00625723">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5723">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14:paraId="7F8D180F" w14:textId="77777777">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v:textbox>
              <w10:wrap type="square"/>
            </v:shape>
          </w:pict>
        </mc:Fallback>
      </mc:AlternateContent>
    </w:r>
    <w:r w:rsidRPr="00625723">
      <w:rPr>
        <w:rFonts w:ascii="Calibri" w:hAnsi="Calibri" w:cs="Calibri"/>
        <w:color w:val="002060"/>
        <w:szCs w:val="20"/>
        <w:rtl/>
      </w:rPr>
      <w:fldChar w:fldCharType="begin"/>
    </w:r>
    <w:r w:rsidRPr="00625723">
      <w:rPr>
        <w:rFonts w:ascii="Calibri" w:hAnsi="Calibri" w:cs="Calibri"/>
        <w:color w:val="002060"/>
        <w:szCs w:val="20"/>
        <w:rtl/>
      </w:rPr>
      <w:instrText xml:space="preserve"> </w:instrText>
    </w:r>
    <w:r w:rsidRPr="00625723">
      <w:rPr>
        <w:rFonts w:ascii="Calibri" w:hAnsi="Calibri" w:cs="Calibri"/>
        <w:color w:val="002060"/>
        <w:szCs w:val="20"/>
      </w:rPr>
      <w:instrText>PAGE</w:instrText>
    </w:r>
    <w:r w:rsidRPr="00625723">
      <w:rPr>
        <w:rFonts w:ascii="Calibri" w:hAnsi="Calibri" w:cs="Calibri"/>
        <w:color w:val="002060"/>
        <w:szCs w:val="20"/>
        <w:rtl/>
      </w:rPr>
      <w:instrText xml:space="preserve">  \* </w:instrText>
    </w:r>
    <w:r w:rsidRPr="00625723">
      <w:rPr>
        <w:rFonts w:ascii="Calibri" w:hAnsi="Calibri" w:cs="Calibri"/>
        <w:color w:val="002060"/>
        <w:szCs w:val="20"/>
      </w:rPr>
      <w:instrText>MERGEFORMAT</w:instrText>
    </w:r>
    <w:r w:rsidRPr="00625723">
      <w:rPr>
        <w:rFonts w:ascii="Calibri" w:hAnsi="Calibri" w:cs="Calibri"/>
        <w:color w:val="002060"/>
        <w:szCs w:val="20"/>
        <w:rtl/>
      </w:rPr>
      <w:instrText xml:space="preserve"> </w:instrText>
    </w:r>
    <w:r w:rsidRPr="00625723">
      <w:rPr>
        <w:rFonts w:ascii="Calibri" w:hAnsi="Calibri" w:cs="Calibri"/>
        <w:color w:val="002060"/>
        <w:szCs w:val="20"/>
        <w:rtl/>
      </w:rPr>
      <w:fldChar w:fldCharType="separate"/>
    </w:r>
    <w:r w:rsidRPr="00625723">
      <w:rPr>
        <w:rFonts w:ascii="Calibri" w:hAnsi="Calibri" w:cs="Calibri"/>
        <w:color w:val="002060"/>
        <w:szCs w:val="20"/>
        <w:rtl/>
      </w:rPr>
      <w:t>3</w:t>
    </w:r>
    <w:r w:rsidRPr="00625723">
      <w:rPr>
        <w:rFonts w:ascii="Calibri" w:hAnsi="Calibri" w:cs="Calibri"/>
        <w:color w:val="002060"/>
        <w:szCs w:val="20"/>
        <w:rtl/>
      </w:rPr>
      <w:fldChar w:fldCharType="end"/>
    </w:r>
    <w:r w:rsidRPr="00625723">
      <w:rPr>
        <w:rFonts w:ascii="Calibri" w:hAnsi="Calibri" w:cs="Calibri"/>
        <w:color w:val="002060"/>
        <w:szCs w:val="20"/>
        <w:rtl/>
      </w:rPr>
      <w:t xml:space="preserve"> </w:t>
    </w:r>
  </w:p>
  <w:p w:rsidR="00EF4539" w:rsidRPr="00EF4539" w:rsidP="00EF4539" w14:paraId="4282AB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15:restartNumberingAfterBreak="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 w15:restartNumberingAfterBreak="0">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5" w15:restartNumberingAfterBreak="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6" w15:restartNumberingAfterBreak="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7" w15:restartNumberingAfterBreak="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15:restartNumberingAfterBreak="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9" w15:restartNumberingAfterBreak="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0" w15:restartNumberingAfterBreak="0">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15:restartNumberingAfterBreak="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2" w15:restartNumberingAfterBreak="0">
    <w:nsid w:val="6699458C"/>
    <w:multiLevelType w:val="hybridMultilevel"/>
    <w:tmpl w:val="73144426"/>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
      <w:lvlJc w:val="left"/>
      <w:pPr>
        <w:ind w:left="1080" w:hanging="360"/>
      </w:pPr>
      <w:rPr>
        <w:rFonts w:ascii="Symbol" w:hAnsi="Symbol" w:cs="Symbol" w:hint="default"/>
        <w:b/>
        <w:bCs/>
        <w:color w:val="FF0000"/>
        <w:sz w:val="28"/>
        <w:szCs w:val="28"/>
      </w:rPr>
    </w:lvl>
    <w:lvl w:ilvl="2">
      <w:start w:val="1"/>
      <w:numFmt w:val="bullet"/>
      <w:lvlText w:val="o"/>
      <w:lvlJc w:val="left"/>
      <w:pPr>
        <w:ind w:left="1800" w:hanging="360"/>
      </w:pPr>
      <w:rPr>
        <w:rFonts w:ascii="Courier New" w:hAnsi="Courier New" w:cs="Courier New" w:hint="default"/>
        <w:color w:val="FF0000"/>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15:restartNumberingAfterBreak="0">
    <w:nsid w:val="7E276CF6"/>
    <w:multiLevelType w:val="multilevel"/>
    <w:tmpl w:val="FC12CE02"/>
    <w:lvl w:ilvl="0">
      <w:start w:val="1"/>
      <w:numFmt w:val="decimal"/>
      <w:lvlText w:val="%1."/>
      <w:lvlJc w:val="left"/>
      <w:pPr>
        <w:ind w:left="1134" w:hanging="340"/>
      </w:pPr>
      <w:rPr>
        <w:b/>
        <w:bCs/>
      </w:rPr>
    </w:lvl>
    <w:lvl w:ilvl="1">
      <w:start w:val="1"/>
      <w:numFmt w:val="decimal"/>
      <w:lvlText w:val="%2."/>
      <w:lvlJc w:val="left"/>
      <w:pPr>
        <w:ind w:left="1474" w:hanging="340"/>
      </w:pPr>
    </w:lvl>
    <w:lvl w:ilvl="2">
      <w:start w:val="1"/>
      <w:numFmt w:val="decimal"/>
      <w:lvlText w:val="(%3)"/>
      <w:lvlJc w:val="left"/>
      <w:pPr>
        <w:ind w:left="1871" w:hanging="397"/>
      </w:pPr>
    </w:lvl>
    <w:lvl w:ilvl="3">
      <w:start w:val="1"/>
      <w:numFmt w:val="hebrew1"/>
      <w:lvlText w:val="(%4)"/>
      <w:lvlJc w:val="left"/>
      <w:pPr>
        <w:ind w:left="2268" w:hanging="397"/>
      </w:pPr>
    </w:lvl>
    <w:lvl w:ilvl="4">
      <w:start w:val="1"/>
      <w:numFmt w:val="lowerLetter"/>
      <w:lvlText w:val="(%5)"/>
      <w:lvlJc w:val="left"/>
      <w:pPr>
        <w:ind w:left="2591" w:hanging="357"/>
      </w:pPr>
    </w:lvl>
    <w:lvl w:ilvl="5">
      <w:start w:val="1"/>
      <w:numFmt w:val="lowerRoman"/>
      <w:lvlText w:val="(%6)"/>
      <w:lvlJc w:val="left"/>
      <w:pPr>
        <w:ind w:left="2954" w:hanging="363"/>
      </w:pPr>
    </w:lvl>
    <w:lvl w:ilvl="6">
      <w:start w:val="1"/>
      <w:numFmt w:val="decimal"/>
      <w:lvlText w:val="%7."/>
      <w:lvlJc w:val="left"/>
      <w:pPr>
        <w:ind w:left="3311" w:hanging="357"/>
      </w:pPr>
    </w:lvl>
    <w:lvl w:ilvl="7">
      <w:start w:val="1"/>
      <w:numFmt w:val="lowerLetter"/>
      <w:lvlText w:val="%8."/>
      <w:lvlJc w:val="left"/>
      <w:pPr>
        <w:ind w:left="3674" w:hanging="363"/>
      </w:pPr>
    </w:lvl>
    <w:lvl w:ilvl="8">
      <w:start w:val="1"/>
      <w:numFmt w:val="lowerRoman"/>
      <w:lvlText w:val="%9."/>
      <w:lvlJc w:val="left"/>
      <w:pPr>
        <w:ind w:left="4031" w:hanging="357"/>
      </w:pPr>
    </w:lvl>
  </w:abstractNum>
  <w:abstractNum w:abstractNumId="14" w15:restartNumberingAfterBreak="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5" w15:restartNumberingAfterBreak="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4"/>
  </w:num>
  <w:num w:numId="2">
    <w:abstractNumId w:val="9"/>
  </w:num>
  <w:num w:numId="3">
    <w:abstractNumId w:val="7"/>
  </w:num>
  <w:num w:numId="4">
    <w:abstractNumId w:val="2"/>
  </w:num>
  <w:num w:numId="5">
    <w:abstractNumId w:val="8"/>
  </w:num>
  <w:num w:numId="6">
    <w:abstractNumId w:val="11"/>
  </w:num>
  <w:num w:numId="7">
    <w:abstractNumId w:val="6"/>
  </w:num>
  <w:num w:numId="8">
    <w:abstractNumId w:val="4"/>
  </w:num>
  <w:num w:numId="9">
    <w:abstractNumId w:val="3"/>
  </w:num>
  <w:num w:numId="10">
    <w:abstractNumId w:val="5"/>
  </w:num>
  <w:num w:numId="11">
    <w:abstractNumId w:val="15"/>
  </w:num>
  <w:num w:numId="12">
    <w:abstractNumId w:val="0"/>
  </w:num>
  <w:num w:numId="13">
    <w:abstractNumId w:val="1"/>
  </w:num>
  <w:num w:numId="14">
    <w:abstractNumId w:val="12"/>
  </w:num>
  <w:num w:numId="15">
    <w:abstractNumId w:val="10"/>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0247"/>
    <w:rsid w:val="00042837"/>
    <w:rsid w:val="000501A4"/>
    <w:rsid w:val="000532AA"/>
    <w:rsid w:val="000B1102"/>
    <w:rsid w:val="000C7459"/>
    <w:rsid w:val="000E013E"/>
    <w:rsid w:val="000F7725"/>
    <w:rsid w:val="00101D0F"/>
    <w:rsid w:val="00113E28"/>
    <w:rsid w:val="00114325"/>
    <w:rsid w:val="00166477"/>
    <w:rsid w:val="001730B0"/>
    <w:rsid w:val="001960B4"/>
    <w:rsid w:val="001A613C"/>
    <w:rsid w:val="001B2821"/>
    <w:rsid w:val="001C057E"/>
    <w:rsid w:val="001C6185"/>
    <w:rsid w:val="001E204F"/>
    <w:rsid w:val="001F4412"/>
    <w:rsid w:val="00203604"/>
    <w:rsid w:val="002064F7"/>
    <w:rsid w:val="00240887"/>
    <w:rsid w:val="00263521"/>
    <w:rsid w:val="002A7D21"/>
    <w:rsid w:val="002C0FD0"/>
    <w:rsid w:val="002C1EE0"/>
    <w:rsid w:val="002C4139"/>
    <w:rsid w:val="00301153"/>
    <w:rsid w:val="003079D5"/>
    <w:rsid w:val="00315B1D"/>
    <w:rsid w:val="00323027"/>
    <w:rsid w:val="00354F9A"/>
    <w:rsid w:val="0037370B"/>
    <w:rsid w:val="0037752E"/>
    <w:rsid w:val="00380052"/>
    <w:rsid w:val="0039415D"/>
    <w:rsid w:val="003D18F4"/>
    <w:rsid w:val="003D61C6"/>
    <w:rsid w:val="003E58C2"/>
    <w:rsid w:val="004332C9"/>
    <w:rsid w:val="00460EDF"/>
    <w:rsid w:val="004779AA"/>
    <w:rsid w:val="0049522B"/>
    <w:rsid w:val="00496F3E"/>
    <w:rsid w:val="004A0385"/>
    <w:rsid w:val="004C7D9F"/>
    <w:rsid w:val="005006C5"/>
    <w:rsid w:val="005026BC"/>
    <w:rsid w:val="00551B42"/>
    <w:rsid w:val="00551FF7"/>
    <w:rsid w:val="00574579"/>
    <w:rsid w:val="00574763"/>
    <w:rsid w:val="00580C5C"/>
    <w:rsid w:val="005A021D"/>
    <w:rsid w:val="005A2731"/>
    <w:rsid w:val="0062451B"/>
    <w:rsid w:val="00625723"/>
    <w:rsid w:val="00630344"/>
    <w:rsid w:val="00634DAD"/>
    <w:rsid w:val="00640B60"/>
    <w:rsid w:val="006457EB"/>
    <w:rsid w:val="006531CB"/>
    <w:rsid w:val="006C2C6D"/>
    <w:rsid w:val="006D4161"/>
    <w:rsid w:val="006D786C"/>
    <w:rsid w:val="006E1414"/>
    <w:rsid w:val="006F285F"/>
    <w:rsid w:val="0072219B"/>
    <w:rsid w:val="0072274C"/>
    <w:rsid w:val="007474F0"/>
    <w:rsid w:val="00753ADE"/>
    <w:rsid w:val="00773F61"/>
    <w:rsid w:val="00784776"/>
    <w:rsid w:val="007A4EBD"/>
    <w:rsid w:val="007B112B"/>
    <w:rsid w:val="007B5B26"/>
    <w:rsid w:val="007B691A"/>
    <w:rsid w:val="007C1FF6"/>
    <w:rsid w:val="007C66DF"/>
    <w:rsid w:val="007D61B8"/>
    <w:rsid w:val="007F7FF2"/>
    <w:rsid w:val="00805B42"/>
    <w:rsid w:val="008102AD"/>
    <w:rsid w:val="008131AD"/>
    <w:rsid w:val="00833191"/>
    <w:rsid w:val="00837997"/>
    <w:rsid w:val="00867FC5"/>
    <w:rsid w:val="00892F80"/>
    <w:rsid w:val="008B4F41"/>
    <w:rsid w:val="008C6F75"/>
    <w:rsid w:val="008E3D8A"/>
    <w:rsid w:val="008E7355"/>
    <w:rsid w:val="009015B2"/>
    <w:rsid w:val="00903B35"/>
    <w:rsid w:val="00906E90"/>
    <w:rsid w:val="00906FB1"/>
    <w:rsid w:val="0091051D"/>
    <w:rsid w:val="00933E1C"/>
    <w:rsid w:val="00936F84"/>
    <w:rsid w:val="00940851"/>
    <w:rsid w:val="009679D9"/>
    <w:rsid w:val="009802D2"/>
    <w:rsid w:val="009B1F5C"/>
    <w:rsid w:val="009B757F"/>
    <w:rsid w:val="009C6066"/>
    <w:rsid w:val="009D73F5"/>
    <w:rsid w:val="009E1A3F"/>
    <w:rsid w:val="009E53CF"/>
    <w:rsid w:val="009F0BD3"/>
    <w:rsid w:val="00A222E2"/>
    <w:rsid w:val="00A61AD5"/>
    <w:rsid w:val="00A65E62"/>
    <w:rsid w:val="00A73038"/>
    <w:rsid w:val="00A76C99"/>
    <w:rsid w:val="00A81EBE"/>
    <w:rsid w:val="00A9444C"/>
    <w:rsid w:val="00AC6B95"/>
    <w:rsid w:val="00B00E5C"/>
    <w:rsid w:val="00B4321D"/>
    <w:rsid w:val="00B666B9"/>
    <w:rsid w:val="00B76DC1"/>
    <w:rsid w:val="00B862C0"/>
    <w:rsid w:val="00BE2DD8"/>
    <w:rsid w:val="00C2305A"/>
    <w:rsid w:val="00C23CC9"/>
    <w:rsid w:val="00C30B3D"/>
    <w:rsid w:val="00C33AE2"/>
    <w:rsid w:val="00C8096C"/>
    <w:rsid w:val="00C8100B"/>
    <w:rsid w:val="00C85B62"/>
    <w:rsid w:val="00CA41D2"/>
    <w:rsid w:val="00CA4F20"/>
    <w:rsid w:val="00CC712C"/>
    <w:rsid w:val="00CD28D9"/>
    <w:rsid w:val="00D05C85"/>
    <w:rsid w:val="00D125D2"/>
    <w:rsid w:val="00D22748"/>
    <w:rsid w:val="00D26918"/>
    <w:rsid w:val="00D37121"/>
    <w:rsid w:val="00D779F7"/>
    <w:rsid w:val="00D87542"/>
    <w:rsid w:val="00D95C20"/>
    <w:rsid w:val="00D97C16"/>
    <w:rsid w:val="00DE1DAB"/>
    <w:rsid w:val="00DE20A2"/>
    <w:rsid w:val="00DF0B89"/>
    <w:rsid w:val="00E122EE"/>
    <w:rsid w:val="00E333DB"/>
    <w:rsid w:val="00E35682"/>
    <w:rsid w:val="00E46EA3"/>
    <w:rsid w:val="00E51C1B"/>
    <w:rsid w:val="00E53DA7"/>
    <w:rsid w:val="00EC6B44"/>
    <w:rsid w:val="00EE37A3"/>
    <w:rsid w:val="00EE57E1"/>
    <w:rsid w:val="00EF4539"/>
    <w:rsid w:val="00F36CB4"/>
    <w:rsid w:val="00F4385E"/>
    <w:rsid w:val="00F52944"/>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BBCF726"/>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F1"/>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26">
    <w:name w:val="רשת טבלה2"/>
    <w:basedOn w:val="TableNormal"/>
    <w:next w:val="TableGrid"/>
    <w:uiPriority w:val="59"/>
    <w:rsid w:val="00625723"/>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8" Type="http://schemas.openxmlformats.org/officeDocument/2006/relationships/footer" Target="footer1.xml"/><Relationship Id="rId26" Type="http://schemas.openxmlformats.org/officeDocument/2006/relationships/customXml" Target="../customXml/item4.xml"/><Relationship Id="rId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7" Type="http://schemas.openxmlformats.org/officeDocument/2006/relationships/header" Target="header2.xml"/><Relationship Id="rId25" Type="http://schemas.openxmlformats.org/officeDocument/2006/relationships/customXml" Target="../customXml/item3.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header" Target="header4.xml"/><Relationship Id="rId1" Type="http://schemas.openxmlformats.org/officeDocument/2006/relationships/footnotes" Target="footnotes.xml"/><Relationship Id="rId11" Type="http://schemas.openxmlformats.org/officeDocument/2006/relationships/image" Target="media/image5.jpeg"/><Relationship Id="rId6" Type="http://schemas.openxmlformats.org/officeDocument/2006/relationships/header" Target="header1.xml"/><Relationship Id="rId24" Type="http://schemas.openxmlformats.org/officeDocument/2006/relationships/customXml" Target="../customXml/item2.xml"/><Relationship Id="rId15" Type="http://schemas.openxmlformats.org/officeDocument/2006/relationships/image" Target="media/image9.jpeg"/><Relationship Id="rId23"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header" Target="header3.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813728-6270-4829-A8FA-36B6778EF3A7}">
  <ds:schemaRefs>
    <ds:schemaRef ds:uri="http://schemas.openxmlformats.org/officeDocument/2006/bibliography"/>
  </ds:schemaRefs>
</ds:datastoreItem>
</file>

<file path=customXml/itemProps2.xml><?xml version="1.0" encoding="utf-8"?>
<ds:datastoreItem xmlns:ds="http://schemas.openxmlformats.org/officeDocument/2006/customXml" ds:itemID="{FC89973D-4157-4A3C-868D-5D8D2FDAB4D7}"/>
</file>

<file path=customXml/itemProps3.xml><?xml version="1.0" encoding="utf-8"?>
<ds:datastoreItem xmlns:ds="http://schemas.openxmlformats.org/officeDocument/2006/customXml" ds:itemID="{56ED4D8E-26C4-4B9D-A6F3-36CBE265CA95}"/>
</file>

<file path=customXml/itemProps4.xml><?xml version="1.0" encoding="utf-8"?>
<ds:datastoreItem xmlns:ds="http://schemas.openxmlformats.org/officeDocument/2006/customXml" ds:itemID="{D0F1D734-C17F-4C4C-9779-E4507E44241C}"/>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