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A65E62" w:rsidP="00A65E62">
      <w:pPr>
        <w:spacing w:line="269" w:lineRule="auto"/>
        <w:ind w:left="-285"/>
        <w:jc w:val="center"/>
        <w:rPr>
          <w:rFonts w:ascii="Calibri" w:hAnsi="Calibri" w:cs="Calibri"/>
          <w:b/>
          <w:bCs/>
          <w:color w:val="002060"/>
          <w:sz w:val="80"/>
          <w:szCs w:val="80"/>
          <w:rtl/>
        </w:rPr>
      </w:pPr>
    </w:p>
    <w:p w:rsidR="00A65E62" w:rsidP="00A65E62">
      <w:pPr>
        <w:spacing w:line="269" w:lineRule="auto"/>
        <w:ind w:left="-285"/>
        <w:jc w:val="center"/>
        <w:rPr>
          <w:rFonts w:ascii="Calibri" w:hAnsi="Calibri" w:cs="Calibri"/>
          <w:b/>
          <w:bCs/>
          <w:color w:val="002060"/>
          <w:sz w:val="80"/>
          <w:szCs w:val="80"/>
          <w:rtl/>
        </w:rPr>
      </w:pPr>
    </w:p>
    <w:p w:rsidR="00A65E62" w:rsidP="00A65E62">
      <w:pPr>
        <w:spacing w:line="269" w:lineRule="auto"/>
        <w:ind w:left="-285"/>
        <w:jc w:val="center"/>
        <w:rPr>
          <w:rFonts w:ascii="Calibri" w:hAnsi="Calibri" w:cs="Calibri"/>
          <w:b/>
          <w:bCs/>
          <w:color w:val="002060"/>
          <w:sz w:val="80"/>
          <w:szCs w:val="80"/>
          <w:rtl/>
        </w:rPr>
      </w:pPr>
    </w:p>
    <w:p w:rsidR="00A65E62" w:rsidP="00A65E62">
      <w:pPr>
        <w:spacing w:line="269" w:lineRule="auto"/>
        <w:ind w:left="-285"/>
        <w:jc w:val="center"/>
        <w:rPr>
          <w:rFonts w:ascii="Calibri" w:hAnsi="Calibri" w:cs="Calibri"/>
          <w:b/>
          <w:bCs/>
          <w:color w:val="002060"/>
          <w:sz w:val="80"/>
          <w:szCs w:val="80"/>
          <w:rtl/>
        </w:rPr>
      </w:pPr>
    </w:p>
    <w:p w:rsidR="006E1414" w:rsidP="00A65E62">
      <w:pPr>
        <w:spacing w:line="269" w:lineRule="auto"/>
        <w:ind w:left="-285"/>
        <w:jc w:val="center"/>
        <w:rPr>
          <w:rFonts w:ascii="Calibri" w:hAnsi="Calibri" w:cs="Calibri"/>
          <w:b/>
          <w:bCs/>
          <w:color w:val="002060"/>
          <w:sz w:val="80"/>
          <w:szCs w:val="80"/>
          <w:rtl/>
        </w:rPr>
      </w:pPr>
      <w:r w:rsidRPr="00697197">
        <w:rPr>
          <w:rFonts w:ascii="Calibri" w:hAnsi="Calibri" w:cs="Calibri"/>
          <w:b/>
          <w:bCs/>
          <w:color w:val="002060"/>
          <w:sz w:val="80"/>
          <w:szCs w:val="80"/>
          <w:rtl/>
        </w:rPr>
        <w:t>משק הגפ"ם - תכנון, תשתיות ותחרותיות</w:t>
      </w:r>
    </w:p>
    <w:p w:rsidR="00D125D2" w:rsidRPr="00A65E62" w:rsidP="00A65E62">
      <w:pPr>
        <w:spacing w:line="269" w:lineRule="auto"/>
        <w:ind w:left="-285"/>
        <w:jc w:val="center"/>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54E4">
      <w:pPr>
        <w:bidi w:val="0"/>
        <w:spacing w:after="200" w:line="276" w:lineRule="auto"/>
        <w:rPr>
          <w:rFonts w:ascii="Calibri" w:hAnsi="Calibri" w:cs="Calibri"/>
          <w:b/>
          <w:bCs/>
          <w:color w:val="002060"/>
          <w:sz w:val="80"/>
          <w:szCs w:val="80"/>
        </w:rPr>
        <w:sectPr w:rsidSect="006C2C6D">
          <w:headerReference w:type="first" r:id="rId9"/>
          <w:pgSz w:w="11906" w:h="16838"/>
          <w:pgMar w:top="1701" w:right="1985" w:bottom="1588" w:left="1701" w:header="709" w:footer="709" w:gutter="0"/>
          <w:cols w:space="708"/>
          <w:titlePg/>
          <w:bidi/>
          <w:rtlGutter/>
          <w:docGrid w:linePitch="360"/>
        </w:sectPr>
      </w:pPr>
    </w:p>
    <w:tbl>
      <w:tblPr>
        <w:tblStyle w:val="26"/>
        <w:tblpPr w:leftFromText="180" w:rightFromText="180" w:vertAnchor="text" w:tblpXSpec="center" w:tblpY="1"/>
        <w:tblOverlap w:val="never"/>
        <w:bidiVisual/>
        <w:tblW w:w="9783"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3"/>
      </w:tblGrid>
      <w:tr w:rsidTr="00A5183C">
        <w:tblPrEx>
          <w:tblW w:w="9783" w:type="dxa"/>
          <w:tblLook w:val="04A0"/>
        </w:tblPrEx>
        <w:tc>
          <w:tcPr>
            <w:tcW w:w="9783" w:type="dxa"/>
          </w:tcPr>
          <w:p w:rsidR="00FC7C67" w:rsidRPr="00FC7C67" w:rsidP="00C02C37">
            <w:pPr>
              <w:spacing w:after="240" w:line="240" w:lineRule="auto"/>
              <w:rPr>
                <w:rFonts w:ascii="Tahoma" w:eastAsia="Calibri" w:hAnsi="Tahoma" w:cs="Tahoma"/>
                <w:sz w:val="36"/>
                <w:szCs w:val="36"/>
                <w:rtl/>
              </w:rPr>
            </w:pPr>
            <w:r w:rsidRPr="00C02C37">
              <w:rPr>
                <w:rFonts w:ascii="Tahoma" w:eastAsia="Calibri" w:hAnsi="Tahoma" w:cs="Tahoma"/>
                <w:b/>
                <w:bCs/>
                <w:sz w:val="36"/>
                <w:szCs w:val="36"/>
                <w:rtl/>
              </w:rPr>
              <w:t>משק הגפ"ם - תכנון, תשתיות ותחרותיות</w:t>
            </w:r>
          </w:p>
          <w:p w:rsidR="00FC7C67" w:rsidRPr="00C02C37" w:rsidP="00FC7C67">
            <w:pPr>
              <w:spacing w:line="240" w:lineRule="auto"/>
              <w:rPr>
                <w:rFonts w:ascii="Tahoma" w:eastAsia="Calibri" w:hAnsi="Tahoma" w:cs="Tahoma"/>
                <w:sz w:val="20"/>
                <w:rtl/>
              </w:rPr>
            </w:pPr>
            <w:r w:rsidRPr="00C02C37">
              <w:rPr>
                <w:rFonts w:ascii="Tahoma" w:eastAsia="Calibri" w:hAnsi="Tahoma" w:cs="Tahoma"/>
                <w:sz w:val="32"/>
                <w:szCs w:val="32"/>
                <w:rtl/>
              </w:rPr>
              <w:t>תקציר</w:t>
            </w:r>
          </w:p>
          <w:p w:rsidR="00FC7C67" w:rsidRPr="00FC7C67" w:rsidP="00FC7C67">
            <w:pPr>
              <w:spacing w:line="240" w:lineRule="auto"/>
              <w:ind w:left="-851"/>
              <w:rPr>
                <w:rFonts w:ascii="Tahoma" w:eastAsia="Calibri" w:hAnsi="Tahoma" w:cs="Tahoma"/>
                <w:szCs w:val="24"/>
                <w:rtl/>
              </w:rPr>
            </w:pPr>
          </w:p>
        </w:tc>
      </w:tr>
    </w:tbl>
    <w:p w:rsidR="00FC7C67" w:rsidRPr="00FC7C67" w:rsidP="00FC7C67">
      <w:pPr>
        <w:rPr>
          <w:rFonts w:ascii="Tahoma" w:eastAsia="Calibri" w:hAnsi="Tahoma" w:cs="Tahoma"/>
          <w:rtl/>
        </w:rPr>
      </w:pPr>
    </w:p>
    <w:p w:rsidR="00FC7C67" w:rsidRPr="00FC7C67" w:rsidP="00FC7C67">
      <w:pPr>
        <w:ind w:left="-851"/>
        <w:rPr>
          <w:rFonts w:ascii="Tahoma" w:eastAsia="Calibri" w:hAnsi="Tahoma" w:cs="Tahoma"/>
          <w:rtl/>
        </w:rPr>
      </w:pPr>
      <w:r w:rsidRPr="00FC7C67">
        <w:rPr>
          <w:rFonts w:ascii="Tahoma" w:eastAsia="Calibri" w:hAnsi="Tahoma" w:cs="Tahoma"/>
          <w:noProof/>
          <w:rtl/>
        </w:rPr>
        <w:drawing>
          <wp:inline distT="0" distB="0" distL="0" distR="0">
            <wp:extent cx="1638300" cy="411480"/>
            <wp:effectExtent l="0" t="0" r="0" b="762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קציר-05.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38300" cy="411480"/>
                    </a:xfrm>
                    <a:prstGeom prst="rect">
                      <a:avLst/>
                    </a:prstGeom>
                  </pic:spPr>
                </pic:pic>
              </a:graphicData>
            </a:graphic>
          </wp:inline>
        </w:drawing>
      </w:r>
    </w:p>
    <w:p w:rsidR="00FC7C67" w:rsidRPr="00FC7C67" w:rsidP="003B4D3F">
      <w:pPr>
        <w:spacing w:after="120" w:line="288" w:lineRule="auto"/>
        <w:ind w:left="-709" w:right="-709"/>
        <w:rPr>
          <w:rFonts w:ascii="Tahoma" w:eastAsia="Calibri" w:hAnsi="Tahoma" w:cs="Tahoma"/>
          <w:rtl/>
        </w:rPr>
      </w:pPr>
      <w:r w:rsidRPr="00FC7C67">
        <w:rPr>
          <w:rFonts w:ascii="Tahoma" w:eastAsia="Calibri" w:hAnsi="Tahoma" w:cs="Tahoma"/>
          <w:sz w:val="19"/>
          <w:szCs w:val="19"/>
          <w:rtl/>
        </w:rPr>
        <w:t xml:space="preserve">גז פחמימני מעובה (גפ"ם), הנקרא גם "גז בישול", הוא תוצר של זיקוק נפט גולמי. המרכיבים הפחמימניים שבנפט הגולמי מופרדים בתהליך של זיקוק שבו הנפט הגולמי מחומם ומוכנס למגדל הפרדה בבית הזיקוק. </w:t>
      </w:r>
    </w:p>
    <w:p w:rsidR="00FC7C67" w:rsidRPr="00FC7C67" w:rsidP="003B4D3F">
      <w:pPr>
        <w:spacing w:after="120" w:line="288" w:lineRule="auto"/>
        <w:ind w:left="-709" w:right="-709"/>
        <w:rPr>
          <w:rFonts w:ascii="Tahoma" w:eastAsia="Calibri" w:hAnsi="Tahoma" w:cs="Tahoma"/>
          <w:sz w:val="19"/>
          <w:szCs w:val="19"/>
          <w:rtl/>
        </w:rPr>
      </w:pPr>
      <w:r w:rsidRPr="00FC7C67">
        <w:rPr>
          <w:rFonts w:ascii="Tahoma" w:eastAsia="Calibri" w:hAnsi="Tahoma" w:cs="Tahoma"/>
          <w:sz w:val="19"/>
          <w:szCs w:val="19"/>
          <w:rtl/>
        </w:rPr>
        <w:t>שימושי הגפ"ם נחלקים לצרכנים פרטיים ותעשייתיים. צרכנים פרטיים משתמשים בגפ"ם לבישול, לחימום ולהסקה. צרכנים תעשייתיים משתמשים בגפ"ם כמקור אנרגיה לפעילותם.</w:t>
      </w:r>
    </w:p>
    <w:p w:rsidR="00FC7C67" w:rsidRPr="00FC7C67" w:rsidP="003B4D3F">
      <w:pPr>
        <w:spacing w:after="120" w:line="288" w:lineRule="auto"/>
        <w:ind w:left="-709" w:right="-709"/>
        <w:rPr>
          <w:rFonts w:ascii="Tahoma" w:eastAsia="Calibri" w:hAnsi="Tahoma" w:cs="Tahoma"/>
          <w:sz w:val="19"/>
          <w:szCs w:val="19"/>
          <w:rtl/>
        </w:rPr>
      </w:pPr>
      <w:r w:rsidRPr="00FC7C67">
        <w:rPr>
          <w:rFonts w:ascii="Tahoma" w:eastAsia="Calibri" w:hAnsi="Tahoma" w:cs="Tahoma"/>
          <w:sz w:val="19"/>
          <w:szCs w:val="19"/>
          <w:rtl/>
        </w:rPr>
        <w:t>מגזר המסחר והתעשייה צורך כ-36% מן הגפ"ם במדינה. בין הגופים הבולטים הצורכים גפ"ם כמקור אנרגיה לפעילותם נמצאים גופים המספקים שירותים חיוניים לציבור, כגון בתי חולים, מאפיות, לולים ומכבסות, אשר בשל אילוצים תשתיתיים וגיאוגרפיים תלויים באספקתו הרציפה. המגזר הביתי צורך כ-27% מן הגפ"ם במדינה, עוד כ-26% נמכרים לרשות הפלסטינית ו-11% מן הגפ"ם משמשים את ענפי החקלאות והתחבורה.</w:t>
      </w:r>
    </w:p>
    <w:p w:rsidR="00FC7C67" w:rsidRPr="00FC7C67" w:rsidP="003B4D3F">
      <w:pPr>
        <w:spacing w:after="120" w:line="288" w:lineRule="auto"/>
        <w:ind w:left="-709" w:right="-709"/>
        <w:rPr>
          <w:rFonts w:ascii="Tahoma" w:eastAsia="Calibri" w:hAnsi="Tahoma" w:cs="Tahoma"/>
          <w:sz w:val="19"/>
          <w:szCs w:val="19"/>
          <w:rtl/>
        </w:rPr>
      </w:pPr>
      <w:r w:rsidRPr="00FC7C67">
        <w:rPr>
          <w:rFonts w:ascii="Tahoma" w:eastAsia="Calibri" w:hAnsi="Tahoma" w:cs="Tahoma"/>
          <w:sz w:val="19"/>
          <w:szCs w:val="19"/>
          <w:rtl/>
        </w:rPr>
        <w:t xml:space="preserve">הייצור המקומי נעשה בשני בתי הזיקוק הפעילים במדינה: של חברת בתי זיקוק לנפט בע"מ (בז"ן), הממוקם במפרץ חיפה ומייצר כ-24,000 טונה בחודש, ושל חברת בית זיקוק אשדוד בע"מ (בז"א), הממוקם לצד נמל אשדוד ומייצר </w:t>
      </w:r>
      <w:r w:rsidRPr="00FC7C67">
        <w:rPr>
          <w:rFonts w:ascii="Tahoma" w:eastAsia="Calibri" w:hAnsi="Tahoma" w:cs="Tahoma"/>
          <w:sz w:val="19"/>
          <w:szCs w:val="19"/>
          <w:rtl/>
        </w:rPr>
        <w:br/>
        <w:t>כ-6,000 - 8,000 טונה בחודש. יתרת הביקוש מסופקת באמצעות יבוא גפ"ם, אשר נעשה באמצעות מִקְשָר הנפט מול חופי אשקלון המופעל על ידי חברת קו צינור אירופה-אסיה בע"מ (קצא"א).</w:t>
      </w:r>
    </w:p>
    <w:p w:rsidR="00FC7C67" w:rsidRPr="00FC7C67" w:rsidP="003B4D3F">
      <w:pPr>
        <w:spacing w:after="120" w:line="288" w:lineRule="auto"/>
        <w:ind w:left="-709" w:right="-709"/>
        <w:rPr>
          <w:rFonts w:ascii="Tahoma" w:eastAsia="Calibri" w:hAnsi="Tahoma" w:cs="Tahoma"/>
          <w:sz w:val="19"/>
          <w:szCs w:val="19"/>
          <w:rtl/>
        </w:rPr>
      </w:pPr>
      <w:r w:rsidRPr="00FC7C67">
        <w:rPr>
          <w:rFonts w:ascii="Tahoma" w:eastAsia="Calibri" w:hAnsi="Tahoma" w:cs="Tahoma"/>
          <w:sz w:val="19"/>
          <w:szCs w:val="19"/>
          <w:rtl/>
        </w:rPr>
        <w:t>במרץ 2022 התקבלה החלטת הממשלה 1231, העוסקת בהיערכות משק האנרגיה להפסקת זיקוק הנפט והפעילות של התעשייה הפטרוכימית במפרץ חיפה, בהתאם למגמה העולמית של צמצום השימוש בדלקים פוסיליים, לרבות גפ"ם, ומעבר לאנרגיות מתחדשות. החלטת הממשלה הבהירה כי הפסקת פעילות התעשייה הפטרוכימית מותנית בהבטחת הרציפות התפקודית של משק האנרגיה, ובפרט בתפקודם המלא של כל המתקנים, ובכלל זה מתקני אחסון החירום. לשם כך יש לקדם הקמת תשתיות ליבוא גפ"ם בצפון הארץ ובאשדוד חלף הייצור בבז"ן, שיופסק עם סגירתה.</w:t>
      </w:r>
    </w:p>
    <w:p w:rsidR="00FC7C67" w:rsidRPr="00FC7C67" w:rsidP="003B4D3F">
      <w:pPr>
        <w:spacing w:after="120" w:line="288" w:lineRule="auto"/>
        <w:ind w:left="-709" w:right="-709"/>
        <w:rPr>
          <w:rFonts w:ascii="Tahoma" w:eastAsia="Calibri" w:hAnsi="Tahoma" w:cs="Tahoma"/>
          <w:rtl/>
        </w:rPr>
      </w:pPr>
      <w:r w:rsidRPr="00FC7C67">
        <w:rPr>
          <w:rFonts w:ascii="Tahoma" w:eastAsia="Calibri" w:hAnsi="Tahoma" w:cs="Tahoma"/>
          <w:sz w:val="19"/>
          <w:szCs w:val="19"/>
          <w:rtl/>
        </w:rPr>
        <w:t>את הגפ"ם המיובא למדינה מאחסנים במתקני האחסון בחברת קצא"א, היכולים להכיל עד כ-10,000 טונה גפ"ם. קצא"א מנפקת את הגפ"ם ממתקניה באמצעות טרמינל</w:t>
      </w:r>
      <w:r w:rsidRPr="00FC7C67">
        <w:rPr>
          <w:rFonts w:ascii="Tahoma" w:eastAsia="Calibri" w:hAnsi="Tahoma" w:cs="Tahoma" w:hint="cs"/>
          <w:sz w:val="19"/>
          <w:szCs w:val="19"/>
          <w:rtl/>
        </w:rPr>
        <w:t xml:space="preserve"> שהיא מפעילה</w:t>
      </w:r>
      <w:r w:rsidRPr="00FC7C67">
        <w:rPr>
          <w:rFonts w:ascii="Tahoma" w:eastAsia="Calibri" w:hAnsi="Tahoma" w:cs="Tahoma"/>
          <w:sz w:val="19"/>
          <w:szCs w:val="19"/>
          <w:rtl/>
        </w:rPr>
        <w:t xml:space="preserve"> למכליות כביש של ספקי הגז</w:t>
      </w:r>
      <w:r>
        <w:rPr>
          <w:rFonts w:ascii="Tahoma" w:eastAsia="Calibri" w:hAnsi="Tahoma" w:cs="Tahoma"/>
          <w:vertAlign w:val="superscript"/>
          <w:rtl/>
        </w:rPr>
        <w:footnoteReference w:id="2"/>
      </w:r>
      <w:r w:rsidRPr="00FC7C67">
        <w:rPr>
          <w:rFonts w:ascii="Tahoma" w:eastAsia="Calibri" w:hAnsi="Tahoma" w:cs="Tahoma"/>
          <w:sz w:val="19"/>
          <w:szCs w:val="19"/>
          <w:rtl/>
        </w:rPr>
        <w:t>, ומשם משונע הגפ"ם לשם שיווקו לצרכני הקצה. טרמינלים דומים נמצאים גם בבתי הזיקוק בחיפה ובאשדוד, והם מנפקים את תוצרתם למכליות כביש</w:t>
      </w:r>
      <w:r>
        <w:rPr>
          <w:rFonts w:ascii="Tahoma" w:eastAsia="Calibri" w:hAnsi="Tahoma" w:cs="Tahoma"/>
          <w:vertAlign w:val="superscript"/>
          <w:rtl/>
        </w:rPr>
        <w:footnoteReference w:id="3"/>
      </w:r>
      <w:r w:rsidRPr="00FC7C67">
        <w:rPr>
          <w:rFonts w:ascii="Tahoma" w:eastAsia="Calibri" w:hAnsi="Tahoma" w:cs="Tahoma"/>
          <w:sz w:val="19"/>
          <w:szCs w:val="19"/>
          <w:rtl/>
        </w:rPr>
        <w:t xml:space="preserve"> של משווקי הגפ"ם. משמעות האמור לעיל היא שאספקה מלאה של הביקוש לגפ"ם במדינה תלויה הן בייצור המקומי הן ביבוא, וללא אחד ממקורות אלה ייתכן מחסור בגפ"ם במדינה. </w:t>
      </w:r>
    </w:p>
    <w:p w:rsidR="00FC7C67" w:rsidRPr="00FC7C67" w:rsidP="00FC7C67">
      <w:pPr>
        <w:bidi w:val="0"/>
        <w:spacing w:after="160" w:line="259" w:lineRule="auto"/>
        <w:jc w:val="left"/>
        <w:rPr>
          <w:rFonts w:ascii="Tahoma" w:eastAsia="Calibri" w:hAnsi="Tahoma" w:cs="Tahoma"/>
          <w:rtl/>
        </w:rPr>
      </w:pPr>
      <w:r w:rsidRPr="00FC7C67">
        <w:rPr>
          <w:rFonts w:ascii="Tahoma" w:eastAsia="Calibri" w:hAnsi="Tahoma" w:cs="Tahoma"/>
          <w:rtl/>
        </w:rPr>
        <w:br w:type="page"/>
      </w:r>
    </w:p>
    <w:p w:rsidR="00FC7C67" w:rsidRPr="00FC7C67" w:rsidP="00697197">
      <w:pPr>
        <w:ind w:left="-569"/>
        <w:rPr>
          <w:rFonts w:ascii="Tahoma" w:eastAsia="Calibri" w:hAnsi="Tahoma" w:cs="Tahoma"/>
          <w:b/>
          <w:bCs/>
          <w:sz w:val="22"/>
          <w:szCs w:val="22"/>
          <w:rtl/>
        </w:rPr>
      </w:pPr>
      <w:r w:rsidRPr="00FC7C67">
        <w:rPr>
          <w:rFonts w:ascii="Tahoma" w:eastAsia="Calibri" w:hAnsi="Tahoma" w:cs="Tahoma"/>
          <w:b/>
          <w:bCs/>
          <w:noProof/>
          <w:color w:val="FFFFFF"/>
          <w:sz w:val="22"/>
          <w:szCs w:val="22"/>
          <w:rtl/>
        </w:rPr>
        <w:drawing>
          <wp:anchor distT="0" distB="0" distL="114300" distR="114300" simplePos="0" relativeHeight="251661312" behindDoc="1" locked="0" layoutInCell="1" allowOverlap="1">
            <wp:simplePos x="0" y="0"/>
            <wp:positionH relativeFrom="column">
              <wp:posOffset>2438070</wp:posOffset>
            </wp:positionH>
            <wp:positionV relativeFrom="paragraph">
              <wp:posOffset>-66040</wp:posOffset>
            </wp:positionV>
            <wp:extent cx="3272614" cy="499110"/>
            <wp:effectExtent l="0" t="0" r="4445" b="0"/>
            <wp:wrapNone/>
            <wp:docPr id="20" name="תמונה 20"/>
            <wp:cNvGraphicFramePr/>
            <a:graphic xmlns:a="http://schemas.openxmlformats.org/drawingml/2006/main">
              <a:graphicData uri="http://schemas.openxmlformats.org/drawingml/2006/picture">
                <pic:pic xmlns:pic="http://schemas.openxmlformats.org/drawingml/2006/picture">
                  <pic:nvPicPr>
                    <pic:cNvPr id="20" name="תקציר-03.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72614" cy="499110"/>
                    </a:xfrm>
                    <a:prstGeom prst="rect">
                      <a:avLst/>
                    </a:prstGeom>
                  </pic:spPr>
                </pic:pic>
              </a:graphicData>
            </a:graphic>
            <wp14:sizeRelH relativeFrom="page">
              <wp14:pctWidth>0</wp14:pctWidth>
            </wp14:sizeRelH>
            <wp14:sizeRelV relativeFrom="page">
              <wp14:pctHeight>0</wp14:pctHeight>
            </wp14:sizeRelV>
          </wp:anchor>
        </w:drawing>
      </w:r>
      <w:r w:rsidRPr="00FC7C67">
        <w:rPr>
          <w:rFonts w:ascii="Tahoma" w:eastAsia="Calibri" w:hAnsi="Tahoma" w:cs="Tahoma"/>
          <w:b/>
          <w:bCs/>
          <w:color w:val="FFFFFF"/>
          <w:sz w:val="22"/>
          <w:szCs w:val="22"/>
          <w:rtl/>
        </w:rPr>
        <w:t>מקורות הגפ"ם ודרכי אספקתו לצרכנים</w:t>
      </w:r>
    </w:p>
    <w:p w:rsidR="00FC7C67" w:rsidRPr="00FC7C67" w:rsidP="00FC7C67">
      <w:pPr>
        <w:rPr>
          <w:rFonts w:ascii="Tahoma" w:eastAsia="Calibri" w:hAnsi="Tahoma" w:cs="Tahoma"/>
          <w:sz w:val="12"/>
          <w:szCs w:val="16"/>
          <w:rtl/>
        </w:rPr>
      </w:pPr>
    </w:p>
    <w:p w:rsidR="00FC7C67" w:rsidRPr="00FC7C67" w:rsidP="00FC7C67">
      <w:pPr>
        <w:ind w:left="141"/>
        <w:jc w:val="center"/>
        <w:rPr>
          <w:rFonts w:ascii="Tahoma" w:eastAsia="Calibri" w:hAnsi="Tahoma" w:cs="Tahoma"/>
          <w:rtl/>
        </w:rPr>
      </w:pPr>
      <w:r w:rsidRPr="00FC7C67">
        <w:rPr>
          <w:rFonts w:ascii="Tahoma" w:eastAsia="Calibri" w:hAnsi="Tahoma" w:cs="Tahoma"/>
          <w:noProof/>
        </w:rPr>
        <w:drawing>
          <wp:inline distT="0" distB="0" distL="0" distR="0">
            <wp:extent cx="3558950" cy="3160166"/>
            <wp:effectExtent l="0" t="0" r="3810" b="2540"/>
            <wp:docPr id="17" name="תמונה 17" descr="שרשרת אספקת הגפ&quot;ם מייצור מקומי או ייבוא ועד לצרכן הסו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2"/>
                    <a:stretch>
                      <a:fillRect/>
                    </a:stretch>
                  </pic:blipFill>
                  <pic:spPr>
                    <a:xfrm>
                      <a:off x="0" y="0"/>
                      <a:ext cx="3612986" cy="3208147"/>
                    </a:xfrm>
                    <a:prstGeom prst="rect">
                      <a:avLst/>
                    </a:prstGeom>
                  </pic:spPr>
                </pic:pic>
              </a:graphicData>
            </a:graphic>
          </wp:inline>
        </w:drawing>
      </w:r>
    </w:p>
    <w:p w:rsidR="00FC7C67" w:rsidRPr="00FC7C67" w:rsidP="00697197">
      <w:pPr>
        <w:ind w:left="-711"/>
        <w:rPr>
          <w:rFonts w:ascii="Tahoma" w:eastAsia="Calibri" w:hAnsi="Tahoma" w:cs="Tahoma"/>
          <w:rtl/>
        </w:rPr>
      </w:pPr>
      <w:r w:rsidRPr="00FC7C67">
        <w:rPr>
          <w:rFonts w:ascii="Tahoma" w:eastAsia="Calibri" w:hAnsi="Tahoma" w:cs="Tahoma"/>
          <w:sz w:val="16"/>
          <w:szCs w:val="16"/>
          <w:rtl/>
        </w:rPr>
        <w:t>הוכן בידי משרד מבקר המדינה.</w:t>
      </w:r>
    </w:p>
    <w:p w:rsidR="00FC7C67" w:rsidRPr="00FC7C67" w:rsidP="00FC7C67">
      <w:pPr>
        <w:rPr>
          <w:rFonts w:ascii="Tahoma" w:eastAsia="Calibri" w:hAnsi="Tahoma" w:cs="Tahoma"/>
          <w:rtl/>
        </w:rPr>
      </w:pPr>
    </w:p>
    <w:p w:rsidR="00FC7C67" w:rsidRPr="00FC7C67" w:rsidP="00697197">
      <w:pPr>
        <w:ind w:left="-851"/>
        <w:rPr>
          <w:rFonts w:ascii="Tahoma" w:eastAsia="Calibri" w:hAnsi="Tahoma" w:cs="Tahoma"/>
          <w:rtl/>
        </w:rPr>
      </w:pPr>
      <w:r w:rsidRPr="00FC7C67">
        <w:rPr>
          <w:rFonts w:ascii="Tahoma" w:eastAsia="Calibri" w:hAnsi="Tahoma" w:cs="Tahoma"/>
          <w:noProof/>
          <w:rtl/>
        </w:rPr>
        <w:drawing>
          <wp:inline distT="0" distB="0" distL="0" distR="0">
            <wp:extent cx="1674111" cy="381000"/>
            <wp:effectExtent l="0" t="0" r="254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קציר-04.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75228" cy="381254"/>
                    </a:xfrm>
                    <a:prstGeom prst="rect">
                      <a:avLst/>
                    </a:prstGeom>
                  </pic:spPr>
                </pic:pic>
              </a:graphicData>
            </a:graphic>
          </wp:inline>
        </w:drawing>
      </w:r>
    </w:p>
    <w:tbl>
      <w:tblPr>
        <w:tblStyle w:val="26"/>
        <w:tblpPr w:leftFromText="180" w:rightFromText="180" w:vertAnchor="text" w:tblpXSpec="center" w:tblpY="1"/>
        <w:tblOverlap w:val="never"/>
        <w:bidiVisual/>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7"/>
        <w:gridCol w:w="284"/>
        <w:gridCol w:w="2268"/>
        <w:gridCol w:w="283"/>
        <w:gridCol w:w="2268"/>
        <w:gridCol w:w="284"/>
        <w:gridCol w:w="2268"/>
      </w:tblGrid>
      <w:tr w:rsidTr="00FE69B5">
        <w:tblPrEx>
          <w:tblW w:w="9642" w:type="dxa"/>
          <w:tblLook w:val="04A0"/>
        </w:tblPrEx>
        <w:trPr>
          <w:trHeight w:val="283"/>
        </w:trPr>
        <w:tc>
          <w:tcPr>
            <w:tcW w:w="1987" w:type="dxa"/>
            <w:tcBorders>
              <w:bottom w:val="single" w:sz="12" w:space="0" w:color="auto"/>
            </w:tcBorders>
            <w:shd w:val="clear" w:color="auto" w:fill="auto"/>
            <w:vAlign w:val="bottom"/>
          </w:tcPr>
          <w:p w:rsidR="00FC7C67" w:rsidRPr="00FC7C67" w:rsidP="00FC7C67">
            <w:pPr>
              <w:spacing w:after="60" w:line="240" w:lineRule="auto"/>
              <w:rPr>
                <w:rFonts w:ascii="Tahoma" w:eastAsia="Calibri" w:hAnsi="Tahoma" w:cs="Tahoma"/>
                <w:spacing w:val="-10"/>
                <w:sz w:val="36"/>
                <w:szCs w:val="36"/>
                <w:rtl/>
              </w:rPr>
            </w:pPr>
            <w:r w:rsidRPr="00FC7C67">
              <w:rPr>
                <w:rFonts w:ascii="Tahoma" w:eastAsia="Calibri" w:hAnsi="Tahoma" w:cs="Tahoma"/>
                <w:spacing w:val="-10"/>
                <w:sz w:val="36"/>
                <w:szCs w:val="36"/>
                <w:rtl/>
              </w:rPr>
              <w:t xml:space="preserve">63% </w:t>
            </w:r>
          </w:p>
        </w:tc>
        <w:tc>
          <w:tcPr>
            <w:tcW w:w="284" w:type="dxa"/>
            <w:vAlign w:val="bottom"/>
          </w:tcPr>
          <w:p w:rsidR="00FC7C67" w:rsidRPr="00FC7C67" w:rsidP="00FC7C67">
            <w:pPr>
              <w:spacing w:line="240" w:lineRule="auto"/>
              <w:rPr>
                <w:rFonts w:ascii="Tahoma" w:eastAsia="Calibri" w:hAnsi="Tahoma" w:cs="Tahoma"/>
                <w:spacing w:val="-10"/>
              </w:rPr>
            </w:pPr>
          </w:p>
        </w:tc>
        <w:tc>
          <w:tcPr>
            <w:tcW w:w="2268" w:type="dxa"/>
            <w:tcBorders>
              <w:bottom w:val="single" w:sz="12" w:space="0" w:color="auto"/>
            </w:tcBorders>
            <w:vAlign w:val="bottom"/>
          </w:tcPr>
          <w:p w:rsidR="00FC7C67" w:rsidRPr="00FC7C67" w:rsidP="00FC7C67">
            <w:pPr>
              <w:spacing w:after="60" w:line="240" w:lineRule="auto"/>
              <w:rPr>
                <w:rFonts w:ascii="Tahoma" w:eastAsia="Calibri" w:hAnsi="Tahoma" w:cs="Tahoma"/>
                <w:spacing w:val="-10"/>
                <w:sz w:val="36"/>
                <w:szCs w:val="36"/>
                <w:rtl/>
              </w:rPr>
            </w:pPr>
            <w:r w:rsidRPr="00FC7C67">
              <w:rPr>
                <w:rFonts w:ascii="Tahoma" w:eastAsia="Calibri" w:hAnsi="Tahoma" w:cs="Tahoma"/>
                <w:spacing w:val="-10"/>
                <w:sz w:val="36"/>
                <w:szCs w:val="36"/>
                <w:rtl/>
              </w:rPr>
              <w:t xml:space="preserve">1 </w:t>
            </w:r>
            <w:r w:rsidRPr="00FC7C67">
              <w:rPr>
                <w:rFonts w:ascii="Tahoma" w:eastAsia="Calibri" w:hAnsi="Tahoma" w:cs="Tahoma"/>
                <w:spacing w:val="-10"/>
                <w:sz w:val="26"/>
                <w:szCs w:val="26"/>
                <w:rtl/>
              </w:rPr>
              <w:t>בלבד</w:t>
            </w:r>
            <w:r w:rsidRPr="00FC7C67">
              <w:rPr>
                <w:rFonts w:ascii="Tahoma" w:eastAsia="Calibri" w:hAnsi="Tahoma" w:cs="Tahoma"/>
                <w:spacing w:val="-10"/>
                <w:sz w:val="36"/>
                <w:szCs w:val="36"/>
                <w:rtl/>
              </w:rPr>
              <w:t xml:space="preserve"> </w:t>
            </w:r>
          </w:p>
        </w:tc>
        <w:tc>
          <w:tcPr>
            <w:tcW w:w="283" w:type="dxa"/>
            <w:vAlign w:val="bottom"/>
          </w:tcPr>
          <w:p w:rsidR="00FC7C67" w:rsidRPr="00FC7C67" w:rsidP="00FC7C67">
            <w:pPr>
              <w:spacing w:line="240" w:lineRule="auto"/>
              <w:rPr>
                <w:rFonts w:ascii="Tahoma" w:eastAsia="Calibri" w:hAnsi="Tahoma" w:cs="Tahoma"/>
                <w:spacing w:val="-10"/>
              </w:rPr>
            </w:pPr>
          </w:p>
        </w:tc>
        <w:tc>
          <w:tcPr>
            <w:tcW w:w="2268" w:type="dxa"/>
            <w:tcBorders>
              <w:bottom w:val="single" w:sz="12" w:space="0" w:color="auto"/>
            </w:tcBorders>
            <w:vAlign w:val="bottom"/>
          </w:tcPr>
          <w:p w:rsidR="00FC7C67" w:rsidRPr="00FC7C67" w:rsidP="00FC7C67">
            <w:pPr>
              <w:spacing w:after="60" w:line="240" w:lineRule="auto"/>
              <w:rPr>
                <w:rFonts w:ascii="Tahoma" w:eastAsia="Calibri" w:hAnsi="Tahoma" w:cs="Tahoma"/>
                <w:spacing w:val="-10"/>
                <w:sz w:val="36"/>
                <w:szCs w:val="36"/>
              </w:rPr>
            </w:pPr>
            <w:r w:rsidRPr="00FC7C67">
              <w:rPr>
                <w:rFonts w:ascii="Tahoma" w:eastAsia="Calibri" w:hAnsi="Tahoma" w:cs="Tahoma"/>
                <w:spacing w:val="-10"/>
                <w:sz w:val="36"/>
                <w:szCs w:val="36"/>
                <w:rtl/>
              </w:rPr>
              <w:t>82%</w:t>
            </w:r>
          </w:p>
        </w:tc>
        <w:tc>
          <w:tcPr>
            <w:tcW w:w="284" w:type="dxa"/>
            <w:vAlign w:val="bottom"/>
          </w:tcPr>
          <w:p w:rsidR="00FC7C67" w:rsidRPr="00FC7C67" w:rsidP="00FC7C67">
            <w:pPr>
              <w:spacing w:line="240" w:lineRule="auto"/>
              <w:rPr>
                <w:rFonts w:ascii="Tahoma" w:eastAsia="Calibri" w:hAnsi="Tahoma" w:cs="Tahoma"/>
                <w:spacing w:val="-10"/>
              </w:rPr>
            </w:pPr>
          </w:p>
        </w:tc>
        <w:tc>
          <w:tcPr>
            <w:tcW w:w="2268" w:type="dxa"/>
            <w:tcBorders>
              <w:bottom w:val="single" w:sz="12" w:space="0" w:color="auto"/>
            </w:tcBorders>
            <w:vAlign w:val="bottom"/>
          </w:tcPr>
          <w:p w:rsidR="00FC7C67" w:rsidRPr="00FC7C67" w:rsidP="00FC7C67">
            <w:pPr>
              <w:spacing w:after="60" w:line="240" w:lineRule="auto"/>
              <w:rPr>
                <w:rFonts w:ascii="Tahoma" w:eastAsia="Calibri" w:hAnsi="Tahoma" w:cs="Tahoma"/>
                <w:spacing w:val="-10"/>
                <w:sz w:val="36"/>
                <w:szCs w:val="36"/>
                <w:rtl/>
              </w:rPr>
            </w:pPr>
            <w:r w:rsidRPr="00FC7C67">
              <w:rPr>
                <w:rFonts w:ascii="Tahoma" w:eastAsia="Calibri" w:hAnsi="Tahoma" w:cs="Tahoma"/>
                <w:spacing w:val="-10"/>
                <w:sz w:val="36"/>
                <w:szCs w:val="36"/>
                <w:rtl/>
              </w:rPr>
              <w:t xml:space="preserve">63% </w:t>
            </w:r>
            <w:r w:rsidRPr="00FC7C67">
              <w:rPr>
                <w:rFonts w:ascii="Tahoma" w:eastAsia="Calibri" w:hAnsi="Tahoma" w:cs="Tahoma"/>
                <w:spacing w:val="-10"/>
                <w:sz w:val="26"/>
                <w:szCs w:val="26"/>
                <w:rtl/>
              </w:rPr>
              <w:t>ו-</w:t>
            </w:r>
            <w:r w:rsidRPr="00FC7C67">
              <w:rPr>
                <w:rFonts w:ascii="Tahoma" w:eastAsia="Calibri" w:hAnsi="Tahoma" w:cs="Tahoma"/>
                <w:spacing w:val="-10"/>
                <w:sz w:val="36"/>
                <w:szCs w:val="36"/>
                <w:rtl/>
              </w:rPr>
              <w:t>77%</w:t>
            </w:r>
          </w:p>
        </w:tc>
      </w:tr>
      <w:tr w:rsidTr="00FE69B5">
        <w:tblPrEx>
          <w:tblW w:w="9642" w:type="dxa"/>
          <w:tblLook w:val="04A0"/>
        </w:tblPrEx>
        <w:trPr>
          <w:trHeight w:val="1155"/>
        </w:trPr>
        <w:tc>
          <w:tcPr>
            <w:tcW w:w="1987" w:type="dxa"/>
          </w:tcPr>
          <w:p w:rsidR="00FC7C67" w:rsidRPr="00FC7C67" w:rsidP="00FC7C67">
            <w:pPr>
              <w:spacing w:before="60" w:line="240" w:lineRule="auto"/>
              <w:ind w:right="23"/>
              <w:rPr>
                <w:rFonts w:ascii="Tahoma" w:eastAsia="Calibri" w:hAnsi="Tahoma" w:cs="Tahoma"/>
                <w:sz w:val="19"/>
                <w:szCs w:val="19"/>
                <w:rtl/>
              </w:rPr>
            </w:pPr>
            <w:r w:rsidRPr="00FC7C67">
              <w:rPr>
                <w:rFonts w:ascii="Tahoma" w:eastAsia="Calibri" w:hAnsi="Tahoma" w:cs="Tahoma"/>
                <w:sz w:val="19"/>
                <w:szCs w:val="19"/>
                <w:rtl/>
              </w:rPr>
              <w:t xml:space="preserve">מהצריכה המקומית מסופקת על ידי הייצור המקומי של גפ"ם (44% מבז"ן </w:t>
            </w:r>
            <w:r w:rsidR="00C02C37">
              <w:rPr>
                <w:rFonts w:ascii="Tahoma" w:eastAsia="Calibri" w:hAnsi="Tahoma" w:cs="Tahoma"/>
                <w:sz w:val="19"/>
                <w:szCs w:val="19"/>
                <w:rtl/>
              </w:rPr>
              <w:br/>
            </w:r>
            <w:r w:rsidRPr="00FC7C67">
              <w:rPr>
                <w:rFonts w:ascii="Tahoma" w:eastAsia="Calibri" w:hAnsi="Tahoma" w:cs="Tahoma"/>
                <w:sz w:val="19"/>
                <w:szCs w:val="19"/>
                <w:rtl/>
              </w:rPr>
              <w:t xml:space="preserve">ו-19% מבז"א), לעומת 37% המסופקים מיבוא, נכון לשנת 2026 </w:t>
            </w:r>
          </w:p>
        </w:tc>
        <w:tc>
          <w:tcPr>
            <w:tcW w:w="284" w:type="dxa"/>
          </w:tcPr>
          <w:p w:rsidR="00FC7C67" w:rsidRPr="00FC7C67" w:rsidP="00FC7C67">
            <w:pPr>
              <w:spacing w:before="60" w:line="240" w:lineRule="exact"/>
              <w:rPr>
                <w:rFonts w:ascii="Tahoma" w:eastAsia="Calibri" w:hAnsi="Tahoma" w:cs="Tahoma"/>
                <w:szCs w:val="24"/>
                <w:rtl/>
              </w:rPr>
            </w:pPr>
          </w:p>
        </w:tc>
        <w:tc>
          <w:tcPr>
            <w:tcW w:w="2268" w:type="dxa"/>
          </w:tcPr>
          <w:p w:rsidR="00FC7C67" w:rsidRPr="00FC7C67" w:rsidP="00FC7C67">
            <w:pPr>
              <w:spacing w:before="60" w:line="240" w:lineRule="auto"/>
              <w:ind w:right="23"/>
              <w:rPr>
                <w:rFonts w:ascii="Tahoma" w:eastAsia="Calibri" w:hAnsi="Tahoma" w:cs="Tahoma"/>
                <w:sz w:val="19"/>
                <w:szCs w:val="19"/>
                <w:rtl/>
              </w:rPr>
            </w:pPr>
            <w:r w:rsidRPr="00FC7C67">
              <w:rPr>
                <w:rFonts w:ascii="Tahoma" w:eastAsia="Calibri" w:hAnsi="Tahoma" w:cs="Tahoma"/>
                <w:sz w:val="19"/>
                <w:szCs w:val="19"/>
                <w:rtl/>
              </w:rPr>
              <w:t>מקשר ימי אחד בלבד לייבוא גפ"ם למדינה ממוקם מול חופי אשקלון ומתופעל בידי חברת קצא"א. כמו כן קיים רק סוחר (טריידר) אחד של גפ"ם המיובא מחו"ל</w:t>
            </w:r>
          </w:p>
        </w:tc>
        <w:tc>
          <w:tcPr>
            <w:tcW w:w="283" w:type="dxa"/>
          </w:tcPr>
          <w:p w:rsidR="00FC7C67" w:rsidRPr="00FC7C67" w:rsidP="00FC7C67">
            <w:pPr>
              <w:spacing w:before="60" w:line="240" w:lineRule="exact"/>
              <w:rPr>
                <w:rFonts w:ascii="Tahoma" w:eastAsia="Calibri" w:hAnsi="Tahoma" w:cs="Tahoma"/>
                <w:sz w:val="19"/>
                <w:szCs w:val="19"/>
                <w:rtl/>
              </w:rPr>
            </w:pPr>
          </w:p>
        </w:tc>
        <w:tc>
          <w:tcPr>
            <w:tcW w:w="2268" w:type="dxa"/>
          </w:tcPr>
          <w:p w:rsidR="00FC7C67" w:rsidRPr="00FC7C67" w:rsidP="00FC7C67">
            <w:pPr>
              <w:spacing w:before="60" w:line="240" w:lineRule="auto"/>
              <w:ind w:right="23"/>
              <w:rPr>
                <w:rFonts w:ascii="Tahoma" w:eastAsia="Calibri" w:hAnsi="Tahoma" w:cs="Tahoma"/>
                <w:sz w:val="19"/>
                <w:szCs w:val="19"/>
                <w:rtl/>
              </w:rPr>
            </w:pPr>
            <w:r w:rsidRPr="00FC7C67">
              <w:rPr>
                <w:rFonts w:ascii="Tahoma" w:eastAsia="Calibri" w:hAnsi="Tahoma" w:cs="Tahoma"/>
                <w:sz w:val="19"/>
                <w:szCs w:val="19"/>
                <w:rtl/>
              </w:rPr>
              <w:t xml:space="preserve">השיעור הצפוי של יבוא גפ"ם מכלל הצריכה המקומית לאחר סגירת בז"ן, הצפויה </w:t>
            </w:r>
            <w:r w:rsidRPr="00FC7C67">
              <w:rPr>
                <w:rFonts w:ascii="Tahoma" w:eastAsia="Calibri" w:hAnsi="Tahoma" w:cs="Tahoma"/>
                <w:sz w:val="19"/>
                <w:szCs w:val="19"/>
                <w:rtl/>
              </w:rPr>
              <w:br/>
              <w:t xml:space="preserve">ב-2030, כך שיידרשו </w:t>
            </w:r>
            <w:r w:rsidR="00C02C37">
              <w:rPr>
                <w:rFonts w:ascii="Tahoma" w:eastAsia="Calibri" w:hAnsi="Tahoma" w:cs="Tahoma"/>
                <w:sz w:val="19"/>
                <w:szCs w:val="19"/>
                <w:rtl/>
              </w:rPr>
              <w:br/>
            </w:r>
            <w:r w:rsidRPr="00FC7C67">
              <w:rPr>
                <w:rFonts w:ascii="Tahoma" w:eastAsia="Calibri" w:hAnsi="Tahoma" w:cs="Tahoma"/>
                <w:sz w:val="19"/>
                <w:szCs w:val="19"/>
                <w:rtl/>
              </w:rPr>
              <w:t>כ-500,000 טונה גפ"ם מיובאים בשנה</w:t>
            </w:r>
          </w:p>
        </w:tc>
        <w:tc>
          <w:tcPr>
            <w:tcW w:w="284" w:type="dxa"/>
          </w:tcPr>
          <w:p w:rsidR="00FC7C67" w:rsidRPr="00FC7C67" w:rsidP="00FC7C67">
            <w:pPr>
              <w:spacing w:before="60" w:line="240" w:lineRule="exact"/>
              <w:rPr>
                <w:rFonts w:ascii="Tahoma" w:eastAsia="Calibri" w:hAnsi="Tahoma" w:cs="Tahoma"/>
                <w:sz w:val="19"/>
                <w:szCs w:val="19"/>
                <w:rtl/>
              </w:rPr>
            </w:pPr>
          </w:p>
        </w:tc>
        <w:tc>
          <w:tcPr>
            <w:tcW w:w="2268" w:type="dxa"/>
          </w:tcPr>
          <w:p w:rsidR="00FC7C67" w:rsidRPr="00FC7C67" w:rsidP="00FC7C67">
            <w:pPr>
              <w:spacing w:before="60" w:line="240" w:lineRule="auto"/>
              <w:ind w:right="23"/>
              <w:rPr>
                <w:rFonts w:ascii="Tahoma" w:eastAsia="Calibri" w:hAnsi="Tahoma" w:cs="Tahoma"/>
                <w:sz w:val="19"/>
                <w:szCs w:val="19"/>
                <w:rtl/>
              </w:rPr>
            </w:pPr>
            <w:r w:rsidRPr="00FC7C67">
              <w:rPr>
                <w:rFonts w:ascii="Tahoma" w:eastAsia="Calibri" w:hAnsi="Tahoma" w:cs="Tahoma"/>
                <w:sz w:val="19"/>
                <w:szCs w:val="19"/>
                <w:rtl/>
              </w:rPr>
              <w:t>נתחי השוק של ארבעת ספקי הגז הגדולים למגזר הביתי באספקת גפ"ם באמצעות מכלים מיטלטלים ובאמצעות מכל נייח, בהתאמה. הדבר משפיע על מחירי הגפ"ם לצרכן הביתי ועל יכולת המעבר מספק גז אחד למשנהו</w:t>
            </w:r>
          </w:p>
        </w:tc>
      </w:tr>
      <w:tr w:rsidTr="00FE69B5">
        <w:tblPrEx>
          <w:tblW w:w="9642" w:type="dxa"/>
          <w:tblLook w:val="04A0"/>
        </w:tblPrEx>
        <w:trPr>
          <w:trHeight w:val="235"/>
        </w:trPr>
        <w:tc>
          <w:tcPr>
            <w:tcW w:w="9642" w:type="dxa"/>
            <w:gridSpan w:val="7"/>
          </w:tcPr>
          <w:p w:rsidR="00FC7C67" w:rsidRPr="00FC7C67" w:rsidP="00FC7C67">
            <w:pPr>
              <w:jc w:val="center"/>
              <w:rPr>
                <w:rFonts w:ascii="Tahoma" w:eastAsia="Calibri" w:hAnsi="Tahoma" w:cs="Tahoma"/>
                <w:sz w:val="2"/>
                <w:szCs w:val="2"/>
                <w:rtl/>
              </w:rPr>
            </w:pPr>
          </w:p>
        </w:tc>
      </w:tr>
      <w:tr w:rsidTr="00FE69B5">
        <w:tblPrEx>
          <w:tblW w:w="9642" w:type="dxa"/>
          <w:tblLook w:val="04A0"/>
        </w:tblPrEx>
        <w:trPr>
          <w:trHeight w:val="227"/>
        </w:trPr>
        <w:tc>
          <w:tcPr>
            <w:tcW w:w="1987" w:type="dxa"/>
            <w:tcBorders>
              <w:bottom w:val="single" w:sz="12" w:space="0" w:color="auto"/>
            </w:tcBorders>
            <w:vAlign w:val="bottom"/>
          </w:tcPr>
          <w:p w:rsidR="00FC7C67" w:rsidRPr="00FC7C67" w:rsidP="00FC7C67">
            <w:pPr>
              <w:spacing w:after="60" w:line="240" w:lineRule="auto"/>
              <w:rPr>
                <w:rFonts w:ascii="Tahoma" w:eastAsia="Calibri" w:hAnsi="Tahoma" w:cs="Tahoma"/>
                <w:spacing w:val="-10"/>
                <w:sz w:val="36"/>
                <w:szCs w:val="36"/>
              </w:rPr>
            </w:pPr>
            <w:r w:rsidRPr="00FC7C67">
              <w:rPr>
                <w:rFonts w:ascii="Tahoma" w:eastAsia="Calibri" w:hAnsi="Tahoma" w:cs="Tahoma"/>
                <w:spacing w:val="-10"/>
                <w:sz w:val="36"/>
                <w:szCs w:val="36"/>
                <w:rtl/>
              </w:rPr>
              <w:t xml:space="preserve">3 </w:t>
            </w:r>
            <w:r w:rsidRPr="00FC7C67">
              <w:rPr>
                <w:rFonts w:ascii="Tahoma" w:eastAsia="Calibri" w:hAnsi="Tahoma" w:cs="Tahoma"/>
                <w:spacing w:val="-10"/>
                <w:sz w:val="26"/>
                <w:szCs w:val="26"/>
                <w:rtl/>
              </w:rPr>
              <w:t>ימים בלבד</w:t>
            </w:r>
          </w:p>
        </w:tc>
        <w:tc>
          <w:tcPr>
            <w:tcW w:w="284" w:type="dxa"/>
            <w:vAlign w:val="bottom"/>
          </w:tcPr>
          <w:p w:rsidR="00FC7C67" w:rsidRPr="00FC7C67" w:rsidP="00FC7C67">
            <w:pPr>
              <w:spacing w:line="240" w:lineRule="auto"/>
              <w:rPr>
                <w:rFonts w:ascii="Tahoma" w:eastAsia="Calibri" w:hAnsi="Tahoma" w:cs="Tahoma"/>
                <w:spacing w:val="-10"/>
              </w:rPr>
            </w:pPr>
          </w:p>
        </w:tc>
        <w:tc>
          <w:tcPr>
            <w:tcW w:w="2268" w:type="dxa"/>
            <w:tcBorders>
              <w:bottom w:val="single" w:sz="12" w:space="0" w:color="auto"/>
            </w:tcBorders>
            <w:vAlign w:val="bottom"/>
          </w:tcPr>
          <w:p w:rsidR="00FC7C67" w:rsidRPr="00FC7C67" w:rsidP="00FC7C67">
            <w:pPr>
              <w:spacing w:after="60" w:line="240" w:lineRule="auto"/>
              <w:rPr>
                <w:rFonts w:ascii="Tahoma" w:eastAsia="Calibri" w:hAnsi="Tahoma" w:cs="Tahoma"/>
                <w:spacing w:val="-10"/>
                <w:sz w:val="36"/>
                <w:szCs w:val="36"/>
              </w:rPr>
            </w:pPr>
            <w:r w:rsidRPr="00FC7C67">
              <w:rPr>
                <w:rFonts w:ascii="Tahoma" w:eastAsia="Calibri" w:hAnsi="Tahoma" w:cs="Tahoma"/>
                <w:spacing w:val="-10"/>
                <w:sz w:val="36"/>
                <w:szCs w:val="36"/>
                <w:rtl/>
              </w:rPr>
              <w:t>111%</w:t>
            </w:r>
          </w:p>
        </w:tc>
        <w:tc>
          <w:tcPr>
            <w:tcW w:w="283" w:type="dxa"/>
            <w:vAlign w:val="bottom"/>
          </w:tcPr>
          <w:p w:rsidR="00FC7C67" w:rsidRPr="00FC7C67" w:rsidP="00FC7C67">
            <w:pPr>
              <w:spacing w:line="240" w:lineRule="auto"/>
              <w:rPr>
                <w:rFonts w:ascii="Tahoma" w:eastAsia="Calibri" w:hAnsi="Tahoma" w:cs="Tahoma"/>
                <w:spacing w:val="-10"/>
              </w:rPr>
            </w:pPr>
          </w:p>
        </w:tc>
        <w:tc>
          <w:tcPr>
            <w:tcW w:w="2268" w:type="dxa"/>
            <w:tcBorders>
              <w:bottom w:val="single" w:sz="12" w:space="0" w:color="auto"/>
            </w:tcBorders>
            <w:vAlign w:val="bottom"/>
          </w:tcPr>
          <w:p w:rsidR="00FC7C67" w:rsidRPr="00FC7C67" w:rsidP="00FC7C67">
            <w:pPr>
              <w:spacing w:after="60" w:line="240" w:lineRule="auto"/>
              <w:rPr>
                <w:rFonts w:ascii="Tahoma" w:eastAsia="Calibri" w:hAnsi="Tahoma" w:cs="Tahoma"/>
                <w:spacing w:val="-10"/>
                <w:sz w:val="36"/>
                <w:szCs w:val="36"/>
              </w:rPr>
            </w:pPr>
            <w:r w:rsidRPr="00FC7C67">
              <w:rPr>
                <w:rFonts w:ascii="Tahoma" w:eastAsia="Calibri" w:hAnsi="Tahoma" w:cs="Tahoma"/>
                <w:spacing w:val="-10"/>
                <w:sz w:val="36"/>
                <w:szCs w:val="36"/>
                <w:rtl/>
              </w:rPr>
              <w:t xml:space="preserve">422 </w:t>
            </w:r>
            <w:r w:rsidRPr="00FC7C67">
              <w:rPr>
                <w:rFonts w:ascii="Tahoma" w:eastAsia="Calibri" w:hAnsi="Tahoma" w:cs="Tahoma"/>
                <w:spacing w:val="-10"/>
                <w:sz w:val="26"/>
                <w:szCs w:val="26"/>
                <w:rtl/>
              </w:rPr>
              <w:t>ש"ח</w:t>
            </w:r>
          </w:p>
        </w:tc>
        <w:tc>
          <w:tcPr>
            <w:tcW w:w="284" w:type="dxa"/>
            <w:vAlign w:val="bottom"/>
          </w:tcPr>
          <w:p w:rsidR="00FC7C67" w:rsidRPr="00FC7C67" w:rsidP="00FC7C67">
            <w:pPr>
              <w:spacing w:line="240" w:lineRule="auto"/>
              <w:rPr>
                <w:rFonts w:ascii="Tahoma" w:eastAsia="Calibri" w:hAnsi="Tahoma" w:cs="Tahoma"/>
                <w:spacing w:val="-10"/>
              </w:rPr>
            </w:pPr>
          </w:p>
        </w:tc>
        <w:tc>
          <w:tcPr>
            <w:tcW w:w="2268" w:type="dxa"/>
            <w:tcBorders>
              <w:bottom w:val="single" w:sz="12" w:space="0" w:color="auto"/>
            </w:tcBorders>
            <w:vAlign w:val="bottom"/>
          </w:tcPr>
          <w:p w:rsidR="00FC7C67" w:rsidRPr="00FC7C67" w:rsidP="00FC7C67">
            <w:pPr>
              <w:spacing w:after="60" w:line="240" w:lineRule="auto"/>
              <w:rPr>
                <w:rFonts w:ascii="Tahoma" w:eastAsia="Calibri" w:hAnsi="Tahoma" w:cs="Tahoma"/>
                <w:spacing w:val="-10"/>
                <w:sz w:val="36"/>
                <w:szCs w:val="36"/>
              </w:rPr>
            </w:pPr>
            <w:r w:rsidRPr="00FC7C67">
              <w:rPr>
                <w:rFonts w:ascii="Tahoma" w:eastAsia="Calibri" w:hAnsi="Tahoma" w:cs="Tahoma"/>
                <w:spacing w:val="-10"/>
                <w:sz w:val="26"/>
                <w:szCs w:val="26"/>
                <w:rtl/>
              </w:rPr>
              <w:t>כ-</w:t>
            </w:r>
            <w:r w:rsidRPr="00FC7C67">
              <w:rPr>
                <w:rFonts w:ascii="Tahoma" w:eastAsia="Calibri" w:hAnsi="Tahoma" w:cs="Tahoma"/>
                <w:spacing w:val="-10"/>
                <w:sz w:val="36"/>
                <w:szCs w:val="36"/>
                <w:rtl/>
              </w:rPr>
              <w:t xml:space="preserve">20 </w:t>
            </w:r>
            <w:r w:rsidRPr="00FC7C67">
              <w:rPr>
                <w:rFonts w:ascii="Tahoma" w:eastAsia="Calibri" w:hAnsi="Tahoma" w:cs="Tahoma"/>
                <w:spacing w:val="-10"/>
                <w:sz w:val="26"/>
                <w:szCs w:val="26"/>
                <w:rtl/>
              </w:rPr>
              <w:t>תיקים לשנה</w:t>
            </w:r>
            <w:r w:rsidRPr="00FC7C67">
              <w:rPr>
                <w:rFonts w:ascii="Tahoma" w:eastAsia="Calibri" w:hAnsi="Tahoma" w:cs="Tahoma"/>
                <w:spacing w:val="-10"/>
                <w:sz w:val="36"/>
                <w:szCs w:val="36"/>
                <w:rtl/>
              </w:rPr>
              <w:t xml:space="preserve"> </w:t>
            </w:r>
            <w:r w:rsidRPr="00FC7C67">
              <w:rPr>
                <w:rFonts w:ascii="Tahoma" w:eastAsia="Calibri" w:hAnsi="Tahoma" w:cs="Tahoma"/>
                <w:spacing w:val="-10"/>
                <w:sz w:val="26"/>
                <w:szCs w:val="26"/>
                <w:rtl/>
              </w:rPr>
              <w:t>בלבד</w:t>
            </w:r>
          </w:p>
        </w:tc>
      </w:tr>
      <w:tr w:rsidTr="00FE69B5">
        <w:tblPrEx>
          <w:tblW w:w="9642" w:type="dxa"/>
          <w:tblLook w:val="04A0"/>
        </w:tblPrEx>
        <w:trPr>
          <w:trHeight w:val="1153"/>
        </w:trPr>
        <w:tc>
          <w:tcPr>
            <w:tcW w:w="1987" w:type="dxa"/>
          </w:tcPr>
          <w:p w:rsidR="00FC7C67" w:rsidRPr="00FC7C67" w:rsidP="00FC7C67">
            <w:pPr>
              <w:spacing w:before="60" w:line="240" w:lineRule="auto"/>
              <w:ind w:right="23"/>
              <w:rPr>
                <w:rFonts w:ascii="Tahoma" w:eastAsia="Calibri" w:hAnsi="Tahoma" w:cs="Tahoma"/>
                <w:sz w:val="19"/>
                <w:szCs w:val="19"/>
                <w:rtl/>
              </w:rPr>
            </w:pPr>
            <w:r w:rsidRPr="00FC7C67">
              <w:rPr>
                <w:rFonts w:ascii="Tahoma" w:eastAsia="Calibri" w:hAnsi="Tahoma" w:cs="Tahoma"/>
                <w:sz w:val="19"/>
                <w:szCs w:val="19"/>
                <w:rtl/>
              </w:rPr>
              <w:t>מספר ימי הצריכה בחורף (ובקיץ 6 ימים), אשר להם מספיקה כמות הגפ"ם המאוחסנת בקצא"א</w:t>
            </w:r>
          </w:p>
        </w:tc>
        <w:tc>
          <w:tcPr>
            <w:tcW w:w="284" w:type="dxa"/>
          </w:tcPr>
          <w:p w:rsidR="00FC7C67" w:rsidRPr="00FC7C67" w:rsidP="00FC7C67">
            <w:pPr>
              <w:spacing w:before="60" w:line="240" w:lineRule="exact"/>
              <w:rPr>
                <w:rFonts w:ascii="Tahoma" w:eastAsia="Calibri" w:hAnsi="Tahoma" w:cs="Tahoma"/>
                <w:sz w:val="19"/>
                <w:szCs w:val="19"/>
                <w:rtl/>
              </w:rPr>
            </w:pPr>
          </w:p>
        </w:tc>
        <w:tc>
          <w:tcPr>
            <w:tcW w:w="2268" w:type="dxa"/>
          </w:tcPr>
          <w:p w:rsidR="00FC7C67" w:rsidRPr="00FC7C67" w:rsidP="00FE69B5">
            <w:pPr>
              <w:spacing w:before="60" w:line="240" w:lineRule="auto"/>
              <w:ind w:right="23"/>
              <w:rPr>
                <w:rFonts w:ascii="Tahoma" w:eastAsia="Calibri" w:hAnsi="Tahoma" w:cs="Tahoma"/>
                <w:sz w:val="19"/>
                <w:szCs w:val="19"/>
                <w:rtl/>
              </w:rPr>
            </w:pPr>
            <w:r w:rsidRPr="00FC7C67">
              <w:rPr>
                <w:rFonts w:ascii="Tahoma" w:eastAsia="Calibri" w:hAnsi="Tahoma" w:cs="Tahoma"/>
                <w:sz w:val="19"/>
                <w:szCs w:val="19"/>
                <w:rtl/>
              </w:rPr>
              <w:t>הפער בין המחיר הממוצע הנמוך ביותר (32.35 ש"ח) למחיר הממוצע הגבוה ביותר (62.41 ש"ח) במרכזיית מכלים</w:t>
            </w:r>
            <w:r>
              <w:rPr>
                <w:rFonts w:ascii="Tahoma" w:eastAsia="Calibri" w:hAnsi="Tahoma" w:cs="Tahoma"/>
                <w:sz w:val="19"/>
                <w:szCs w:val="19"/>
                <w:vertAlign w:val="superscript"/>
                <w:rtl/>
              </w:rPr>
              <w:footnoteReference w:id="4"/>
            </w:r>
            <w:r w:rsidRPr="00FC7C67">
              <w:rPr>
                <w:rFonts w:ascii="Tahoma" w:eastAsia="Calibri" w:hAnsi="Tahoma" w:cs="Tahoma"/>
                <w:sz w:val="19"/>
                <w:szCs w:val="19"/>
                <w:rtl/>
              </w:rPr>
              <w:t xml:space="preserve"> בערים סמוכות בגוש דן בשנים 2021 - 2024</w:t>
            </w:r>
          </w:p>
        </w:tc>
        <w:tc>
          <w:tcPr>
            <w:tcW w:w="283" w:type="dxa"/>
          </w:tcPr>
          <w:p w:rsidR="00FC7C67" w:rsidRPr="00FC7C67" w:rsidP="00FC7C67">
            <w:pPr>
              <w:spacing w:before="60" w:line="240" w:lineRule="exact"/>
              <w:rPr>
                <w:rFonts w:ascii="Tahoma" w:eastAsia="Calibri" w:hAnsi="Tahoma" w:cs="Tahoma"/>
                <w:sz w:val="19"/>
                <w:szCs w:val="19"/>
                <w:rtl/>
              </w:rPr>
            </w:pPr>
          </w:p>
        </w:tc>
        <w:tc>
          <w:tcPr>
            <w:tcW w:w="2268" w:type="dxa"/>
          </w:tcPr>
          <w:p w:rsidR="00FC7C67" w:rsidRPr="00FC7C67" w:rsidP="00FC7C67">
            <w:pPr>
              <w:spacing w:before="60" w:line="240" w:lineRule="auto"/>
              <w:ind w:right="23"/>
              <w:rPr>
                <w:rFonts w:ascii="Tahoma" w:eastAsia="Calibri" w:hAnsi="Tahoma" w:cs="Tahoma"/>
                <w:sz w:val="19"/>
                <w:szCs w:val="19"/>
                <w:rtl/>
              </w:rPr>
            </w:pPr>
            <w:r w:rsidRPr="00FC7C67">
              <w:rPr>
                <w:rFonts w:ascii="Tahoma" w:eastAsia="Calibri" w:hAnsi="Tahoma" w:cs="Tahoma"/>
                <w:sz w:val="19"/>
                <w:szCs w:val="19"/>
                <w:rtl/>
              </w:rPr>
              <w:t>הפער בין מרווח המחיר ממכירה במחיר המרבי לצרכן (636 ש"ח) לבין המרווח במכירה במחיר המזערי לצרכן (214 ש"ח) של מכל 48 ק"ג בשנת 2024</w:t>
            </w:r>
          </w:p>
        </w:tc>
        <w:tc>
          <w:tcPr>
            <w:tcW w:w="284" w:type="dxa"/>
          </w:tcPr>
          <w:p w:rsidR="00FC7C67" w:rsidRPr="00FC7C67" w:rsidP="00FC7C67">
            <w:pPr>
              <w:spacing w:before="60" w:line="240" w:lineRule="exact"/>
              <w:rPr>
                <w:rFonts w:ascii="Tahoma" w:eastAsia="Calibri" w:hAnsi="Tahoma" w:cs="Tahoma"/>
                <w:sz w:val="19"/>
                <w:szCs w:val="19"/>
                <w:rtl/>
              </w:rPr>
            </w:pPr>
          </w:p>
        </w:tc>
        <w:tc>
          <w:tcPr>
            <w:tcW w:w="2268" w:type="dxa"/>
          </w:tcPr>
          <w:p w:rsidR="00FC7C67" w:rsidRPr="00FC7C67" w:rsidP="00FC7C67">
            <w:pPr>
              <w:spacing w:before="60" w:line="240" w:lineRule="auto"/>
              <w:ind w:right="23"/>
              <w:rPr>
                <w:rFonts w:ascii="Tahoma" w:eastAsia="Calibri" w:hAnsi="Tahoma" w:cs="Tahoma"/>
                <w:sz w:val="19"/>
                <w:szCs w:val="19"/>
                <w:rtl/>
              </w:rPr>
            </w:pPr>
            <w:r w:rsidRPr="00FC7C67">
              <w:rPr>
                <w:rFonts w:ascii="Tahoma" w:eastAsia="Calibri" w:hAnsi="Tahoma" w:cs="Tahoma"/>
                <w:sz w:val="19"/>
                <w:szCs w:val="19"/>
                <w:rtl/>
              </w:rPr>
              <w:t>המספר הממוצע של תיקי החקירה שפתח</w:t>
            </w:r>
            <w:r w:rsidRPr="00FC7C67">
              <w:rPr>
                <w:rFonts w:ascii="Tahoma" w:eastAsia="Calibri" w:hAnsi="Tahoma" w:cs="Tahoma"/>
                <w:sz w:val="16"/>
                <w:szCs w:val="16"/>
                <w:rtl/>
              </w:rPr>
              <w:t xml:space="preserve"> </w:t>
            </w:r>
            <w:r w:rsidRPr="00FC7C67">
              <w:rPr>
                <w:rFonts w:ascii="Tahoma" w:eastAsia="Calibri" w:hAnsi="Tahoma" w:cs="Tahoma"/>
                <w:sz w:val="19"/>
                <w:szCs w:val="19"/>
                <w:rtl/>
              </w:rPr>
              <w:t>אגף הפיקוח במינהל הדלק</w:t>
            </w:r>
            <w:r w:rsidRPr="00FC7C67">
              <w:rPr>
                <w:rFonts w:ascii="Tahoma" w:eastAsia="Calibri" w:hAnsi="Tahoma" w:cs="Tahoma"/>
                <w:sz w:val="16"/>
                <w:szCs w:val="16"/>
                <w:rtl/>
              </w:rPr>
              <w:t xml:space="preserve"> </w:t>
            </w:r>
            <w:r w:rsidRPr="00FC7C67">
              <w:rPr>
                <w:rFonts w:ascii="Tahoma" w:eastAsia="Calibri" w:hAnsi="Tahoma" w:cs="Tahoma"/>
                <w:sz w:val="19"/>
                <w:szCs w:val="19"/>
                <w:rtl/>
              </w:rPr>
              <w:t>בשנים 2021 - 2025 בגין הברחת מכלי גז מאיו"ש לישראל</w:t>
            </w:r>
          </w:p>
        </w:tc>
      </w:tr>
    </w:tbl>
    <w:p w:rsidR="00FC7C67" w:rsidRPr="00FC7C67" w:rsidP="00FE69B5">
      <w:pPr>
        <w:rPr>
          <w:rFonts w:ascii="Tahoma" w:eastAsia="Calibri" w:hAnsi="Tahoma" w:cs="Tahoma"/>
          <w:sz w:val="2"/>
          <w:szCs w:val="6"/>
          <w:rtl/>
        </w:rPr>
      </w:pPr>
    </w:p>
    <w:tbl>
      <w:tblPr>
        <w:tblStyle w:val="26"/>
        <w:tblpPr w:leftFromText="180" w:rightFromText="180" w:vertAnchor="text" w:tblpXSpec="center" w:tblpY="1"/>
        <w:tblOverlap w:val="never"/>
        <w:bidiVisual/>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7"/>
        <w:gridCol w:w="8380"/>
      </w:tblGrid>
      <w:tr w:rsidTr="00A5183C">
        <w:tblPrEx>
          <w:tblW w:w="9617" w:type="dxa"/>
          <w:tblLook w:val="04A0"/>
        </w:tblPrEx>
        <w:trPr>
          <w:trHeight w:val="495"/>
        </w:trPr>
        <w:tc>
          <w:tcPr>
            <w:tcW w:w="9617" w:type="dxa"/>
            <w:gridSpan w:val="2"/>
            <w:vAlign w:val="center"/>
          </w:tcPr>
          <w:p w:rsidR="00FC7C67" w:rsidRPr="00FC7C67" w:rsidP="004E3EB8">
            <w:pPr>
              <w:spacing w:line="360" w:lineRule="auto"/>
              <w:rPr>
                <w:rFonts w:ascii="Tahoma" w:eastAsia="Calibri" w:hAnsi="Tahoma" w:cs="Tahoma"/>
                <w:sz w:val="17"/>
                <w:szCs w:val="17"/>
                <w:rtl/>
              </w:rPr>
            </w:pPr>
            <w:r w:rsidRPr="00FC7C67">
              <w:rPr>
                <w:rFonts w:ascii="Tahoma" w:eastAsia="Calibri" w:hAnsi="Tahoma" w:cs="Tahoma"/>
                <w:noProof/>
              </w:rPr>
              <w:drawing>
                <wp:inline distT="0" distB="0" distL="0" distR="0">
                  <wp:extent cx="5969635" cy="498472"/>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קציר תמונה 3.3.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13954" cy="502173"/>
                          </a:xfrm>
                          <a:prstGeom prst="rect">
                            <a:avLst/>
                          </a:prstGeom>
                        </pic:spPr>
                      </pic:pic>
                    </a:graphicData>
                  </a:graphic>
                </wp:inline>
              </w:drawing>
            </w:r>
          </w:p>
        </w:tc>
      </w:tr>
      <w:tr w:rsidTr="00A5183C">
        <w:tblPrEx>
          <w:tblW w:w="9617" w:type="dxa"/>
          <w:tblLook w:val="04A0"/>
        </w:tblPrEx>
        <w:trPr>
          <w:trHeight w:val="1019"/>
        </w:trPr>
        <w:tc>
          <w:tcPr>
            <w:tcW w:w="1237" w:type="dxa"/>
            <w:vAlign w:val="center"/>
          </w:tcPr>
          <w:p w:rsidR="00FC7C67" w:rsidRPr="00FC7C67" w:rsidP="00FC7C67">
            <w:pPr>
              <w:rPr>
                <w:rFonts w:ascii="Tahoma" w:eastAsia="Calibri" w:hAnsi="Tahoma" w:cs="Tahoma"/>
                <w:sz w:val="17"/>
                <w:szCs w:val="17"/>
                <w:rtl/>
              </w:rPr>
            </w:pPr>
            <w:r w:rsidRPr="00FC7C67">
              <w:rPr>
                <w:rFonts w:ascii="Tahoma" w:eastAsia="Calibri" w:hAnsi="Tahoma" w:cs="Tahoma"/>
                <w:noProof/>
              </w:rPr>
              <w:drawing>
                <wp:anchor distT="0" distB="0" distL="114300" distR="114300" simplePos="0" relativeHeight="251659264" behindDoc="0" locked="0" layoutInCell="1" allowOverlap="1">
                  <wp:simplePos x="0" y="0"/>
                  <wp:positionH relativeFrom="column">
                    <wp:posOffset>99060</wp:posOffset>
                  </wp:positionH>
                  <wp:positionV relativeFrom="paragraph">
                    <wp:posOffset>-501015</wp:posOffset>
                  </wp:positionV>
                  <wp:extent cx="445135" cy="445135"/>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C67">
              <w:rPr>
                <w:rFonts w:ascii="Tahoma" w:eastAsia="Calibri" w:hAnsi="Tahoma" w:cs="Tahoma"/>
                <w:noProof/>
              </w:rPr>
              <w:drawing>
                <wp:anchor distT="0" distB="0" distL="114300" distR="114300" simplePos="0" relativeHeight="251658240" behindDoc="0" locked="0" layoutInCell="1" allowOverlap="1">
                  <wp:simplePos x="0" y="0"/>
                  <wp:positionH relativeFrom="column">
                    <wp:posOffset>5289550</wp:posOffset>
                  </wp:positionH>
                  <wp:positionV relativeFrom="paragraph">
                    <wp:posOffset>-50800</wp:posOffset>
                  </wp:positionV>
                  <wp:extent cx="445135" cy="445135"/>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80" w:type="dxa"/>
            <w:vAlign w:val="center"/>
          </w:tcPr>
          <w:p w:rsidR="00FC7C67" w:rsidRPr="00FC7C67" w:rsidP="004E3EB8">
            <w:pPr>
              <w:spacing w:after="60" w:line="288" w:lineRule="auto"/>
              <w:jc w:val="both"/>
              <w:rPr>
                <w:rFonts w:ascii="Tahoma" w:eastAsia="Calibri" w:hAnsi="Tahoma" w:cs="Tahoma"/>
                <w:sz w:val="19"/>
                <w:szCs w:val="19"/>
                <w:rtl/>
              </w:rPr>
            </w:pPr>
            <w:r w:rsidRPr="00FC7C67">
              <w:rPr>
                <w:rFonts w:ascii="Tahoma" w:eastAsia="Calibri" w:hAnsi="Tahoma" w:cs="Tahoma"/>
                <w:sz w:val="19"/>
                <w:szCs w:val="19"/>
                <w:rtl/>
              </w:rPr>
              <w:t>בחודשים אוגוסט עד דצמבר 2025 ביצע משרד מבקר המדינה ביקורת בנושאי תכנון ארוך טווח, תשתיות משק הגפ"ם והתחרותיות במקטע השיווק במשק הגפ"ם. הביקורת נעשתה במינהל הדלק והגז שבמשרד האנרגיה והתשתיות, במשרד האוצר, בחברת נמלי ישראל בע"</w:t>
            </w:r>
            <w:r w:rsidR="00C02C37">
              <w:rPr>
                <w:rFonts w:ascii="Tahoma" w:eastAsia="Calibri" w:hAnsi="Tahoma" w:cs="Tahoma" w:hint="cs"/>
                <w:sz w:val="19"/>
                <w:szCs w:val="19"/>
                <w:rtl/>
              </w:rPr>
              <w:t>מ</w:t>
            </w:r>
            <w:r w:rsidRPr="00FC7C67">
              <w:rPr>
                <w:rFonts w:ascii="Tahoma" w:eastAsia="Calibri" w:hAnsi="Tahoma" w:cs="Tahoma"/>
                <w:sz w:val="19"/>
                <w:szCs w:val="19"/>
                <w:rtl/>
              </w:rPr>
              <w:t xml:space="preserve"> (חנ"י), ברשות התחרות וכן במו</w:t>
            </w:r>
            <w:bookmarkStart w:id="0" w:name="_GoBack"/>
            <w:bookmarkEnd w:id="0"/>
            <w:r w:rsidRPr="00FC7C67">
              <w:rPr>
                <w:rFonts w:ascii="Tahoma" w:eastAsia="Calibri" w:hAnsi="Tahoma" w:cs="Tahoma"/>
                <w:sz w:val="19"/>
                <w:szCs w:val="19"/>
                <w:rtl/>
              </w:rPr>
              <w:t>עצה הלאומית לכלכלה שבמשרד ראש הממשלה. בדיקות השלמה נעשו בחברת קו צינור אירופה-אסיה בע"מ (קצא"א) ובחברת תשתיות אנרגיה בע"מ (תש"א). נוסף על כך קיים צוות הביקורת פגישות עם גופים פרטיים, ובהם שני בתי הזיקוק - בתי זיקוק לנפט בע"מ (בז"ן) ובית זיקוק אשדוד בע"מ (בז"א), עם קבוצת דור וכן עם ספקי גז.</w:t>
            </w:r>
          </w:p>
        </w:tc>
      </w:tr>
    </w:tbl>
    <w:p w:rsidR="00FE69B5" w:rsidP="00FC7C67">
      <w:pPr>
        <w:bidi w:val="0"/>
        <w:spacing w:after="200" w:line="276" w:lineRule="auto"/>
        <w:jc w:val="center"/>
        <w:rPr>
          <w:rFonts w:ascii="Tahoma" w:eastAsia="Calibri" w:hAnsi="Tahoma" w:cs="Tahoma"/>
          <w:noProof/>
        </w:rPr>
      </w:pPr>
      <w:r w:rsidRPr="00FC7C67">
        <w:rPr>
          <w:rFonts w:ascii="Tahoma" w:eastAsia="Calibri" w:hAnsi="Tahoma" w:cs="Tahoma"/>
          <w:noProof/>
        </w:rPr>
        <w:drawing>
          <wp:anchor distT="0" distB="0" distL="114300" distR="114300" simplePos="0" relativeHeight="251662336" behindDoc="1" locked="0" layoutInCell="1" allowOverlap="1">
            <wp:simplePos x="0" y="0"/>
            <wp:positionH relativeFrom="column">
              <wp:posOffset>-422275</wp:posOffset>
            </wp:positionH>
            <wp:positionV relativeFrom="paragraph">
              <wp:posOffset>2023110</wp:posOffset>
            </wp:positionV>
            <wp:extent cx="6089650" cy="454025"/>
            <wp:effectExtent l="0" t="0" r="6350" b="317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קציר תמונה 2.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89650" cy="454025"/>
                    </a:xfrm>
                    <a:prstGeom prst="rect">
                      <a:avLst/>
                    </a:prstGeom>
                  </pic:spPr>
                </pic:pic>
              </a:graphicData>
            </a:graphic>
            <wp14:sizeRelH relativeFrom="margin">
              <wp14:pctWidth>0</wp14:pctWidth>
            </wp14:sizeRelH>
            <wp14:sizeRelV relativeFrom="margin">
              <wp14:pctHeight>0</wp14:pctHeight>
            </wp14:sizeRelV>
          </wp:anchor>
        </w:drawing>
      </w:r>
    </w:p>
    <w:p w:rsidR="00FC7C67" w:rsidRPr="00FC7C67" w:rsidP="00FE69B5">
      <w:pPr>
        <w:bidi w:val="0"/>
        <w:spacing w:after="200" w:line="276" w:lineRule="auto"/>
        <w:ind w:right="990"/>
        <w:jc w:val="center"/>
        <w:rPr>
          <w:rFonts w:ascii="Tahoma" w:eastAsia="Calibri" w:hAnsi="Tahoma" w:cs="Tahoma"/>
          <w:noProof/>
          <w:sz w:val="2"/>
          <w:szCs w:val="2"/>
          <w:rtl/>
        </w:rPr>
      </w:pPr>
    </w:p>
    <w:p w:rsidR="00FC7C67" w:rsidRPr="00FC7C67" w:rsidP="00FC7C67">
      <w:pPr>
        <w:spacing w:before="240" w:after="160"/>
        <w:ind w:left="-709" w:right="-567"/>
        <w:rPr>
          <w:rFonts w:ascii="Tahoma" w:eastAsia="Calibri" w:hAnsi="Tahoma" w:cs="Tahoma"/>
          <w:rtl/>
        </w:rPr>
      </w:pPr>
      <w:r w:rsidRPr="00FC7C67">
        <w:rPr>
          <w:rFonts w:ascii="Tahoma" w:eastAsia="Calibri"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DISLIKE.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FC7C67" w:rsidRPr="00FC7C67" w:rsidP="003B4D3F">
      <w:pPr>
        <w:numPr>
          <w:ilvl w:val="0"/>
          <w:numId w:val="14"/>
        </w:numPr>
        <w:spacing w:after="160" w:line="288" w:lineRule="auto"/>
        <w:ind w:left="-143" w:right="-567" w:hanging="595"/>
        <w:rPr>
          <w:rFonts w:ascii="Tahoma" w:eastAsia="Calibri" w:hAnsi="Tahoma" w:cs="Tahoma"/>
          <w:sz w:val="19"/>
          <w:szCs w:val="19"/>
        </w:rPr>
      </w:pPr>
      <w:r w:rsidRPr="00FC7C67">
        <w:rPr>
          <w:rFonts w:ascii="Tahoma" w:eastAsia="Calibri" w:hAnsi="Tahoma" w:cs="Tahoma"/>
          <w:b/>
          <w:bCs/>
          <w:sz w:val="19"/>
          <w:szCs w:val="19"/>
          <w:rtl/>
        </w:rPr>
        <w:t>היערכות המדינה לצמצום השימוש בגפ"ם -</w:t>
      </w:r>
      <w:r w:rsidRPr="00FC7C67">
        <w:rPr>
          <w:rFonts w:ascii="Tahoma" w:eastAsia="Calibri" w:hAnsi="Tahoma" w:cs="Tahoma"/>
          <w:sz w:val="19"/>
          <w:szCs w:val="19"/>
          <w:rtl/>
        </w:rPr>
        <w:t xml:space="preserve"> לפי הסכם פריז, החלטות הממשלה, מסמכי המדיניות בנושא עתיד משק הדלק ומסקנות הצוות לצמצום השימוש בגפ"ם, מדינת ישראל החליטה להפחית ב-17% את פליטות גזי החממה עד שנת 2030, להתייעל אנרגטית ולצמצם את השימוש בגפ"ם. ואולם משרד האנרגיה, משרד האוצר ומשרד התחבורה והבטיחות בדרכים אינם ערוכים לצמצום הצריכה במשק הגפ"ם ולסגירת בז"ן מבחינת הקמת תשתיות לייבוא ואחסון של גפ"ם.</w:t>
      </w:r>
    </w:p>
    <w:p w:rsidR="00FC7C67" w:rsidRPr="00FC7C67" w:rsidP="003B4D3F">
      <w:pPr>
        <w:numPr>
          <w:ilvl w:val="0"/>
          <w:numId w:val="14"/>
        </w:numPr>
        <w:spacing w:after="160" w:line="288" w:lineRule="auto"/>
        <w:ind w:left="-143" w:right="-567" w:hanging="595"/>
        <w:rPr>
          <w:rFonts w:ascii="Tahoma" w:eastAsia="Calibri" w:hAnsi="Tahoma" w:cs="Tahoma"/>
          <w:sz w:val="19"/>
          <w:szCs w:val="19"/>
        </w:rPr>
      </w:pPr>
      <w:r w:rsidRPr="00FC7C67">
        <w:rPr>
          <w:rFonts w:ascii="Tahoma" w:eastAsia="Calibri" w:hAnsi="Tahoma" w:cs="Tahoma"/>
          <w:b/>
          <w:bCs/>
          <w:sz w:val="19"/>
          <w:szCs w:val="19"/>
          <w:rtl/>
        </w:rPr>
        <w:t>צמצום כושר הייצור של בתי הזיקוק והשבתתם -</w:t>
      </w:r>
      <w:r w:rsidRPr="00FC7C67">
        <w:rPr>
          <w:rFonts w:ascii="Tahoma" w:eastAsia="Calibri" w:hAnsi="Tahoma" w:cs="Tahoma"/>
          <w:sz w:val="19"/>
          <w:szCs w:val="19"/>
          <w:rtl/>
        </w:rPr>
        <w:t xml:space="preserve"> עבודות ריענון המתקנים, התקלות והפגיעות בבתי הזיקוק במחצית השנייה של 2025, בזמן מלחמת חרבות ברזל ומבצע עם כלביא, צמצמו ואף השביתו את ייצור הגפ"ם שלהם. יצוין כי עבודות הריענון, התקלות והפגיעות אירעו בחודשי הקיץ, כשהביקוש לגפ"ם נמוך יחסית.</w:t>
      </w:r>
      <w:r w:rsidRPr="00FC7C67">
        <w:rPr>
          <w:rFonts w:ascii="Tahoma" w:eastAsia="Calibri" w:hAnsi="Tahoma" w:cs="Tahoma"/>
          <w:b/>
          <w:bCs/>
          <w:rtl/>
        </w:rPr>
        <w:t xml:space="preserve"> </w:t>
      </w:r>
      <w:r w:rsidRPr="00FC7C67">
        <w:rPr>
          <w:rFonts w:ascii="Tahoma" w:eastAsia="Calibri" w:hAnsi="Tahoma" w:cs="Tahoma"/>
          <w:sz w:val="19"/>
          <w:szCs w:val="19"/>
          <w:rtl/>
        </w:rPr>
        <w:t>פגיעה בכושר הייצור בחודשי החורף הייתה עלולה להביא למחסור ממשי בגפ"ם. במועד סיום הביקורת עבדו שני בתי הזיקוק בתפוקה חלקית וללא יכולת להבטיח אמינות אספקה. מינהל הדלק לא עודכן בכתב בנוגע לתחזית כושר האספקה הצפוי של בז"א ביוני וביולי 2025 ובנוגע לעבודות ריענון</w:t>
      </w:r>
      <w:r w:rsidRPr="00FC7C67">
        <w:rPr>
          <w:rFonts w:ascii="Tahoma" w:eastAsia="Calibri" w:hAnsi="Tahoma" w:cs="Tahoma"/>
          <w:b/>
          <w:bCs/>
          <w:rtl/>
        </w:rPr>
        <w:t xml:space="preserve"> </w:t>
      </w:r>
      <w:r w:rsidRPr="00FC7C67">
        <w:rPr>
          <w:rFonts w:ascii="Tahoma" w:eastAsia="Calibri" w:hAnsi="Tahoma" w:cs="Tahoma"/>
          <w:sz w:val="19"/>
          <w:szCs w:val="19"/>
          <w:rtl/>
        </w:rPr>
        <w:t>המתקנים ולכן לא נערך אליהן מבעוד מועד.</w:t>
      </w:r>
    </w:p>
    <w:p w:rsidR="00FC7C67" w:rsidRPr="00FC7C67" w:rsidP="003B4D3F">
      <w:pPr>
        <w:numPr>
          <w:ilvl w:val="0"/>
          <w:numId w:val="14"/>
        </w:numPr>
        <w:spacing w:after="160" w:line="288" w:lineRule="auto"/>
        <w:ind w:left="-143" w:right="-567" w:hanging="595"/>
        <w:rPr>
          <w:rFonts w:ascii="Tahoma" w:eastAsia="Calibri" w:hAnsi="Tahoma" w:cs="Tahoma"/>
          <w:sz w:val="19"/>
          <w:szCs w:val="19"/>
        </w:rPr>
      </w:pPr>
      <w:r w:rsidRPr="00FC7C67">
        <w:rPr>
          <w:rFonts w:ascii="Tahoma" w:eastAsia="Calibri" w:hAnsi="Tahoma" w:cs="Tahoma"/>
          <w:b/>
          <w:bCs/>
          <w:sz w:val="19"/>
          <w:szCs w:val="19"/>
          <w:rtl/>
        </w:rPr>
        <w:t>היערכות להכפלת כמות הגפ"ם המיובא -</w:t>
      </w:r>
      <w:r w:rsidRPr="00FC7C67">
        <w:rPr>
          <w:rFonts w:ascii="Tahoma" w:eastAsia="Calibri" w:hAnsi="Tahoma" w:cs="Tahoma"/>
          <w:sz w:val="19"/>
          <w:szCs w:val="19"/>
          <w:rtl/>
        </w:rPr>
        <w:t xml:space="preserve"> לפי החלטת הממשלה 1231 בז"ן תיסגר וכמות הגפ"ם המיובא תוכפל. המועצה הלאומית לכלכלה, משרד האוצר, משרד האנרגיה, ומשרד התחבורה לא השלימו באופן מספק את קידום הקמת התשתיות הנדרשות למעבר של משק הגפ"ם למשק מוטה יבוא, לרבות הכנת תוכנית ליבוא גפ"ם בכמות כפולה מזו המיובאת כיום (לפי הערכה, כ-80% מכלל הצריכה), ועלולה להתבצע באמצעות טריידר (סוחר גפ"ם) בין-לאומי יחיד שיהפוך למונופול; בחינת סוגיית הסיוע לספקי הגפ"ם, בעיקר לקטנים שבהם, בתהליך ההתקשרות ליבוא גפ"ם וסוגיית מחיר הגפ"ם המיובא והשלכותיו על המשק, וקידום הקמת תשתיות היבוא המתאימות.</w:t>
      </w:r>
    </w:p>
    <w:p w:rsidR="00FC7C67" w:rsidRPr="00FC7C67" w:rsidP="001A3A0D">
      <w:pPr>
        <w:numPr>
          <w:ilvl w:val="0"/>
          <w:numId w:val="14"/>
        </w:numPr>
        <w:spacing w:after="120" w:line="288" w:lineRule="auto"/>
        <w:ind w:left="-142" w:right="-567" w:hanging="595"/>
        <w:rPr>
          <w:rFonts w:ascii="Tahoma" w:eastAsia="Calibri" w:hAnsi="Tahoma" w:cs="Tahoma"/>
          <w:sz w:val="19"/>
          <w:szCs w:val="19"/>
        </w:rPr>
      </w:pPr>
      <w:r w:rsidRPr="00FC7C67">
        <w:rPr>
          <w:rFonts w:ascii="Tahoma" w:eastAsia="Calibri" w:hAnsi="Tahoma" w:cs="Tahoma"/>
          <w:b/>
          <w:bCs/>
          <w:sz w:val="19"/>
          <w:szCs w:val="19"/>
          <w:rtl/>
        </w:rPr>
        <w:t>הקמת מתקנים ליבוא גפ"ם בצפון</w:t>
      </w:r>
      <w:r w:rsidRPr="00FC7C67">
        <w:rPr>
          <w:rFonts w:ascii="Tahoma" w:eastAsia="Calibri" w:hAnsi="Tahoma" w:cs="Tahoma"/>
          <w:sz w:val="19"/>
          <w:szCs w:val="19"/>
          <w:rtl/>
        </w:rPr>
        <w:t xml:space="preserve"> </w:t>
      </w:r>
    </w:p>
    <w:p w:rsidR="00FC7C67" w:rsidRPr="00FC7C67" w:rsidP="00FE69B5">
      <w:pPr>
        <w:numPr>
          <w:ilvl w:val="0"/>
          <w:numId w:val="16"/>
        </w:numPr>
        <w:spacing w:after="120" w:line="288" w:lineRule="auto"/>
        <w:ind w:left="282" w:right="-567" w:hanging="426"/>
        <w:rPr>
          <w:rFonts w:ascii="Tahoma" w:eastAsia="Calibri" w:hAnsi="Tahoma" w:cs="Tahoma"/>
          <w:sz w:val="19"/>
          <w:szCs w:val="19"/>
          <w:rtl/>
        </w:rPr>
      </w:pPr>
      <w:r w:rsidRPr="00FC7C67">
        <w:rPr>
          <w:rFonts w:ascii="Tahoma" w:eastAsia="Calibri" w:hAnsi="Tahoma" w:cs="Tahoma"/>
          <w:b/>
          <w:bCs/>
          <w:sz w:val="19"/>
          <w:szCs w:val="19"/>
          <w:rtl/>
        </w:rPr>
        <w:t>תוכניות מתאר למשק הגפ"ם -</w:t>
      </w:r>
      <w:r w:rsidRPr="00FC7C67">
        <w:rPr>
          <w:rFonts w:ascii="Tahoma" w:eastAsia="Calibri" w:hAnsi="Tahoma" w:cs="Tahoma"/>
          <w:sz w:val="19"/>
          <w:szCs w:val="19"/>
          <w:rtl/>
        </w:rPr>
        <w:t xml:space="preserve"> אבני הדרך העיקריות שהציבה ועדת ההיגוי של התוכנית האסטרטגית לפיתוח מפרץ חיפה, בהתאם להחלטת ממשלה 1231, קבעו יעד להשלמת הקמתן של תשתיות גפ"ם חדשות עד שנת 2030. ואולם, הגם שגורמים בעלי אינטרסים שונים, בממשלה ומחוצה לה (חנ"י, ועדת ההיגוי והחברה הפטרוכימית</w:t>
      </w:r>
      <w:r>
        <w:rPr>
          <w:rFonts w:ascii="Tahoma" w:eastAsia="Calibri" w:hAnsi="Tahoma" w:cs="Tahoma"/>
          <w:sz w:val="19"/>
          <w:szCs w:val="19"/>
          <w:vertAlign w:val="superscript"/>
          <w:rtl/>
        </w:rPr>
        <w:footnoteReference w:id="5"/>
      </w:r>
      <w:r w:rsidRPr="00FC7C67">
        <w:rPr>
          <w:rFonts w:ascii="Tahoma" w:eastAsia="Calibri" w:hAnsi="Tahoma" w:cs="Tahoma"/>
          <w:sz w:val="19"/>
          <w:szCs w:val="19"/>
          <w:rtl/>
        </w:rPr>
        <w:t xml:space="preserve">) פועלים לקידום חלופות שונות של יבוא הגפ"ם לצפון הארץ, </w:t>
      </w:r>
      <w:bookmarkStart w:id="1" w:name="_Hlk222761592"/>
      <w:r w:rsidRPr="00FC7C67">
        <w:rPr>
          <w:rFonts w:ascii="Tahoma" w:eastAsia="Calibri" w:hAnsi="Tahoma" w:cs="Tahoma"/>
          <w:sz w:val="19"/>
          <w:szCs w:val="19"/>
          <w:rtl/>
        </w:rPr>
        <w:t xml:space="preserve">חלופות אלו </w:t>
      </w:r>
      <w:r w:rsidRPr="00FC7C67">
        <w:rPr>
          <w:rFonts w:ascii="Tahoma" w:eastAsia="Calibri" w:hAnsi="Tahoma" w:cs="Tahoma"/>
          <w:sz w:val="19"/>
          <w:szCs w:val="19"/>
          <w:rtl/>
        </w:rPr>
        <w:t>נמצאות בשלבים מקדמיים בלבד של הליכים תכנוניים, זאת על אף החשיבות בהגדלת מאגרי אחסון הגפ"ם לשם יצירת מלאי לעיתות שגרה וחירום.</w:t>
      </w:r>
    </w:p>
    <w:bookmarkEnd w:id="1"/>
    <w:p w:rsidR="00FC7C67" w:rsidRP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חלופת מקשר ימי מול יבור</w:t>
      </w:r>
      <w:r w:rsidRPr="00FC7C67">
        <w:rPr>
          <w:rFonts w:ascii="Tahoma" w:eastAsia="Calibri" w:hAnsi="Tahoma" w:cs="Tahoma"/>
          <w:sz w:val="19"/>
          <w:szCs w:val="19"/>
          <w:rtl/>
        </w:rPr>
        <w:t xml:space="preserve"> - על אף לוחות הזמנים שקבעה המועצה הלאומית לכלכלה לסיום התכנון ההנדסי של המקשר הימי מול מתקן האחסון המתוכנן ביבור עד מאי 2025, רק לאחר מועד סיום הביקורת באפריל 2026 התקבלה החלטת ממשלה לעניין קידום תוכניות סטטוטוריות למקשר יבור, ועל כן השלמת הליכי התכנון בידי חברת נמלי ישראל לא קודמו בקצב התואם את לוחות הזמנים שקבעה המועצה הלאומית לכלכלה, והסדרת התוואי היבשתי טרם החלה. עקב כך מתעכבת כניסת גפ"ם נוספת מיבוא ימי.</w:t>
      </w:r>
    </w:p>
    <w:p w:rsidR="00FC7C67" w:rsidRP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יבוא גפ"ם דרך מסוף הכימיקלים בחיפה</w:t>
      </w:r>
      <w:r w:rsidRPr="00FC7C67">
        <w:rPr>
          <w:rFonts w:ascii="Tahoma" w:eastAsia="Calibri" w:hAnsi="Tahoma" w:cs="Tahoma"/>
          <w:sz w:val="19"/>
          <w:szCs w:val="19"/>
          <w:rtl/>
        </w:rPr>
        <w:t xml:space="preserve"> - נכון למועד סיום הביקורת, ולאחר יותר משנתיים מתחילת מלחמת חרבות ברזל, שבה התחדדה החשיבות שבהקמה מהירה של מתקן פריקה נוסף של גפ"ם בצפון הארץ, טרם קבעו חנ"י ומשרד האנרגיה את התנאים הבטיחותיים שבהם נדרשת לעמוד החברה הפטרוכימית לשם הקמת ותפעול של מתקן הפריקה במסוף הכימיקלים בחיפה, ועל כן אי אפשר למצות את בחינתה של חלופה זו, הנותנת פתרון מהיר ליבוא גפ"ם בצפון הארץ, ואת בחינת היתכנותה הממשית. </w:t>
      </w:r>
    </w:p>
    <w:p w:rsidR="00FC7C67" w:rsidRP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 xml:space="preserve">אחסון גפ"ם בצפון הארץ </w:t>
      </w:r>
      <w:r w:rsidRPr="00FC7C67">
        <w:rPr>
          <w:rFonts w:ascii="Tahoma" w:eastAsia="Calibri" w:hAnsi="Tahoma" w:cs="Tahoma"/>
          <w:sz w:val="19"/>
          <w:szCs w:val="19"/>
          <w:rtl/>
        </w:rPr>
        <w:t>- אגף החשב הכללי במשרד האוצר (החשכ"ל) טרם פרסם את המכרז להקמת</w:t>
      </w:r>
      <w:r w:rsidRPr="00FC7C67">
        <w:rPr>
          <w:rFonts w:ascii="Tahoma" w:eastAsia="Calibri" w:hAnsi="Tahoma" w:cs="Tahoma"/>
          <w:sz w:val="19"/>
          <w:szCs w:val="19"/>
        </w:rPr>
        <w:t xml:space="preserve"> </w:t>
      </w:r>
      <w:r w:rsidRPr="00FC7C67">
        <w:rPr>
          <w:rFonts w:ascii="Tahoma" w:eastAsia="Calibri" w:hAnsi="Tahoma" w:cs="Tahoma"/>
          <w:sz w:val="19"/>
          <w:szCs w:val="19"/>
          <w:rtl/>
        </w:rPr>
        <w:t xml:space="preserve">אתר אחסון הגפ"ם ביבור או את מודל המימון הכולל להקמת המתקן ולהסדרת תוואי ההולכה היבשתי והאחסון של הגפ"ם. המכרז להקמת מתקני האחסון המתוכננים ביבור נמצא בשלב מקדמי בלבד של </w:t>
      </w:r>
      <w:r w:rsidRPr="00FC7C67">
        <w:rPr>
          <w:rFonts w:ascii="Tahoma" w:eastAsia="Calibri" w:hAnsi="Tahoma" w:cs="Tahoma"/>
          <w:sz w:val="19"/>
          <w:szCs w:val="19"/>
        </w:rPr>
        <w:t>PQ</w:t>
      </w:r>
      <w:r>
        <w:rPr>
          <w:rFonts w:ascii="Tahoma" w:eastAsia="Calibri" w:hAnsi="Tahoma" w:cs="Tahoma"/>
          <w:sz w:val="19"/>
          <w:szCs w:val="19"/>
          <w:vertAlign w:val="superscript"/>
          <w:rtl/>
        </w:rPr>
        <w:footnoteReference w:id="6"/>
      </w:r>
      <w:r w:rsidRPr="00FC7C67">
        <w:rPr>
          <w:rFonts w:ascii="Tahoma" w:eastAsia="Calibri" w:hAnsi="Tahoma" w:cs="Tahoma"/>
          <w:sz w:val="19"/>
          <w:szCs w:val="19"/>
          <w:rtl/>
        </w:rPr>
        <w:t xml:space="preserve"> בניהול החשכ"ל, ולכן הוא עלול לחרוג מלוחות הזמנים שקבעה מינהלת פיתוח מפרץ חיפה להשלמת הקמת המתקן עד לשנת 2030. </w:t>
      </w:r>
    </w:p>
    <w:p w:rsidR="00FC7C67" w:rsidRPr="00FC7C67" w:rsidP="001A3A0D">
      <w:pPr>
        <w:numPr>
          <w:ilvl w:val="0"/>
          <w:numId w:val="14"/>
        </w:numPr>
        <w:spacing w:after="120" w:line="288" w:lineRule="auto"/>
        <w:ind w:left="-142" w:right="-567" w:hanging="595"/>
        <w:rPr>
          <w:rFonts w:ascii="Tahoma" w:eastAsia="Calibri" w:hAnsi="Tahoma" w:cs="Tahoma"/>
          <w:sz w:val="19"/>
          <w:szCs w:val="19"/>
        </w:rPr>
      </w:pPr>
      <w:r w:rsidRPr="00FC7C67">
        <w:rPr>
          <w:rFonts w:ascii="Tahoma" w:eastAsia="Calibri" w:hAnsi="Tahoma" w:cs="Tahoma"/>
          <w:b/>
          <w:bCs/>
          <w:sz w:val="19"/>
          <w:szCs w:val="19"/>
          <w:rtl/>
        </w:rPr>
        <w:t>הקמת מתקנים לייבוא גפ"ם בדרום</w:t>
      </w:r>
    </w:p>
    <w:p w:rsidR="00FC7C67" w:rsidRP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 xml:space="preserve">תשתיות לייבוא ימי </w:t>
      </w:r>
      <w:r w:rsidRPr="00FC7C67">
        <w:rPr>
          <w:rFonts w:ascii="Tahoma" w:eastAsia="Calibri" w:hAnsi="Tahoma" w:cs="Tahoma"/>
          <w:sz w:val="19"/>
          <w:szCs w:val="19"/>
          <w:rtl/>
        </w:rPr>
        <w:t xml:space="preserve">- </w:t>
      </w:r>
      <w:bookmarkStart w:id="2" w:name="_Hlk231462556"/>
      <w:r w:rsidRPr="00FC7C67">
        <w:rPr>
          <w:rFonts w:ascii="Tahoma" w:eastAsia="Calibri" w:hAnsi="Tahoma" w:cs="Tahoma"/>
          <w:sz w:val="19"/>
          <w:szCs w:val="19"/>
          <w:rtl/>
        </w:rPr>
        <w:t>עלה כי יישום ההחלטה על פיתוח תשתיות ליבוא גפ"ם במקשר הימי הקיים באשדוד מתעכב ואינו צפוי להסתיים במועד שקבע המשרד להגנת הסביבה (2027), בשל הצורך בהסדרת מגוון נושאים הקשורים למקשר התזקיקים (ומשפיעים גם על יבוא הגפ"ם) אשר במועד סיום הביקורת טרם הושלמה: קביעת תעריף לשם בחינת הכדאיות העסקית על ידי המפעיל שייבחר; החלטה על זהות המפעיל של המקשר; חתימה של חנ"י על חוזים עם חח"י ובד בבד עם המפעיל שייבחר לשם שמירה על רציפות תפקודית; בחירת קבלן ביצוע וחתימה על חוזה. כמו כן, התוכנית הסטטוטורית להקמת המקשר הימי אושרה רק לאחר מועד סיום הביקורת; רק לאחר ביצוע הפעולות האלה, הקשורות לתשתיות התזקיקים, יהיה אפשר להשלים את שרשרת האספקה המלאה ליבוא נוסף של גפ"ם באזור אשדוד, ובלבד שתושלם גם הקמת התשתית העורפית הנחוצה ביבשה לאחסון ולניפוק של גפ"ם, וייקבע מודל עסקי כלכלי שיתמוך בכל שרשרת האספקה החדשה המוקמת וייצור תחרות מול מחירי פריקת הגפ"ם בקצא"א. ייבוא הגפ"ם באמצעות המקשר הימי תלוי בהסדרת הנושאים הללו, ובהם ההחלטה על זהות בחירת המפעיל של המקשר, אשר העיכוב בבחירתו על ידי החשכ"ל מעכבת את ביצוע העבודות הנדרשות להתאמת המקשר ליבוא גפ"ם, ובשל כך מתעכבת הקמת נקודת פריקת גפ"ם נוספת בדרום הארץ. עוד עלה כי המשא ומתן בין החשב הכללי לבין תש"א בנוגע להסכם הפעלה מתמשך שנים מספר, ולכן נדרשת הסדרה פרטנית של מתן שירותים בהיעדר הסכם.</w:t>
      </w:r>
    </w:p>
    <w:bookmarkEnd w:id="2"/>
    <w:p w:rsid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אחסון גפ"ם בדרום הארץ</w:t>
      </w:r>
      <w:r w:rsidRPr="00FC7C67">
        <w:rPr>
          <w:rFonts w:ascii="Tahoma" w:eastAsia="Calibri" w:hAnsi="Tahoma" w:cs="Tahoma"/>
          <w:sz w:val="19"/>
          <w:szCs w:val="19"/>
          <w:rtl/>
        </w:rPr>
        <w:t xml:space="preserve"> - אף על פי שמלאי הגפ"ם המאוחסן במתקני האחסון של חברת קצא"א הוא מוגבל, ויכול לספק את צורכי המדינה לפרק זמן של שלושה ימים בלבד בחודשי החורף ושישה ימים בחודשי הקיץ, ואף שחלפו יותר משש שנים מאז החלה המדינה בהליך מכרזי ושני המכרזים שפורסמו עד כה להקמת מתקני אחסון גפ"ם באזור אשדוד נכשלו - עד מועד סיום הביקורת לא פרסם משרד האנרגיה מכרז נוסף, ולא נמצא כל פתרון אחר לקידום מיזם הקמת מתקני האחסון בדרום הארץ שיהיה בעל כדאיות כלכלית למקימים, דבר שיביא להצלחת המיזם.</w:t>
      </w:r>
    </w:p>
    <w:p w:rsidR="001A3A0D" w:rsidRPr="00FC7C67" w:rsidP="001A3A0D">
      <w:pPr>
        <w:spacing w:after="120" w:line="288" w:lineRule="auto"/>
        <w:ind w:left="282" w:right="-567"/>
        <w:rPr>
          <w:rFonts w:ascii="Tahoma" w:eastAsia="Calibri" w:hAnsi="Tahoma" w:cs="Tahoma"/>
          <w:sz w:val="19"/>
          <w:szCs w:val="19"/>
        </w:rPr>
      </w:pPr>
    </w:p>
    <w:p w:rsidR="00FC7C67" w:rsidRPr="00FC7C67" w:rsidP="003B4D3F">
      <w:pPr>
        <w:numPr>
          <w:ilvl w:val="0"/>
          <w:numId w:val="14"/>
        </w:numPr>
        <w:spacing w:after="160" w:line="288" w:lineRule="auto"/>
        <w:ind w:left="-143" w:right="-567" w:hanging="595"/>
        <w:rPr>
          <w:rFonts w:ascii="Tahoma" w:eastAsia="Calibri" w:hAnsi="Tahoma" w:cs="Tahoma"/>
          <w:sz w:val="19"/>
          <w:szCs w:val="19"/>
        </w:rPr>
      </w:pPr>
      <w:r w:rsidRPr="00FC7C67">
        <w:rPr>
          <w:rFonts w:ascii="Tahoma" w:eastAsia="Calibri" w:hAnsi="Tahoma" w:cs="Tahoma"/>
          <w:b/>
          <w:bCs/>
          <w:sz w:val="19"/>
          <w:szCs w:val="19"/>
          <w:rtl/>
        </w:rPr>
        <w:t>ריכוזיות של ספקי הגז הגדולים -</w:t>
      </w:r>
      <w:r w:rsidRPr="00FC7C67">
        <w:rPr>
          <w:rFonts w:ascii="Tahoma" w:eastAsia="Calibri" w:hAnsi="Tahoma" w:cs="Tahoma"/>
          <w:sz w:val="19"/>
          <w:szCs w:val="19"/>
          <w:rtl/>
        </w:rPr>
        <w:t xml:space="preserve"> על אף תיקוני החקיקה הרבים שנעשו, מסתמן כי מקטע שיווק הגפ"ם במגזר הביתי עודנו ריכוזי, ורובו (63% במכלים מיטלטלים ו-77% במרכזיות מכל נייח בשנת 2024) נשלט בידי ארבעת הספקים הגדולים. באזורים רבים קיימת ריכוזיות אזורית שיש בה כדי להשפיע על רמת התחרותיות. כך, במגזר מכלי 48 ק"ג לספק גדול </w:t>
      </w:r>
      <w:r w:rsidRPr="00FC7C67">
        <w:rPr>
          <w:rFonts w:ascii="Tahoma" w:eastAsia="Calibri" w:hAnsi="Tahoma" w:cs="Tahoma"/>
          <w:sz w:val="19"/>
          <w:szCs w:val="19"/>
        </w:rPr>
        <w:t>I</w:t>
      </w:r>
      <w:r w:rsidRPr="00FC7C67">
        <w:rPr>
          <w:rFonts w:ascii="Tahoma" w:eastAsia="Calibri" w:hAnsi="Tahoma" w:cs="Tahoma"/>
          <w:sz w:val="19"/>
          <w:szCs w:val="19"/>
          <w:rtl/>
        </w:rPr>
        <w:t xml:space="preserve"> ולספק גדול </w:t>
      </w:r>
      <w:r w:rsidRPr="00FC7C67">
        <w:rPr>
          <w:rFonts w:ascii="Tahoma" w:eastAsia="Calibri" w:hAnsi="Tahoma" w:cs="Tahoma"/>
          <w:sz w:val="19"/>
          <w:szCs w:val="19"/>
        </w:rPr>
        <w:t>III</w:t>
      </w:r>
      <w:r w:rsidRPr="00FC7C67">
        <w:rPr>
          <w:rFonts w:ascii="Tahoma" w:eastAsia="Calibri" w:hAnsi="Tahoma" w:cs="Tahoma"/>
          <w:sz w:val="19"/>
          <w:szCs w:val="19"/>
          <w:rtl/>
        </w:rPr>
        <w:t xml:space="preserve"> יש שליטה באזורים נרחבים בארץ, ובמגזר המכלים הנייחים יש לספק גדול </w:t>
      </w:r>
      <w:r w:rsidRPr="00FC7C67">
        <w:rPr>
          <w:rFonts w:ascii="Tahoma" w:eastAsia="Calibri" w:hAnsi="Tahoma" w:cs="Tahoma"/>
          <w:sz w:val="19"/>
          <w:szCs w:val="19"/>
        </w:rPr>
        <w:t>I</w:t>
      </w:r>
      <w:r w:rsidRPr="00FC7C67">
        <w:rPr>
          <w:rFonts w:ascii="Tahoma" w:eastAsia="Calibri" w:hAnsi="Tahoma" w:cs="Tahoma"/>
          <w:sz w:val="19"/>
          <w:szCs w:val="19"/>
          <w:rtl/>
        </w:rPr>
        <w:t xml:space="preserve"> ולספק גדול </w:t>
      </w:r>
      <w:r w:rsidRPr="00FC7C67">
        <w:rPr>
          <w:rFonts w:ascii="Tahoma" w:eastAsia="Calibri" w:hAnsi="Tahoma" w:cs="Tahoma"/>
          <w:sz w:val="19"/>
          <w:szCs w:val="19"/>
        </w:rPr>
        <w:t>IV</w:t>
      </w:r>
      <w:r w:rsidRPr="00FC7C67">
        <w:rPr>
          <w:rFonts w:ascii="Tahoma" w:eastAsia="Calibri" w:hAnsi="Tahoma" w:cs="Tahoma"/>
          <w:sz w:val="19"/>
          <w:szCs w:val="19"/>
          <w:rtl/>
        </w:rPr>
        <w:t xml:space="preserve"> שליטה בכמה אזורים בארץ. מינהל הדלק ורשות התחרות לא בחנו את הריכוזיות האזורית של ספקי הגז, ובכלל זאת את האזורים שבהם שולט ספק גדול אחד.</w:t>
      </w:r>
    </w:p>
    <w:p w:rsidR="00FC7C67" w:rsidRPr="00FC7C67" w:rsidP="001A3A0D">
      <w:pPr>
        <w:numPr>
          <w:ilvl w:val="0"/>
          <w:numId w:val="14"/>
        </w:numPr>
        <w:spacing w:after="120" w:line="288" w:lineRule="auto"/>
        <w:ind w:left="-142" w:right="-567" w:hanging="595"/>
        <w:rPr>
          <w:rFonts w:ascii="Tahoma" w:eastAsia="Calibri" w:hAnsi="Tahoma" w:cs="Tahoma"/>
          <w:sz w:val="19"/>
          <w:szCs w:val="19"/>
          <w:rtl/>
        </w:rPr>
      </w:pPr>
      <w:r w:rsidRPr="00FC7C67">
        <w:rPr>
          <w:rFonts w:ascii="Tahoma" w:eastAsia="Calibri" w:hAnsi="Tahoma" w:cs="Tahoma"/>
          <w:b/>
          <w:bCs/>
          <w:sz w:val="19"/>
          <w:szCs w:val="19"/>
          <w:rtl/>
        </w:rPr>
        <w:t>אי-בחינת פערי המחירים לצרכנים על ידי משרד האנרגיה ורשות התחרות</w:t>
      </w:r>
    </w:p>
    <w:p w:rsidR="00FC7C67" w:rsidRPr="00FC7C67" w:rsidP="00FE69B5">
      <w:pPr>
        <w:numPr>
          <w:ilvl w:val="0"/>
          <w:numId w:val="16"/>
        </w:numPr>
        <w:spacing w:after="120" w:line="288" w:lineRule="auto"/>
        <w:ind w:left="283" w:right="-567" w:hanging="425"/>
        <w:rPr>
          <w:rFonts w:ascii="Tahoma" w:eastAsia="Calibri" w:hAnsi="Tahoma" w:cs="Tahoma"/>
          <w:sz w:val="19"/>
          <w:szCs w:val="19"/>
          <w:rtl/>
        </w:rPr>
      </w:pPr>
      <w:r w:rsidRPr="00FC7C67">
        <w:rPr>
          <w:rFonts w:ascii="Tahoma" w:eastAsia="Calibri" w:hAnsi="Tahoma" w:cs="Tahoma"/>
          <w:b/>
          <w:bCs/>
          <w:sz w:val="19"/>
          <w:szCs w:val="19"/>
          <w:rtl/>
        </w:rPr>
        <w:t>עלייה במחירי הגפ"ם -</w:t>
      </w:r>
      <w:r w:rsidRPr="00FC7C67">
        <w:rPr>
          <w:rFonts w:ascii="Tahoma" w:eastAsia="Calibri" w:hAnsi="Tahoma" w:cs="Tahoma"/>
          <w:sz w:val="19"/>
          <w:szCs w:val="19"/>
          <w:rtl/>
        </w:rPr>
        <w:t xml:space="preserve"> המחירים הממוצעים שהציעו ארבעת הספקים הגדולים עבור מ"ק גפ"ם בשנים 2021 - 2024 גבוהים מהמחירים הממוצעים שהציעו הספקים הקטנים בכל אחד מאמצעי האספקה. כמו כן, המחיר הממוצע של מ"ק גפ"ם עלה מ-2021 עד 2024 ברוב אמצעי האספקה: המחיר הממוצע של מ"ק גפ"ם במכל 12 ק"ג עלה מ-23.45 ש"ח ל-24.93 ש"ח (כ-6%) בקרב כלל הספקים; המחיר הממוצע של מ"ק גפ"ם במכל 48 ק"ג עלה מ-19.59 ש"ח ל-20.16 ש"ח (כ-3%) בקרב כלל הספקים; המחיר הממוצע של מ"ק גפ"ם במרכזיית מכלים עלה מ-42.44 ש"ח ל-45.39 ש"ח (כ-7%) בקרב כלל הספקים. לעומת זאת, בשנים 2021 עד 2024 הייתה יציבות במחיר הממוצע של מ"ק גפ"ם במרכזיית מכל נייח (ירידה קלה בקרב כלל הספקים, מ-25.06 ש"ח ל-25.01 ש"ח - כ-0.19%).</w:t>
      </w:r>
    </w:p>
    <w:p w:rsidR="00FC7C67" w:rsidRP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פערי מחירים בגוש דן -</w:t>
      </w:r>
      <w:r w:rsidRPr="00FC7C67">
        <w:rPr>
          <w:rFonts w:ascii="Tahoma" w:eastAsia="Calibri" w:hAnsi="Tahoma" w:cs="Tahoma"/>
          <w:b/>
          <w:bCs/>
          <w:rtl/>
        </w:rPr>
        <w:t xml:space="preserve"> </w:t>
      </w:r>
      <w:r w:rsidRPr="00FC7C67">
        <w:rPr>
          <w:rFonts w:ascii="Tahoma" w:eastAsia="Calibri" w:hAnsi="Tahoma" w:cs="Tahoma"/>
          <w:sz w:val="19"/>
          <w:szCs w:val="19"/>
          <w:rtl/>
        </w:rPr>
        <w:t>בשנים 2021 - 2024 היו פערים גדולים במחירים בכל אמצעי האספקה בין ערים סמוכות זו לזו בגוש דן. הפער בין המחיר הממוצע הנמוך ביותר למחיר הממוצע הגבוה ביותר במכלים של 12 ק"ג בגוש דן בקרב כלל הספקים היה כ-31% (142.39 ש"ח לעומת 186.71 ש"ח), וכ-22% במכלים של 48 ק"ג (443.68 ש"ח לעומת 542.68 ש"ח), כ-111% במרכזיית מכלים (32.35 ש"ח לעומת 62.41 ש"ח) וכ-52% במרכזיית מכל נייח (23.91 ש"ח לעומת 36.32 ש"ח). בכל אמצעי האספקה היה המחיר הממוצע של הספקים הגדולים גבוה ב-4% - 7% מהמחיר הממוצע של כלל הספקים, ואילו המחיר הממוצע של הספקים הקטנים נמוך ב-10% - 40% מהמחיר הממוצע של כלל הספקים.</w:t>
      </w:r>
    </w:p>
    <w:p w:rsidR="00FC7C67" w:rsidRP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פערי מחירים</w:t>
      </w:r>
      <w:r w:rsidRPr="00FC7C67">
        <w:rPr>
          <w:rFonts w:ascii="Tahoma" w:eastAsia="Calibri" w:hAnsi="Tahoma" w:cs="Tahoma"/>
          <w:sz w:val="19"/>
          <w:szCs w:val="19"/>
          <w:rtl/>
        </w:rPr>
        <w:t xml:space="preserve"> </w:t>
      </w:r>
      <w:r w:rsidRPr="00FC7C67">
        <w:rPr>
          <w:rFonts w:ascii="Tahoma" w:eastAsia="Calibri" w:hAnsi="Tahoma" w:cs="Tahoma"/>
          <w:b/>
          <w:bCs/>
          <w:sz w:val="19"/>
          <w:szCs w:val="19"/>
          <w:rtl/>
        </w:rPr>
        <w:t xml:space="preserve">בין מגזרים - </w:t>
      </w:r>
      <w:r w:rsidRPr="00FC7C67">
        <w:rPr>
          <w:rFonts w:ascii="Tahoma" w:eastAsia="Calibri" w:hAnsi="Tahoma" w:cs="Tahoma"/>
          <w:sz w:val="19"/>
          <w:szCs w:val="19"/>
          <w:rtl/>
        </w:rPr>
        <w:t>בשנים 2021 - 2024 היו המחירים הממוצעים למ"ק גז במרכזיית מכלים ובמרכזיית מכל נייח ברשויות החרדיות נמוכים בשיעורים של 4% עד 35% ו-5% עד 40%, בהתאמה, מהמחירים הממוצעים למ"ק גז בכלל הרשויות. במחירים הממוצעים למ"ק גז ברשויות מהמגזר הערבי נמצאה שונות לעומת כלל הרשויות: לעיתים היו המחירים נמוכים יותר (בשיעורים של 1% - 35% במרכזיית מכלים ובשיעור של כ-8% במרכזיית מכל נייח) ולעיתים גבוהים יותר (בשיעורים של 15% - 18% במרכזיית מכלים ובשיעורים של 18% - 20% במרכזיית מכל נייח). משרד האנרגיה ורשות התחרות לא בחנו את פערי המחירים בין הרשויות החרדיות והרשויות מהמגזר הערבי לכלל הרשויות, בין היתר באמצעות מחקרי שוק תחומים גיאוגרפית או מחקרי שוק בקרב קבוצות של לקוחות.</w:t>
      </w:r>
    </w:p>
    <w:p w:rsidR="00FC7C67" w:rsidRP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מקרה בוחן - פערי מחירים</w:t>
      </w:r>
      <w:r w:rsidRPr="00FC7C67">
        <w:rPr>
          <w:rFonts w:ascii="Tahoma" w:eastAsia="Calibri" w:hAnsi="Tahoma" w:cs="Tahoma"/>
          <w:sz w:val="19"/>
          <w:szCs w:val="19"/>
          <w:rtl/>
        </w:rPr>
        <w:t xml:space="preserve"> </w:t>
      </w:r>
      <w:r w:rsidRPr="00FC7C67">
        <w:rPr>
          <w:rFonts w:ascii="Tahoma" w:eastAsia="Calibri" w:hAnsi="Tahoma" w:cs="Tahoma"/>
          <w:b/>
          <w:bCs/>
          <w:sz w:val="19"/>
          <w:szCs w:val="19"/>
          <w:rtl/>
        </w:rPr>
        <w:t>באותה רשות מקומית: ירושלים -</w:t>
      </w:r>
      <w:r w:rsidRPr="00FC7C67">
        <w:rPr>
          <w:rFonts w:ascii="Tahoma" w:eastAsia="Calibri" w:hAnsi="Tahoma" w:cs="Tahoma"/>
          <w:sz w:val="19"/>
          <w:szCs w:val="19"/>
          <w:rtl/>
        </w:rPr>
        <w:t xml:space="preserve"> בשנים 2021 ו-2024 נקב כל אחד מהספקים טווח של מחירים למכלים של 12 ק"ג ו-48 ק"ג ללקוחות בירושלים. פערי המחירים למכל של 12 ק"ג ו היו גבוהים והגיעו ל-155% (77 ש"ח לעומת 195 ש"ח בשנת 2021, ו-100 ש"ח לעומת 238 ש"ח בשנת 2024 (155% ו-138%, בהתאמה). גם פערי המחירים למכל של 48 ק"ג בעיר היו גבוהים (364 ש"ח לעומת 684 ש"ח בשנת 2021, ו-300 ש"ח לעומת 660 ש"ח בשנת 2024) - פערים של 88% ו-120% בהתאמה. פערי המחירים הגבוהים ביותר היו אצל הספקים הגדולים. מאחר שלמינהל הדלק אין נתונים על השונות במחירים בין השכונות בירושלים, אין ביכולתו לבחון באילו מהשכונות הצרכנים משלמים מחירים גבוהים יותר. הדבר פוגע בצרכנים מאחר שאינם יכולים לבחון את מחירי הגפ"ם בשכונה שהם מתגוררים בה. המחיר המצוין באתר משרד האנרגיה הוא המחיר הממוצע בירושלים, והוא אינו משקף את המחיר בכל שכונה ושכונה בעיר. </w:t>
      </w:r>
    </w:p>
    <w:p w:rsidR="00FC7C67" w:rsidRPr="00FC7C67" w:rsidP="00FE69B5">
      <w:pPr>
        <w:numPr>
          <w:ilvl w:val="0"/>
          <w:numId w:val="16"/>
        </w:numPr>
        <w:spacing w:after="120" w:line="288" w:lineRule="auto"/>
        <w:ind w:left="282" w:right="-567" w:hanging="426"/>
        <w:rPr>
          <w:rFonts w:ascii="Tahoma" w:eastAsia="Calibri" w:hAnsi="Tahoma" w:cs="Tahoma"/>
          <w:sz w:val="19"/>
          <w:szCs w:val="19"/>
        </w:rPr>
      </w:pPr>
      <w:r w:rsidRPr="00FC7C67">
        <w:rPr>
          <w:rFonts w:ascii="Tahoma" w:eastAsia="Calibri" w:hAnsi="Tahoma" w:cs="Tahoma"/>
          <w:b/>
          <w:bCs/>
          <w:sz w:val="19"/>
          <w:szCs w:val="19"/>
          <w:rtl/>
        </w:rPr>
        <w:t xml:space="preserve">השוואת מחירי גפ"ם באתר משרד האנרגיה - </w:t>
      </w:r>
      <w:r w:rsidRPr="00FC7C67">
        <w:rPr>
          <w:rFonts w:ascii="Tahoma" w:eastAsia="Calibri" w:hAnsi="Tahoma" w:cs="Tahoma"/>
          <w:sz w:val="19"/>
          <w:szCs w:val="19"/>
          <w:rtl/>
        </w:rPr>
        <w:t>הטבלה להשוואת מחירי גפ"ם באתר משרד האנרגיה אינה מאפשרת לצרכנים השוואה מלאה בין ספקים (טווח המחירים של כל ספק), בין יישובים ובין שכונות באותו יישוב.</w:t>
      </w:r>
    </w:p>
    <w:p w:rsidR="00FC7C67" w:rsidRPr="00FC7C67" w:rsidP="003B4D3F">
      <w:pPr>
        <w:numPr>
          <w:ilvl w:val="0"/>
          <w:numId w:val="14"/>
        </w:numPr>
        <w:spacing w:after="160" w:line="288" w:lineRule="auto"/>
        <w:ind w:left="-143" w:right="-567" w:hanging="595"/>
        <w:rPr>
          <w:rFonts w:ascii="Tahoma" w:eastAsia="Calibri" w:hAnsi="Tahoma" w:cs="Tahoma"/>
          <w:sz w:val="19"/>
          <w:szCs w:val="19"/>
        </w:rPr>
      </w:pPr>
      <w:r w:rsidRPr="00FC7C67">
        <w:rPr>
          <w:rFonts w:ascii="Tahoma" w:eastAsia="Calibri" w:hAnsi="Tahoma" w:cs="Tahoma"/>
          <w:b/>
          <w:bCs/>
          <w:sz w:val="19"/>
          <w:szCs w:val="19"/>
          <w:rtl/>
        </w:rPr>
        <w:t xml:space="preserve">מעבר לקוחות בין ספקי הגפ"ם - </w:t>
      </w:r>
      <w:r w:rsidRPr="00FC7C67">
        <w:rPr>
          <w:rFonts w:ascii="Tahoma" w:eastAsia="Calibri" w:hAnsi="Tahoma" w:cs="Tahoma"/>
          <w:sz w:val="19"/>
          <w:szCs w:val="19"/>
          <w:rtl/>
        </w:rPr>
        <w:t>מרבית המעברים של לקוחות בשנים 2023 - 2024, הן במרכזיית מכלים (8,418 מעברים מתוך 355,376 צרכנים בשנת 2023, כ-2.3% מכלל המעברים; 8,788 מעברים מתוך 267,306 צרכנים בשנת 2024, כ-3.2%), והן במרכזיית מכל נייח (42,331 מעברים מתוך 862,924 צרכנים בשנת 2023, כ-4.9% מכלל המעברים; 32,429 מעברים מתוך 844,061 צרכנים בשנת 2024, כ-3.8%), נעשו אל הספקים הקטנים, דבר המצביע לכאורה על גידול בתחרותיות. לצד זה, מבדיקת המעברים בקבוצת הספקים הגדולים עולה כי לקוחותיהם עברו בדרך כלל לספקים קטנים ולא לספקים גדולים אחרים, והדבר מעלה שאלה על התחרותיות בין הספקים הגדולים. משרד האנרגיה ורשות התחרות לא ערכו בחינה מקיפה של הנתונים. זאת ועוד, עד מועד סיום הביקורת לא סיים משרד האנרגיה לגבש את התקנות שיאפשרו לדיירים בבניין חדש לבחור בעצמם את ספק הגז שיספק גז לראשונה למערכת גז מרכזית חדשה, עוד לפני כניסתם לדירה.</w:t>
      </w:r>
    </w:p>
    <w:p w:rsidR="00FC7C67" w:rsidRPr="00FC7C67" w:rsidP="001A3A0D">
      <w:pPr>
        <w:numPr>
          <w:ilvl w:val="0"/>
          <w:numId w:val="14"/>
        </w:numPr>
        <w:spacing w:after="160" w:line="288" w:lineRule="auto"/>
        <w:ind w:left="-142" w:right="-567" w:hanging="595"/>
        <w:rPr>
          <w:rFonts w:ascii="Tahoma" w:eastAsia="Calibri" w:hAnsi="Tahoma" w:cs="Tahoma"/>
          <w:sz w:val="19"/>
          <w:szCs w:val="19"/>
        </w:rPr>
      </w:pPr>
      <w:r w:rsidRPr="00FC7C67">
        <w:rPr>
          <w:rFonts w:ascii="Tahoma" w:eastAsia="Calibri" w:hAnsi="Tahoma" w:cs="Tahoma"/>
          <w:b/>
          <w:bCs/>
          <w:sz w:val="19"/>
          <w:szCs w:val="19"/>
          <w:rtl/>
        </w:rPr>
        <w:t>אכיפה נגד פעולות גז ללא רישיון -</w:t>
      </w:r>
      <w:r w:rsidRPr="00FC7C67">
        <w:rPr>
          <w:rFonts w:ascii="Tahoma" w:eastAsia="Calibri" w:hAnsi="Tahoma" w:cs="Tahoma"/>
          <w:sz w:val="19"/>
          <w:szCs w:val="19"/>
          <w:rtl/>
        </w:rPr>
        <w:t xml:space="preserve"> בשנים 2021 - 2024 פתחו אגף הפיקוח במינהל הדלק בממוצע 37 תיקי חקירה בכל שנה. מתוך 238 המעורבים ב-181 תיקי החקירה שנפתחו בשנים 2021 - 2024, 21 (כ-9%) ביצעו את העבירה יותר מפעם אחת. 76 תיקי חקירה (42% מהתיקים) נסגרו (ובהם תיקים שנסגרו לאחר שהוגשו בהם תביעות ותיקים שנסגרו בשל חוסר ראיות). 91 מהעבירות (כמחצית) בוצעו במרחב ירושלים.</w:t>
      </w:r>
    </w:p>
    <w:p w:rsidR="001255C3" w:rsidRPr="003B4D3F" w:rsidP="003B4D3F">
      <w:pPr>
        <w:numPr>
          <w:ilvl w:val="0"/>
          <w:numId w:val="14"/>
        </w:numPr>
        <w:spacing w:after="160" w:line="288" w:lineRule="auto"/>
        <w:ind w:left="-143" w:right="-567" w:hanging="595"/>
        <w:rPr>
          <w:rFonts w:ascii="Tahoma" w:eastAsia="Calibri" w:hAnsi="Tahoma" w:cs="Tahoma"/>
          <w:sz w:val="19"/>
          <w:szCs w:val="19"/>
        </w:rPr>
      </w:pPr>
      <w:r w:rsidRPr="003B4D3F">
        <w:rPr>
          <w:rFonts w:ascii="Tahoma" w:eastAsia="Calibri" w:hAnsi="Tahoma" w:cs="Tahoma"/>
          <w:b/>
          <w:bCs/>
          <w:sz w:val="19"/>
          <w:szCs w:val="19"/>
          <w:rtl/>
        </w:rPr>
        <w:t xml:space="preserve">הברחת מכלי גז מאיו"ש - </w:t>
      </w:r>
      <w:r w:rsidRPr="003B4D3F">
        <w:rPr>
          <w:rFonts w:ascii="Tahoma" w:eastAsia="Calibri" w:hAnsi="Tahoma" w:cs="Tahoma"/>
          <w:sz w:val="19"/>
          <w:szCs w:val="19"/>
          <w:rtl/>
        </w:rPr>
        <w:t>בשנים 2021 - 2025 נפתחו 102 תיקי חקירה בגין הברחת מכלי גז מאיו"ש לישראל (בממוצע כ-20 תיקים לשנה), רובם ככולם על ידי ספקים לא מורשים. במרבית המקרים מדובר בהכנסה של כמה מכלים. עם זאת, עלה כי לאגף הפיקוח במינהל הדלק אין מידע בנוגע לכמות מכלי הגז המוברחת באופן פיראטי מאיו"ש לישראל, ויש להם קושי של ממש לאמוד את היקף התופעה בעיקר בשל היעדר סמכות פעולה באיו"ש.</w:t>
      </w:r>
    </w:p>
    <w:p w:rsidR="00FC7C67" w:rsidRPr="00FC7C67" w:rsidP="001A3A0D">
      <w:pPr>
        <w:spacing w:before="240" w:after="160" w:line="288" w:lineRule="auto"/>
        <w:ind w:left="-283" w:right="-567" w:hanging="454"/>
        <w:rPr>
          <w:rFonts w:ascii="Tahoma" w:eastAsia="Calibri" w:hAnsi="Tahoma" w:cs="Tahoma"/>
          <w:sz w:val="19"/>
          <w:szCs w:val="19"/>
          <w:rtl/>
        </w:rPr>
      </w:pPr>
      <w:r w:rsidRPr="00FC7C67">
        <w:rPr>
          <w:rFonts w:ascii="Tahoma" w:eastAsia="Calibri" w:hAnsi="Tahoma" w:cs="Tahoma"/>
          <w:noProof/>
          <w:sz w:val="19"/>
          <w:szCs w:val="19"/>
          <w:rtl/>
        </w:rPr>
        <w:drawing>
          <wp:inline distT="0" distB="0" distL="0" distR="0">
            <wp:extent cx="2710450" cy="207831"/>
            <wp:effectExtent l="0" t="0" r="0" b="190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ke.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FC7C67" w:rsidRPr="00FC7C67" w:rsidP="00FC7C67">
      <w:pPr>
        <w:spacing w:after="240" w:line="288" w:lineRule="auto"/>
        <w:ind w:left="-150" w:right="-567"/>
        <w:rPr>
          <w:rFonts w:ascii="Tahoma" w:eastAsia="Calibri" w:hAnsi="Tahoma" w:cs="Tahoma"/>
          <w:sz w:val="19"/>
          <w:szCs w:val="19"/>
          <w:rtl/>
        </w:rPr>
      </w:pPr>
      <w:r w:rsidRPr="00FC7C67">
        <w:rPr>
          <w:rFonts w:ascii="Tahoma" w:eastAsia="Calibri" w:hAnsi="Tahoma" w:cs="Tahoma"/>
          <w:b/>
          <w:bCs/>
          <w:sz w:val="19"/>
          <w:szCs w:val="19"/>
          <w:rtl/>
        </w:rPr>
        <w:t>תיקוני חקיקה בתחום המרכזיות במגזר הביתי -</w:t>
      </w:r>
      <w:r w:rsidRPr="00FC7C67">
        <w:rPr>
          <w:rFonts w:ascii="Tahoma" w:eastAsia="Calibri" w:hAnsi="Tahoma" w:cs="Tahoma"/>
          <w:sz w:val="19"/>
          <w:szCs w:val="19"/>
          <w:rtl/>
        </w:rPr>
        <w:t xml:space="preserve"> מינהל הדלק הוביל תיקוני חקיקה רבים בנוגע למגזר הביתי החל בסוף שנות השמונים של המאה העשרים. פלח השוק של הספקים הקטנים במגזר הביתי היה בשנים 2016 - 2024 במגמת עלייה (מ-15% ל-29%), נתון שמצביע לכאורה על עלייה ברמת התחרות. עם זאת נתח השוק של ארבעת הספקים הגדולים במגזר הביתי (71%) הוא יותר מפי שניים מנתח השוק של הספקים הקטנים (29%).</w:t>
      </w:r>
    </w:p>
    <w:p w:rsidR="00FC7C67" w:rsidRPr="00FC7C67" w:rsidP="00FC7C67">
      <w:pPr>
        <w:bidi w:val="0"/>
        <w:spacing w:after="200" w:line="288" w:lineRule="auto"/>
        <w:ind w:right="-709"/>
        <w:rPr>
          <w:rFonts w:ascii="Tahoma" w:eastAsia="Calibri" w:hAnsi="Tahoma" w:cs="Tahoma"/>
          <w:sz w:val="2"/>
          <w:szCs w:val="2"/>
        </w:rPr>
      </w:pPr>
    </w:p>
    <w:tbl>
      <w:tblPr>
        <w:tblStyle w:val="26"/>
        <w:tblpPr w:leftFromText="180" w:rightFromText="180" w:vertAnchor="text" w:tblpXSpec="center" w:tblpY="1"/>
        <w:tblOverlap w:val="never"/>
        <w:bidiVisual/>
        <w:tblW w:w="9783" w:type="dxa"/>
        <w:tblLayout w:type="fixed"/>
        <w:tblLook w:val="04A0"/>
      </w:tblPr>
      <w:tblGrid>
        <w:gridCol w:w="9783"/>
      </w:tblGrid>
      <w:tr w:rsidTr="00A5183C">
        <w:tblPrEx>
          <w:tblW w:w="9783" w:type="dxa"/>
          <w:tblLayout w:type="fixed"/>
          <w:tblLook w:val="04A0"/>
        </w:tblPrEx>
        <w:trPr>
          <w:trHeight w:val="851"/>
        </w:trPr>
        <w:tc>
          <w:tcPr>
            <w:tcW w:w="9783" w:type="dxa"/>
            <w:tcBorders>
              <w:top w:val="nil"/>
              <w:left w:val="nil"/>
              <w:bottom w:val="nil"/>
              <w:right w:val="nil"/>
            </w:tcBorders>
          </w:tcPr>
          <w:p w:rsidR="00FC7C67" w:rsidRPr="00FC7C67" w:rsidP="00FC7C67">
            <w:pPr>
              <w:spacing w:line="288" w:lineRule="auto"/>
              <w:rPr>
                <w:rFonts w:ascii="Tahoma" w:eastAsia="Calibri" w:hAnsi="Tahoma" w:cs="Tahoma"/>
                <w:szCs w:val="24"/>
                <w:rtl/>
              </w:rPr>
            </w:pPr>
            <w:r w:rsidRPr="00FC7C67">
              <w:rPr>
                <w:rFonts w:ascii="Tahoma" w:eastAsia="Calibri" w:hAnsi="Tahoma" w:cs="Tahoma"/>
                <w:noProof/>
                <w:rtl/>
              </w:rPr>
              <w:drawing>
                <wp:inline distT="0" distB="0" distL="0" distR="0">
                  <wp:extent cx="6091555" cy="439381"/>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קציר תמונה 3.4.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49763" cy="450792"/>
                          </a:xfrm>
                          <a:prstGeom prst="rect">
                            <a:avLst/>
                          </a:prstGeom>
                        </pic:spPr>
                      </pic:pic>
                    </a:graphicData>
                  </a:graphic>
                </wp:inline>
              </w:drawing>
            </w:r>
          </w:p>
        </w:tc>
      </w:tr>
      <w:tr w:rsidTr="001A3A0D">
        <w:tblPrEx>
          <w:tblW w:w="9783" w:type="dxa"/>
          <w:tblLayout w:type="fixed"/>
          <w:tblLook w:val="04A0"/>
        </w:tblPrEx>
        <w:trPr>
          <w:trHeight w:val="709"/>
        </w:trPr>
        <w:tc>
          <w:tcPr>
            <w:tcW w:w="9783" w:type="dxa"/>
            <w:tcBorders>
              <w:top w:val="nil"/>
              <w:left w:val="nil"/>
              <w:bottom w:val="nil"/>
              <w:right w:val="nil"/>
            </w:tcBorders>
            <w:shd w:val="clear" w:color="auto" w:fill="F1F5F9"/>
          </w:tcPr>
          <w:p w:rsidR="00FC7C67" w:rsidRPr="00FC7C67" w:rsidP="00FC7C67">
            <w:pPr>
              <w:spacing w:line="288" w:lineRule="auto"/>
              <w:ind w:left="598" w:right="173" w:hanging="598"/>
              <w:contextualSpacing/>
              <w:rPr>
                <w:rFonts w:ascii="Tahoma" w:eastAsia="Calibri" w:hAnsi="Tahoma" w:cs="Tahoma"/>
                <w:sz w:val="13"/>
                <w:szCs w:val="13"/>
              </w:rPr>
            </w:pPr>
          </w:p>
          <w:p w:rsidR="00FC7C67" w:rsidRPr="00FC7C67" w:rsidP="00FE69B5">
            <w:pPr>
              <w:numPr>
                <w:ilvl w:val="0"/>
                <w:numId w:val="15"/>
              </w:numPr>
              <w:spacing w:after="240" w:line="288" w:lineRule="auto"/>
              <w:ind w:left="515" w:right="173" w:hanging="515"/>
              <w:jc w:val="both"/>
              <w:rPr>
                <w:rFonts w:ascii="Tahoma" w:eastAsia="Calibri" w:hAnsi="Tahoma" w:cs="Tahoma"/>
                <w:sz w:val="19"/>
                <w:szCs w:val="19"/>
              </w:rPr>
            </w:pPr>
            <w:r w:rsidRPr="00FC7C67">
              <w:rPr>
                <w:rFonts w:ascii="Tahoma" w:eastAsia="Calibri" w:hAnsi="Tahoma" w:cs="Tahoma"/>
                <w:b/>
                <w:bCs/>
                <w:sz w:val="19"/>
                <w:szCs w:val="19"/>
                <w:rtl/>
              </w:rPr>
              <w:t xml:space="preserve">היערכות לצמצום הצריכה במשק הגפ"ם </w:t>
            </w:r>
            <w:r w:rsidRPr="00FC7C67">
              <w:rPr>
                <w:rFonts w:ascii="Tahoma" w:eastAsia="Calibri" w:hAnsi="Tahoma" w:cs="Tahoma"/>
                <w:sz w:val="19"/>
                <w:szCs w:val="19"/>
                <w:rtl/>
              </w:rPr>
              <w:t>- על משרד האנרגיה לנקוט את הצעדים הנדרשים כדי שהמדינה תהיה ערוכה לצמצום הצריכה במשק הגפ"ם ולסגירת בז"ן בהתאם למדיניות הממשלה בעניין הפחתת פליטות גזי חממה, התייעלות אנרגטית וצמצום השימוש בגפ"ם.</w:t>
            </w:r>
          </w:p>
          <w:p w:rsidR="00FC7C67" w:rsidRPr="00FC7C67" w:rsidP="00FE69B5">
            <w:pPr>
              <w:numPr>
                <w:ilvl w:val="0"/>
                <w:numId w:val="15"/>
              </w:numPr>
              <w:spacing w:after="240" w:line="288" w:lineRule="auto"/>
              <w:ind w:left="515" w:right="173" w:hanging="515"/>
              <w:jc w:val="both"/>
              <w:rPr>
                <w:rFonts w:ascii="Tahoma" w:eastAsia="Calibri" w:hAnsi="Tahoma" w:cs="Tahoma"/>
                <w:sz w:val="19"/>
                <w:szCs w:val="19"/>
              </w:rPr>
            </w:pPr>
            <w:r w:rsidRPr="00FC7C67">
              <w:rPr>
                <w:rFonts w:ascii="Tahoma" w:eastAsia="Calibri" w:hAnsi="Tahoma" w:cs="Tahoma"/>
                <w:b/>
                <w:bCs/>
                <w:sz w:val="19"/>
                <w:szCs w:val="19"/>
                <w:rtl/>
              </w:rPr>
              <w:t xml:space="preserve">עדכון בדבר כושר הייצור של בתי הזיקוק </w:t>
            </w:r>
            <w:r w:rsidRPr="00FC7C67">
              <w:rPr>
                <w:rFonts w:ascii="Tahoma" w:eastAsia="Calibri" w:hAnsi="Tahoma" w:cs="Tahoma"/>
                <w:sz w:val="19"/>
                <w:szCs w:val="19"/>
                <w:rtl/>
              </w:rPr>
              <w:t>- על מינהל הדלק לוודא כי בתי הזיקוק עומדים בחובת ההודעה בכתב, מדי חודש, על תחזית כושר האספקה שלהם, בהתאם לתקנות וכן על מסירת עדכונים כנדרש לפי הצווים הרלוונטיים ולהיערך לעבודות ריענון מתקנים בבתי הזיקוק, לתקלות במתקניהם ולפגיעות בהם, בייחוד בעיתות מלחמה, כדי להבטיח אספקת גפ"ם סדירה למשק.</w:t>
            </w:r>
            <w:r w:rsidRPr="00FC7C67">
              <w:rPr>
                <w:rFonts w:ascii="Tahoma" w:eastAsia="Calibri" w:hAnsi="Tahoma" w:cs="Tahoma"/>
                <w:b/>
                <w:bCs/>
                <w:sz w:val="19"/>
                <w:szCs w:val="19"/>
                <w:rtl/>
              </w:rPr>
              <w:t xml:space="preserve"> </w:t>
            </w:r>
            <w:r w:rsidRPr="00FC7C67">
              <w:rPr>
                <w:rFonts w:ascii="Tahoma" w:eastAsia="Calibri" w:hAnsi="Tahoma" w:cs="Tahoma"/>
                <w:sz w:val="19"/>
                <w:szCs w:val="19"/>
                <w:rtl/>
              </w:rPr>
              <w:t>על משרד הביטחון, רח"ל ומשרד האנרגיה לסיים את תהליכי אישור הנוהל בנושא ניהול ביקושי גפ"ם בחירום וחתימתו. כמו כן, מומלץ למועצה הלאומית לכלכלה, בשיתוף משרד האנרגיה ומשרד האוצר, לפעול להבטיח כי יסופקו צורכי האנרגיה של ישראל, בין היתר על בסיס הלקחים ממלחמת חרבות ברזל וממבצע עם כלביא.</w:t>
            </w:r>
          </w:p>
          <w:p w:rsidR="00586B64" w:rsidRPr="00586B64" w:rsidP="001A3A0D">
            <w:pPr>
              <w:numPr>
                <w:ilvl w:val="0"/>
                <w:numId w:val="15"/>
              </w:numPr>
              <w:spacing w:after="160" w:line="288" w:lineRule="auto"/>
              <w:ind w:left="516" w:right="176" w:hanging="516"/>
              <w:jc w:val="both"/>
              <w:rPr>
                <w:rFonts w:ascii="Tahoma" w:eastAsia="Calibri" w:hAnsi="Tahoma" w:cs="Tahoma"/>
                <w:sz w:val="2"/>
                <w:szCs w:val="2"/>
              </w:rPr>
            </w:pPr>
            <w:r w:rsidRPr="00FC7C67">
              <w:rPr>
                <w:rFonts w:ascii="Tahoma" w:eastAsia="Calibri" w:hAnsi="Tahoma" w:cs="Tahoma"/>
                <w:b/>
                <w:bCs/>
                <w:sz w:val="19"/>
                <w:szCs w:val="19"/>
                <w:rtl/>
              </w:rPr>
              <w:t xml:space="preserve">תכלול ההיערכות הממשלתית לסגירת בז"ן </w:t>
            </w:r>
            <w:r w:rsidRPr="00FC7C67">
              <w:rPr>
                <w:rFonts w:ascii="Tahoma" w:eastAsia="Calibri" w:hAnsi="Tahoma" w:cs="Tahoma"/>
                <w:sz w:val="19"/>
                <w:szCs w:val="19"/>
                <w:rtl/>
              </w:rPr>
              <w:t>- על המועצה הלאומית לכלכלה, האמונה על יישום החלטת הממשלה 1231, לתכלל את ההיערכות הממשלתית לסגירת בז"ן ולוודא כי הגופים הרלוונטיים - משרד</w:t>
            </w:r>
            <w:r w:rsidR="00AE24E9">
              <w:rPr>
                <w:rFonts w:ascii="Tahoma" w:eastAsia="Calibri" w:hAnsi="Tahoma" w:cs="Tahoma"/>
                <w:sz w:val="19"/>
                <w:szCs w:val="19"/>
                <w:rtl/>
              </w:rPr>
              <w:br/>
            </w:r>
          </w:p>
          <w:p w:rsidR="00FC7C67" w:rsidRPr="00FC7C67" w:rsidP="00586B64">
            <w:pPr>
              <w:spacing w:after="160" w:line="288" w:lineRule="auto"/>
              <w:ind w:left="516" w:right="176"/>
              <w:jc w:val="both"/>
              <w:rPr>
                <w:rFonts w:ascii="Tahoma" w:eastAsia="Calibri" w:hAnsi="Tahoma" w:cs="Tahoma"/>
                <w:sz w:val="19"/>
                <w:szCs w:val="19"/>
              </w:rPr>
            </w:pPr>
            <w:r w:rsidRPr="00586B64">
              <w:rPr>
                <w:rFonts w:ascii="Tahoma" w:eastAsia="Calibri" w:hAnsi="Tahoma" w:cs="Tahoma"/>
                <w:sz w:val="13"/>
                <w:szCs w:val="13"/>
                <w:rtl/>
              </w:rPr>
              <w:br/>
            </w:r>
            <w:r w:rsidRPr="00FC7C67">
              <w:rPr>
                <w:rFonts w:ascii="Tahoma" w:eastAsia="Calibri" w:hAnsi="Tahoma" w:cs="Tahoma"/>
                <w:sz w:val="19"/>
                <w:szCs w:val="19"/>
                <w:rtl/>
              </w:rPr>
              <w:t>האנרגיה, משרד האוצר, משרד התחבורה ורשות התחרות - מקדמים את הנושאים הנוגעים למשק הגפ"ם שבאחריותם,</w:t>
            </w:r>
            <w:r w:rsidRPr="00FC7C67">
              <w:rPr>
                <w:rFonts w:ascii="Tahoma" w:eastAsia="Calibri" w:hAnsi="Tahoma" w:cs="Tahoma"/>
                <w:b/>
                <w:bCs/>
                <w:sz w:val="19"/>
                <w:szCs w:val="19"/>
                <w:rtl/>
              </w:rPr>
              <w:t xml:space="preserve"> </w:t>
            </w:r>
            <w:r w:rsidRPr="00FC7C67">
              <w:rPr>
                <w:rFonts w:ascii="Tahoma" w:eastAsia="Calibri" w:hAnsi="Tahoma" w:cs="Tahoma"/>
                <w:sz w:val="19"/>
                <w:szCs w:val="19"/>
                <w:rtl/>
              </w:rPr>
              <w:t>תוך האיזון הנדרש בין הסיכונים הסביבתיים ובין צורכי האנרגיה.</w:t>
            </w:r>
          </w:p>
          <w:p w:rsidR="00FC7C67" w:rsidRPr="00FC7C67" w:rsidP="001A3A0D">
            <w:pPr>
              <w:numPr>
                <w:ilvl w:val="0"/>
                <w:numId w:val="15"/>
              </w:numPr>
              <w:spacing w:after="120" w:line="288" w:lineRule="auto"/>
              <w:ind w:left="516" w:right="176" w:hanging="516"/>
              <w:jc w:val="both"/>
              <w:rPr>
                <w:rFonts w:ascii="Tahoma" w:eastAsia="Calibri" w:hAnsi="Tahoma" w:cs="Tahoma"/>
                <w:sz w:val="19"/>
                <w:szCs w:val="19"/>
              </w:rPr>
            </w:pPr>
            <w:r w:rsidRPr="00FC7C67">
              <w:rPr>
                <w:rFonts w:ascii="Tahoma" w:eastAsia="Calibri" w:hAnsi="Tahoma" w:cs="Tahoma"/>
                <w:b/>
                <w:bCs/>
                <w:sz w:val="19"/>
                <w:szCs w:val="19"/>
                <w:rtl/>
              </w:rPr>
              <w:t>תשתיות לייבוא ולאחסון של גפ"ם</w:t>
            </w:r>
            <w:r w:rsidRPr="00FC7C67">
              <w:rPr>
                <w:rFonts w:ascii="Tahoma" w:eastAsia="Calibri" w:hAnsi="Tahoma" w:cs="Tahoma"/>
                <w:sz w:val="19"/>
                <w:szCs w:val="19"/>
                <w:rtl/>
              </w:rPr>
              <w:t xml:space="preserve"> </w:t>
            </w:r>
          </w:p>
          <w:p w:rsidR="00FC7C67" w:rsidRPr="00FC7C67" w:rsidP="001A3A0D">
            <w:pPr>
              <w:numPr>
                <w:ilvl w:val="1"/>
                <w:numId w:val="15"/>
              </w:numPr>
              <w:spacing w:after="120" w:line="288" w:lineRule="auto"/>
              <w:ind w:left="884" w:right="176" w:hanging="357"/>
              <w:jc w:val="both"/>
              <w:rPr>
                <w:rFonts w:ascii="Tahoma" w:eastAsia="Calibri" w:hAnsi="Tahoma" w:cs="Tahoma"/>
                <w:sz w:val="19"/>
                <w:szCs w:val="19"/>
              </w:rPr>
            </w:pPr>
            <w:r w:rsidRPr="00FC7C67">
              <w:rPr>
                <w:rFonts w:ascii="Tahoma" w:eastAsia="Calibri" w:hAnsi="Tahoma" w:cs="Tahoma"/>
                <w:b/>
                <w:bCs/>
                <w:sz w:val="19"/>
                <w:szCs w:val="19"/>
                <w:rtl/>
              </w:rPr>
              <w:t xml:space="preserve">יבוא גפ"ם בצפון הארץ </w:t>
            </w:r>
            <w:r w:rsidRPr="00FC7C67">
              <w:rPr>
                <w:rFonts w:ascii="Tahoma" w:eastAsia="Calibri" w:hAnsi="Tahoma" w:cs="Tahoma"/>
                <w:sz w:val="19"/>
                <w:szCs w:val="19"/>
                <w:rtl/>
              </w:rPr>
              <w:t>-</w:t>
            </w:r>
            <w:r w:rsidRPr="00FC7C67">
              <w:rPr>
                <w:rFonts w:ascii="Tahoma" w:eastAsia="Calibri" w:hAnsi="Tahoma" w:cs="Tahoma"/>
                <w:b/>
                <w:bCs/>
                <w:sz w:val="19"/>
                <w:szCs w:val="19"/>
                <w:rtl/>
              </w:rPr>
              <w:t xml:space="preserve"> </w:t>
            </w:r>
            <w:r w:rsidRPr="00FC7C67">
              <w:rPr>
                <w:rFonts w:ascii="Tahoma" w:eastAsia="Calibri" w:hAnsi="Tahoma" w:cs="Tahoma"/>
                <w:sz w:val="19"/>
                <w:szCs w:val="19"/>
                <w:rtl/>
              </w:rPr>
              <w:t xml:space="preserve">על המועצה הלאומית לכלכלה, כגורם האמון על יישום החלטה 1231, לבחון את החלופות הקיימות ליבוא גפ"ם בצפון הארץ ואת היכולת ליישמן בלוחות הזמנים שנקבעו לסגירת בז"ן ולנוכח מורכבות ההסדרה הסטטוטורית, העלולה להשפיע על משך השלמתן - ובהתחשב בחילוקי הדעות בסוגיה זו לקדם חלופה שביצועה יעמוד בלוח הזמנים הנדרש כדי לאפשר יבוא גפ"ם בצפון הארץ לאחר סגירת בז"ן ולהגדיל את יָתירוּת הגפ"ם במשק בעיתות שגרה ובעיתות חירום. </w:t>
            </w:r>
          </w:p>
          <w:p w:rsidR="00FC7C67" w:rsidRPr="00FC7C67" w:rsidP="00FE69B5">
            <w:pPr>
              <w:numPr>
                <w:ilvl w:val="1"/>
                <w:numId w:val="15"/>
              </w:numPr>
              <w:spacing w:after="240" w:line="288" w:lineRule="auto"/>
              <w:ind w:left="887" w:right="173"/>
              <w:jc w:val="both"/>
              <w:rPr>
                <w:rFonts w:ascii="Tahoma" w:eastAsia="Calibri" w:hAnsi="Tahoma" w:cs="Tahoma"/>
                <w:sz w:val="19"/>
                <w:szCs w:val="19"/>
              </w:rPr>
            </w:pPr>
            <w:r w:rsidRPr="00FC7C67">
              <w:rPr>
                <w:rFonts w:ascii="Tahoma" w:eastAsia="Calibri" w:hAnsi="Tahoma" w:cs="Tahoma"/>
                <w:b/>
                <w:bCs/>
                <w:sz w:val="19"/>
                <w:szCs w:val="19"/>
                <w:rtl/>
              </w:rPr>
              <w:t>הקמת מתקני אחסון גפ"ם בצפון הארץ</w:t>
            </w:r>
            <w:r w:rsidRPr="00FC7C67">
              <w:rPr>
                <w:rFonts w:ascii="Tahoma" w:eastAsia="Calibri" w:hAnsi="Tahoma" w:cs="Tahoma"/>
                <w:sz w:val="19"/>
                <w:szCs w:val="19"/>
                <w:rtl/>
              </w:rPr>
              <w:t xml:space="preserve"> - על החשכ"ל להשלים את מודל המימון אשר יאפשר את הקמת המתקנים ואת הסדרת תוואי ההולכה היבשתי והאחסון של הגפ"ם לצורך הגדלת יתירות מלאי הגפ"ם באמצעות יבואו ואחסונו באזור הצפון. עוד מומלץ לשר האנרגיה, האמון על בחינת העמידה בתנאי הקבוע בהחלטת הממשלה 1231 להבטחת הרציפות התפקודית של משק האנרגיה ולקיומן של התשתיות הנדרשות, לבחון את סוגיית אחסון הגפ"ם בצפון הארץ ולפעול בשיתוף משרד התחבורה, המועצה הלאומית לכלכלה והחשכ"ל לקביעת לוחות זמנים ואבני דרך לקידום הקמת כלל התשתיות הנדרשות בצפון הארץ - מתקן לפריקת גפ"ם מיובא, קו הולכה ומתקן אחסון.</w:t>
            </w:r>
          </w:p>
          <w:p w:rsidR="00FC7C67" w:rsidRPr="00FC7C67" w:rsidP="001A3A0D">
            <w:pPr>
              <w:numPr>
                <w:ilvl w:val="0"/>
                <w:numId w:val="15"/>
              </w:numPr>
              <w:spacing w:after="160" w:line="288" w:lineRule="auto"/>
              <w:ind w:left="516" w:right="176" w:hanging="516"/>
              <w:jc w:val="both"/>
              <w:rPr>
                <w:rFonts w:ascii="Tahoma" w:eastAsia="Calibri" w:hAnsi="Tahoma" w:cs="Tahoma"/>
                <w:sz w:val="19"/>
                <w:szCs w:val="19"/>
              </w:rPr>
            </w:pPr>
            <w:r w:rsidRPr="00FC7C67">
              <w:rPr>
                <w:rFonts w:ascii="Tahoma" w:eastAsia="Calibri" w:hAnsi="Tahoma" w:cs="Tahoma"/>
                <w:b/>
                <w:bCs/>
                <w:sz w:val="19"/>
                <w:szCs w:val="19"/>
                <w:rtl/>
              </w:rPr>
              <w:t xml:space="preserve">הקמת תשתיות גפ"ם באזור אשדוד </w:t>
            </w:r>
            <w:r w:rsidRPr="00FC7C67">
              <w:rPr>
                <w:rFonts w:ascii="Tahoma" w:eastAsia="Calibri" w:hAnsi="Tahoma" w:cs="Tahoma"/>
                <w:sz w:val="19"/>
                <w:szCs w:val="19"/>
                <w:rtl/>
              </w:rPr>
              <w:t>- מומלץ למשרד האנרגיה ולחנ"י לקדם את שדרוג המקשר הימי באשדוד ולהוספת תשתיות להולכה ואחסון של גפ"ם, הן כדי שתהיה נקודת יבוא גפ"ם נוספת באזור הדרום בהיבטי פיזור הסיכון הביטחוני הן לשם המשך הייצוא של גפ"ם אולפיני מבז"א אחרי סגירת בז"ן, כך שיעמוד בלוח הזמנים שקבע המשרד להגנת הסביבה (עד סוף שנת 2027). עוד מומלץ</w:t>
            </w:r>
            <w:r w:rsidRPr="00FC7C67">
              <w:rPr>
                <w:rFonts w:ascii="Tahoma" w:eastAsia="Calibri" w:hAnsi="Tahoma" w:cs="Tahoma"/>
                <w:szCs w:val="24"/>
                <w:rtl/>
              </w:rPr>
              <w:t xml:space="preserve"> </w:t>
            </w:r>
            <w:r w:rsidRPr="00FC7C67">
              <w:rPr>
                <w:rFonts w:ascii="Tahoma" w:eastAsia="Calibri" w:hAnsi="Tahoma" w:cs="Tahoma"/>
                <w:sz w:val="19"/>
                <w:szCs w:val="19"/>
                <w:rtl/>
              </w:rPr>
              <w:t xml:space="preserve">לחשכ"ל להשלים את קבלת ההחלטה בעניין בחירת מפעיל המקשרים מול חופי אשדוד כמו כן, על החשכ"ל ותש"א לסיים את המשא ומתן ביניהם, הנמשך שנים, ולחתום על הסכם הפעלה, כדי להסדיר את פעילות החברה כנדרש. </w:t>
            </w:r>
          </w:p>
          <w:p w:rsidR="00FC7C67" w:rsidRPr="00FC7C67" w:rsidP="001A3A0D">
            <w:pPr>
              <w:numPr>
                <w:ilvl w:val="0"/>
                <w:numId w:val="15"/>
              </w:numPr>
              <w:spacing w:after="160" w:line="288" w:lineRule="auto"/>
              <w:ind w:left="516" w:right="176" w:hanging="516"/>
              <w:jc w:val="both"/>
              <w:rPr>
                <w:rFonts w:ascii="Tahoma" w:eastAsia="Calibri" w:hAnsi="Tahoma" w:cs="Tahoma"/>
                <w:sz w:val="19"/>
                <w:szCs w:val="19"/>
              </w:rPr>
            </w:pPr>
            <w:r w:rsidRPr="00FC7C67">
              <w:rPr>
                <w:rFonts w:ascii="Tahoma" w:eastAsia="Calibri" w:hAnsi="Tahoma" w:cs="Tahoma"/>
                <w:b/>
                <w:bCs/>
                <w:sz w:val="19"/>
                <w:szCs w:val="19"/>
                <w:rtl/>
              </w:rPr>
              <w:t xml:space="preserve">הפריסה הגיאוגרפית של הספקים הגדולים </w:t>
            </w:r>
            <w:r w:rsidRPr="00FC7C67">
              <w:rPr>
                <w:rFonts w:ascii="Tahoma" w:eastAsia="Calibri" w:hAnsi="Tahoma" w:cs="Tahoma"/>
                <w:sz w:val="19"/>
                <w:szCs w:val="19"/>
                <w:rtl/>
              </w:rPr>
              <w:t>- מוצע כי מינהל הדלק ורשות התחרות יבחנו את הריכוזיות האזורית, ובכלל זאת את האזורים שבהם שולט ספק גדול אחד, שכן היא גורמת לתחרותיות מועטה בין הספקים הגדולים.</w:t>
            </w:r>
          </w:p>
          <w:p w:rsidR="00FC7C67" w:rsidRPr="00FC7C67" w:rsidP="001A3A0D">
            <w:pPr>
              <w:numPr>
                <w:ilvl w:val="0"/>
                <w:numId w:val="15"/>
              </w:numPr>
              <w:spacing w:after="160" w:line="288" w:lineRule="auto"/>
              <w:ind w:left="516" w:right="176" w:hanging="516"/>
              <w:jc w:val="both"/>
              <w:rPr>
                <w:rFonts w:ascii="Tahoma" w:eastAsia="Calibri" w:hAnsi="Tahoma" w:cs="Tahoma"/>
                <w:sz w:val="19"/>
                <w:szCs w:val="19"/>
              </w:rPr>
            </w:pPr>
            <w:r w:rsidRPr="00FC7C67">
              <w:rPr>
                <w:rFonts w:ascii="Tahoma" w:eastAsia="Calibri" w:hAnsi="Tahoma" w:cs="Tahoma"/>
                <w:b/>
                <w:bCs/>
                <w:sz w:val="19"/>
                <w:szCs w:val="19"/>
                <w:rtl/>
              </w:rPr>
              <w:t xml:space="preserve">פערי המחירים בגוש דן ובין מגזרים שונים </w:t>
            </w:r>
            <w:r w:rsidRPr="00FC7C67">
              <w:rPr>
                <w:rFonts w:ascii="Tahoma" w:eastAsia="Calibri" w:hAnsi="Tahoma" w:cs="Tahoma"/>
                <w:sz w:val="19"/>
                <w:szCs w:val="19"/>
                <w:rtl/>
              </w:rPr>
              <w:t>- על משרד האנרגיה ורשות התחרות לבחון את פערי המחירים בגוש דן ולבדוק כיצד אפשר לצמצם אותם, בעיקר במרכזיות מכלים ובמרכזיות מכל נייח ובייחוד אצל הספקים הגדולים. כמו כן, על משרד האנרגיה ורשות התחרות לבחון את פערי המחירים בין הרשויות החרדיות והרשויות מהמגזר הערבי לכלל הרשויות, בין היתר באמצעות מחקרי שוק תחומים גיאוגרפית או מחקרי שוק בקרב קבוצות שונות של לקוחות, ולבדוק כיצד אפשר לצמצם את הפערים במחירים בין המגזר החרדי והמגזר הערבי למגזר הכללי ובקרב קבוצות שונות של לקוחות.</w:t>
            </w:r>
          </w:p>
          <w:p w:rsidR="00FC7C67" w:rsidRPr="00FC7C67" w:rsidP="001A3A0D">
            <w:pPr>
              <w:numPr>
                <w:ilvl w:val="0"/>
                <w:numId w:val="15"/>
              </w:numPr>
              <w:spacing w:after="160" w:line="288" w:lineRule="auto"/>
              <w:ind w:left="516" w:right="176" w:hanging="516"/>
              <w:jc w:val="both"/>
              <w:rPr>
                <w:rFonts w:ascii="Tahoma" w:eastAsia="Calibri" w:hAnsi="Tahoma" w:cs="Tahoma"/>
                <w:sz w:val="19"/>
                <w:szCs w:val="19"/>
              </w:rPr>
            </w:pPr>
            <w:r w:rsidRPr="00FC7C67">
              <w:rPr>
                <w:rFonts w:ascii="Tahoma" w:eastAsia="Calibri" w:hAnsi="Tahoma" w:cs="Tahoma"/>
                <w:b/>
                <w:bCs/>
                <w:sz w:val="19"/>
                <w:szCs w:val="19"/>
                <w:rtl/>
              </w:rPr>
              <w:t xml:space="preserve">השוואת מחירי הגפ"ם באתר משרד האנרגיה </w:t>
            </w:r>
            <w:r w:rsidRPr="00FC7C67">
              <w:rPr>
                <w:rFonts w:ascii="Tahoma" w:eastAsia="Calibri" w:hAnsi="Tahoma" w:cs="Tahoma"/>
                <w:sz w:val="19"/>
                <w:szCs w:val="19"/>
                <w:rtl/>
              </w:rPr>
              <w:t>- מומלץ למשרד האנרגיה לדאוג שהטבלה באתר המרשתת שלו תאפשר לצרכנים השוואה מלאה בין ספקים, בין יישובים ובין שכונות באותו יישוב. כמו כן, מומלץ למשרד האנרגיה לנתח את הנתונים שברשותו עם רשות התחרות ולבחון כיצד אפשר להגביר את התחרות במקטע השיווק.</w:t>
            </w:r>
          </w:p>
          <w:p w:rsidR="00FC7C67" w:rsidRPr="00FC7C67" w:rsidP="00586B64">
            <w:pPr>
              <w:numPr>
                <w:ilvl w:val="0"/>
                <w:numId w:val="15"/>
              </w:numPr>
              <w:spacing w:after="240" w:line="288" w:lineRule="auto"/>
              <w:ind w:left="515" w:right="173" w:hanging="515"/>
              <w:jc w:val="both"/>
              <w:rPr>
                <w:rFonts w:ascii="Tahoma" w:eastAsia="Calibri" w:hAnsi="Tahoma" w:cs="Tahoma"/>
                <w:sz w:val="19"/>
                <w:szCs w:val="19"/>
                <w:rtl/>
              </w:rPr>
            </w:pPr>
            <w:r w:rsidRPr="00FC7C67">
              <w:rPr>
                <w:rFonts w:ascii="Tahoma" w:eastAsia="Calibri" w:hAnsi="Tahoma" w:cs="Tahoma"/>
                <w:b/>
                <w:bCs/>
                <w:sz w:val="19"/>
                <w:szCs w:val="19"/>
                <w:rtl/>
              </w:rPr>
              <w:t xml:space="preserve">מעבר לקוחות בין ספקי הגפ"ם </w:t>
            </w:r>
            <w:r w:rsidRPr="00FC7C67">
              <w:rPr>
                <w:rFonts w:ascii="Tahoma" w:eastAsia="Calibri" w:hAnsi="Tahoma" w:cs="Tahoma"/>
                <w:sz w:val="19"/>
                <w:szCs w:val="19"/>
                <w:rtl/>
              </w:rPr>
              <w:t>- לנוכח העובדה כי הן במרכזיית מכלים והן במרכזיית מכל נייח מעט לקוחות עברו בין ספקי גפ"ם, ומעט מעברים היו מספקים גדולים אל ספקים גדולים אחרים -</w:t>
            </w:r>
            <w:r w:rsidRPr="00FC7C67">
              <w:rPr>
                <w:rFonts w:ascii="Tahoma" w:eastAsia="Calibri" w:hAnsi="Tahoma" w:cs="Tahoma"/>
                <w:b/>
                <w:bCs/>
                <w:szCs w:val="24"/>
                <w:rtl/>
              </w:rPr>
              <w:t xml:space="preserve"> </w:t>
            </w:r>
            <w:r w:rsidRPr="00FC7C67">
              <w:rPr>
                <w:rFonts w:ascii="Tahoma" w:eastAsia="Calibri" w:hAnsi="Tahoma" w:cs="Tahoma"/>
                <w:sz w:val="19"/>
                <w:szCs w:val="19"/>
                <w:rtl/>
              </w:rPr>
              <w:t>מומלץ למשרד האנרגיה ולרשות התחרות לערוך בחינה מקיפה של הנתונים כדי להגביר את התחרות במקטע השיווק של גפ"ם במרכזיות מכלים ובמרכזיות מכל נייח, אף בין הספקים הגדולים לבין עצמם. זאת ועוד, מומלץ למשרד האנרגיה לסיים את בחינת הצורך בגיבוש התקנות שיאפשרו לדיירים בבניין חדש לבחור בעצמם את ספק הגז שיספק גז לראשונה למערכת גז מרכזית חדשה, עוד לפני כניסתם לדירה, תוך התחשבות בקושי בבחירת ספק גז שאינו הספק שהקים את תשתית הגז ותוך בחינת ההשלכות של תקנות אלו על משק הגפ"ם.</w:t>
            </w:r>
          </w:p>
        </w:tc>
      </w:tr>
    </w:tbl>
    <w:p w:rsidR="00FC7C67" w:rsidRPr="00FC7C67" w:rsidP="00FC7C67">
      <w:pPr>
        <w:keepNext/>
        <w:keepLines/>
        <w:spacing w:before="200" w:line="288" w:lineRule="auto"/>
        <w:ind w:left="-851"/>
        <w:rPr>
          <w:rFonts w:ascii="Tahoma" w:eastAsia="Calibri" w:hAnsi="Tahoma" w:cs="Tahoma"/>
          <w:rtl/>
        </w:rPr>
      </w:pPr>
      <w:r w:rsidRPr="00FC7C67">
        <w:rPr>
          <w:rFonts w:ascii="Tahoma" w:eastAsia="Calibri" w:hAnsi="Tahoma" w:cs="Tahoma"/>
          <w:noProof/>
          <w:rtl/>
          <w:lang w:val="he-IL"/>
        </w:rPr>
        <mc:AlternateContent>
          <mc:Choice Requires="wpg">
            <w:drawing>
              <wp:inline distT="0" distB="0" distL="0" distR="0">
                <wp:extent cx="5708675" cy="902335"/>
                <wp:effectExtent l="0" t="0" r="6350" b="0"/>
                <wp:docPr id="1" name="קבוצה 1"/>
                <wp:cNvGraphicFramePr/>
                <a:graphic xmlns:a="http://schemas.openxmlformats.org/drawingml/2006/main">
                  <a:graphicData uri="http://schemas.microsoft.com/office/word/2010/wordprocessingGroup">
                    <wpg:wgp xmlns:wpg="http://schemas.microsoft.com/office/word/2010/wordprocessingGroup">
                      <wpg:cNvGrpSpPr/>
                      <wpg:grpSpPr>
                        <a:xfrm>
                          <a:off x="0" y="0"/>
                          <a:ext cx="5708675" cy="902335"/>
                          <a:chOff x="0" y="0"/>
                          <a:chExt cx="5876925" cy="902335"/>
                        </a:xfrm>
                      </wpg:grpSpPr>
                      <pic:pic xmlns:pic="http://schemas.openxmlformats.org/drawingml/2006/picture">
                        <pic:nvPicPr>
                          <pic:cNvPr id="2" name="תמונה 2"/>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6925" cy="902335"/>
                          </a:xfrm>
                          <a:prstGeom prst="rect">
                            <a:avLst/>
                          </a:prstGeom>
                          <a:noFill/>
                        </pic:spPr>
                      </pic:pic>
                      <wps:wsp xmlns:wps="http://schemas.microsoft.com/office/word/2010/wordprocessingShape">
                        <wps:cNvPr id="3" name="תיבת טקסט 2"/>
                        <wps:cNvSpPr txBox="1">
                          <a:spLocks noChangeArrowheads="1"/>
                        </wps:cNvSpPr>
                        <wps:spPr bwMode="auto">
                          <a:xfrm flipH="1">
                            <a:off x="345164" y="87784"/>
                            <a:ext cx="5423382" cy="496570"/>
                          </a:xfrm>
                          <a:prstGeom prst="rect">
                            <a:avLst/>
                          </a:prstGeom>
                          <a:noFill/>
                          <a:ln w="9525">
                            <a:noFill/>
                            <a:miter lim="800000"/>
                            <a:headEnd/>
                            <a:tailEnd/>
                          </a:ln>
                        </wps:spPr>
                        <wps:txbx>
                          <w:txbxContent>
                            <w:p w:rsidR="00FC7C67" w:rsidRPr="00FC7C67" w:rsidP="00AE24E9">
                              <w:pPr>
                                <w:widowControl w:val="0"/>
                                <w:spacing w:line="288" w:lineRule="auto"/>
                                <w:jc w:val="left"/>
                                <w:rPr>
                                  <w:rFonts w:ascii="Tahoma" w:hAnsi="Tahoma" w:cs="Tahoma"/>
                                  <w:b/>
                                  <w:bCs/>
                                  <w:noProof/>
                                  <w:color w:val="FFFFFF"/>
                                  <w:sz w:val="22"/>
                                  <w:szCs w:val="22"/>
                                  <w:rtl/>
                                </w:rPr>
                              </w:pPr>
                              <w:r w:rsidRPr="00FC7C67">
                                <w:rPr>
                                  <w:rFonts w:ascii="Tahoma" w:hAnsi="Tahoma" w:cs="Tahoma" w:hint="cs"/>
                                  <w:b/>
                                  <w:bCs/>
                                  <w:noProof/>
                                  <w:color w:val="FFFFFF"/>
                                  <w:sz w:val="22"/>
                                  <w:szCs w:val="22"/>
                                  <w:rtl/>
                                </w:rPr>
                                <w:t xml:space="preserve">הפריסה הגיאוגרפית של הספקים הגדולים, שנתח השוק שלהם באזור גדול </w:t>
                              </w:r>
                            </w:p>
                            <w:p w:rsidR="00FC7C67" w:rsidRPr="00FC7C67" w:rsidP="00FC7C67">
                              <w:pPr>
                                <w:widowControl w:val="0"/>
                                <w:jc w:val="left"/>
                                <w:rPr>
                                  <w:rFonts w:ascii="David" w:hAnsi="David"/>
                                  <w:color w:val="FFFFFF"/>
                                  <w:rtl/>
                                </w:rPr>
                              </w:pPr>
                              <w:r w:rsidRPr="00FC7C67">
                                <w:rPr>
                                  <w:rFonts w:ascii="Tahoma" w:hAnsi="Tahoma" w:cs="Tahoma" w:hint="cs"/>
                                  <w:b/>
                                  <w:bCs/>
                                  <w:noProof/>
                                  <w:color w:val="FFFFFF"/>
                                  <w:sz w:val="22"/>
                                  <w:szCs w:val="22"/>
                                  <w:rtl/>
                                </w:rPr>
                                <w:t>מ-30%, באספקה באמצעות מכלי 48 ק"ג,</w:t>
                              </w:r>
                              <w:r w:rsidRPr="00FC7C67">
                                <w:rPr>
                                  <w:rFonts w:hint="cs"/>
                                  <w:b/>
                                  <w:bCs/>
                                  <w:color w:val="FFFFFF"/>
                                  <w:rtl/>
                                </w:rPr>
                                <w:t xml:space="preserve"> </w:t>
                              </w:r>
                              <w:r w:rsidRPr="00FC7C67">
                                <w:rPr>
                                  <w:rFonts w:ascii="Tahoma" w:hAnsi="Tahoma" w:cs="Tahoma" w:hint="cs"/>
                                  <w:b/>
                                  <w:bCs/>
                                  <w:noProof/>
                                  <w:color w:val="FFFFFF"/>
                                  <w:sz w:val="22"/>
                                  <w:szCs w:val="22"/>
                                  <w:rtl/>
                                </w:rPr>
                                <w:t>2024</w:t>
                              </w:r>
                            </w:p>
                            <w:p w:rsidR="00FC7C67" w:rsidP="00FC7C67"/>
                          </w:txbxContent>
                        </wps:txbx>
                        <wps:bodyPr rot="0" vert="horz" wrap="square" lIns="91440" tIns="45720" rIns="91440" bIns="45720" anchor="t" anchorCtr="0"/>
                      </wps:wsp>
                    </wpg:wgp>
                  </a:graphicData>
                </a:graphic>
              </wp:inline>
            </w:drawing>
          </mc:Choice>
          <mc:Fallback>
            <w:pict>
              <v:group id="קבוצה 1" o:spid="_x0000_i1025" style="width:449.5pt;height:71.05pt;mso-position-horizontal-relative:char;mso-position-vertical-relative:line" coordsize="58769,9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6" type="#_x0000_t75" style="width:58769;height:9023;mso-wrap-style:square;position:absolute;visibility:visible">
                  <v:imagedata r:id="rId20" o:title=""/>
                </v:shape>
                <v:shapetype id="_x0000_t202" coordsize="21600,21600" o:spt="202" path="m,l,21600r21600,l21600,xe">
                  <v:stroke joinstyle="miter"/>
                  <v:path gradientshapeok="t" o:connecttype="rect"/>
                </v:shapetype>
                <v:shape id="_x0000_s1027" type="#_x0000_t202" style="width:54234;height:4966;flip:x;left:3451;mso-wrap-style:square;position:absolute;top:877;visibility:visible;v-text-anchor:top" filled="f" stroked="f">
                  <v:textbox>
                    <w:txbxContent>
                      <w:p w:rsidR="00FC7C67" w:rsidRPr="00FC7C67" w:rsidP="00AE24E9">
                        <w:pPr>
                          <w:widowControl w:val="0"/>
                          <w:spacing w:line="288" w:lineRule="auto"/>
                          <w:jc w:val="left"/>
                          <w:rPr>
                            <w:rFonts w:ascii="Tahoma" w:hAnsi="Tahoma" w:cs="Tahoma"/>
                            <w:b/>
                            <w:bCs/>
                            <w:noProof/>
                            <w:color w:val="FFFFFF"/>
                            <w:sz w:val="22"/>
                            <w:szCs w:val="22"/>
                            <w:rtl/>
                          </w:rPr>
                        </w:pPr>
                        <w:r w:rsidRPr="00FC7C67">
                          <w:rPr>
                            <w:rFonts w:ascii="Tahoma" w:hAnsi="Tahoma" w:cs="Tahoma" w:hint="cs"/>
                            <w:b/>
                            <w:bCs/>
                            <w:noProof/>
                            <w:color w:val="FFFFFF"/>
                            <w:sz w:val="22"/>
                            <w:szCs w:val="22"/>
                            <w:rtl/>
                          </w:rPr>
                          <w:t xml:space="preserve">הפריסה הגיאוגרפית של הספקים הגדולים, שנתח השוק שלהם באזור גדול </w:t>
                        </w:r>
                      </w:p>
                      <w:p w:rsidR="00FC7C67" w:rsidRPr="00FC7C67" w:rsidP="00FC7C67">
                        <w:pPr>
                          <w:widowControl w:val="0"/>
                          <w:jc w:val="left"/>
                          <w:rPr>
                            <w:rFonts w:ascii="David" w:hAnsi="David"/>
                            <w:color w:val="FFFFFF"/>
                            <w:rtl/>
                          </w:rPr>
                        </w:pPr>
                        <w:r w:rsidRPr="00FC7C67">
                          <w:rPr>
                            <w:rFonts w:ascii="Tahoma" w:hAnsi="Tahoma" w:cs="Tahoma" w:hint="cs"/>
                            <w:b/>
                            <w:bCs/>
                            <w:noProof/>
                            <w:color w:val="FFFFFF"/>
                            <w:sz w:val="22"/>
                            <w:szCs w:val="22"/>
                            <w:rtl/>
                          </w:rPr>
                          <w:t>מ-30%, באספקה באמצעות מכלי 48 ק"ג,</w:t>
                        </w:r>
                        <w:r w:rsidRPr="00FC7C67">
                          <w:rPr>
                            <w:rFonts w:hint="cs"/>
                            <w:b/>
                            <w:bCs/>
                            <w:color w:val="FFFFFF"/>
                            <w:rtl/>
                          </w:rPr>
                          <w:t xml:space="preserve"> </w:t>
                        </w:r>
                        <w:r w:rsidRPr="00FC7C67">
                          <w:rPr>
                            <w:rFonts w:ascii="Tahoma" w:hAnsi="Tahoma" w:cs="Tahoma" w:hint="cs"/>
                            <w:b/>
                            <w:bCs/>
                            <w:noProof/>
                            <w:color w:val="FFFFFF"/>
                            <w:sz w:val="22"/>
                            <w:szCs w:val="22"/>
                            <w:rtl/>
                          </w:rPr>
                          <w:t>2024</w:t>
                        </w:r>
                      </w:p>
                      <w:p w:rsidR="00FC7C67" w:rsidP="00FC7C67"/>
                    </w:txbxContent>
                  </v:textbox>
                </v:shape>
                <w10:anchorlock/>
              </v:group>
            </w:pict>
          </mc:Fallback>
        </mc:AlternateContent>
      </w:r>
    </w:p>
    <w:p w:rsidR="00FC7C67" w:rsidRPr="00FC7C67" w:rsidP="00FC7C67">
      <w:pPr>
        <w:spacing w:line="288" w:lineRule="auto"/>
        <w:ind w:left="-851"/>
        <w:jc w:val="center"/>
        <w:rPr>
          <w:rFonts w:ascii="Tahoma" w:eastAsia="Calibri" w:hAnsi="Tahoma" w:cs="Tahoma"/>
          <w:sz w:val="16"/>
          <w:szCs w:val="16"/>
          <w:rtl/>
        </w:rPr>
      </w:pPr>
      <w:r w:rsidRPr="00FC7C67">
        <w:rPr>
          <w:rFonts w:ascii="Tahoma" w:eastAsia="Calibri" w:hAnsi="Tahoma" w:cs="Tahoma"/>
          <w:noProof/>
          <w:sz w:val="16"/>
          <w:szCs w:val="16"/>
        </w:rPr>
        <w:drawing>
          <wp:inline distT="0" distB="0" distL="0" distR="0">
            <wp:extent cx="4996569" cy="7465670"/>
            <wp:effectExtent l="0" t="0" r="0" b="2540"/>
            <wp:docPr id="23" name="תמונה 23" descr="במפה מתוארת הפריסה הגאוגרפית של הספקים הגדולים שנתח השוק שלהם באזור גדול מ-30%, באספקה באמצעות מכלי 48 ק&quot;ג,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7220" cy="7511468"/>
                    </a:xfrm>
                    <a:prstGeom prst="rect">
                      <a:avLst/>
                    </a:prstGeom>
                    <a:noFill/>
                  </pic:spPr>
                </pic:pic>
              </a:graphicData>
            </a:graphic>
          </wp:inline>
        </w:drawing>
      </w:r>
    </w:p>
    <w:p w:rsidR="00FC7C67" w:rsidRPr="00FC7C67" w:rsidP="00FC7C67">
      <w:pPr>
        <w:spacing w:line="288" w:lineRule="auto"/>
        <w:ind w:left="-851"/>
        <w:jc w:val="left"/>
        <w:rPr>
          <w:rFonts w:ascii="Tahoma" w:eastAsia="Calibri" w:hAnsi="Tahoma" w:cs="Tahoma"/>
          <w:sz w:val="16"/>
          <w:szCs w:val="16"/>
          <w:rtl/>
        </w:rPr>
      </w:pPr>
      <w:r w:rsidRPr="00FC7C67">
        <w:rPr>
          <w:rFonts w:ascii="Tahoma" w:eastAsia="Calibri" w:hAnsi="Tahoma" w:cs="Tahoma"/>
          <w:sz w:val="16"/>
          <w:szCs w:val="16"/>
          <w:rtl/>
        </w:rPr>
        <w:t>על פי נתוני מינהל הדלק, בעיבוד משרד מבקר המדינה.</w:t>
      </w:r>
    </w:p>
    <w:p w:rsidR="00FC7C67" w:rsidRPr="00FC7C67" w:rsidP="001A3A0D">
      <w:pPr>
        <w:spacing w:line="288" w:lineRule="auto"/>
        <w:ind w:left="-851"/>
        <w:rPr>
          <w:rFonts w:ascii="Tahoma" w:eastAsia="Calibri" w:hAnsi="Tahoma" w:cs="Tahoma"/>
          <w:b/>
          <w:bCs/>
          <w:noProof/>
          <w:color w:val="FFFFFF"/>
          <w:sz w:val="22"/>
          <w:szCs w:val="22"/>
          <w:rtl/>
        </w:rPr>
      </w:pPr>
      <w:r w:rsidRPr="00FC7C67">
        <w:rPr>
          <w:rFonts w:ascii="Tahoma" w:eastAsia="Calibri" w:hAnsi="Tahoma" w:cs="Tahoma"/>
          <w:b/>
          <w:bCs/>
          <w:noProof/>
          <w:color w:val="FFFFFF"/>
          <w:sz w:val="22"/>
          <w:szCs w:val="22"/>
          <w:rtl/>
        </w:rPr>
        <w:drawing>
          <wp:anchor distT="0" distB="0" distL="114300" distR="114300" simplePos="0" relativeHeight="251660288" behindDoc="1" locked="0" layoutInCell="1" allowOverlap="1">
            <wp:simplePos x="0" y="0"/>
            <wp:positionH relativeFrom="margin">
              <wp:posOffset>-89535</wp:posOffset>
            </wp:positionH>
            <wp:positionV relativeFrom="paragraph">
              <wp:posOffset>-81915</wp:posOffset>
            </wp:positionV>
            <wp:extent cx="5985924" cy="599440"/>
            <wp:effectExtent l="0" t="0" r="0" b="0"/>
            <wp:wrapNone/>
            <wp:docPr id="13" name="תמונה 13"/>
            <wp:cNvGraphicFramePr/>
            <a:graphic xmlns:a="http://schemas.openxmlformats.org/drawingml/2006/main">
              <a:graphicData uri="http://schemas.openxmlformats.org/drawingml/2006/picture">
                <pic:pic xmlns:pic="http://schemas.openxmlformats.org/drawingml/2006/picture">
                  <pic:nvPicPr>
                    <pic:cNvPr id="13" name="תקציר-03.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1643" cy="600013"/>
                    </a:xfrm>
                    <a:prstGeom prst="rect">
                      <a:avLst/>
                    </a:prstGeom>
                  </pic:spPr>
                </pic:pic>
              </a:graphicData>
            </a:graphic>
            <wp14:sizeRelH relativeFrom="page">
              <wp14:pctWidth>0</wp14:pctWidth>
            </wp14:sizeRelH>
            <wp14:sizeRelV relativeFrom="page">
              <wp14:pctHeight>0</wp14:pctHeight>
            </wp14:sizeRelV>
          </wp:anchor>
        </w:drawing>
      </w:r>
      <w:r w:rsidRPr="00FC7C67">
        <w:rPr>
          <w:rFonts w:ascii="Tahoma" w:eastAsia="Calibri" w:hAnsi="Tahoma" w:cs="Tahoma"/>
          <w:b/>
          <w:bCs/>
          <w:noProof/>
          <w:color w:val="FFFFFF"/>
          <w:sz w:val="22"/>
          <w:szCs w:val="22"/>
          <w:rtl/>
        </w:rPr>
        <w:t>נתח השוק של ארבעת הספקים הגדולים* ושל הספקים הקטנים במגזר הביתי, 2024</w:t>
      </w:r>
    </w:p>
    <w:p w:rsidR="00FC7C67" w:rsidRPr="00FC7C67" w:rsidP="00FC7C67">
      <w:pPr>
        <w:spacing w:before="200" w:line="288" w:lineRule="auto"/>
        <w:ind w:left="-851"/>
        <w:jc w:val="center"/>
        <w:rPr>
          <w:rFonts w:ascii="Tahoma" w:eastAsia="Calibri" w:hAnsi="Tahoma" w:cs="Tahoma"/>
          <w:b/>
          <w:bCs/>
          <w:noProof/>
          <w:color w:val="FFFFFF"/>
          <w:sz w:val="22"/>
          <w:szCs w:val="22"/>
          <w:rtl/>
        </w:rPr>
      </w:pPr>
    </w:p>
    <w:p w:rsidR="00FC7C67" w:rsidRPr="00FC7C67" w:rsidP="00FC7C67">
      <w:pPr>
        <w:spacing w:line="288" w:lineRule="auto"/>
        <w:ind w:left="-851"/>
        <w:jc w:val="center"/>
        <w:rPr>
          <w:rFonts w:ascii="Tahoma" w:eastAsia="Calibri" w:hAnsi="Tahoma" w:cs="Tahoma"/>
          <w:sz w:val="16"/>
          <w:szCs w:val="16"/>
          <w:rtl/>
        </w:rPr>
      </w:pPr>
      <w:r w:rsidRPr="00FC7C67">
        <w:rPr>
          <w:rFonts w:ascii="Tahoma" w:eastAsia="Calibri" w:hAnsi="Tahoma" w:cs="Tahoma"/>
          <w:noProof/>
          <w:szCs w:val="20"/>
        </w:rPr>
        <w:drawing>
          <wp:inline distT="0" distB="0" distL="0" distR="0">
            <wp:extent cx="4028113" cy="2421331"/>
            <wp:effectExtent l="0" t="0" r="0" b="0"/>
            <wp:docPr id="71" name="תמונה 71" descr="התרשים מתאר את נתח השוק של ארבעת הספקים הגדולים (71%) ושל הספקים הקטנים (29%) במגזר הביתי,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058135" cy="2439378"/>
                    </a:xfrm>
                    <a:prstGeom prst="rect">
                      <a:avLst/>
                    </a:prstGeom>
                    <a:noFill/>
                  </pic:spPr>
                </pic:pic>
              </a:graphicData>
            </a:graphic>
          </wp:inline>
        </w:drawing>
      </w:r>
    </w:p>
    <w:p w:rsidR="00FC7C67" w:rsidRPr="00FC7C67" w:rsidP="00FC7C67">
      <w:pPr>
        <w:spacing w:line="288" w:lineRule="auto"/>
        <w:ind w:left="-851"/>
        <w:jc w:val="left"/>
        <w:rPr>
          <w:rFonts w:ascii="Tahoma" w:eastAsia="Calibri" w:hAnsi="Tahoma" w:cs="Tahoma"/>
          <w:sz w:val="16"/>
          <w:szCs w:val="16"/>
          <w:rtl/>
        </w:rPr>
      </w:pPr>
      <w:r w:rsidRPr="00FC7C67">
        <w:rPr>
          <w:rFonts w:ascii="Tahoma" w:eastAsia="Calibri" w:hAnsi="Tahoma" w:cs="Tahoma"/>
          <w:sz w:val="16"/>
          <w:szCs w:val="16"/>
          <w:rtl/>
        </w:rPr>
        <w:t>המקור: מינהל הדלק.</w:t>
      </w:r>
    </w:p>
    <w:p w:rsidR="00FC7C67" w:rsidRPr="00FC7C67" w:rsidP="00FC7C67">
      <w:pPr>
        <w:widowControl w:val="0"/>
        <w:ind w:left="-851"/>
        <w:jc w:val="left"/>
        <w:rPr>
          <w:rFonts w:ascii="Tahoma" w:eastAsia="Calibri" w:hAnsi="Tahoma" w:cs="Tahoma"/>
          <w:sz w:val="16"/>
          <w:szCs w:val="16"/>
          <w:rtl/>
        </w:rPr>
      </w:pPr>
      <w:r w:rsidRPr="00FC7C67">
        <w:rPr>
          <w:rFonts w:ascii="Tahoma" w:eastAsia="Calibri" w:hAnsi="Tahoma" w:cs="Tahoma"/>
          <w:sz w:val="16"/>
          <w:szCs w:val="16"/>
          <w:rtl/>
        </w:rPr>
        <w:t>*</w:t>
      </w:r>
      <w:r w:rsidRPr="00FC7C67">
        <w:rPr>
          <w:rFonts w:ascii="Tahoma" w:eastAsia="Calibri" w:hAnsi="Tahoma" w:cs="Tahoma" w:hint="cs"/>
          <w:sz w:val="16"/>
          <w:szCs w:val="16"/>
          <w:rtl/>
        </w:rPr>
        <w:t xml:space="preserve"> </w:t>
      </w:r>
      <w:r w:rsidRPr="00FC7C67">
        <w:rPr>
          <w:rFonts w:ascii="Tahoma" w:eastAsia="Calibri" w:hAnsi="Tahoma" w:cs="Tahoma"/>
          <w:sz w:val="16"/>
          <w:szCs w:val="16"/>
          <w:rtl/>
        </w:rPr>
        <w:t xml:space="preserve">כולל סוכנויות של הספקים הגדולים. </w:t>
      </w:r>
    </w:p>
    <w:p w:rsidR="00FC7C67" w:rsidRPr="00FC7C67" w:rsidP="00FC7C67">
      <w:pPr>
        <w:spacing w:line="288" w:lineRule="auto"/>
        <w:ind w:left="-851" w:right="-426"/>
        <w:jc w:val="left"/>
        <w:rPr>
          <w:rFonts w:ascii="Tahoma" w:eastAsia="Calibri" w:hAnsi="Tahoma" w:cs="Tahoma"/>
          <w:sz w:val="16"/>
          <w:szCs w:val="16"/>
          <w:rtl/>
        </w:rPr>
      </w:pPr>
      <w:r w:rsidRPr="00FC7C67">
        <w:rPr>
          <w:rFonts w:ascii="Tahoma" w:eastAsia="Calibri" w:hAnsi="Tahoma" w:cs="Tahoma"/>
          <w:sz w:val="16"/>
          <w:szCs w:val="16"/>
          <w:rtl/>
        </w:rPr>
        <w:t>**</w:t>
      </w:r>
      <w:r w:rsidRPr="00FC7C67">
        <w:rPr>
          <w:rFonts w:ascii="Tahoma" w:eastAsia="Calibri" w:hAnsi="Tahoma" w:cs="Tahoma" w:hint="cs"/>
          <w:sz w:val="16"/>
          <w:szCs w:val="16"/>
          <w:rtl/>
        </w:rPr>
        <w:t xml:space="preserve"> </w:t>
      </w:r>
      <w:r w:rsidRPr="00FC7C67">
        <w:rPr>
          <w:rFonts w:ascii="Tahoma" w:eastAsia="Calibri" w:hAnsi="Tahoma" w:cs="Tahoma"/>
          <w:sz w:val="16"/>
          <w:szCs w:val="16"/>
          <w:rtl/>
        </w:rPr>
        <w:t>יצוין כי נתח השוק של ארבעת הספקים הגדולים בכלל המגזרים (מסחר ותעשייה, חקלאות ותחבורה) ללא הרש"פ עומד על 72%.</w:t>
      </w:r>
    </w:p>
    <w:p w:rsidR="00FC7C67" w:rsidRPr="00FC7C67" w:rsidP="00FC7C67">
      <w:pPr>
        <w:spacing w:line="288" w:lineRule="auto"/>
        <w:ind w:left="-851"/>
        <w:jc w:val="left"/>
        <w:rPr>
          <w:rFonts w:ascii="Tahoma" w:eastAsia="Calibri" w:hAnsi="Tahoma" w:cs="Tahoma"/>
          <w:sz w:val="16"/>
          <w:szCs w:val="16"/>
          <w:rtl/>
        </w:rPr>
      </w:pPr>
    </w:p>
    <w:p w:rsidR="00FC7C67" w:rsidRPr="00FC7C67" w:rsidP="00FC7C67">
      <w:pPr>
        <w:spacing w:line="288" w:lineRule="auto"/>
        <w:ind w:left="-851"/>
        <w:rPr>
          <w:rFonts w:ascii="Tahoma" w:eastAsia="Calibri" w:hAnsi="Tahoma" w:cs="Tahoma"/>
          <w:sz w:val="16"/>
          <w:szCs w:val="16"/>
        </w:rPr>
      </w:pPr>
    </w:p>
    <w:p w:rsidR="00FC7C67" w:rsidRPr="00FC7C67" w:rsidP="001A3A0D">
      <w:pPr>
        <w:spacing w:after="160" w:line="288" w:lineRule="auto"/>
        <w:ind w:left="-851"/>
        <w:rPr>
          <w:rFonts w:ascii="Tahoma" w:eastAsia="Calibri" w:hAnsi="Tahoma" w:cs="Tahoma"/>
          <w:rtl/>
        </w:rPr>
      </w:pPr>
      <w:r w:rsidRPr="00FC7C67">
        <w:rPr>
          <w:rFonts w:ascii="Tahoma" w:eastAsia="Calibri" w:hAnsi="Tahoma" w:cs="Tahoma"/>
          <w:noProof/>
        </w:rPr>
        <w:drawing>
          <wp:inline distT="0" distB="0" distL="0" distR="0">
            <wp:extent cx="6128084" cy="304165"/>
            <wp:effectExtent l="0" t="0" r="6350" b="63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42716" cy="304891"/>
                    </a:xfrm>
                    <a:prstGeom prst="rect">
                      <a:avLst/>
                    </a:prstGeom>
                    <a:noFill/>
                    <a:ln>
                      <a:noFill/>
                    </a:ln>
                  </pic:spPr>
                </pic:pic>
              </a:graphicData>
            </a:graphic>
          </wp:inline>
        </w:drawing>
      </w:r>
    </w:p>
    <w:p w:rsidR="00FC7C67" w:rsidRPr="00FC7C67" w:rsidP="00FC7C67">
      <w:pPr>
        <w:spacing w:before="120" w:line="288" w:lineRule="auto"/>
        <w:ind w:left="-851" w:right="-567"/>
        <w:rPr>
          <w:rFonts w:ascii="Tahoma" w:eastAsia="Calibri" w:hAnsi="Tahoma" w:cs="Tahoma"/>
          <w:sz w:val="19"/>
          <w:szCs w:val="19"/>
          <w:rtl/>
        </w:rPr>
      </w:pPr>
      <w:r w:rsidRPr="00FC7C67">
        <w:rPr>
          <w:rFonts w:ascii="Tahoma" w:eastAsia="Calibri" w:hAnsi="Tahoma" w:cs="Tahoma"/>
          <w:sz w:val="19"/>
          <w:szCs w:val="19"/>
          <w:rtl/>
        </w:rPr>
        <w:t>מדיניות משק הגפ"ם בישראל ותכנונו נובעים מהמדיניות הכוללת של מדינת ישראל להפחתת התלות בדלקים מזהמים ולהפחתת פליטות גזי חממה, בהתאם להתחייבויותיה בהסכם פריז. החלטת הממשלה העיקרית העולה בקנה אחד עם מדיניות זו התקבלה במרץ 2022, ותכליתה להביא להפסקת זיקוק הנפט והפעילות של התעשייה הפטרוכימית במפרץ חיפה, לרבות הפסקת ייצור הגפ"ם בבז"ן. מימוש ההחלטה יוצר אתגרים רבים, ובהם הבטחת אספקה רציפה של גפ"ם למשק באמצעות תשתיות ליבוא ולאחסון של גפ"ם בכמות מספקת ובפיזור גיאוגרפי ושמירה על יציבות מחירי הגפ"ם במשק, שיישען בעיקר על יבוא הגפ"ם מחו"ל. אתגרים אלו התעצמו במבצע עם כלביא, שבו הייתה פגיעה בבז"ן בד בבד עם תקלות במתקני בז"א, שיצרו סיכונים סביבתיים לצד פגיעה בכושר הייצור של בתי הזיקוק והדגישו את הצורך בהבטחת קיומן של תשתיות מספקות ליבוא גפ"ם למשק.</w:t>
      </w:r>
    </w:p>
    <w:p w:rsidR="00FC7C67" w:rsidRPr="00FC7C67" w:rsidP="00FC7C67">
      <w:pPr>
        <w:spacing w:before="120" w:line="288" w:lineRule="auto"/>
        <w:ind w:left="-851" w:right="-567"/>
        <w:rPr>
          <w:rFonts w:ascii="Tahoma" w:eastAsia="Calibri" w:hAnsi="Tahoma" w:cs="Tahoma"/>
          <w:sz w:val="19"/>
          <w:szCs w:val="19"/>
          <w:rtl/>
        </w:rPr>
      </w:pPr>
      <w:r w:rsidRPr="00FC7C67">
        <w:rPr>
          <w:rFonts w:ascii="Tahoma" w:eastAsia="Calibri" w:hAnsi="Tahoma" w:cs="Tahoma"/>
          <w:sz w:val="19"/>
          <w:szCs w:val="19"/>
          <w:rtl/>
        </w:rPr>
        <w:t>בביקורת עלה כי אין גורם ממשלתי אחד המתכלל את משק הגפ"ם בכל הנוגע ליישום החלטת הממשלה 1231, הבוחן את השלכות המעבר של משק הגפ"ם למשק מוטה יבוא (לרבות סוגיית התחרות במשק הגפ"ם ומחירי הגפ"ם לצרכן הסופי), ואת ההיערכות הנדרשת לכך מבחינה תשתיתית, כדי למנוע פגיעה ביתירות, בתחרות או במחירי הגפ"ם לצרכן הסופי. עוד עלה בדוח כי יש ריכוזיות גיאוגרפית, ואף שליטה, של הספקים הגדולים בכמה אזורים בארץ; נמצאו פערים במחירי הגז בין ערים סמוכות בגוש דן, פערי מחירים בין מגזרים שונים, פערי מחירים בתוך אותה רשות מקומית (ירושלים); ומעברי לקוחות מועטים בין ספקי גז, בעיקר מספקים גדולים אל ספקים גדולים אחרים.</w:t>
      </w:r>
    </w:p>
    <w:p w:rsidR="00FC7C67" w:rsidRPr="00FC7C67" w:rsidP="00FC7C67">
      <w:pPr>
        <w:spacing w:before="120" w:line="288" w:lineRule="auto"/>
        <w:ind w:left="-851" w:right="-567"/>
        <w:rPr>
          <w:rFonts w:ascii="Tahoma" w:eastAsia="Calibri" w:hAnsi="Tahoma" w:cs="Tahoma"/>
          <w:sz w:val="19"/>
          <w:szCs w:val="19"/>
          <w:rtl/>
        </w:rPr>
      </w:pPr>
      <w:r w:rsidRPr="00FC7C67">
        <w:rPr>
          <w:rFonts w:ascii="Tahoma" w:eastAsia="Calibri" w:hAnsi="Tahoma" w:cs="Tahoma"/>
          <w:sz w:val="19"/>
          <w:szCs w:val="19"/>
          <w:rtl/>
        </w:rPr>
        <w:t>על משרד האנרגיה ורשות התחרות לבחון את סוגיות הליבה במשק הגפ"ם שעלו בדוח זה בנושאי הריכוזיות במקטע השיווק, התחרותיות ופערי המחירים בין ספקים, בין מגזרים ובין רשויות מקומיות. נוסף על כך, על משרד האנרגיה להגביר את מנגנוני הפיקוח על פעילות ספקי גז הפועלים ללא רישיון.</w:t>
      </w:r>
    </w:p>
    <w:p w:rsidR="00F954E4" w:rsidP="001A3A0D">
      <w:pPr>
        <w:spacing w:before="120" w:line="288" w:lineRule="auto"/>
        <w:ind w:left="-851" w:right="-567"/>
        <w:rPr>
          <w:rFonts w:ascii="Calibri" w:hAnsi="Calibri" w:cs="Calibri"/>
          <w:b/>
          <w:bCs/>
          <w:color w:val="002060"/>
          <w:sz w:val="80"/>
          <w:szCs w:val="80"/>
        </w:rPr>
      </w:pPr>
      <w:r w:rsidRPr="00FC7C67">
        <w:rPr>
          <w:rFonts w:ascii="Tahoma" w:eastAsia="Calibri" w:hAnsi="Tahoma" w:cs="Tahoma"/>
          <w:sz w:val="19"/>
          <w:szCs w:val="19"/>
          <w:rtl/>
        </w:rPr>
        <w:t xml:space="preserve">בימי מלחמת חרבות ברזל ומבצע עם כלביא התחדדו </w:t>
      </w:r>
      <w:bookmarkStart w:id="3" w:name="_Hlk222836609"/>
      <w:r w:rsidRPr="00FC7C67">
        <w:rPr>
          <w:rFonts w:ascii="Tahoma" w:eastAsia="Calibri" w:hAnsi="Tahoma" w:cs="Tahoma"/>
          <w:sz w:val="19"/>
          <w:szCs w:val="19"/>
          <w:rtl/>
        </w:rPr>
        <w:t>הסיכונים הסביבתיים לצד החשיבות של אסדרת פעילות משק הגפ"ם</w:t>
      </w:r>
      <w:bookmarkEnd w:id="3"/>
      <w:r w:rsidRPr="00FC7C67">
        <w:rPr>
          <w:rFonts w:ascii="Tahoma" w:eastAsia="Calibri" w:hAnsi="Tahoma" w:cs="Tahoma"/>
          <w:sz w:val="19"/>
          <w:szCs w:val="19"/>
          <w:rtl/>
        </w:rPr>
        <w:t>. על שר האנרגיה, עם שר האוצר והמועצה הלאומית לכלכלה, למצוא את הדרכים שיבטיחו כי יסופקו הצרכים האנרגטיים של ישראל על בסיס הלקחים ממלחמת חרבות ברזל ומבצע עם כלביא. על המועצה הלאומית לכלכלה (העומדת בראש מינהלת פיתוח מפרץ חיפה), האמונה על יישום החלטת הממשלה 1231, לתכלל את ההיערכות הממשלתית לסגירת בז"ן ולוודא כי הגופים הרלוונטיים - משרד האוצר, משרד האנרגיה ורשות התחרות - מקדמים את הנושאים שבאחריותם הנוגעים למשק הגפ"ם, תוך בחינת המענה הנדרש לסיכונים הסביבתיים ולאספקת הצרכים האנרגטיים של ישראל.</w:t>
      </w:r>
    </w:p>
    <w:sectPr w:rsidSect="006C2C6D">
      <w:headerReference w:type="first" r:id="rId24"/>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22E2">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A222E2"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A222E2"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2451B" w:rsidP="00C23CC9">
      <w:pPr>
        <w:spacing w:line="240" w:lineRule="auto"/>
      </w:pPr>
      <w:r>
        <w:separator/>
      </w:r>
    </w:p>
  </w:footnote>
  <w:footnote w:type="continuationSeparator" w:id="1">
    <w:p w:rsidR="0062451B" w:rsidP="00C23CC9">
      <w:pPr>
        <w:spacing w:line="240" w:lineRule="auto"/>
      </w:pPr>
      <w:r>
        <w:continuationSeparator/>
      </w:r>
    </w:p>
  </w:footnote>
  <w:footnote w:id="2">
    <w:p w:rsidR="00FC7C67" w:rsidRPr="004F3A16" w:rsidP="00FC7C67">
      <w:pPr>
        <w:pStyle w:val="FootnoteText"/>
        <w:ind w:left="850" w:right="-709" w:hanging="850"/>
        <w:rPr>
          <w:rFonts w:ascii="Tahoma" w:hAnsi="Tahoma" w:cs="Tahoma"/>
          <w:sz w:val="16"/>
          <w:szCs w:val="16"/>
          <w:rtl/>
        </w:rPr>
      </w:pPr>
      <w:r w:rsidRPr="004F3A16">
        <w:rPr>
          <w:rStyle w:val="FootnoteReference1"/>
          <w:rFonts w:ascii="Tahoma" w:hAnsi="Tahoma" w:cs="Tahoma"/>
          <w:sz w:val="16"/>
          <w:szCs w:val="16"/>
        </w:rPr>
        <w:footnoteRef/>
      </w:r>
      <w:r w:rsidRPr="004F3A16">
        <w:rPr>
          <w:rFonts w:ascii="Tahoma" w:hAnsi="Tahoma" w:cs="Tahoma"/>
          <w:sz w:val="16"/>
          <w:szCs w:val="16"/>
          <w:rtl/>
        </w:rPr>
        <w:t xml:space="preserve"> </w:t>
      </w:r>
      <w:r w:rsidRPr="004F3A16">
        <w:rPr>
          <w:rFonts w:ascii="Tahoma" w:hAnsi="Tahoma" w:cs="Tahoma"/>
          <w:sz w:val="16"/>
          <w:szCs w:val="16"/>
          <w:rtl/>
        </w:rPr>
        <w:tab/>
        <w:t>"ספק גז" הוא מי שעוסק במכירה או בשיווק של גז, ובלבד שהוא בעל רישיון לפי חוק הגז, למעט בית זיקוק.</w:t>
      </w:r>
    </w:p>
  </w:footnote>
  <w:footnote w:id="3">
    <w:p w:rsidR="00FC7C67" w:rsidRPr="006D109E" w:rsidP="00FC7C67">
      <w:pPr>
        <w:pStyle w:val="FootnoteText"/>
        <w:ind w:left="850" w:hanging="850"/>
        <w:rPr>
          <w:rFonts w:ascii="Tahoma" w:hAnsi="Tahoma" w:cs="Tahoma"/>
          <w:sz w:val="16"/>
          <w:szCs w:val="16"/>
          <w:rtl/>
        </w:rPr>
      </w:pPr>
      <w:r w:rsidRPr="006D109E">
        <w:rPr>
          <w:rStyle w:val="FootnoteReference1"/>
          <w:rFonts w:ascii="Tahoma" w:hAnsi="Tahoma" w:cs="Tahoma"/>
          <w:sz w:val="16"/>
          <w:szCs w:val="16"/>
        </w:rPr>
        <w:footnoteRef/>
      </w:r>
      <w:r w:rsidRPr="006D109E">
        <w:rPr>
          <w:rFonts w:ascii="Tahoma" w:hAnsi="Tahoma" w:cs="Tahoma"/>
          <w:sz w:val="16"/>
          <w:szCs w:val="16"/>
          <w:rtl/>
        </w:rPr>
        <w:t xml:space="preserve"> </w:t>
      </w:r>
      <w:r w:rsidRPr="006D109E">
        <w:rPr>
          <w:rFonts w:ascii="Tahoma" w:hAnsi="Tahoma" w:cs="Tahoma"/>
          <w:sz w:val="16"/>
          <w:szCs w:val="16"/>
          <w:rtl/>
        </w:rPr>
        <w:tab/>
        <w:t>מדובר בכ-4,000 מכליות כביש הנוסעות הלוך ושוב מאשדוד לחיפה.</w:t>
      </w:r>
    </w:p>
  </w:footnote>
  <w:footnote w:id="4">
    <w:p w:rsidR="00FC7C67" w:rsidRPr="004F3A16" w:rsidP="00FC7C67">
      <w:pPr>
        <w:pStyle w:val="FootnoteText"/>
        <w:ind w:left="850" w:right="-709" w:hanging="850"/>
        <w:rPr>
          <w:rFonts w:ascii="Tahoma" w:hAnsi="Tahoma" w:cs="Tahoma"/>
          <w:sz w:val="16"/>
          <w:szCs w:val="16"/>
          <w:rtl/>
        </w:rPr>
      </w:pPr>
      <w:r w:rsidRPr="004F3A16">
        <w:rPr>
          <w:rStyle w:val="FootnoteReference1"/>
          <w:rFonts w:ascii="Tahoma" w:hAnsi="Tahoma" w:cs="Tahoma"/>
          <w:sz w:val="16"/>
          <w:szCs w:val="16"/>
        </w:rPr>
        <w:footnoteRef/>
      </w:r>
      <w:r w:rsidRPr="004F3A16">
        <w:rPr>
          <w:rFonts w:ascii="Tahoma" w:hAnsi="Tahoma" w:cs="Tahoma"/>
          <w:sz w:val="16"/>
          <w:szCs w:val="16"/>
          <w:rtl/>
        </w:rPr>
        <w:t xml:space="preserve"> </w:t>
      </w:r>
      <w:r w:rsidRPr="004F3A16">
        <w:rPr>
          <w:rFonts w:ascii="Tahoma" w:hAnsi="Tahoma" w:cs="Tahoma"/>
          <w:sz w:val="16"/>
          <w:szCs w:val="16"/>
          <w:rtl/>
        </w:rPr>
        <w:tab/>
        <w:t>מערכת המורכבת מ</w:t>
      </w:r>
      <w:r w:rsidRPr="004F3A16">
        <w:rPr>
          <w:rStyle w:val="Strong"/>
          <w:rFonts w:ascii="Tahoma" w:hAnsi="Tahoma" w:cs="Tahoma"/>
          <w:sz w:val="16"/>
          <w:szCs w:val="16"/>
          <w:rtl/>
        </w:rPr>
        <w:t>כמה מכלי גפ״ם ניידים (בדרך כלל במשקל 48 ק״ג)</w:t>
      </w:r>
      <w:r w:rsidRPr="004F3A16">
        <w:rPr>
          <w:rFonts w:ascii="Tahoma" w:hAnsi="Tahoma" w:cs="Tahoma"/>
          <w:b/>
          <w:sz w:val="16"/>
          <w:szCs w:val="16"/>
          <w:rtl/>
        </w:rPr>
        <w:t xml:space="preserve"> המחוברים</w:t>
      </w:r>
      <w:r w:rsidRPr="004F3A16">
        <w:rPr>
          <w:rFonts w:ascii="Tahoma" w:hAnsi="Tahoma" w:cs="Tahoma"/>
          <w:sz w:val="16"/>
          <w:szCs w:val="16"/>
          <w:rtl/>
        </w:rPr>
        <w:t xml:space="preserve"> יחד באמצעות מסגרת וצנרת משותפת ומתפקדים כמקור אספקה אחד</w:t>
      </w:r>
      <w:r w:rsidRPr="004F3A16">
        <w:rPr>
          <w:rFonts w:ascii="Tahoma" w:hAnsi="Tahoma" w:cs="Tahoma"/>
          <w:sz w:val="16"/>
          <w:szCs w:val="16"/>
        </w:rPr>
        <w:t>.</w:t>
      </w:r>
    </w:p>
  </w:footnote>
  <w:footnote w:id="5">
    <w:p w:rsidR="00FC7C67" w:rsidRPr="004F3A16" w:rsidP="00FC7C67">
      <w:pPr>
        <w:pStyle w:val="FootnoteText"/>
        <w:ind w:left="850" w:hanging="850"/>
        <w:rPr>
          <w:rFonts w:ascii="Tahoma" w:hAnsi="Tahoma" w:cs="Tahoma"/>
          <w:sz w:val="16"/>
          <w:szCs w:val="16"/>
        </w:rPr>
      </w:pPr>
      <w:r w:rsidRPr="004F3A16">
        <w:rPr>
          <w:rStyle w:val="FootnoteReference1"/>
          <w:rFonts w:ascii="Tahoma" w:hAnsi="Tahoma" w:cs="Tahoma"/>
          <w:sz w:val="16"/>
          <w:szCs w:val="16"/>
        </w:rPr>
        <w:footnoteRef/>
      </w:r>
      <w:r w:rsidRPr="004F3A16">
        <w:rPr>
          <w:rFonts w:ascii="Tahoma" w:hAnsi="Tahoma" w:cs="Tahoma"/>
          <w:sz w:val="16"/>
          <w:szCs w:val="16"/>
          <w:rtl/>
        </w:rPr>
        <w:t xml:space="preserve"> </w:t>
      </w:r>
      <w:r w:rsidRPr="004F3A16">
        <w:rPr>
          <w:rFonts w:ascii="Tahoma" w:hAnsi="Tahoma" w:cs="Tahoma"/>
          <w:sz w:val="16"/>
          <w:szCs w:val="16"/>
          <w:rtl/>
        </w:rPr>
        <w:tab/>
        <w:t>חברת דור כימיקלים.</w:t>
      </w:r>
    </w:p>
  </w:footnote>
  <w:footnote w:id="6">
    <w:p w:rsidR="00FC7C67" w:rsidRPr="00277FF6" w:rsidP="00FC7C67">
      <w:pPr>
        <w:pStyle w:val="FootnoteText"/>
        <w:ind w:left="850" w:right="-567" w:hanging="850"/>
        <w:rPr>
          <w:rFonts w:ascii="Tahoma" w:hAnsi="Tahoma" w:cs="Tahoma"/>
          <w:sz w:val="16"/>
          <w:szCs w:val="16"/>
          <w:rtl/>
        </w:rPr>
      </w:pPr>
      <w:r w:rsidRPr="00277FF6">
        <w:rPr>
          <w:rFonts w:ascii="Tahoma" w:hAnsi="Tahoma" w:cs="Tahoma"/>
          <w:sz w:val="16"/>
          <w:szCs w:val="16"/>
          <w:vertAlign w:val="superscript"/>
        </w:rPr>
        <w:footnoteRef/>
      </w:r>
      <w:r w:rsidRPr="00277FF6">
        <w:rPr>
          <w:rFonts w:ascii="Tahoma" w:hAnsi="Tahoma" w:cs="Tahoma"/>
          <w:sz w:val="16"/>
          <w:szCs w:val="16"/>
          <w:rtl/>
        </w:rPr>
        <w:t xml:space="preserve"> </w:t>
      </w:r>
      <w:r w:rsidRPr="00277FF6">
        <w:rPr>
          <w:rFonts w:ascii="Tahoma" w:hAnsi="Tahoma" w:cs="Tahoma"/>
          <w:sz w:val="16"/>
          <w:szCs w:val="16"/>
          <w:rtl/>
        </w:rPr>
        <w:tab/>
      </w:r>
      <w:r w:rsidRPr="004F3A16">
        <w:rPr>
          <w:rFonts w:ascii="Tahoma" w:hAnsi="Tahoma" w:cs="Tahoma"/>
          <w:sz w:val="16"/>
          <w:szCs w:val="16"/>
        </w:rPr>
        <w:t>PQ (Pre-Qualification)</w:t>
      </w:r>
      <w:r w:rsidRPr="004F3A16">
        <w:rPr>
          <w:rFonts w:ascii="Tahoma" w:hAnsi="Tahoma" w:cs="Tahoma"/>
          <w:sz w:val="16"/>
          <w:szCs w:val="16"/>
          <w:rtl/>
        </w:rPr>
        <w:t xml:space="preserve"> - בחינה מוקדמת של כשירות המציעים לפני הגשת ההצעות הטכניות והכספיות במכרז, כדי להבטיח שרק גופים בעלי ניסיון, יכולת מקצועית, חוסן פיננסי ועמידה בדרישות סף יוכלו להשתתף במכרז עצמו.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6F75" w:rsidRPr="0062451B" w:rsidP="001F4412">
    <w:pPr>
      <w:pStyle w:val="Header"/>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29180" cy="285750"/>
                      </a:xfrm>
                      <a:prstGeom prst="rect">
                        <a:avLst/>
                      </a:prstGeom>
                      <a:noFill/>
                      <a:ln w="9525">
                        <a:noFill/>
                        <a:miter lim="800000"/>
                        <a:headEnd/>
                        <a:tailEnd/>
                      </a:ln>
                    </wps:spPr>
                    <wps:txbx>
                      <w:txbxContent>
                        <w:p w:rsidR="001E204F" w:rsidRPr="001E204F" w:rsidP="00354F9A">
                          <w:pPr>
                            <w:rPr>
                              <w:rFonts w:ascii="Calibri" w:hAnsi="Calibri" w:cs="Calibri"/>
                              <w:color w:val="002060"/>
                              <w:szCs w:val="20"/>
                              <w:rtl/>
                            </w:rPr>
                          </w:pPr>
                          <w:r w:rsidRPr="00697197">
                            <w:rPr>
                              <w:rFonts w:ascii="Calibri" w:hAnsi="Calibri" w:cs="Calibri"/>
                              <w:color w:val="002060"/>
                              <w:szCs w:val="20"/>
                              <w:rtl/>
                            </w:rPr>
                            <w:t>משק הגפ"ם - תכנון, תשתיות ותחרותיות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183.4pt;height:22.5pt;margin-top:17.1pt;margin-left:290.8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1E204F" w:rsidRPr="001E204F" w:rsidP="00354F9A">
                    <w:pPr>
                      <w:rPr>
                        <w:rFonts w:ascii="Calibri" w:hAnsi="Calibri" w:cs="Calibri"/>
                        <w:color w:val="002060"/>
                        <w:szCs w:val="20"/>
                        <w:rtl/>
                      </w:rPr>
                    </w:pPr>
                    <w:r w:rsidRPr="00697197">
                      <w:rPr>
                        <w:rFonts w:ascii="Calibri" w:hAnsi="Calibri" w:cs="Calibri"/>
                        <w:color w:val="002060"/>
                        <w:szCs w:val="20"/>
                        <w:rtl/>
                      </w:rPr>
                      <w:t>משק הגפ"ם - תכנון, תשתיות ותחרותיות</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D125D2" w:rsidR="00B4321D">
                            <w:rPr>
                              <w:rFonts w:ascii="Calibri" w:hAnsi="Calibri" w:cs="Calibri" w:hint="cs"/>
                              <w:color w:val="002060"/>
                              <w:szCs w:val="20"/>
                              <w:rtl/>
                            </w:rPr>
                            <w:t xml:space="preserve"> התשפ"</w:t>
                          </w:r>
                          <w:r w:rsidRPr="00D125D2" w:rsidR="00D05C85">
                            <w:rPr>
                              <w:rFonts w:ascii="Calibri" w:hAnsi="Calibri" w:cs="Calibri" w:hint="cs"/>
                              <w:color w:val="002060"/>
                              <w:szCs w:val="20"/>
                              <w:rtl/>
                            </w:rPr>
                            <w:t>ו</w:t>
                          </w:r>
                          <w:r w:rsidRPr="00D125D2">
                            <w:rPr>
                              <w:rFonts w:ascii="Calibri" w:hAnsi="Calibri" w:cs="Calibri" w:hint="cs"/>
                              <w:color w:val="002060"/>
                              <w:szCs w:val="20"/>
                              <w:rtl/>
                            </w:rPr>
                            <w:t xml:space="preserve"> </w:t>
                          </w:r>
                          <w:r w:rsidRPr="00D125D2" w:rsidR="001E204F">
                            <w:rPr>
                              <w:rFonts w:asciiTheme="minorHAnsi" w:hAnsiTheme="minorHAnsi" w:cstheme="minorHAnsi"/>
                              <w:color w:val="002060"/>
                              <w:spacing w:val="20"/>
                              <w:sz w:val="22"/>
                              <w:szCs w:val="22"/>
                            </w:rPr>
                            <w:t xml:space="preserve"> </w:t>
                          </w:r>
                          <w:r w:rsidRPr="00D125D2" w:rsidR="001E204F">
                            <w:rPr>
                              <w:rFonts w:ascii="Wingdings" w:hAnsi="Wingdings" w:cstheme="minorHAnsi"/>
                              <w:color w:val="002060"/>
                              <w:spacing w:val="20"/>
                              <w:sz w:val="22"/>
                              <w:szCs w:val="22"/>
                            </w:rPr>
                            <w:sym w:font="Wingdings" w:char="F0A7"/>
                          </w:r>
                          <w:r w:rsidR="00D125D2">
                            <w:rPr>
                              <w:rFonts w:ascii="Calibri" w:hAnsi="Calibri" w:cs="Calibri" w:hint="cs"/>
                              <w:color w:val="002060"/>
                              <w:szCs w:val="20"/>
                              <w:rtl/>
                            </w:rPr>
                            <w:t>יוני</w:t>
                          </w:r>
                          <w:r w:rsidRPr="00D125D2" w:rsidR="0039415D">
                            <w:rPr>
                              <w:rFonts w:ascii="Calibri" w:hAnsi="Calibri" w:cs="Calibri" w:hint="cs"/>
                              <w:color w:val="002060"/>
                              <w:szCs w:val="20"/>
                              <w:rtl/>
                            </w:rPr>
                            <w:t xml:space="preserve"> 202</w:t>
                          </w:r>
                          <w:r w:rsidR="00D125D2">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62451B"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D125D2" w:rsidR="00B4321D">
                      <w:rPr>
                        <w:rFonts w:ascii="Calibri" w:hAnsi="Calibri" w:cs="Calibri" w:hint="cs"/>
                        <w:color w:val="002060"/>
                        <w:szCs w:val="20"/>
                        <w:rtl/>
                      </w:rPr>
                      <w:t xml:space="preserve"> התשפ"</w:t>
                    </w:r>
                    <w:r w:rsidRPr="00D125D2" w:rsidR="00D05C85">
                      <w:rPr>
                        <w:rFonts w:ascii="Calibri" w:hAnsi="Calibri" w:cs="Calibri" w:hint="cs"/>
                        <w:color w:val="002060"/>
                        <w:szCs w:val="20"/>
                        <w:rtl/>
                      </w:rPr>
                      <w:t>ו</w:t>
                    </w:r>
                    <w:r w:rsidRPr="00D125D2">
                      <w:rPr>
                        <w:rFonts w:ascii="Calibri" w:hAnsi="Calibri" w:cs="Calibri" w:hint="cs"/>
                        <w:color w:val="002060"/>
                        <w:szCs w:val="20"/>
                        <w:rtl/>
                      </w:rPr>
                      <w:t xml:space="preserve"> </w:t>
                    </w:r>
                    <w:r w:rsidRPr="00D125D2" w:rsidR="001E204F">
                      <w:rPr>
                        <w:rFonts w:asciiTheme="minorHAnsi" w:hAnsiTheme="minorHAnsi" w:cstheme="minorHAnsi"/>
                        <w:color w:val="002060"/>
                        <w:spacing w:val="20"/>
                        <w:sz w:val="22"/>
                        <w:szCs w:val="22"/>
                      </w:rPr>
                      <w:t xml:space="preserve"> </w:t>
                    </w:r>
                    <w:r w:rsidRPr="00D125D2" w:rsidR="001E204F">
                      <w:rPr>
                        <w:rFonts w:ascii="Wingdings" w:hAnsi="Wingdings" w:cstheme="minorHAnsi"/>
                        <w:color w:val="002060"/>
                        <w:spacing w:val="20"/>
                        <w:sz w:val="22"/>
                        <w:szCs w:val="22"/>
                      </w:rPr>
                      <w:sym w:font="Wingdings" w:char="F0A7"/>
                    </w:r>
                    <w:r w:rsidR="00D125D2">
                      <w:rPr>
                        <w:rFonts w:ascii="Calibri" w:hAnsi="Calibri" w:cs="Calibri" w:hint="cs"/>
                        <w:color w:val="002060"/>
                        <w:szCs w:val="20"/>
                        <w:rtl/>
                      </w:rPr>
                      <w:t>יוני</w:t>
                    </w:r>
                    <w:r w:rsidRPr="00D125D2" w:rsidR="0039415D">
                      <w:rPr>
                        <w:rFonts w:ascii="Calibri" w:hAnsi="Calibri" w:cs="Calibri" w:hint="cs"/>
                        <w:color w:val="002060"/>
                        <w:szCs w:val="20"/>
                        <w:rtl/>
                      </w:rPr>
                      <w:t xml:space="preserve"> 202</w:t>
                    </w:r>
                    <w:r w:rsidR="00D125D2">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62451B" w:rsidR="001F4412">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pPr>
                            <w:rPr>
                              <w:rFonts w:ascii="Calibri" w:hAnsi="Calibri" w:cs="Calibri"/>
                              <w:color w:val="002060"/>
                              <w:sz w:val="22"/>
                              <w:szCs w:val="22"/>
                              <w:rtl/>
                            </w:rPr>
                          </w:pPr>
                          <w:r w:rsidRPr="0062451B">
                            <w:rPr>
                              <w:rFonts w:ascii="Calibri" w:hAnsi="Calibri" w:cs="Calibri"/>
                              <w:color w:val="002060"/>
                              <w:sz w:val="22"/>
                              <w:szCs w:val="22"/>
                              <w:rtl/>
                            </w:rPr>
                            <w:t xml:space="preserve">מבקר </w:t>
                          </w:r>
                          <w:r w:rsidRPr="0062451B" w:rsidR="008131AD">
                            <w:rPr>
                              <w:rFonts w:ascii="Calibri" w:hAnsi="Calibri" w:cs="Calibri"/>
                              <w:color w:val="002060"/>
                              <w:sz w:val="22"/>
                              <w:szCs w:val="22"/>
                              <w:rtl/>
                            </w:rPr>
                            <w:t>המדינה</w:t>
                          </w:r>
                          <w:r w:rsidR="008131AD">
                            <w:rPr>
                              <w:rFonts w:ascii="Calibri" w:hAnsi="Calibri" w:cs="Calibri" w:hint="cs"/>
                              <w:color w:val="002060"/>
                              <w:sz w:val="22"/>
                              <w:szCs w:val="22"/>
                              <w:rtl/>
                            </w:rPr>
                            <w:t xml:space="preserve"> </w:t>
                          </w:r>
                          <w:r w:rsidR="009802D2">
                            <w:rPr>
                              <w:rFonts w:ascii="Calibri" w:hAnsi="Calibri" w:cs="Calibri" w:hint="cs"/>
                              <w:color w:val="002060"/>
                              <w:sz w:val="22"/>
                              <w:szCs w:val="22"/>
                              <w:rtl/>
                            </w:rPr>
                            <w:t xml:space="preserve">| דוח </w:t>
                          </w:r>
                          <w:r w:rsidR="005A2731">
                            <w:rPr>
                              <w:rFonts w:ascii="Calibri" w:hAnsi="Calibri" w:cs="Calibri" w:hint="cs"/>
                              <w:color w:val="002060"/>
                              <w:sz w:val="22"/>
                              <w:szCs w:val="22"/>
                              <w:rtl/>
                            </w:rPr>
                            <w:t>מיוחד בתחום ה</w:t>
                          </w:r>
                          <w:r w:rsidR="009802D2">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62451B" w:rsidRPr="0062451B">
                    <w:pPr>
                      <w:rPr>
                        <w:rFonts w:ascii="Calibri" w:hAnsi="Calibri" w:cs="Calibri"/>
                        <w:color w:val="002060"/>
                        <w:sz w:val="22"/>
                        <w:szCs w:val="22"/>
                        <w:rtl/>
                      </w:rPr>
                    </w:pPr>
                    <w:r w:rsidRPr="0062451B">
                      <w:rPr>
                        <w:rFonts w:ascii="Calibri" w:hAnsi="Calibri" w:cs="Calibri"/>
                        <w:color w:val="002060"/>
                        <w:sz w:val="22"/>
                        <w:szCs w:val="22"/>
                        <w:rtl/>
                      </w:rPr>
                      <w:t xml:space="preserve">מבקר </w:t>
                    </w:r>
                    <w:r w:rsidRPr="0062451B" w:rsidR="008131AD">
                      <w:rPr>
                        <w:rFonts w:ascii="Calibri" w:hAnsi="Calibri" w:cs="Calibri"/>
                        <w:color w:val="002060"/>
                        <w:sz w:val="22"/>
                        <w:szCs w:val="22"/>
                        <w:rtl/>
                      </w:rPr>
                      <w:t>המדינה</w:t>
                    </w:r>
                    <w:r w:rsidR="008131AD">
                      <w:rPr>
                        <w:rFonts w:ascii="Calibri" w:hAnsi="Calibri" w:cs="Calibri" w:hint="cs"/>
                        <w:color w:val="002060"/>
                        <w:sz w:val="22"/>
                        <w:szCs w:val="22"/>
                        <w:rtl/>
                      </w:rPr>
                      <w:t xml:space="preserve"> </w:t>
                    </w:r>
                    <w:r w:rsidR="009802D2">
                      <w:rPr>
                        <w:rFonts w:ascii="Calibri" w:hAnsi="Calibri" w:cs="Calibri" w:hint="cs"/>
                        <w:color w:val="002060"/>
                        <w:sz w:val="22"/>
                        <w:szCs w:val="22"/>
                        <w:rtl/>
                      </w:rPr>
                      <w:t xml:space="preserve">| דוח </w:t>
                    </w:r>
                    <w:r w:rsidR="005A2731">
                      <w:rPr>
                        <w:rFonts w:ascii="Calibri" w:hAnsi="Calibri" w:cs="Calibri" w:hint="cs"/>
                        <w:color w:val="002060"/>
                        <w:sz w:val="22"/>
                        <w:szCs w:val="22"/>
                        <w:rtl/>
                      </w:rPr>
                      <w:t>מיוחד בתחום ה</w:t>
                    </w:r>
                    <w:r w:rsidR="009802D2">
                      <w:rPr>
                        <w:rFonts w:ascii="Calibri" w:hAnsi="Calibri" w:cs="Calibri" w:hint="cs"/>
                        <w:color w:val="002060"/>
                        <w:sz w:val="22"/>
                        <w:szCs w:val="22"/>
                        <w:rtl/>
                      </w:rPr>
                      <w:t>כלכלי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6F75">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1107391</wp:posOffset>
              </wp:positionH>
              <wp:positionV relativeFrom="paragraph">
                <wp:posOffset>-457249</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24570" y="0"/>
                        <a:chExt cx="2959100" cy="10690225"/>
                      </a:xfrm>
                    </wpg:grpSpPr>
                    <wpg:grpSp>
                      <wpg:cNvPr id="53" name="קבוצה 53"/>
                      <wpg:cNvGrpSpPr/>
                      <wpg:grpSpPr>
                        <a:xfrm>
                          <a:off x="-24570" y="0"/>
                          <a:ext cx="2959100" cy="3009900"/>
                          <a:chOff x="-24570"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24570" y="2593291"/>
                            <a:ext cx="2959100" cy="273050"/>
                          </a:xfrm>
                          <a:prstGeom prst="rect">
                            <a:avLst/>
                          </a:prstGeom>
                          <a:noFill/>
                          <a:ln w="6350">
                            <a:noFill/>
                          </a:ln>
                        </wps:spPr>
                        <wps:txbx>
                          <w:txbxContent>
                            <w:p w:rsidR="0062451B"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62451B" w:rsidRPr="0062451B" w:rsidP="0062451B">
                              <w:pPr>
                                <w:spacing w:line="240" w:lineRule="auto"/>
                                <w:jc w:val="center"/>
                                <w:rPr>
                                  <w:rFonts w:asciiTheme="minorHAnsi" w:hAnsiTheme="minorHAnsi" w:cstheme="minorHAnsi"/>
                                  <w:color w:val="002060"/>
                                  <w:spacing w:val="20"/>
                                  <w:sz w:val="22"/>
                                  <w:szCs w:val="22"/>
                                  <w:rtl/>
                                </w:rPr>
                              </w:pP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tl/>
                                </w:rPr>
                                <w:t xml:space="preserve"> </w:t>
                              </w:r>
                              <w:r w:rsidR="009802D2">
                                <w:rPr>
                                  <w:rFonts w:asciiTheme="minorHAnsi" w:hAnsiTheme="minorHAnsi" w:cstheme="minorHAnsi" w:hint="cs"/>
                                  <w:color w:val="002060"/>
                                  <w:spacing w:val="20"/>
                                  <w:sz w:val="22"/>
                                  <w:szCs w:val="22"/>
                                  <w:rtl/>
                                </w:rPr>
                                <w:t>תמוז</w:t>
                              </w:r>
                              <w:r w:rsidRPr="00D125D2">
                                <w:rPr>
                                  <w:rFonts w:asciiTheme="minorHAnsi" w:hAnsiTheme="minorHAnsi" w:cstheme="minorHAnsi"/>
                                  <w:color w:val="002060"/>
                                  <w:spacing w:val="20"/>
                                  <w:sz w:val="22"/>
                                  <w:szCs w:val="22"/>
                                  <w:rtl/>
                                </w:rPr>
                                <w:t xml:space="preserve"> התשפ"</w:t>
                              </w:r>
                              <w:r w:rsidRPr="00D125D2" w:rsidR="00D05C85">
                                <w:rPr>
                                  <w:rFonts w:asciiTheme="minorHAnsi" w:hAnsiTheme="minorHAnsi" w:cstheme="minorHAnsi" w:hint="cs"/>
                                  <w:color w:val="002060"/>
                                  <w:spacing w:val="20"/>
                                  <w:sz w:val="22"/>
                                  <w:szCs w:val="22"/>
                                  <w:rtl/>
                                </w:rPr>
                                <w:t>ו</w:t>
                              </w:r>
                              <w:r w:rsidRPr="00D125D2">
                                <w:rPr>
                                  <w:rFonts w:asciiTheme="minorHAnsi" w:hAnsiTheme="minorHAnsi" w:cstheme="minorHAnsi"/>
                                  <w:color w:val="002060"/>
                                  <w:spacing w:val="20"/>
                                  <w:sz w:val="22"/>
                                  <w:szCs w:val="22"/>
                                  <w:rtl/>
                                </w:rPr>
                                <w:t xml:space="preserve">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sidR="00D125D2">
                                <w:rPr>
                                  <w:rFonts w:asciiTheme="minorHAnsi" w:hAnsiTheme="minorHAnsi" w:cstheme="minorHAnsi" w:hint="cs"/>
                                  <w:color w:val="002060"/>
                                  <w:spacing w:val="20"/>
                                  <w:sz w:val="22"/>
                                  <w:szCs w:val="22"/>
                                  <w:rtl/>
                                </w:rPr>
                                <w:t>יוני</w:t>
                              </w:r>
                              <w:r w:rsidRPr="00D125D2" w:rsidR="00EE57E1">
                                <w:rPr>
                                  <w:rFonts w:asciiTheme="minorHAnsi" w:hAnsiTheme="minorHAnsi" w:cstheme="minorHAnsi" w:hint="cs"/>
                                  <w:color w:val="002060"/>
                                  <w:spacing w:val="20"/>
                                  <w:sz w:val="22"/>
                                  <w:szCs w:val="22"/>
                                  <w:rtl/>
                                </w:rPr>
                                <w:t xml:space="preserve"> </w:t>
                              </w:r>
                              <w:r w:rsidRPr="00D125D2">
                                <w:rPr>
                                  <w:rFonts w:asciiTheme="minorHAnsi" w:hAnsiTheme="minorHAnsi" w:cstheme="minorHAnsi" w:hint="cs"/>
                                  <w:color w:val="002060"/>
                                  <w:spacing w:val="20"/>
                                  <w:sz w:val="22"/>
                                  <w:szCs w:val="22"/>
                                  <w:rtl/>
                                </w:rPr>
                                <w:t>202</w:t>
                              </w:r>
                              <w:r w:rsidRPr="00D125D2" w:rsidR="00D125D2">
                                <w:rPr>
                                  <w:rFonts w:asciiTheme="minorHAnsi" w:hAnsiTheme="minorHAnsi" w:cstheme="minorHAnsi" w:hint="cs"/>
                                  <w:color w:val="002060"/>
                                  <w:spacing w:val="20"/>
                                  <w:sz w:val="22"/>
                                  <w:szCs w:val="22"/>
                                  <w:rtl/>
                                </w:rPr>
                                <w:t>6</w:t>
                              </w:r>
                              <w:r w:rsidRPr="00D125D2">
                                <w:rPr>
                                  <w:rFonts w:asciiTheme="minorHAnsi" w:hAnsiTheme="minorHAnsi" w:cstheme="minorHAnsi"/>
                                  <w:color w:val="002060"/>
                                  <w:spacing w:val="20"/>
                                  <w:sz w:val="22"/>
                                  <w:szCs w:val="22"/>
                                  <w:rtl/>
                                </w:rPr>
                                <w:t xml:space="preserve"> </w:t>
                              </w: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pt;margin-left:87.2pt;mso-position-horizontal-relative:margin;position:absolute;z-index:251659264" coordorigin="-245,0" coordsize="29591,106902">
              <v:group id="קבוצה 53" o:spid="_x0000_s2054" style="width:29590;height:30099;left:-245;position:absolute" coordorigin="-245,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1;left:-245;mso-wrap-style:square;position:absolute;top:25932;visibility:visible;v-text-anchor:top" filled="f" stroked="f" strokeweight="0.5pt">
                  <v:textbox>
                    <w:txbxContent>
                      <w:p w:rsidR="0062451B"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62451B" w:rsidRPr="0062451B" w:rsidP="0062451B">
                        <w:pPr>
                          <w:spacing w:line="240" w:lineRule="auto"/>
                          <w:jc w:val="center"/>
                          <w:rPr>
                            <w:rFonts w:asciiTheme="minorHAnsi" w:hAnsiTheme="minorHAnsi" w:cstheme="minorHAnsi"/>
                            <w:color w:val="002060"/>
                            <w:spacing w:val="20"/>
                            <w:sz w:val="22"/>
                            <w:szCs w:val="22"/>
                            <w:rtl/>
                          </w:rPr>
                        </w:pP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tl/>
                          </w:rPr>
                          <w:t xml:space="preserve"> </w:t>
                        </w:r>
                        <w:r w:rsidR="009802D2">
                          <w:rPr>
                            <w:rFonts w:asciiTheme="minorHAnsi" w:hAnsiTheme="minorHAnsi" w:cstheme="minorHAnsi" w:hint="cs"/>
                            <w:color w:val="002060"/>
                            <w:spacing w:val="20"/>
                            <w:sz w:val="22"/>
                            <w:szCs w:val="22"/>
                            <w:rtl/>
                          </w:rPr>
                          <w:t>תמוז</w:t>
                        </w:r>
                        <w:r w:rsidRPr="00D125D2">
                          <w:rPr>
                            <w:rFonts w:asciiTheme="minorHAnsi" w:hAnsiTheme="minorHAnsi" w:cstheme="minorHAnsi"/>
                            <w:color w:val="002060"/>
                            <w:spacing w:val="20"/>
                            <w:sz w:val="22"/>
                            <w:szCs w:val="22"/>
                            <w:rtl/>
                          </w:rPr>
                          <w:t xml:space="preserve"> התשפ"</w:t>
                        </w:r>
                        <w:r w:rsidRPr="00D125D2" w:rsidR="00D05C85">
                          <w:rPr>
                            <w:rFonts w:asciiTheme="minorHAnsi" w:hAnsiTheme="minorHAnsi" w:cstheme="minorHAnsi" w:hint="cs"/>
                            <w:color w:val="002060"/>
                            <w:spacing w:val="20"/>
                            <w:sz w:val="22"/>
                            <w:szCs w:val="22"/>
                            <w:rtl/>
                          </w:rPr>
                          <w:t>ו</w:t>
                        </w:r>
                        <w:r w:rsidRPr="00D125D2">
                          <w:rPr>
                            <w:rFonts w:asciiTheme="minorHAnsi" w:hAnsiTheme="minorHAnsi" w:cstheme="minorHAnsi"/>
                            <w:color w:val="002060"/>
                            <w:spacing w:val="20"/>
                            <w:sz w:val="22"/>
                            <w:szCs w:val="22"/>
                            <w:rtl/>
                          </w:rPr>
                          <w:t xml:space="preserve"> </w:t>
                        </w:r>
                        <w:r w:rsidRPr="00D125D2">
                          <w:rPr>
                            <w:rFonts w:asciiTheme="minorHAnsi" w:hAnsiTheme="minorHAnsi" w:cstheme="minorHAnsi"/>
                            <w:color w:val="002060"/>
                            <w:spacing w:val="20"/>
                            <w:sz w:val="22"/>
                            <w:szCs w:val="22"/>
                          </w:rPr>
                          <w:t xml:space="preserve"> </w:t>
                        </w:r>
                        <w:r w:rsidRPr="00D125D2">
                          <w:rPr>
                            <w:rFonts w:ascii="Wingdings" w:hAnsi="Wingdings" w:cstheme="minorHAnsi"/>
                            <w:color w:val="002060"/>
                            <w:spacing w:val="20"/>
                            <w:sz w:val="22"/>
                            <w:szCs w:val="22"/>
                          </w:rPr>
                          <w:sym w:font="Wingdings" w:char="F0A7"/>
                        </w:r>
                        <w:r w:rsidR="00D125D2">
                          <w:rPr>
                            <w:rFonts w:asciiTheme="minorHAnsi" w:hAnsiTheme="minorHAnsi" w:cstheme="minorHAnsi" w:hint="cs"/>
                            <w:color w:val="002060"/>
                            <w:spacing w:val="20"/>
                            <w:sz w:val="22"/>
                            <w:szCs w:val="22"/>
                            <w:rtl/>
                          </w:rPr>
                          <w:t>יוני</w:t>
                        </w:r>
                        <w:r w:rsidRPr="00D125D2" w:rsidR="00EE57E1">
                          <w:rPr>
                            <w:rFonts w:asciiTheme="minorHAnsi" w:hAnsiTheme="minorHAnsi" w:cstheme="minorHAnsi" w:hint="cs"/>
                            <w:color w:val="002060"/>
                            <w:spacing w:val="20"/>
                            <w:sz w:val="22"/>
                            <w:szCs w:val="22"/>
                            <w:rtl/>
                          </w:rPr>
                          <w:t xml:space="preserve"> </w:t>
                        </w:r>
                        <w:r w:rsidRPr="00D125D2">
                          <w:rPr>
                            <w:rFonts w:asciiTheme="minorHAnsi" w:hAnsiTheme="minorHAnsi" w:cstheme="minorHAnsi" w:hint="cs"/>
                            <w:color w:val="002060"/>
                            <w:spacing w:val="20"/>
                            <w:sz w:val="22"/>
                            <w:szCs w:val="22"/>
                            <w:rtl/>
                          </w:rPr>
                          <w:t>202</w:t>
                        </w:r>
                        <w:r w:rsidRPr="00D125D2" w:rsidR="00D125D2">
                          <w:rPr>
                            <w:rFonts w:asciiTheme="minorHAnsi" w:hAnsiTheme="minorHAnsi" w:cstheme="minorHAnsi" w:hint="cs"/>
                            <w:color w:val="002060"/>
                            <w:spacing w:val="20"/>
                            <w:sz w:val="22"/>
                            <w:szCs w:val="22"/>
                            <w:rtl/>
                          </w:rPr>
                          <w:t>6</w:t>
                        </w:r>
                        <w:r w:rsidRPr="00D125D2">
                          <w:rPr>
                            <w:rFonts w:asciiTheme="minorHAnsi" w:hAnsiTheme="minorHAnsi" w:cstheme="minorHAnsi"/>
                            <w:color w:val="002060"/>
                            <w:spacing w:val="20"/>
                            <w:sz w:val="22"/>
                            <w:szCs w:val="22"/>
                            <w:rtl/>
                          </w:rPr>
                          <w:t xml:space="preserve"> </w:t>
                        </w:r>
                        <w:r w:rsidRPr="00D125D2">
                          <w:rPr>
                            <w:rFonts w:ascii="Wingdings" w:hAnsi="Wingdings" w:cstheme="minorHAnsi"/>
                            <w:color w:val="002060"/>
                            <w:spacing w:val="20"/>
                            <w:sz w:val="22"/>
                            <w:szCs w:val="22"/>
                          </w:rPr>
                          <w:sym w:font="Wingdings" w:char="F0A7"/>
                        </w:r>
                        <w:r w:rsidRPr="00D125D2">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125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539" w:rsidRPr="00FC7C67" w:rsidP="00EF4539">
    <w:pPr>
      <w:pStyle w:val="Header"/>
      <w:tabs>
        <w:tab w:val="clear" w:pos="8306"/>
        <w:tab w:val="right" w:pos="8504"/>
      </w:tabs>
      <w:ind w:right="-709"/>
      <w:jc w:val="right"/>
      <w:rPr>
        <w:rFonts w:ascii="Calibri" w:hAnsi="Calibri" w:cs="Calibri"/>
        <w:color w:val="002060"/>
        <w:szCs w:val="20"/>
      </w:rPr>
    </w:pPr>
    <w:r w:rsidRPr="00FC7C67">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FC7C67">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EF453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w:t>
                          </w:r>
                          <w:r w:rsidRPr="00D125D2" w:rsidR="00D05C85">
                            <w:rPr>
                              <w:rFonts w:ascii="Calibri" w:hAnsi="Calibri" w:cs="Calibri" w:hint="cs"/>
                              <w:color w:val="002060"/>
                              <w:szCs w:val="20"/>
                              <w:rtl/>
                            </w:rPr>
                            <w:t>ו</w:t>
                          </w:r>
                          <w:r w:rsidRPr="00D125D2">
                            <w:rPr>
                              <w:rFonts w:ascii="Calibri" w:hAnsi="Calibri" w:cs="Calibri" w:hint="cs"/>
                              <w:color w:val="002060"/>
                              <w:szCs w:val="20"/>
                              <w:rtl/>
                            </w:rPr>
                            <w:t xml:space="preserve"> </w:t>
                          </w:r>
                          <w:r w:rsidRPr="00FC7C67">
                            <w:rPr>
                              <w:rFonts w:ascii="Calibri" w:hAnsi="Calibri" w:cs="Calibri"/>
                              <w:color w:val="002060"/>
                              <w:spacing w:val="20"/>
                              <w:sz w:val="22"/>
                              <w:szCs w:val="22"/>
                            </w:rPr>
                            <w:t xml:space="preserve"> </w:t>
                          </w:r>
                          <w:r w:rsidRPr="00FC7C67">
                            <w:rPr>
                              <w:rFonts w:ascii="Wingdings" w:hAnsi="Wingdings" w:cs="Calibri"/>
                              <w:color w:val="002060"/>
                              <w:spacing w:val="20"/>
                              <w:sz w:val="22"/>
                              <w:szCs w:val="22"/>
                            </w:rPr>
                            <w:sym w:font="Wingdings" w:char="F0A7"/>
                          </w:r>
                          <w:r w:rsidRPr="00D125D2" w:rsidR="00D125D2">
                            <w:rPr>
                              <w:rFonts w:ascii="Calibri" w:hAnsi="Calibri" w:cs="Calibri" w:hint="cs"/>
                              <w:color w:val="002060"/>
                              <w:szCs w:val="20"/>
                              <w:rtl/>
                            </w:rPr>
                            <w:t>יוני</w:t>
                          </w:r>
                          <w:r w:rsidRPr="00D125D2">
                            <w:rPr>
                              <w:rFonts w:ascii="Calibri" w:hAnsi="Calibri" w:cs="Calibri" w:hint="cs"/>
                              <w:color w:val="002060"/>
                              <w:szCs w:val="20"/>
                              <w:rtl/>
                            </w:rPr>
                            <w:t xml:space="preserve"> 202</w:t>
                          </w:r>
                          <w:r w:rsidRPr="00D125D2" w:rsidR="00D125D2">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EF453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D125D2">
                      <w:rPr>
                        <w:rFonts w:ascii="Calibri" w:hAnsi="Calibri" w:cs="Calibri" w:hint="cs"/>
                        <w:color w:val="002060"/>
                        <w:szCs w:val="20"/>
                        <w:rtl/>
                      </w:rPr>
                      <w:t xml:space="preserve"> התשפ"</w:t>
                    </w:r>
                    <w:r w:rsidRPr="00D125D2" w:rsidR="00D05C85">
                      <w:rPr>
                        <w:rFonts w:ascii="Calibri" w:hAnsi="Calibri" w:cs="Calibri" w:hint="cs"/>
                        <w:color w:val="002060"/>
                        <w:szCs w:val="20"/>
                        <w:rtl/>
                      </w:rPr>
                      <w:t>ו</w:t>
                    </w:r>
                    <w:r w:rsidRPr="00D125D2">
                      <w:rPr>
                        <w:rFonts w:ascii="Calibri" w:hAnsi="Calibri" w:cs="Calibri" w:hint="cs"/>
                        <w:color w:val="002060"/>
                        <w:szCs w:val="20"/>
                        <w:rtl/>
                      </w:rPr>
                      <w:t xml:space="preserve"> </w:t>
                    </w:r>
                    <w:r w:rsidRPr="00FC7C67">
                      <w:rPr>
                        <w:rFonts w:ascii="Calibri" w:hAnsi="Calibri" w:cs="Calibri"/>
                        <w:color w:val="002060"/>
                        <w:spacing w:val="20"/>
                        <w:sz w:val="22"/>
                        <w:szCs w:val="22"/>
                      </w:rPr>
                      <w:t xml:space="preserve"> </w:t>
                    </w:r>
                    <w:r w:rsidRPr="00FC7C67">
                      <w:rPr>
                        <w:rFonts w:ascii="Wingdings" w:hAnsi="Wingdings" w:cs="Calibri"/>
                        <w:color w:val="002060"/>
                        <w:spacing w:val="20"/>
                        <w:sz w:val="22"/>
                        <w:szCs w:val="22"/>
                      </w:rPr>
                      <w:sym w:font="Wingdings" w:char="F0A7"/>
                    </w:r>
                    <w:r w:rsidRPr="00D125D2" w:rsidR="00D125D2">
                      <w:rPr>
                        <w:rFonts w:ascii="Calibri" w:hAnsi="Calibri" w:cs="Calibri" w:hint="cs"/>
                        <w:color w:val="002060"/>
                        <w:szCs w:val="20"/>
                        <w:rtl/>
                      </w:rPr>
                      <w:t>יוני</w:t>
                    </w:r>
                    <w:r w:rsidRPr="00D125D2">
                      <w:rPr>
                        <w:rFonts w:ascii="Calibri" w:hAnsi="Calibri" w:cs="Calibri" w:hint="cs"/>
                        <w:color w:val="002060"/>
                        <w:szCs w:val="20"/>
                        <w:rtl/>
                      </w:rPr>
                      <w:t xml:space="preserve"> 202</w:t>
                    </w:r>
                    <w:r w:rsidRPr="00D125D2" w:rsidR="00D125D2">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FC7C67">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EF4539" w:rsidRPr="0062451B" w:rsidP="00EF4539">
                          <w:pPr>
                            <w:rPr>
                              <w:rFonts w:ascii="Calibri" w:hAnsi="Calibri" w:cs="Calibri"/>
                              <w:color w:val="002060"/>
                              <w:sz w:val="22"/>
                              <w:szCs w:val="22"/>
                              <w:rtl/>
                            </w:rPr>
                          </w:pPr>
                          <w:r w:rsidRPr="0062451B">
                            <w:rPr>
                              <w:rFonts w:ascii="Calibri" w:hAnsi="Calibri" w:cs="Calibri"/>
                              <w:color w:val="002060"/>
                              <w:sz w:val="22"/>
                              <w:szCs w:val="22"/>
                              <w:rtl/>
                            </w:rPr>
                            <w:t xml:space="preserve">מבקר </w:t>
                          </w:r>
                          <w:r w:rsidRPr="0062451B" w:rsidR="008131AD">
                            <w:rPr>
                              <w:rFonts w:ascii="Calibri" w:hAnsi="Calibri" w:cs="Calibri"/>
                              <w:color w:val="002060"/>
                              <w:sz w:val="22"/>
                              <w:szCs w:val="22"/>
                              <w:rtl/>
                            </w:rPr>
                            <w:t>המדינה</w:t>
                          </w:r>
                          <w:r w:rsidR="008131AD">
                            <w:rPr>
                              <w:rFonts w:ascii="Calibri" w:hAnsi="Calibri" w:cs="Calibri" w:hint="cs"/>
                              <w:color w:val="002060"/>
                              <w:sz w:val="22"/>
                              <w:szCs w:val="22"/>
                              <w:rtl/>
                            </w:rPr>
                            <w:t xml:space="preserve"> </w:t>
                          </w:r>
                          <w:r w:rsidR="009802D2">
                            <w:rPr>
                              <w:rFonts w:ascii="Calibri" w:hAnsi="Calibri" w:cs="Calibri" w:hint="cs"/>
                              <w:color w:val="002060"/>
                              <w:sz w:val="22"/>
                              <w:szCs w:val="22"/>
                              <w:rtl/>
                            </w:rPr>
                            <w:t xml:space="preserve">| דוח </w:t>
                          </w:r>
                          <w:r w:rsidR="005A2731">
                            <w:rPr>
                              <w:rFonts w:ascii="Calibri" w:hAnsi="Calibri" w:cs="Calibri" w:hint="cs"/>
                              <w:color w:val="002060"/>
                              <w:sz w:val="22"/>
                              <w:szCs w:val="22"/>
                              <w:rtl/>
                            </w:rPr>
                            <w:t>מיוחד בתחום ה</w:t>
                          </w:r>
                          <w:r w:rsidR="009802D2">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EF4539" w:rsidRPr="0062451B" w:rsidP="00EF4539">
                    <w:pPr>
                      <w:rPr>
                        <w:rFonts w:ascii="Calibri" w:hAnsi="Calibri" w:cs="Calibri"/>
                        <w:color w:val="002060"/>
                        <w:sz w:val="22"/>
                        <w:szCs w:val="22"/>
                        <w:rtl/>
                      </w:rPr>
                    </w:pPr>
                    <w:r w:rsidRPr="0062451B">
                      <w:rPr>
                        <w:rFonts w:ascii="Calibri" w:hAnsi="Calibri" w:cs="Calibri"/>
                        <w:color w:val="002060"/>
                        <w:sz w:val="22"/>
                        <w:szCs w:val="22"/>
                        <w:rtl/>
                      </w:rPr>
                      <w:t xml:space="preserve">מבקר </w:t>
                    </w:r>
                    <w:r w:rsidRPr="0062451B" w:rsidR="008131AD">
                      <w:rPr>
                        <w:rFonts w:ascii="Calibri" w:hAnsi="Calibri" w:cs="Calibri"/>
                        <w:color w:val="002060"/>
                        <w:sz w:val="22"/>
                        <w:szCs w:val="22"/>
                        <w:rtl/>
                      </w:rPr>
                      <w:t>המדינה</w:t>
                    </w:r>
                    <w:r w:rsidR="008131AD">
                      <w:rPr>
                        <w:rFonts w:ascii="Calibri" w:hAnsi="Calibri" w:cs="Calibri" w:hint="cs"/>
                        <w:color w:val="002060"/>
                        <w:sz w:val="22"/>
                        <w:szCs w:val="22"/>
                        <w:rtl/>
                      </w:rPr>
                      <w:t xml:space="preserve"> </w:t>
                    </w:r>
                    <w:r w:rsidR="009802D2">
                      <w:rPr>
                        <w:rFonts w:ascii="Calibri" w:hAnsi="Calibri" w:cs="Calibri" w:hint="cs"/>
                        <w:color w:val="002060"/>
                        <w:sz w:val="22"/>
                        <w:szCs w:val="22"/>
                        <w:rtl/>
                      </w:rPr>
                      <w:t xml:space="preserve">| דוח </w:t>
                    </w:r>
                    <w:r w:rsidR="005A2731">
                      <w:rPr>
                        <w:rFonts w:ascii="Calibri" w:hAnsi="Calibri" w:cs="Calibri" w:hint="cs"/>
                        <w:color w:val="002060"/>
                        <w:sz w:val="22"/>
                        <w:szCs w:val="22"/>
                        <w:rtl/>
                      </w:rPr>
                      <w:t>מיוחד בתחום ה</w:t>
                    </w:r>
                    <w:r w:rsidR="009802D2">
                      <w:rPr>
                        <w:rFonts w:ascii="Calibri" w:hAnsi="Calibri" w:cs="Calibri" w:hint="cs"/>
                        <w:color w:val="002060"/>
                        <w:sz w:val="22"/>
                        <w:szCs w:val="22"/>
                        <w:rtl/>
                      </w:rPr>
                      <w:t>כלכלי</w:t>
                    </w:r>
                  </w:p>
                </w:txbxContent>
              </v:textbox>
              <w10:wrap type="square"/>
            </v:shape>
          </w:pict>
        </mc:Fallback>
      </mc:AlternateContent>
    </w:r>
    <w:r w:rsidRPr="00FC7C67">
      <w:rPr>
        <w:rFonts w:ascii="Calibri" w:hAnsi="Calibri" w:cs="Calibri"/>
        <w:color w:val="002060"/>
        <w:szCs w:val="20"/>
        <w:rtl/>
      </w:rPr>
      <w:fldChar w:fldCharType="begin"/>
    </w:r>
    <w:r w:rsidRPr="00FC7C67">
      <w:rPr>
        <w:rFonts w:ascii="Calibri" w:hAnsi="Calibri" w:cs="Calibri"/>
        <w:color w:val="002060"/>
        <w:szCs w:val="20"/>
        <w:rtl/>
      </w:rPr>
      <w:instrText xml:space="preserve"> </w:instrText>
    </w:r>
    <w:r w:rsidRPr="00FC7C67">
      <w:rPr>
        <w:rFonts w:ascii="Calibri" w:hAnsi="Calibri" w:cs="Calibri"/>
        <w:color w:val="002060"/>
        <w:szCs w:val="20"/>
      </w:rPr>
      <w:instrText>PAGE</w:instrText>
    </w:r>
    <w:r w:rsidRPr="00FC7C67">
      <w:rPr>
        <w:rFonts w:ascii="Calibri" w:hAnsi="Calibri" w:cs="Calibri"/>
        <w:color w:val="002060"/>
        <w:szCs w:val="20"/>
        <w:rtl/>
      </w:rPr>
      <w:instrText xml:space="preserve">  \* </w:instrText>
    </w:r>
    <w:r w:rsidRPr="00FC7C67">
      <w:rPr>
        <w:rFonts w:ascii="Calibri" w:hAnsi="Calibri" w:cs="Calibri"/>
        <w:color w:val="002060"/>
        <w:szCs w:val="20"/>
      </w:rPr>
      <w:instrText>MERGEFORMAT</w:instrText>
    </w:r>
    <w:r w:rsidRPr="00FC7C67">
      <w:rPr>
        <w:rFonts w:ascii="Calibri" w:hAnsi="Calibri" w:cs="Calibri"/>
        <w:color w:val="002060"/>
        <w:szCs w:val="20"/>
        <w:rtl/>
      </w:rPr>
      <w:instrText xml:space="preserve"> </w:instrText>
    </w:r>
    <w:r w:rsidRPr="00FC7C67">
      <w:rPr>
        <w:rFonts w:ascii="Calibri" w:hAnsi="Calibri" w:cs="Calibri"/>
        <w:color w:val="002060"/>
        <w:szCs w:val="20"/>
        <w:rtl/>
      </w:rPr>
      <w:fldChar w:fldCharType="separate"/>
    </w:r>
    <w:r w:rsidRPr="00FC7C67">
      <w:rPr>
        <w:rFonts w:ascii="Calibri" w:hAnsi="Calibri" w:cs="Calibri"/>
        <w:color w:val="002060"/>
        <w:szCs w:val="20"/>
        <w:rtl/>
      </w:rPr>
      <w:t>3</w:t>
    </w:r>
    <w:r w:rsidRPr="00FC7C67">
      <w:rPr>
        <w:rFonts w:ascii="Calibri" w:hAnsi="Calibri" w:cs="Calibri"/>
        <w:color w:val="002060"/>
        <w:szCs w:val="20"/>
        <w:rtl/>
      </w:rPr>
      <w:fldChar w:fldCharType="end"/>
    </w:r>
    <w:r w:rsidRPr="00FC7C67">
      <w:rPr>
        <w:rFonts w:ascii="Calibri" w:hAnsi="Calibri" w:cs="Calibri"/>
        <w:color w:val="002060"/>
        <w:szCs w:val="20"/>
        <w:rtl/>
      </w:rPr>
      <w:t xml:space="preserve"> </w:t>
    </w:r>
  </w:p>
  <w:p w:rsidR="00EF4539"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3"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5"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6"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7"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8"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9" w15:restartNumberingAfterBreak="0">
    <w:nsid w:val="450E5D43"/>
    <w:multiLevelType w:val="hybridMultilevel"/>
    <w:tmpl w:val="C09E0D42"/>
    <w:lvl w:ilvl="0">
      <w:start w:val="1"/>
      <w:numFmt w:val="bullet"/>
      <w:lvlText w:val=""/>
      <w:lvlJc w:val="left"/>
      <w:pPr>
        <w:ind w:left="405" w:hanging="360"/>
      </w:pPr>
      <w:rPr>
        <w:rFonts w:ascii="Symbol" w:hAnsi="Symbol" w:cs="Symbol" w:hint="default"/>
        <w:b/>
        <w:bCs/>
        <w:color w:val="FF0000"/>
        <w:sz w:val="28"/>
        <w:szCs w:val="28"/>
      </w:rPr>
    </w:lvl>
    <w:lvl w:ilvl="1" w:tentative="1">
      <w:start w:val="1"/>
      <w:numFmt w:val="bullet"/>
      <w:lvlText w:val="o"/>
      <w:lvlJc w:val="left"/>
      <w:pPr>
        <w:ind w:left="1125" w:hanging="360"/>
      </w:pPr>
      <w:rPr>
        <w:rFonts w:ascii="Courier New" w:hAnsi="Courier New" w:cs="Courier New" w:hint="default"/>
      </w:rPr>
    </w:lvl>
    <w:lvl w:ilvl="2" w:tentative="1">
      <w:start w:val="1"/>
      <w:numFmt w:val="bullet"/>
      <w:lvlText w:val=""/>
      <w:lvlJc w:val="left"/>
      <w:pPr>
        <w:ind w:left="1845" w:hanging="360"/>
      </w:pPr>
      <w:rPr>
        <w:rFonts w:ascii="Wingdings" w:hAnsi="Wingdings" w:hint="default"/>
      </w:rPr>
    </w:lvl>
    <w:lvl w:ilvl="3" w:tentative="1">
      <w:start w:val="1"/>
      <w:numFmt w:val="bullet"/>
      <w:lvlText w:val=""/>
      <w:lvlJc w:val="left"/>
      <w:pPr>
        <w:ind w:left="2565" w:hanging="360"/>
      </w:pPr>
      <w:rPr>
        <w:rFonts w:ascii="Symbol" w:hAnsi="Symbol" w:hint="default"/>
      </w:rPr>
    </w:lvl>
    <w:lvl w:ilvl="4" w:tentative="1">
      <w:start w:val="1"/>
      <w:numFmt w:val="bullet"/>
      <w:lvlText w:val="o"/>
      <w:lvlJc w:val="left"/>
      <w:pPr>
        <w:ind w:left="3285" w:hanging="360"/>
      </w:pPr>
      <w:rPr>
        <w:rFonts w:ascii="Courier New" w:hAnsi="Courier New" w:cs="Courier New" w:hint="default"/>
      </w:rPr>
    </w:lvl>
    <w:lvl w:ilvl="5" w:tentative="1">
      <w:start w:val="1"/>
      <w:numFmt w:val="bullet"/>
      <w:lvlText w:val=""/>
      <w:lvlJc w:val="left"/>
      <w:pPr>
        <w:ind w:left="4005" w:hanging="360"/>
      </w:pPr>
      <w:rPr>
        <w:rFonts w:ascii="Wingdings" w:hAnsi="Wingdings" w:hint="default"/>
      </w:rPr>
    </w:lvl>
    <w:lvl w:ilvl="6" w:tentative="1">
      <w:start w:val="1"/>
      <w:numFmt w:val="bullet"/>
      <w:lvlText w:val=""/>
      <w:lvlJc w:val="left"/>
      <w:pPr>
        <w:ind w:left="4725" w:hanging="360"/>
      </w:pPr>
      <w:rPr>
        <w:rFonts w:ascii="Symbol" w:hAnsi="Symbol" w:hint="default"/>
      </w:rPr>
    </w:lvl>
    <w:lvl w:ilvl="7" w:tentative="1">
      <w:start w:val="1"/>
      <w:numFmt w:val="bullet"/>
      <w:lvlText w:val="o"/>
      <w:lvlJc w:val="left"/>
      <w:pPr>
        <w:ind w:left="5445" w:hanging="360"/>
      </w:pPr>
      <w:rPr>
        <w:rFonts w:ascii="Courier New" w:hAnsi="Courier New" w:cs="Courier New" w:hint="default"/>
      </w:rPr>
    </w:lvl>
    <w:lvl w:ilvl="8" w:tentative="1">
      <w:start w:val="1"/>
      <w:numFmt w:val="bullet"/>
      <w:lvlText w:val=""/>
      <w:lvlJc w:val="left"/>
      <w:pPr>
        <w:ind w:left="6165" w:hanging="360"/>
      </w:pPr>
      <w:rPr>
        <w:rFonts w:ascii="Wingdings" w:hAnsi="Wingdings" w:hint="default"/>
      </w:rPr>
    </w:lvl>
  </w:abstractNum>
  <w:abstractNum w:abstractNumId="10"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1" w15:restartNumberingAfterBreak="0">
    <w:nsid w:val="6079445E"/>
    <w:multiLevelType w:val="hybridMultilevel"/>
    <w:tmpl w:val="B49A2CC6"/>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
      <w:lvlJc w:val="left"/>
      <w:pPr>
        <w:ind w:left="1080" w:hanging="360"/>
      </w:pPr>
      <w:rPr>
        <w:rFonts w:ascii="Symbol" w:hAnsi="Symbol" w:cs="Symbol" w:hint="default"/>
        <w:b/>
        <w:bCs/>
        <w:i w:val="0"/>
        <w:caps w:val="0"/>
        <w:strike w:val="0"/>
        <w:dstrike w:val="0"/>
        <w:vanish w:val="0"/>
        <w:color w:val="FFC000"/>
        <w:position w:val="0"/>
        <w:sz w:val="28"/>
        <w:szCs w:val="28"/>
        <w:vertAlign w:val="baseline"/>
        <w14:ligatures w14:val="all"/>
        <w14:numForm w14:val="default"/>
        <w14:numSpacing w14:val="default"/>
        <w14:stylisticSets xmlns:w14="http://schemas.microsoft.com/office/word/2010/wordml"/>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3" w15:restartNumberingAfterBreak="0">
    <w:nsid w:val="6699458C"/>
    <w:multiLevelType w:val="hybridMultilevel"/>
    <w:tmpl w:val="8F9A7514"/>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5"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14"/>
  </w:num>
  <w:num w:numId="2">
    <w:abstractNumId w:val="10"/>
  </w:num>
  <w:num w:numId="3">
    <w:abstractNumId w:val="7"/>
  </w:num>
  <w:num w:numId="4">
    <w:abstractNumId w:val="2"/>
  </w:num>
  <w:num w:numId="5">
    <w:abstractNumId w:val="8"/>
  </w:num>
  <w:num w:numId="6">
    <w:abstractNumId w:val="12"/>
  </w:num>
  <w:num w:numId="7">
    <w:abstractNumId w:val="6"/>
  </w:num>
  <w:num w:numId="8">
    <w:abstractNumId w:val="4"/>
  </w:num>
  <w:num w:numId="9">
    <w:abstractNumId w:val="3"/>
  </w:num>
  <w:num w:numId="10">
    <w:abstractNumId w:val="5"/>
  </w:num>
  <w:num w:numId="11">
    <w:abstractNumId w:val="15"/>
  </w:num>
  <w:num w:numId="12">
    <w:abstractNumId w:val="0"/>
  </w:num>
  <w:num w:numId="13">
    <w:abstractNumId w:val="1"/>
  </w:num>
  <w:num w:numId="14">
    <w:abstractNumId w:val="13"/>
  </w:num>
  <w:num w:numId="15">
    <w:abstractNumId w:val="11"/>
  </w:num>
  <w:num w:numId="1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735B"/>
    <w:rsid w:val="00042837"/>
    <w:rsid w:val="000501A4"/>
    <w:rsid w:val="000532AA"/>
    <w:rsid w:val="000B1102"/>
    <w:rsid w:val="000C7459"/>
    <w:rsid w:val="000E013E"/>
    <w:rsid w:val="000F7725"/>
    <w:rsid w:val="00101D0F"/>
    <w:rsid w:val="00113E28"/>
    <w:rsid w:val="00114325"/>
    <w:rsid w:val="001255C3"/>
    <w:rsid w:val="00166477"/>
    <w:rsid w:val="001730B0"/>
    <w:rsid w:val="001960B4"/>
    <w:rsid w:val="001A3A0D"/>
    <w:rsid w:val="001A613C"/>
    <w:rsid w:val="001B2821"/>
    <w:rsid w:val="001C057E"/>
    <w:rsid w:val="001C6185"/>
    <w:rsid w:val="001D6BAB"/>
    <w:rsid w:val="001E204F"/>
    <w:rsid w:val="001F4412"/>
    <w:rsid w:val="00203604"/>
    <w:rsid w:val="002064F7"/>
    <w:rsid w:val="00237CE6"/>
    <w:rsid w:val="00240887"/>
    <w:rsid w:val="00263521"/>
    <w:rsid w:val="00277FF6"/>
    <w:rsid w:val="002A7D21"/>
    <w:rsid w:val="002C0FD0"/>
    <w:rsid w:val="002C1EE0"/>
    <w:rsid w:val="002C4139"/>
    <w:rsid w:val="00301153"/>
    <w:rsid w:val="003079D5"/>
    <w:rsid w:val="00315B1D"/>
    <w:rsid w:val="00323027"/>
    <w:rsid w:val="00354F9A"/>
    <w:rsid w:val="0037370B"/>
    <w:rsid w:val="0037752E"/>
    <w:rsid w:val="00380052"/>
    <w:rsid w:val="0039415D"/>
    <w:rsid w:val="003B4D3F"/>
    <w:rsid w:val="003D18F4"/>
    <w:rsid w:val="003D61C6"/>
    <w:rsid w:val="003E58C2"/>
    <w:rsid w:val="004332C9"/>
    <w:rsid w:val="004779AA"/>
    <w:rsid w:val="0049522B"/>
    <w:rsid w:val="00496F3E"/>
    <w:rsid w:val="004A0385"/>
    <w:rsid w:val="004C7D9F"/>
    <w:rsid w:val="004E3EB8"/>
    <w:rsid w:val="004F3A16"/>
    <w:rsid w:val="005006C5"/>
    <w:rsid w:val="00551B42"/>
    <w:rsid w:val="00551FF7"/>
    <w:rsid w:val="00574579"/>
    <w:rsid w:val="00580C5C"/>
    <w:rsid w:val="00586B64"/>
    <w:rsid w:val="005A021D"/>
    <w:rsid w:val="005A2731"/>
    <w:rsid w:val="0062451B"/>
    <w:rsid w:val="00634DAD"/>
    <w:rsid w:val="00640B60"/>
    <w:rsid w:val="006457EB"/>
    <w:rsid w:val="006531CB"/>
    <w:rsid w:val="00697197"/>
    <w:rsid w:val="006C2C6D"/>
    <w:rsid w:val="006D109E"/>
    <w:rsid w:val="006D4161"/>
    <w:rsid w:val="006D786C"/>
    <w:rsid w:val="006E1414"/>
    <w:rsid w:val="006F285F"/>
    <w:rsid w:val="006F7EFA"/>
    <w:rsid w:val="0072219B"/>
    <w:rsid w:val="007474F0"/>
    <w:rsid w:val="00753ADE"/>
    <w:rsid w:val="00773F61"/>
    <w:rsid w:val="007A4EBD"/>
    <w:rsid w:val="007B112B"/>
    <w:rsid w:val="007B5B26"/>
    <w:rsid w:val="007B691A"/>
    <w:rsid w:val="007C1FF6"/>
    <w:rsid w:val="007D61B8"/>
    <w:rsid w:val="007F7FF2"/>
    <w:rsid w:val="00805B42"/>
    <w:rsid w:val="008102AD"/>
    <w:rsid w:val="008131AD"/>
    <w:rsid w:val="00837997"/>
    <w:rsid w:val="00867FC5"/>
    <w:rsid w:val="00892F80"/>
    <w:rsid w:val="008B4F41"/>
    <w:rsid w:val="008C6F75"/>
    <w:rsid w:val="008E3D8A"/>
    <w:rsid w:val="008E7355"/>
    <w:rsid w:val="009015B2"/>
    <w:rsid w:val="00906E90"/>
    <w:rsid w:val="00906FB1"/>
    <w:rsid w:val="0091051D"/>
    <w:rsid w:val="00933E1C"/>
    <w:rsid w:val="00936F84"/>
    <w:rsid w:val="00940851"/>
    <w:rsid w:val="00946ED9"/>
    <w:rsid w:val="009679D9"/>
    <w:rsid w:val="009802D2"/>
    <w:rsid w:val="009B757F"/>
    <w:rsid w:val="009C6066"/>
    <w:rsid w:val="009D73F5"/>
    <w:rsid w:val="009E1A3F"/>
    <w:rsid w:val="009E53CF"/>
    <w:rsid w:val="009F0BD3"/>
    <w:rsid w:val="00A222E2"/>
    <w:rsid w:val="00A61AD5"/>
    <w:rsid w:val="00A65E62"/>
    <w:rsid w:val="00A73038"/>
    <w:rsid w:val="00A76C99"/>
    <w:rsid w:val="00A81EBE"/>
    <w:rsid w:val="00AC6B95"/>
    <w:rsid w:val="00AD7FCB"/>
    <w:rsid w:val="00AE24E9"/>
    <w:rsid w:val="00B00E5C"/>
    <w:rsid w:val="00B4321D"/>
    <w:rsid w:val="00B666B9"/>
    <w:rsid w:val="00B76DC1"/>
    <w:rsid w:val="00B862C0"/>
    <w:rsid w:val="00BE2DD8"/>
    <w:rsid w:val="00C02C37"/>
    <w:rsid w:val="00C2305A"/>
    <w:rsid w:val="00C23CC9"/>
    <w:rsid w:val="00C30B3D"/>
    <w:rsid w:val="00C33AE2"/>
    <w:rsid w:val="00C8096C"/>
    <w:rsid w:val="00C8100B"/>
    <w:rsid w:val="00C85B62"/>
    <w:rsid w:val="00CA41D2"/>
    <w:rsid w:val="00CA4F20"/>
    <w:rsid w:val="00CC712C"/>
    <w:rsid w:val="00CD28D9"/>
    <w:rsid w:val="00D05C85"/>
    <w:rsid w:val="00D125D2"/>
    <w:rsid w:val="00D22748"/>
    <w:rsid w:val="00D26918"/>
    <w:rsid w:val="00D37121"/>
    <w:rsid w:val="00D779F7"/>
    <w:rsid w:val="00D87542"/>
    <w:rsid w:val="00D95C20"/>
    <w:rsid w:val="00D97C16"/>
    <w:rsid w:val="00DE1DAB"/>
    <w:rsid w:val="00DE20A2"/>
    <w:rsid w:val="00DF0B89"/>
    <w:rsid w:val="00E122EE"/>
    <w:rsid w:val="00E35682"/>
    <w:rsid w:val="00E46EA3"/>
    <w:rsid w:val="00E51C1B"/>
    <w:rsid w:val="00E53DA7"/>
    <w:rsid w:val="00EC6B44"/>
    <w:rsid w:val="00EE2D97"/>
    <w:rsid w:val="00EE37A3"/>
    <w:rsid w:val="00EE57E1"/>
    <w:rsid w:val="00EF4539"/>
    <w:rsid w:val="00F36CB4"/>
    <w:rsid w:val="00F4385E"/>
    <w:rsid w:val="00F52944"/>
    <w:rsid w:val="00F627EB"/>
    <w:rsid w:val="00F75A10"/>
    <w:rsid w:val="00F77276"/>
    <w:rsid w:val="00F954E4"/>
    <w:rsid w:val="00F95853"/>
    <w:rsid w:val="00FB3F26"/>
    <w:rsid w:val="00FC3213"/>
    <w:rsid w:val="00FC48C6"/>
    <w:rsid w:val="00FC7C67"/>
    <w:rsid w:val="00FE64C9"/>
    <w:rsid w:val="00FE69B5"/>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1F49FBB4"/>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6">
    <w:name w:val="רשת טבלה2"/>
    <w:basedOn w:val="TableNormal"/>
    <w:next w:val="TableGrid"/>
    <w:uiPriority w:val="59"/>
    <w:rsid w:val="00FC7C67"/>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C7C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numbering" Target="numbering.xml"/><Relationship Id="rId8" Type="http://schemas.openxmlformats.org/officeDocument/2006/relationships/footer" Target="footer1.xml"/><Relationship Id="rId21" Type="http://schemas.openxmlformats.org/officeDocument/2006/relationships/image" Target="media/image15.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7" Type="http://schemas.openxmlformats.org/officeDocument/2006/relationships/header" Target="header2.xml"/><Relationship Id="rId16" Type="http://schemas.openxmlformats.org/officeDocument/2006/relationships/image" Target="media/image10.jpeg"/><Relationship Id="rId2" Type="http://schemas.openxmlformats.org/officeDocument/2006/relationships/settings" Target="settings.xml"/><Relationship Id="rId20" Type="http://schemas.openxmlformats.org/officeDocument/2006/relationships/image" Target="media/image14.png"/><Relationship Id="rId29"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4.xml"/><Relationship Id="rId6"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jpeg"/><Relationship Id="rId5" Type="http://schemas.openxmlformats.org/officeDocument/2006/relationships/customXml" Target="../customXml/item1.xml"/><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3.xml"/><Relationship Id="rId30" Type="http://schemas.openxmlformats.org/officeDocument/2006/relationships/customXml" Target="../customXml/item4.xml"/></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CDE1F25-2624-43B9-9FA9-D3E642A3D123}">
  <ds:schemaRefs>
    <ds:schemaRef ds:uri="http://schemas.openxmlformats.org/officeDocument/2006/bibliography"/>
  </ds:schemaRefs>
</ds:datastoreItem>
</file>

<file path=customXml/itemProps2.xml><?xml version="1.0" encoding="utf-8"?>
<ds:datastoreItem xmlns:ds="http://schemas.openxmlformats.org/officeDocument/2006/customXml" ds:itemID="{DD6BD847-A1A5-4E6A-A6AB-D78CA0516CFC}"/>
</file>

<file path=customXml/itemProps3.xml><?xml version="1.0" encoding="utf-8"?>
<ds:datastoreItem xmlns:ds="http://schemas.openxmlformats.org/officeDocument/2006/customXml" ds:itemID="{7A49FDD0-CB05-4349-B4DB-052AAD342584}"/>
</file>

<file path=customXml/itemProps4.xml><?xml version="1.0" encoding="utf-8"?>
<ds:datastoreItem xmlns:ds="http://schemas.openxmlformats.org/officeDocument/2006/customXml" ds:itemID="{C650EF3B-ABD0-43E1-947D-5E3F6A42848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